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0B2B7" w14:textId="6F32B2C7" w:rsidR="003B3BEA" w:rsidRPr="00E4163A" w:rsidRDefault="004059D9" w:rsidP="00E4163A">
      <w:pPr>
        <w:pStyle w:val="Heading1"/>
        <w:shd w:val="clear" w:color="auto" w:fill="6B2876" w:themeFill="accent5"/>
        <w:spacing w:before="4800"/>
      </w:pPr>
      <w:bookmarkStart w:id="0" w:name="_Toc164970178"/>
      <w:bookmarkStart w:id="1" w:name="_Toc200103423"/>
      <w:bookmarkStart w:id="2" w:name="_Toc200271538"/>
      <w:r w:rsidRPr="008034CE">
        <w:rPr>
          <w:noProof/>
          <w:color w:val="F9F9F9" w:themeColor="background1"/>
          <w:lang w:eastAsia="en-AU"/>
        </w:rPr>
        <w:drawing>
          <wp:anchor distT="0" distB="0" distL="114300" distR="114300" simplePos="0" relativeHeight="251655168" behindDoc="1" locked="0" layoutInCell="1" allowOverlap="1" wp14:anchorId="08DDF87E" wp14:editId="508A1C68">
            <wp:simplePos x="0" y="0"/>
            <wp:positionH relativeFrom="page">
              <wp:posOffset>360680</wp:posOffset>
            </wp:positionH>
            <wp:positionV relativeFrom="page">
              <wp:posOffset>541730</wp:posOffset>
            </wp:positionV>
            <wp:extent cx="6840000" cy="9000000"/>
            <wp:effectExtent l="0" t="0" r="0" b="0"/>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840000" cy="9000000"/>
                    </a:xfrm>
                    <a:prstGeom prst="rect">
                      <a:avLst/>
                    </a:prstGeom>
                  </pic:spPr>
                </pic:pic>
              </a:graphicData>
            </a:graphic>
            <wp14:sizeRelH relativeFrom="margin">
              <wp14:pctWidth>0</wp14:pctWidth>
            </wp14:sizeRelH>
            <wp14:sizeRelV relativeFrom="margin">
              <wp14:pctHeight>0</wp14:pctHeight>
            </wp14:sizeRelV>
          </wp:anchor>
        </w:drawing>
      </w:r>
      <w:r w:rsidR="00C733FD" w:rsidRPr="0049386F">
        <w:t>202</w:t>
      </w:r>
      <w:r>
        <w:t>4</w:t>
      </w:r>
      <w:r w:rsidR="00C733FD" w:rsidRPr="0049386F">
        <w:t>-2</w:t>
      </w:r>
      <w:r>
        <w:t>5</w:t>
      </w:r>
      <w:r w:rsidR="00C733FD" w:rsidRPr="0049386F">
        <w:t xml:space="preserve"> Annual Pricing Review</w:t>
      </w:r>
      <w:bookmarkEnd w:id="0"/>
      <w:bookmarkEnd w:id="1"/>
      <w:r w:rsidR="00E4163A">
        <w:br/>
      </w:r>
      <w:bookmarkEnd w:id="2"/>
    </w:p>
    <w:p w14:paraId="0E471089" w14:textId="3EB93F4B" w:rsidR="003A3FCC" w:rsidRPr="00250A93" w:rsidRDefault="00250A93" w:rsidP="00250A93">
      <w:pPr>
        <w:spacing w:after="0"/>
        <w:rPr>
          <w:b/>
          <w:bCs/>
          <w:sz w:val="26"/>
          <w:szCs w:val="26"/>
        </w:rPr>
      </w:pPr>
      <w:r>
        <w:rPr>
          <w:b/>
          <w:bCs/>
          <w:noProof/>
          <w:sz w:val="26"/>
          <w:szCs w:val="26"/>
        </w:rPr>
        <mc:AlternateContent>
          <mc:Choice Requires="wps">
            <w:drawing>
              <wp:anchor distT="0" distB="0" distL="114300" distR="114300" simplePos="0" relativeHeight="251654144" behindDoc="0" locked="0" layoutInCell="1" allowOverlap="1" wp14:anchorId="578A7622" wp14:editId="1B1845E7">
                <wp:simplePos x="0" y="0"/>
                <wp:positionH relativeFrom="column">
                  <wp:posOffset>-114300</wp:posOffset>
                </wp:positionH>
                <wp:positionV relativeFrom="paragraph">
                  <wp:posOffset>3509757</wp:posOffset>
                </wp:positionV>
                <wp:extent cx="1123950" cy="428625"/>
                <wp:effectExtent l="0" t="0" r="0" b="0"/>
                <wp:wrapNone/>
                <wp:docPr id="796420133"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123950" cy="428625"/>
                        </a:xfrm>
                        <a:prstGeom prst="rect">
                          <a:avLst/>
                        </a:prstGeom>
                        <a:noFill/>
                        <a:ln w="6350">
                          <a:noFill/>
                        </a:ln>
                      </wps:spPr>
                      <wps:txbx>
                        <w:txbxContent>
                          <w:p w14:paraId="4B250571" w14:textId="34FF0406" w:rsidR="00250A93" w:rsidRPr="004059D9" w:rsidRDefault="00250A93" w:rsidP="004059D9">
                            <w:pPr>
                              <w:rPr>
                                <w:color w:val="6B2876" w:themeColor="text1"/>
                              </w:rPr>
                            </w:pPr>
                            <w:r w:rsidRPr="004059D9">
                              <w:rPr>
                                <w:color w:val="6B2876" w:themeColor="text1"/>
                              </w:rPr>
                              <w:t>ndis.gov.au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8A7622" id="_x0000_t202" coordsize="21600,21600" o:spt="202" path="m,l,21600r21600,l21600,xe">
                <v:stroke joinstyle="miter"/>
                <v:path gradientshapeok="t" o:connecttype="rect"/>
              </v:shapetype>
              <v:shape id="Text Box 1" o:spid="_x0000_s1026" type="#_x0000_t202" alt="&quot;&quot;" style="position:absolute;margin-left:-9pt;margin-top:276.35pt;width:88.5pt;height:33.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" filled="f" stroked="f" strokeweight=".5pt">
                <v:textbox>
                  <w:txbxContent>
                    <w:p w14:paraId="4B250571" w14:textId="34FF0406" w:rsidR="00250A93" w:rsidRPr="004059D9" w:rsidRDefault="00250A93" w:rsidP="004059D9">
                      <w:pPr>
                        <w:rPr>
                          <w:color w:val="6B2876" w:themeColor="text1"/>
                        </w:rPr>
                      </w:pPr>
                      <w:r w:rsidRPr="004059D9">
                        <w:rPr>
                          <w:color w:val="6B2876" w:themeColor="text1"/>
                        </w:rPr>
                        <w:t>ndis.gov.au</w:t>
                      </w:r>
                    </w:p>
                  </w:txbxContent>
                </v:textbox>
              </v:shape>
            </w:pict>
          </mc:Fallback>
        </mc:AlternateContent>
      </w:r>
      <w:r w:rsidR="003A3FCC" w:rsidRPr="00250A93">
        <w:rPr>
          <w:b/>
          <w:bCs/>
          <w:sz w:val="26"/>
          <w:szCs w:val="26"/>
        </w:rPr>
        <w:br w:type="page"/>
      </w:r>
    </w:p>
    <w:p w14:paraId="1CF6AC0C" w14:textId="77777777" w:rsidR="00B178FE" w:rsidRPr="00DE6D19" w:rsidRDefault="00B178FE" w:rsidP="00B178FE">
      <w:pPr>
        <w:pStyle w:val="Heading2"/>
        <w:numPr>
          <w:ilvl w:val="0"/>
          <w:numId w:val="0"/>
        </w:numPr>
        <w:rPr>
          <w:sz w:val="24"/>
          <w:szCs w:val="24"/>
        </w:rPr>
      </w:pPr>
      <w:bookmarkStart w:id="3" w:name="_Toc156922188"/>
      <w:bookmarkStart w:id="4" w:name="_Toc162963467"/>
      <w:bookmarkStart w:id="5" w:name="_Toc164970179"/>
      <w:bookmarkStart w:id="6" w:name="_Toc200103424"/>
      <w:bookmarkStart w:id="7" w:name="_Toc200271539"/>
      <w:r w:rsidRPr="00DE6D19">
        <w:rPr>
          <w:rFonts w:eastAsiaTheme="minorEastAsia" w:cstheme="minorBidi"/>
          <w:color w:val="000000" w:themeColor="accent6"/>
          <w:sz w:val="24"/>
          <w:szCs w:val="24"/>
          <w:shd w:val="clear" w:color="auto" w:fill="auto"/>
        </w:rPr>
        <w:lastRenderedPageBreak/>
        <w:t>Acknowledgement</w:t>
      </w:r>
      <w:bookmarkEnd w:id="3"/>
      <w:bookmarkEnd w:id="4"/>
      <w:bookmarkEnd w:id="5"/>
      <w:bookmarkEnd w:id="6"/>
      <w:bookmarkEnd w:id="7"/>
    </w:p>
    <w:p w14:paraId="3E33171C" w14:textId="68E74CB6" w:rsidR="00B178FE" w:rsidRPr="0049386F" w:rsidRDefault="00B178FE" w:rsidP="004059D9">
      <w:r w:rsidRPr="0049386F">
        <w:t>The N</w:t>
      </w:r>
      <w:r w:rsidR="00316188" w:rsidRPr="0049386F">
        <w:t xml:space="preserve">ational Disability </w:t>
      </w:r>
      <w:r w:rsidRPr="0049386F">
        <w:t>I</w:t>
      </w:r>
      <w:r w:rsidR="00316188" w:rsidRPr="0049386F">
        <w:t xml:space="preserve">nsurance </w:t>
      </w:r>
      <w:r w:rsidRPr="0049386F">
        <w:t>A</w:t>
      </w:r>
      <w:r w:rsidR="00316188" w:rsidRPr="0049386F">
        <w:t>gency (</w:t>
      </w:r>
      <w:r w:rsidRPr="0049386F">
        <w:t>NDIA</w:t>
      </w:r>
      <w:r w:rsidR="00316188" w:rsidRPr="0049386F">
        <w:t>)</w:t>
      </w:r>
      <w:r w:rsidRPr="0049386F">
        <w:t xml:space="preserve"> acknowledges the Aboriginal and Torres Strait Islander people of this nation and the Traditional Custodians of the lands across which our Agency conducts our business. We pay our respects to the custodians of the land on which we work as well as their ancestors and Elders, past, present and emerging. </w:t>
      </w:r>
    </w:p>
    <w:p w14:paraId="490A6357" w14:textId="77777777" w:rsidR="00B178FE" w:rsidRPr="0049386F" w:rsidRDefault="00B178FE" w:rsidP="004059D9">
      <w:r w:rsidRPr="0049386F">
        <w:t>The NDIA is committed to honouring Aboriginal and Torres Strait Islander Peoples’ unique cultural and spiritual relationships to the land, waters, and seas and their rich contribution to society.</w:t>
      </w:r>
    </w:p>
    <w:p w14:paraId="2E91D61A" w14:textId="77777777" w:rsidR="00B178FE" w:rsidRPr="00DE6D19" w:rsidRDefault="00B178FE" w:rsidP="00527CA0">
      <w:pPr>
        <w:pStyle w:val="Heading2"/>
        <w:numPr>
          <w:ilvl w:val="0"/>
          <w:numId w:val="0"/>
        </w:numPr>
        <w:rPr>
          <w:rFonts w:eastAsiaTheme="minorEastAsia" w:cstheme="minorBidi"/>
          <w:color w:val="000000" w:themeColor="accent6"/>
          <w:sz w:val="24"/>
          <w:szCs w:val="24"/>
          <w:shd w:val="clear" w:color="auto" w:fill="auto"/>
        </w:rPr>
      </w:pPr>
      <w:bookmarkStart w:id="8" w:name="_Toc200103425"/>
      <w:bookmarkStart w:id="9" w:name="_Toc200271540"/>
      <w:r w:rsidRPr="00DE6D19">
        <w:rPr>
          <w:rFonts w:eastAsiaTheme="minorEastAsia" w:cstheme="minorBidi"/>
          <w:color w:val="000000" w:themeColor="accent6"/>
          <w:sz w:val="24"/>
          <w:szCs w:val="24"/>
          <w:shd w:val="clear" w:color="auto" w:fill="auto"/>
        </w:rPr>
        <w:lastRenderedPageBreak/>
        <w:t>Copyright and use of the material in this document</w:t>
      </w:r>
      <w:bookmarkEnd w:id="8"/>
      <w:bookmarkEnd w:id="9"/>
    </w:p>
    <w:p w14:paraId="54B58B18" w14:textId="77777777" w:rsidR="00DE6D19" w:rsidRPr="008034CE" w:rsidRDefault="00DE6D19" w:rsidP="00DE6D19">
      <w:r w:rsidRPr="008034CE">
        <w:t xml:space="preserve">Copyright in the material in this document, </w:t>
      </w:r>
      <w:proofErr w:type="gramStart"/>
      <w:r w:rsidRPr="008034CE">
        <w:t>with the exception of</w:t>
      </w:r>
      <w:proofErr w:type="gramEnd"/>
      <w:r w:rsidRPr="008034CE">
        <w:t xml:space="preserve"> third-party material, is owned and protected by the National Disability Insurance Agency. </w:t>
      </w:r>
    </w:p>
    <w:p w14:paraId="53A5EC9D" w14:textId="1ACB98D2" w:rsidR="00DE6D19" w:rsidRPr="008034CE" w:rsidRDefault="00DE6D19" w:rsidP="00DE6D19">
      <w:r w:rsidRPr="008034CE">
        <w:t xml:space="preserve">The material in this document, </w:t>
      </w:r>
      <w:proofErr w:type="gramStart"/>
      <w:r w:rsidRPr="008034CE">
        <w:t>with the exception of</w:t>
      </w:r>
      <w:proofErr w:type="gramEnd"/>
      <w:r w:rsidRPr="008034CE">
        <w:t xml:space="preserve"> logos, trademarks, third party material and other content as specified is licensed under Creative Commons Attribution Non-Commercial No Derivatives (CC BY NC ND) licence, version 4.0 International. You may share, copy and redistribute the document in any format. You</w:t>
      </w:r>
      <w:r w:rsidR="00052987">
        <w:t> </w:t>
      </w:r>
      <w:r w:rsidRPr="008034CE">
        <w:t xml:space="preserve">must acknowledge the National Disability Insurance Agency as the owner of all intellectual property rights in the reproduced material by using ‘© National Disability </w:t>
      </w:r>
      <w:r w:rsidRPr="00052987">
        <w:rPr>
          <w:spacing w:val="-2"/>
        </w:rPr>
        <w:t>Insurance Agency 2025’ and you must not use the material for commercial purposes. </w:t>
      </w:r>
    </w:p>
    <w:p w14:paraId="1F731529" w14:textId="77777777" w:rsidR="00DE6D19" w:rsidRPr="008034CE" w:rsidRDefault="00DE6D19" w:rsidP="00DE6D19">
      <w:r w:rsidRPr="008034CE">
        <w:t>Reproduction of any material contained in this document is subject to the CC BY NC ND licence conditions available on the Creative Commons Australia site, as is the full legal code for this material. </w:t>
      </w:r>
    </w:p>
    <w:p w14:paraId="1CFF7C5F" w14:textId="77777777" w:rsidR="00DE6D19" w:rsidRPr="008034CE" w:rsidRDefault="00DE6D19" w:rsidP="00DE6D19">
      <w:r w:rsidRPr="008034CE">
        <w:t>The National Disability Insurance Agency expects that you will only use the information in this document to benefit people with disability. </w:t>
      </w:r>
    </w:p>
    <w:p w14:paraId="1B1FBFF9" w14:textId="77777777" w:rsidR="00B178FE" w:rsidRPr="00DE6D19" w:rsidRDefault="00B178FE" w:rsidP="00DE6D19">
      <w:pPr>
        <w:pStyle w:val="Heading2"/>
        <w:numPr>
          <w:ilvl w:val="0"/>
          <w:numId w:val="0"/>
        </w:numPr>
        <w:spacing w:after="240"/>
        <w:rPr>
          <w:rFonts w:eastAsiaTheme="minorEastAsia" w:cstheme="minorBidi"/>
          <w:color w:val="000000" w:themeColor="accent6"/>
          <w:sz w:val="24"/>
          <w:szCs w:val="24"/>
          <w:shd w:val="clear" w:color="auto" w:fill="auto"/>
        </w:rPr>
      </w:pPr>
      <w:bookmarkStart w:id="10" w:name="_Toc200103426"/>
      <w:bookmarkStart w:id="11" w:name="_Toc200271541"/>
      <w:r w:rsidRPr="00DE6D19">
        <w:rPr>
          <w:rFonts w:eastAsiaTheme="minorEastAsia" w:cstheme="minorBidi"/>
          <w:color w:val="000000" w:themeColor="accent6"/>
          <w:sz w:val="24"/>
          <w:szCs w:val="24"/>
          <w:shd w:val="clear" w:color="auto" w:fill="auto"/>
        </w:rPr>
        <w:lastRenderedPageBreak/>
        <w:t>Terms that we use</w:t>
      </w:r>
      <w:bookmarkEnd w:id="10"/>
      <w:bookmarkEnd w:id="11"/>
    </w:p>
    <w:tbl>
      <w:tblPr>
        <w:tblW w:w="901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41"/>
        <w:gridCol w:w="6973"/>
      </w:tblGrid>
      <w:tr w:rsidR="00DE6D19" w:rsidRPr="008034CE" w14:paraId="71D363DB" w14:textId="77777777" w:rsidTr="00A653FA">
        <w:trPr>
          <w:trHeight w:val="300"/>
        </w:trPr>
        <w:tc>
          <w:tcPr>
            <w:tcW w:w="2041" w:type="dxa"/>
            <w:tcBorders>
              <w:top w:val="single" w:sz="6" w:space="0" w:color="6B2876"/>
              <w:left w:val="single" w:sz="6" w:space="0" w:color="6B2876"/>
              <w:bottom w:val="single" w:sz="6" w:space="0" w:color="F9F9F9"/>
              <w:right w:val="single" w:sz="6" w:space="0" w:color="F9F9F9"/>
            </w:tcBorders>
            <w:shd w:val="clear" w:color="auto" w:fill="6B2876"/>
            <w:hideMark/>
          </w:tcPr>
          <w:p w14:paraId="5F79F1D6" w14:textId="77777777" w:rsidR="00DE6D19" w:rsidRPr="008034CE" w:rsidRDefault="00DE6D19" w:rsidP="00F26240">
            <w:pPr>
              <w:spacing w:before="200"/>
              <w:ind w:left="113"/>
              <w:rPr>
                <w:b/>
                <w:bCs/>
                <w:color w:val="F9F9F9" w:themeColor="background1"/>
              </w:rPr>
            </w:pPr>
            <w:r w:rsidRPr="008034CE">
              <w:rPr>
                <w:b/>
                <w:bCs/>
                <w:color w:val="F9F9F9" w:themeColor="background1"/>
              </w:rPr>
              <w:t>Acronym</w:t>
            </w:r>
          </w:p>
        </w:tc>
        <w:tc>
          <w:tcPr>
            <w:tcW w:w="6973" w:type="dxa"/>
            <w:tcBorders>
              <w:top w:val="single" w:sz="6" w:space="0" w:color="6B2876"/>
              <w:left w:val="single" w:sz="6" w:space="0" w:color="F9F9F9"/>
              <w:bottom w:val="single" w:sz="6" w:space="0" w:color="F9F9F9"/>
              <w:right w:val="single" w:sz="6" w:space="0" w:color="6B2876"/>
            </w:tcBorders>
            <w:shd w:val="clear" w:color="auto" w:fill="6B2876"/>
            <w:hideMark/>
          </w:tcPr>
          <w:p w14:paraId="643F775F" w14:textId="77777777" w:rsidR="00DE6D19" w:rsidRPr="008034CE" w:rsidRDefault="00DE6D19" w:rsidP="00F26240">
            <w:pPr>
              <w:spacing w:before="200"/>
              <w:ind w:left="113"/>
              <w:rPr>
                <w:b/>
                <w:bCs/>
                <w:color w:val="F9F9F9" w:themeColor="background1"/>
              </w:rPr>
            </w:pPr>
            <w:r w:rsidRPr="008034CE">
              <w:rPr>
                <w:b/>
                <w:bCs/>
                <w:color w:val="F9F9F9" w:themeColor="background1"/>
              </w:rPr>
              <w:t>Meaning</w:t>
            </w:r>
          </w:p>
        </w:tc>
      </w:tr>
      <w:tr w:rsidR="00DE6D19" w:rsidRPr="008034CE" w14:paraId="1AAE6451" w14:textId="77777777" w:rsidTr="00A653FA">
        <w:trPr>
          <w:trHeight w:val="567"/>
        </w:trPr>
        <w:tc>
          <w:tcPr>
            <w:tcW w:w="2041" w:type="dxa"/>
            <w:tcBorders>
              <w:top w:val="single" w:sz="6" w:space="0" w:color="6B2876"/>
              <w:left w:val="single" w:sz="6" w:space="0" w:color="6B2876"/>
              <w:bottom w:val="single" w:sz="6" w:space="0" w:color="6B2876"/>
              <w:right w:val="single" w:sz="6" w:space="0" w:color="6B2876"/>
            </w:tcBorders>
            <w:shd w:val="clear" w:color="auto" w:fill="F7EEF7"/>
            <w:hideMark/>
          </w:tcPr>
          <w:p w14:paraId="55AABB6C" w14:textId="77777777" w:rsidR="00DE6D19" w:rsidRPr="008034CE" w:rsidRDefault="00DE6D19" w:rsidP="00F26240">
            <w:pPr>
              <w:spacing w:before="200"/>
              <w:ind w:left="113"/>
            </w:pPr>
            <w:proofErr w:type="gramStart"/>
            <w:r w:rsidRPr="008034CE">
              <w:t>A</w:t>
            </w:r>
            <w:r w:rsidRPr="008034CE">
              <w:rPr>
                <w:spacing w:val="-60"/>
              </w:rPr>
              <w:t xml:space="preserve">  </w:t>
            </w:r>
            <w:r w:rsidRPr="008034CE">
              <w:t>B</w:t>
            </w:r>
            <w:proofErr w:type="gramEnd"/>
            <w:r w:rsidRPr="008034CE">
              <w:rPr>
                <w:spacing w:val="-60"/>
              </w:rPr>
              <w:t xml:space="preserve"> </w:t>
            </w:r>
            <w:r w:rsidRPr="008034CE">
              <w:t>S</w:t>
            </w:r>
          </w:p>
        </w:tc>
        <w:tc>
          <w:tcPr>
            <w:tcW w:w="6973" w:type="dxa"/>
            <w:tcBorders>
              <w:top w:val="single" w:sz="6" w:space="0" w:color="6B2876"/>
              <w:left w:val="single" w:sz="6" w:space="0" w:color="6B2876"/>
              <w:bottom w:val="single" w:sz="6" w:space="0" w:color="6B2876"/>
              <w:right w:val="single" w:sz="6" w:space="0" w:color="6B2876"/>
            </w:tcBorders>
            <w:shd w:val="clear" w:color="auto" w:fill="F7EEF7"/>
            <w:hideMark/>
          </w:tcPr>
          <w:p w14:paraId="11E5099C" w14:textId="77777777" w:rsidR="00DE6D19" w:rsidRPr="008034CE" w:rsidRDefault="00DE6D19" w:rsidP="00F26240">
            <w:pPr>
              <w:spacing w:before="200"/>
              <w:ind w:left="113"/>
            </w:pPr>
            <w:r w:rsidRPr="008034CE">
              <w:t>Australian Bureau of Statistics</w:t>
            </w:r>
          </w:p>
        </w:tc>
      </w:tr>
      <w:tr w:rsidR="00DE6D19" w:rsidRPr="008034CE" w14:paraId="3EF7578E" w14:textId="77777777" w:rsidTr="00A653FA">
        <w:trPr>
          <w:trHeight w:val="567"/>
        </w:trPr>
        <w:tc>
          <w:tcPr>
            <w:tcW w:w="2041" w:type="dxa"/>
            <w:tcBorders>
              <w:top w:val="single" w:sz="6" w:space="0" w:color="6B2876"/>
              <w:left w:val="single" w:sz="6" w:space="0" w:color="6B2876"/>
              <w:bottom w:val="single" w:sz="6" w:space="0" w:color="6B2876"/>
              <w:right w:val="single" w:sz="6" w:space="0" w:color="6B2876"/>
            </w:tcBorders>
            <w:shd w:val="clear" w:color="auto" w:fill="auto"/>
            <w:hideMark/>
          </w:tcPr>
          <w:p w14:paraId="2F4B2535" w14:textId="77777777" w:rsidR="00DE6D19" w:rsidRPr="008034CE" w:rsidRDefault="00DE6D19" w:rsidP="00F26240">
            <w:pPr>
              <w:spacing w:before="200"/>
              <w:ind w:left="113"/>
            </w:pPr>
            <w:r w:rsidRPr="008034CE">
              <w:t>APR</w:t>
            </w:r>
          </w:p>
        </w:tc>
        <w:tc>
          <w:tcPr>
            <w:tcW w:w="6973" w:type="dxa"/>
            <w:tcBorders>
              <w:top w:val="single" w:sz="6" w:space="0" w:color="6B2876"/>
              <w:left w:val="single" w:sz="6" w:space="0" w:color="6B2876"/>
              <w:bottom w:val="single" w:sz="6" w:space="0" w:color="6B2876"/>
              <w:right w:val="single" w:sz="6" w:space="0" w:color="6B2876"/>
            </w:tcBorders>
            <w:shd w:val="clear" w:color="auto" w:fill="auto"/>
            <w:hideMark/>
          </w:tcPr>
          <w:p w14:paraId="70DF3B6A" w14:textId="77777777" w:rsidR="00DE6D19" w:rsidRPr="008034CE" w:rsidRDefault="00DE6D19" w:rsidP="00F26240">
            <w:pPr>
              <w:spacing w:before="200"/>
              <w:ind w:left="113"/>
            </w:pPr>
            <w:r w:rsidRPr="008034CE">
              <w:t>Annual Pricing Review</w:t>
            </w:r>
          </w:p>
        </w:tc>
      </w:tr>
      <w:tr w:rsidR="00DE6D19" w:rsidRPr="008034CE" w14:paraId="1960DDDD" w14:textId="77777777" w:rsidTr="00A653FA">
        <w:trPr>
          <w:trHeight w:val="567"/>
        </w:trPr>
        <w:tc>
          <w:tcPr>
            <w:tcW w:w="2041" w:type="dxa"/>
            <w:tcBorders>
              <w:top w:val="single" w:sz="6" w:space="0" w:color="6B2876"/>
              <w:left w:val="single" w:sz="6" w:space="0" w:color="6B2876"/>
              <w:bottom w:val="single" w:sz="6" w:space="0" w:color="6B2876"/>
              <w:right w:val="single" w:sz="6" w:space="0" w:color="6B2876"/>
            </w:tcBorders>
            <w:shd w:val="clear" w:color="auto" w:fill="F7EEF7"/>
            <w:hideMark/>
          </w:tcPr>
          <w:p w14:paraId="31E6BAC7" w14:textId="77777777" w:rsidR="00DE6D19" w:rsidRPr="008034CE" w:rsidRDefault="00DE6D19" w:rsidP="00F26240">
            <w:pPr>
              <w:spacing w:before="200"/>
              <w:ind w:left="113"/>
            </w:pPr>
            <w:r w:rsidRPr="008034CE">
              <w:t>CPI</w:t>
            </w:r>
          </w:p>
        </w:tc>
        <w:tc>
          <w:tcPr>
            <w:tcW w:w="6973" w:type="dxa"/>
            <w:tcBorders>
              <w:top w:val="single" w:sz="6" w:space="0" w:color="6B2876"/>
              <w:left w:val="single" w:sz="6" w:space="0" w:color="6B2876"/>
              <w:bottom w:val="single" w:sz="6" w:space="0" w:color="6B2876"/>
              <w:right w:val="single" w:sz="6" w:space="0" w:color="6B2876"/>
            </w:tcBorders>
            <w:shd w:val="clear" w:color="auto" w:fill="F7EEF7"/>
            <w:hideMark/>
          </w:tcPr>
          <w:p w14:paraId="7B98361D" w14:textId="77777777" w:rsidR="00DE6D19" w:rsidRPr="008034CE" w:rsidRDefault="00DE6D19" w:rsidP="00F26240">
            <w:pPr>
              <w:spacing w:before="200"/>
              <w:ind w:left="113"/>
            </w:pPr>
            <w:r w:rsidRPr="008034CE">
              <w:t>Consumer Price Index</w:t>
            </w:r>
          </w:p>
        </w:tc>
      </w:tr>
      <w:tr w:rsidR="00DE6D19" w:rsidRPr="008034CE" w14:paraId="76EB1BDC" w14:textId="77777777" w:rsidTr="00A653FA">
        <w:trPr>
          <w:trHeight w:val="567"/>
        </w:trPr>
        <w:tc>
          <w:tcPr>
            <w:tcW w:w="2041" w:type="dxa"/>
            <w:tcBorders>
              <w:top w:val="single" w:sz="6" w:space="0" w:color="6B2876"/>
              <w:left w:val="single" w:sz="6" w:space="0" w:color="6B2876"/>
              <w:bottom w:val="single" w:sz="6" w:space="0" w:color="6B2876"/>
              <w:right w:val="single" w:sz="6" w:space="0" w:color="6B2876"/>
            </w:tcBorders>
            <w:shd w:val="clear" w:color="auto" w:fill="F7EEF7"/>
            <w:hideMark/>
          </w:tcPr>
          <w:p w14:paraId="342C2D58" w14:textId="77777777" w:rsidR="00DE6D19" w:rsidRPr="008034CE" w:rsidRDefault="00DE6D19" w:rsidP="00F26240">
            <w:pPr>
              <w:spacing w:before="200"/>
              <w:ind w:left="113"/>
            </w:pPr>
            <w:r w:rsidRPr="008034CE">
              <w:t>DSW</w:t>
            </w:r>
          </w:p>
        </w:tc>
        <w:tc>
          <w:tcPr>
            <w:tcW w:w="6973" w:type="dxa"/>
            <w:tcBorders>
              <w:top w:val="single" w:sz="6" w:space="0" w:color="6B2876"/>
              <w:left w:val="single" w:sz="6" w:space="0" w:color="6B2876"/>
              <w:bottom w:val="single" w:sz="6" w:space="0" w:color="6B2876"/>
              <w:right w:val="single" w:sz="6" w:space="0" w:color="6B2876"/>
            </w:tcBorders>
            <w:shd w:val="clear" w:color="auto" w:fill="F7EEF7"/>
            <w:hideMark/>
          </w:tcPr>
          <w:p w14:paraId="1DD45C71" w14:textId="77777777" w:rsidR="00DE6D19" w:rsidRPr="008034CE" w:rsidRDefault="00DE6D19" w:rsidP="00F26240">
            <w:pPr>
              <w:spacing w:before="200"/>
              <w:ind w:left="113"/>
            </w:pPr>
            <w:r w:rsidRPr="008034CE">
              <w:t>Disability Support Worker</w:t>
            </w:r>
          </w:p>
        </w:tc>
      </w:tr>
      <w:tr w:rsidR="00DE6D19" w:rsidRPr="008034CE" w14:paraId="6472C054" w14:textId="77777777" w:rsidTr="00A653FA">
        <w:trPr>
          <w:trHeight w:val="567"/>
        </w:trPr>
        <w:tc>
          <w:tcPr>
            <w:tcW w:w="2041" w:type="dxa"/>
            <w:tcBorders>
              <w:top w:val="single" w:sz="6" w:space="0" w:color="6B2876"/>
              <w:left w:val="single" w:sz="6" w:space="0" w:color="6B2876"/>
              <w:bottom w:val="single" w:sz="6" w:space="0" w:color="6B2876"/>
              <w:right w:val="single" w:sz="6" w:space="0" w:color="6B2876"/>
            </w:tcBorders>
            <w:shd w:val="clear" w:color="auto" w:fill="auto"/>
            <w:hideMark/>
          </w:tcPr>
          <w:p w14:paraId="3498CBB2" w14:textId="77777777" w:rsidR="00DE6D19" w:rsidRPr="008034CE" w:rsidRDefault="00DE6D19" w:rsidP="00F26240">
            <w:pPr>
              <w:spacing w:before="200"/>
              <w:ind w:left="113"/>
            </w:pPr>
            <w:r w:rsidRPr="008034CE">
              <w:t>FWC</w:t>
            </w:r>
          </w:p>
        </w:tc>
        <w:tc>
          <w:tcPr>
            <w:tcW w:w="6973" w:type="dxa"/>
            <w:tcBorders>
              <w:top w:val="single" w:sz="6" w:space="0" w:color="6B2876"/>
              <w:left w:val="single" w:sz="6" w:space="0" w:color="6B2876"/>
              <w:bottom w:val="single" w:sz="6" w:space="0" w:color="6B2876"/>
              <w:right w:val="single" w:sz="6" w:space="0" w:color="6B2876"/>
            </w:tcBorders>
            <w:shd w:val="clear" w:color="auto" w:fill="auto"/>
            <w:hideMark/>
          </w:tcPr>
          <w:p w14:paraId="64CB4068" w14:textId="77777777" w:rsidR="00DE6D19" w:rsidRPr="008034CE" w:rsidRDefault="00DE6D19" w:rsidP="00F26240">
            <w:pPr>
              <w:spacing w:before="200"/>
              <w:ind w:left="113"/>
            </w:pPr>
            <w:r w:rsidRPr="008034CE">
              <w:t>Fair Work Commission</w:t>
            </w:r>
          </w:p>
        </w:tc>
      </w:tr>
      <w:tr w:rsidR="00DE6D19" w:rsidRPr="008034CE" w14:paraId="7925BEEB" w14:textId="77777777" w:rsidTr="00A653FA">
        <w:trPr>
          <w:trHeight w:val="567"/>
        </w:trPr>
        <w:tc>
          <w:tcPr>
            <w:tcW w:w="2041" w:type="dxa"/>
            <w:tcBorders>
              <w:top w:val="single" w:sz="6" w:space="0" w:color="6B2876"/>
              <w:left w:val="single" w:sz="6" w:space="0" w:color="6B2876"/>
              <w:bottom w:val="single" w:sz="6" w:space="0" w:color="6B2876"/>
              <w:right w:val="single" w:sz="6" w:space="0" w:color="6B2876"/>
            </w:tcBorders>
            <w:shd w:val="clear" w:color="auto" w:fill="F7EEF7"/>
          </w:tcPr>
          <w:p w14:paraId="21493B99" w14:textId="77777777" w:rsidR="00DE6D19" w:rsidRPr="008034CE" w:rsidRDefault="00DE6D19" w:rsidP="00F26240">
            <w:pPr>
              <w:spacing w:before="200"/>
              <w:ind w:left="113"/>
            </w:pPr>
            <w:r w:rsidRPr="008034CE">
              <w:t>HCSA</w:t>
            </w:r>
          </w:p>
        </w:tc>
        <w:tc>
          <w:tcPr>
            <w:tcW w:w="6973" w:type="dxa"/>
            <w:tcBorders>
              <w:top w:val="single" w:sz="6" w:space="0" w:color="6B2876"/>
              <w:left w:val="single" w:sz="6" w:space="0" w:color="6B2876"/>
              <w:bottom w:val="single" w:sz="6" w:space="0" w:color="6B2876"/>
              <w:right w:val="single" w:sz="6" w:space="0" w:color="6B2876"/>
            </w:tcBorders>
            <w:shd w:val="clear" w:color="auto" w:fill="F7EEF7"/>
          </w:tcPr>
          <w:p w14:paraId="11801156" w14:textId="77777777" w:rsidR="00DE6D19" w:rsidRPr="008034CE" w:rsidRDefault="00DE6D19" w:rsidP="00F26240">
            <w:pPr>
              <w:spacing w:before="200"/>
              <w:ind w:left="113"/>
            </w:pPr>
            <w:r w:rsidRPr="008034CE">
              <w:t>Healthcare and Social Assistance</w:t>
            </w:r>
          </w:p>
        </w:tc>
      </w:tr>
      <w:tr w:rsidR="00DE6D19" w:rsidRPr="008034CE" w14:paraId="526B80F5" w14:textId="77777777" w:rsidTr="00A653FA">
        <w:trPr>
          <w:trHeight w:val="567"/>
        </w:trPr>
        <w:tc>
          <w:tcPr>
            <w:tcW w:w="2041" w:type="dxa"/>
            <w:tcBorders>
              <w:top w:val="single" w:sz="6" w:space="0" w:color="6B2876"/>
              <w:left w:val="single" w:sz="6" w:space="0" w:color="6B2876"/>
              <w:bottom w:val="single" w:sz="6" w:space="0" w:color="6B2876"/>
              <w:right w:val="single" w:sz="6" w:space="0" w:color="6B2876"/>
            </w:tcBorders>
            <w:shd w:val="clear" w:color="auto" w:fill="F7EEF7"/>
          </w:tcPr>
          <w:p w14:paraId="381A43CB" w14:textId="77777777" w:rsidR="00DE6D19" w:rsidRPr="008034CE" w:rsidRDefault="00DE6D19" w:rsidP="00F26240">
            <w:pPr>
              <w:spacing w:before="200"/>
              <w:ind w:left="113"/>
            </w:pPr>
            <w:r w:rsidRPr="008034CE">
              <w:t>HPSS</w:t>
            </w:r>
          </w:p>
        </w:tc>
        <w:tc>
          <w:tcPr>
            <w:tcW w:w="6973" w:type="dxa"/>
            <w:tcBorders>
              <w:top w:val="single" w:sz="6" w:space="0" w:color="6B2876"/>
              <w:left w:val="single" w:sz="6" w:space="0" w:color="6B2876"/>
              <w:bottom w:val="single" w:sz="6" w:space="0" w:color="6B2876"/>
              <w:right w:val="single" w:sz="6" w:space="0" w:color="6B2876"/>
            </w:tcBorders>
            <w:shd w:val="clear" w:color="auto" w:fill="F7EEF7"/>
          </w:tcPr>
          <w:p w14:paraId="62A7977D" w14:textId="77777777" w:rsidR="00DE6D19" w:rsidRPr="008034CE" w:rsidRDefault="00DE6D19" w:rsidP="00F26240">
            <w:pPr>
              <w:spacing w:before="200"/>
              <w:ind w:left="113"/>
            </w:pPr>
            <w:r w:rsidRPr="008034CE">
              <w:t>Health Professionals and Support Services Award 2020</w:t>
            </w:r>
          </w:p>
        </w:tc>
      </w:tr>
      <w:tr w:rsidR="00DE6D19" w:rsidRPr="008034CE" w14:paraId="46324A11" w14:textId="77777777" w:rsidTr="00A653FA">
        <w:trPr>
          <w:trHeight w:val="567"/>
        </w:trPr>
        <w:tc>
          <w:tcPr>
            <w:tcW w:w="2041" w:type="dxa"/>
            <w:tcBorders>
              <w:top w:val="single" w:sz="6" w:space="0" w:color="6B2876"/>
              <w:left w:val="single" w:sz="6" w:space="0" w:color="6B2876"/>
              <w:bottom w:val="single" w:sz="6" w:space="0" w:color="6B2876"/>
              <w:right w:val="single" w:sz="6" w:space="0" w:color="6B2876"/>
            </w:tcBorders>
            <w:shd w:val="clear" w:color="auto" w:fill="F7EEF7"/>
            <w:hideMark/>
          </w:tcPr>
          <w:p w14:paraId="013F1C16" w14:textId="77777777" w:rsidR="00DE6D19" w:rsidRPr="008034CE" w:rsidRDefault="00DE6D19" w:rsidP="00F26240">
            <w:pPr>
              <w:spacing w:before="200"/>
              <w:ind w:left="113"/>
            </w:pPr>
            <w:r w:rsidRPr="008034CE">
              <w:t>NDIA or Agency</w:t>
            </w:r>
          </w:p>
        </w:tc>
        <w:tc>
          <w:tcPr>
            <w:tcW w:w="6973" w:type="dxa"/>
            <w:tcBorders>
              <w:top w:val="single" w:sz="6" w:space="0" w:color="6B2876"/>
              <w:left w:val="single" w:sz="6" w:space="0" w:color="6B2876"/>
              <w:bottom w:val="single" w:sz="6" w:space="0" w:color="6B2876"/>
              <w:right w:val="single" w:sz="6" w:space="0" w:color="6B2876"/>
            </w:tcBorders>
            <w:shd w:val="clear" w:color="auto" w:fill="F7EEF7"/>
            <w:hideMark/>
          </w:tcPr>
          <w:p w14:paraId="6D252CBD" w14:textId="77777777" w:rsidR="00DE6D19" w:rsidRPr="008034CE" w:rsidRDefault="00DE6D19" w:rsidP="00F26240">
            <w:pPr>
              <w:spacing w:before="200"/>
              <w:ind w:left="113"/>
            </w:pPr>
            <w:r w:rsidRPr="008034CE">
              <w:t>National Disability Insurance Agency</w:t>
            </w:r>
          </w:p>
        </w:tc>
      </w:tr>
      <w:tr w:rsidR="00DE6D19" w:rsidRPr="008034CE" w14:paraId="507A7DFE" w14:textId="77777777" w:rsidTr="00A653FA">
        <w:trPr>
          <w:trHeight w:val="567"/>
        </w:trPr>
        <w:tc>
          <w:tcPr>
            <w:tcW w:w="2041" w:type="dxa"/>
            <w:tcBorders>
              <w:top w:val="single" w:sz="6" w:space="0" w:color="6B2876"/>
              <w:left w:val="single" w:sz="6" w:space="0" w:color="6B2876"/>
              <w:bottom w:val="single" w:sz="6" w:space="0" w:color="6B2876"/>
              <w:right w:val="single" w:sz="6" w:space="0" w:color="6B2876"/>
            </w:tcBorders>
            <w:shd w:val="clear" w:color="auto" w:fill="auto"/>
            <w:hideMark/>
          </w:tcPr>
          <w:p w14:paraId="125059DA" w14:textId="77777777" w:rsidR="00DE6D19" w:rsidRPr="008034CE" w:rsidRDefault="00DE6D19" w:rsidP="00F26240">
            <w:pPr>
              <w:spacing w:before="200"/>
              <w:ind w:left="113"/>
            </w:pPr>
            <w:r w:rsidRPr="008034CE">
              <w:t>NDIS or Scheme</w:t>
            </w:r>
          </w:p>
        </w:tc>
        <w:tc>
          <w:tcPr>
            <w:tcW w:w="6973" w:type="dxa"/>
            <w:tcBorders>
              <w:top w:val="single" w:sz="6" w:space="0" w:color="6B2876"/>
              <w:left w:val="single" w:sz="6" w:space="0" w:color="6B2876"/>
              <w:bottom w:val="single" w:sz="6" w:space="0" w:color="6B2876"/>
              <w:right w:val="single" w:sz="6" w:space="0" w:color="6B2876"/>
            </w:tcBorders>
            <w:shd w:val="clear" w:color="auto" w:fill="auto"/>
            <w:hideMark/>
          </w:tcPr>
          <w:p w14:paraId="2F93B459" w14:textId="77777777" w:rsidR="00DE6D19" w:rsidRPr="008034CE" w:rsidRDefault="00DE6D19" w:rsidP="00F26240">
            <w:pPr>
              <w:spacing w:before="200"/>
              <w:ind w:left="113"/>
            </w:pPr>
            <w:r w:rsidRPr="008034CE">
              <w:t>National Disability Insurance Scheme</w:t>
            </w:r>
          </w:p>
        </w:tc>
      </w:tr>
      <w:tr w:rsidR="00DE6D19" w:rsidRPr="008034CE" w14:paraId="0C5BC472" w14:textId="77777777" w:rsidTr="00A653FA">
        <w:trPr>
          <w:trHeight w:val="567"/>
        </w:trPr>
        <w:tc>
          <w:tcPr>
            <w:tcW w:w="2041" w:type="dxa"/>
            <w:tcBorders>
              <w:top w:val="single" w:sz="6" w:space="0" w:color="6B2876"/>
              <w:left w:val="single" w:sz="6" w:space="0" w:color="6B2876"/>
              <w:bottom w:val="single" w:sz="6" w:space="0" w:color="6B2876"/>
              <w:right w:val="single" w:sz="6" w:space="0" w:color="6B2876"/>
            </w:tcBorders>
            <w:shd w:val="clear" w:color="auto" w:fill="F7EEF7"/>
            <w:hideMark/>
          </w:tcPr>
          <w:p w14:paraId="064053F1" w14:textId="77777777" w:rsidR="00DE6D19" w:rsidRPr="008034CE" w:rsidRDefault="00DE6D19" w:rsidP="00F26240">
            <w:pPr>
              <w:spacing w:before="200"/>
              <w:ind w:left="113"/>
            </w:pPr>
            <w:r w:rsidRPr="008034CE">
              <w:t>NDIS Commission</w:t>
            </w:r>
          </w:p>
        </w:tc>
        <w:tc>
          <w:tcPr>
            <w:tcW w:w="6973" w:type="dxa"/>
            <w:tcBorders>
              <w:top w:val="single" w:sz="6" w:space="0" w:color="6B2876"/>
              <w:left w:val="single" w:sz="6" w:space="0" w:color="6B2876"/>
              <w:bottom w:val="single" w:sz="6" w:space="0" w:color="6B2876"/>
              <w:right w:val="single" w:sz="6" w:space="0" w:color="6B2876"/>
            </w:tcBorders>
            <w:shd w:val="clear" w:color="auto" w:fill="F7EEF7"/>
            <w:hideMark/>
          </w:tcPr>
          <w:p w14:paraId="6CE0EFC8" w14:textId="77777777" w:rsidR="00DE6D19" w:rsidRPr="008034CE" w:rsidRDefault="00DE6D19" w:rsidP="00F26240">
            <w:pPr>
              <w:spacing w:before="200"/>
              <w:ind w:left="113"/>
            </w:pPr>
            <w:r w:rsidRPr="008034CE">
              <w:t>National Disability Insurance Scheme Quality and Safeguards Commission</w:t>
            </w:r>
          </w:p>
        </w:tc>
      </w:tr>
      <w:tr w:rsidR="00DE6D19" w:rsidRPr="008034CE" w14:paraId="5B0D12D2" w14:textId="77777777" w:rsidTr="00A653FA">
        <w:trPr>
          <w:trHeight w:val="567"/>
        </w:trPr>
        <w:tc>
          <w:tcPr>
            <w:tcW w:w="2041" w:type="dxa"/>
            <w:tcBorders>
              <w:top w:val="single" w:sz="6" w:space="0" w:color="6B2876"/>
              <w:left w:val="single" w:sz="6" w:space="0" w:color="6B2876"/>
              <w:bottom w:val="single" w:sz="6" w:space="0" w:color="6B2876"/>
              <w:right w:val="single" w:sz="6" w:space="0" w:color="6B2876"/>
            </w:tcBorders>
            <w:shd w:val="clear" w:color="auto" w:fill="auto"/>
            <w:hideMark/>
          </w:tcPr>
          <w:p w14:paraId="378BF566" w14:textId="77777777" w:rsidR="00DE6D19" w:rsidRPr="008034CE" w:rsidRDefault="00DE6D19" w:rsidP="00F26240">
            <w:pPr>
              <w:spacing w:before="200"/>
              <w:ind w:left="113"/>
            </w:pPr>
            <w:r w:rsidRPr="008034CE">
              <w:t>SCHADS Award</w:t>
            </w:r>
          </w:p>
        </w:tc>
        <w:tc>
          <w:tcPr>
            <w:tcW w:w="6973" w:type="dxa"/>
            <w:tcBorders>
              <w:top w:val="single" w:sz="6" w:space="0" w:color="6B2876"/>
              <w:left w:val="single" w:sz="6" w:space="0" w:color="6B2876"/>
              <w:bottom w:val="single" w:sz="6" w:space="0" w:color="6B2876"/>
              <w:right w:val="single" w:sz="6" w:space="0" w:color="6B2876"/>
            </w:tcBorders>
            <w:shd w:val="clear" w:color="auto" w:fill="auto"/>
            <w:hideMark/>
          </w:tcPr>
          <w:p w14:paraId="0F521570" w14:textId="77777777" w:rsidR="00DE6D19" w:rsidRPr="008034CE" w:rsidRDefault="00DE6D19" w:rsidP="00F26240">
            <w:pPr>
              <w:spacing w:before="200"/>
              <w:ind w:left="113"/>
            </w:pPr>
            <w:r w:rsidRPr="008034CE">
              <w:t>Social, Community, Home Care and Disability Services Industry Award 2010</w:t>
            </w:r>
          </w:p>
        </w:tc>
      </w:tr>
      <w:tr w:rsidR="00DE6D19" w:rsidRPr="008034CE" w14:paraId="16B26171" w14:textId="77777777" w:rsidTr="00A653FA">
        <w:trPr>
          <w:trHeight w:val="567"/>
        </w:trPr>
        <w:tc>
          <w:tcPr>
            <w:tcW w:w="2041" w:type="dxa"/>
            <w:tcBorders>
              <w:top w:val="single" w:sz="6" w:space="0" w:color="6B2876"/>
              <w:left w:val="single" w:sz="6" w:space="0" w:color="6B2876"/>
              <w:bottom w:val="single" w:sz="6" w:space="0" w:color="6B2876"/>
              <w:right w:val="single" w:sz="6" w:space="0" w:color="6B2876"/>
            </w:tcBorders>
            <w:shd w:val="clear" w:color="auto" w:fill="F7EEF7"/>
            <w:hideMark/>
          </w:tcPr>
          <w:p w14:paraId="1F97F7C7" w14:textId="77777777" w:rsidR="00DE6D19" w:rsidRPr="008034CE" w:rsidRDefault="00DE6D19" w:rsidP="00F26240">
            <w:pPr>
              <w:spacing w:before="200"/>
              <w:ind w:left="113"/>
            </w:pPr>
            <w:r w:rsidRPr="008034CE">
              <w:t>SIL</w:t>
            </w:r>
          </w:p>
        </w:tc>
        <w:tc>
          <w:tcPr>
            <w:tcW w:w="6973" w:type="dxa"/>
            <w:tcBorders>
              <w:top w:val="single" w:sz="6" w:space="0" w:color="6B2876"/>
              <w:left w:val="single" w:sz="6" w:space="0" w:color="6B2876"/>
              <w:bottom w:val="single" w:sz="6" w:space="0" w:color="6B2876"/>
              <w:right w:val="single" w:sz="6" w:space="0" w:color="6B2876"/>
            </w:tcBorders>
            <w:shd w:val="clear" w:color="auto" w:fill="F7EEF7"/>
            <w:hideMark/>
          </w:tcPr>
          <w:p w14:paraId="24095FF1" w14:textId="77777777" w:rsidR="00DE6D19" w:rsidRPr="008034CE" w:rsidRDefault="00DE6D19" w:rsidP="00F26240">
            <w:pPr>
              <w:spacing w:before="200"/>
              <w:ind w:left="113"/>
            </w:pPr>
            <w:r w:rsidRPr="008034CE">
              <w:t>Supported Independent Living</w:t>
            </w:r>
          </w:p>
        </w:tc>
      </w:tr>
      <w:tr w:rsidR="00DE6D19" w:rsidRPr="008034CE" w14:paraId="7D6F6C07" w14:textId="77777777" w:rsidTr="00A653FA">
        <w:trPr>
          <w:trHeight w:val="567"/>
        </w:trPr>
        <w:tc>
          <w:tcPr>
            <w:tcW w:w="2041" w:type="dxa"/>
            <w:tcBorders>
              <w:top w:val="single" w:sz="6" w:space="0" w:color="6B2876"/>
              <w:left w:val="single" w:sz="6" w:space="0" w:color="6B2876"/>
              <w:bottom w:val="single" w:sz="6" w:space="0" w:color="6B2876"/>
              <w:right w:val="single" w:sz="6" w:space="0" w:color="6B2876"/>
            </w:tcBorders>
            <w:shd w:val="clear" w:color="auto" w:fill="auto"/>
            <w:hideMark/>
          </w:tcPr>
          <w:p w14:paraId="5450EB11" w14:textId="77777777" w:rsidR="00DE6D19" w:rsidRPr="008034CE" w:rsidRDefault="00DE6D19" w:rsidP="00F26240">
            <w:pPr>
              <w:spacing w:before="200"/>
              <w:ind w:left="113"/>
            </w:pPr>
            <w:r w:rsidRPr="008034CE">
              <w:t>WPI</w:t>
            </w:r>
          </w:p>
        </w:tc>
        <w:tc>
          <w:tcPr>
            <w:tcW w:w="6973" w:type="dxa"/>
            <w:tcBorders>
              <w:top w:val="single" w:sz="6" w:space="0" w:color="6B2876"/>
              <w:left w:val="single" w:sz="6" w:space="0" w:color="6B2876"/>
              <w:bottom w:val="single" w:sz="6" w:space="0" w:color="6B2876"/>
              <w:right w:val="single" w:sz="6" w:space="0" w:color="6B2876"/>
            </w:tcBorders>
            <w:shd w:val="clear" w:color="auto" w:fill="auto"/>
            <w:hideMark/>
          </w:tcPr>
          <w:p w14:paraId="3F56BBCD" w14:textId="77777777" w:rsidR="00DE6D19" w:rsidRPr="008034CE" w:rsidRDefault="00DE6D19" w:rsidP="00F26240">
            <w:pPr>
              <w:spacing w:before="200"/>
              <w:ind w:left="113"/>
            </w:pPr>
            <w:r w:rsidRPr="008034CE">
              <w:t>Wage Price Index</w:t>
            </w:r>
          </w:p>
        </w:tc>
      </w:tr>
    </w:tbl>
    <w:p w14:paraId="6E6B4964" w14:textId="77777777" w:rsidR="009E5C4C" w:rsidRPr="0049386F" w:rsidRDefault="009E5C4C" w:rsidP="00554D8F">
      <w:r w:rsidRPr="0049386F">
        <w:br w:type="page"/>
      </w:r>
    </w:p>
    <w:p w14:paraId="6438B4E6" w14:textId="77777777" w:rsidR="00AC40D3" w:rsidRDefault="00B178FE" w:rsidP="00FD6E0C">
      <w:pPr>
        <w:pStyle w:val="Heading2"/>
        <w:numPr>
          <w:ilvl w:val="0"/>
          <w:numId w:val="0"/>
        </w:numPr>
        <w:spacing w:before="0" w:after="0"/>
        <w:rPr>
          <w:noProof/>
        </w:rPr>
      </w:pPr>
      <w:bookmarkStart w:id="12" w:name="_Toc164970180"/>
      <w:bookmarkStart w:id="13" w:name="_Toc200103427"/>
      <w:bookmarkStart w:id="14" w:name="_Toc200271542"/>
      <w:r w:rsidRPr="0049386F">
        <w:lastRenderedPageBreak/>
        <w:t>C</w:t>
      </w:r>
      <w:r w:rsidR="007219F1" w:rsidRPr="0049386F">
        <w:t>ontents</w:t>
      </w:r>
      <w:bookmarkEnd w:id="12"/>
      <w:bookmarkEnd w:id="13"/>
      <w:bookmarkEnd w:id="14"/>
      <w:r w:rsidR="0040062A" w:rsidRPr="0049386F">
        <w:rPr>
          <w:b w:val="0"/>
          <w:bCs w:val="0"/>
          <w:noProof/>
          <w:color w:val="auto"/>
          <w:sz w:val="24"/>
          <w:szCs w:val="24"/>
          <w:shd w:val="clear" w:color="auto" w:fill="auto"/>
        </w:rPr>
        <w:fldChar w:fldCharType="begin"/>
      </w:r>
      <w:r w:rsidR="0040062A" w:rsidRPr="0049386F">
        <w:instrText xml:space="preserve"> TOC \o "1-5" \h \z \u </w:instrText>
      </w:r>
      <w:r w:rsidR="0040062A" w:rsidRPr="0049386F">
        <w:rPr>
          <w:b w:val="0"/>
          <w:bCs w:val="0"/>
          <w:noProof/>
          <w:color w:val="auto"/>
          <w:sz w:val="24"/>
          <w:szCs w:val="24"/>
          <w:shd w:val="clear" w:color="auto" w:fill="auto"/>
        </w:rPr>
        <w:fldChar w:fldCharType="separate"/>
      </w:r>
    </w:p>
    <w:p w14:paraId="61D67657" w14:textId="0559894C" w:rsidR="00AC40D3" w:rsidRDefault="00AC40D3" w:rsidP="00AC40D3">
      <w:pPr>
        <w:pStyle w:val="TOC2"/>
        <w:spacing w:before="160" w:after="0"/>
        <w:rPr>
          <w:rFonts w:asciiTheme="minorHAnsi" w:eastAsiaTheme="minorEastAsia" w:hAnsiTheme="minorHAnsi" w:cstheme="minorBidi"/>
          <w:noProof/>
          <w:kern w:val="2"/>
          <w:lang w:eastAsia="en-AU"/>
          <w14:ligatures w14:val="standardContextual"/>
        </w:rPr>
      </w:pPr>
      <w:hyperlink w:anchor="_Toc200271543" w:history="1">
        <w:r w:rsidRPr="007E6257">
          <w:rPr>
            <w:rStyle w:val="Hyperlink"/>
            <w:noProof/>
          </w:rPr>
          <w:t>1.</w:t>
        </w:r>
        <w:r>
          <w:rPr>
            <w:rFonts w:asciiTheme="minorHAnsi" w:eastAsiaTheme="minorEastAsia" w:hAnsiTheme="minorHAnsi" w:cstheme="minorBidi"/>
            <w:noProof/>
            <w:kern w:val="2"/>
            <w:lang w:eastAsia="en-AU"/>
            <w14:ligatures w14:val="standardContextual"/>
          </w:rPr>
          <w:tab/>
        </w:r>
        <w:r w:rsidRPr="007E6257">
          <w:rPr>
            <w:rStyle w:val="Hyperlink"/>
            <w:noProof/>
          </w:rPr>
          <w:t>Executive Summary</w:t>
        </w:r>
        <w:r>
          <w:rPr>
            <w:noProof/>
            <w:webHidden/>
          </w:rPr>
          <w:tab/>
        </w:r>
        <w:r>
          <w:rPr>
            <w:noProof/>
            <w:webHidden/>
          </w:rPr>
          <w:fldChar w:fldCharType="begin"/>
        </w:r>
        <w:r>
          <w:rPr>
            <w:noProof/>
            <w:webHidden/>
          </w:rPr>
          <w:instrText xml:space="preserve"> PAGEREF _Toc200271543 \h </w:instrText>
        </w:r>
        <w:r>
          <w:rPr>
            <w:noProof/>
            <w:webHidden/>
          </w:rPr>
        </w:r>
        <w:r>
          <w:rPr>
            <w:noProof/>
            <w:webHidden/>
          </w:rPr>
          <w:fldChar w:fldCharType="separate"/>
        </w:r>
        <w:r w:rsidR="005763F9">
          <w:rPr>
            <w:noProof/>
            <w:webHidden/>
          </w:rPr>
          <w:t>7</w:t>
        </w:r>
        <w:r>
          <w:rPr>
            <w:noProof/>
            <w:webHidden/>
          </w:rPr>
          <w:fldChar w:fldCharType="end"/>
        </w:r>
      </w:hyperlink>
    </w:p>
    <w:p w14:paraId="7B86CC3B" w14:textId="4B8E751B" w:rsidR="00AC40D3" w:rsidRDefault="00AC40D3" w:rsidP="00AC40D3">
      <w:pPr>
        <w:pStyle w:val="TOC3"/>
        <w:spacing w:before="160"/>
        <w:rPr>
          <w:rFonts w:asciiTheme="minorHAnsi" w:eastAsiaTheme="minorEastAsia" w:hAnsiTheme="minorHAnsi" w:cstheme="minorBidi"/>
          <w:noProof/>
          <w:kern w:val="2"/>
          <w:lang w:eastAsia="en-AU"/>
          <w14:ligatures w14:val="standardContextual"/>
        </w:rPr>
      </w:pPr>
      <w:hyperlink w:anchor="_Toc200271544" w:history="1">
        <w:r w:rsidRPr="007E6257">
          <w:rPr>
            <w:rStyle w:val="Hyperlink"/>
            <w:noProof/>
          </w:rPr>
          <w:t>1.1</w:t>
        </w:r>
        <w:r>
          <w:rPr>
            <w:rFonts w:asciiTheme="minorHAnsi" w:eastAsiaTheme="minorEastAsia" w:hAnsiTheme="minorHAnsi" w:cstheme="minorBidi"/>
            <w:noProof/>
            <w:kern w:val="2"/>
            <w:lang w:eastAsia="en-AU"/>
            <w14:ligatures w14:val="standardContextual"/>
          </w:rPr>
          <w:tab/>
        </w:r>
        <w:r w:rsidRPr="007E6257">
          <w:rPr>
            <w:rStyle w:val="Hyperlink"/>
            <w:noProof/>
          </w:rPr>
          <w:t>NDIA Pricing Workplan</w:t>
        </w:r>
        <w:r>
          <w:rPr>
            <w:noProof/>
            <w:webHidden/>
          </w:rPr>
          <w:tab/>
        </w:r>
        <w:r>
          <w:rPr>
            <w:noProof/>
            <w:webHidden/>
          </w:rPr>
          <w:fldChar w:fldCharType="begin"/>
        </w:r>
        <w:r>
          <w:rPr>
            <w:noProof/>
            <w:webHidden/>
          </w:rPr>
          <w:instrText xml:space="preserve"> PAGEREF _Toc200271544 \h </w:instrText>
        </w:r>
        <w:r>
          <w:rPr>
            <w:noProof/>
            <w:webHidden/>
          </w:rPr>
        </w:r>
        <w:r>
          <w:rPr>
            <w:noProof/>
            <w:webHidden/>
          </w:rPr>
          <w:fldChar w:fldCharType="separate"/>
        </w:r>
        <w:r w:rsidR="005763F9">
          <w:rPr>
            <w:noProof/>
            <w:webHidden/>
          </w:rPr>
          <w:t>8</w:t>
        </w:r>
        <w:r>
          <w:rPr>
            <w:noProof/>
            <w:webHidden/>
          </w:rPr>
          <w:fldChar w:fldCharType="end"/>
        </w:r>
      </w:hyperlink>
    </w:p>
    <w:p w14:paraId="651D29C9" w14:textId="3D95B390" w:rsidR="00AC40D3" w:rsidRDefault="00AC40D3" w:rsidP="00AC40D3">
      <w:pPr>
        <w:pStyle w:val="TOC3"/>
        <w:spacing w:before="160"/>
        <w:rPr>
          <w:rFonts w:asciiTheme="minorHAnsi" w:eastAsiaTheme="minorEastAsia" w:hAnsiTheme="minorHAnsi" w:cstheme="minorBidi"/>
          <w:noProof/>
          <w:kern w:val="2"/>
          <w:lang w:eastAsia="en-AU"/>
          <w14:ligatures w14:val="standardContextual"/>
        </w:rPr>
      </w:pPr>
      <w:hyperlink w:anchor="_Toc200271546" w:history="1">
        <w:r w:rsidRPr="007E6257">
          <w:rPr>
            <w:rStyle w:val="Hyperlink"/>
            <w:noProof/>
          </w:rPr>
          <w:t>1.2</w:t>
        </w:r>
        <w:r>
          <w:rPr>
            <w:rFonts w:asciiTheme="minorHAnsi" w:eastAsiaTheme="minorEastAsia" w:hAnsiTheme="minorHAnsi" w:cstheme="minorBidi"/>
            <w:noProof/>
            <w:kern w:val="2"/>
            <w:lang w:eastAsia="en-AU"/>
            <w14:ligatures w14:val="standardContextual"/>
          </w:rPr>
          <w:tab/>
        </w:r>
        <w:r w:rsidRPr="007E6257">
          <w:rPr>
            <w:rStyle w:val="Hyperlink"/>
            <w:noProof/>
          </w:rPr>
          <w:t>Nursing and Other Supports</w:t>
        </w:r>
        <w:r>
          <w:rPr>
            <w:noProof/>
            <w:webHidden/>
          </w:rPr>
          <w:tab/>
        </w:r>
        <w:r>
          <w:rPr>
            <w:noProof/>
            <w:webHidden/>
          </w:rPr>
          <w:fldChar w:fldCharType="begin"/>
        </w:r>
        <w:r>
          <w:rPr>
            <w:noProof/>
            <w:webHidden/>
          </w:rPr>
          <w:instrText xml:space="preserve"> PAGEREF _Toc200271546 \h </w:instrText>
        </w:r>
        <w:r>
          <w:rPr>
            <w:noProof/>
            <w:webHidden/>
          </w:rPr>
        </w:r>
        <w:r>
          <w:rPr>
            <w:noProof/>
            <w:webHidden/>
          </w:rPr>
          <w:fldChar w:fldCharType="separate"/>
        </w:r>
        <w:r w:rsidR="005763F9">
          <w:rPr>
            <w:noProof/>
            <w:webHidden/>
          </w:rPr>
          <w:t>9</w:t>
        </w:r>
        <w:r>
          <w:rPr>
            <w:noProof/>
            <w:webHidden/>
          </w:rPr>
          <w:fldChar w:fldCharType="end"/>
        </w:r>
      </w:hyperlink>
    </w:p>
    <w:p w14:paraId="2AD8EFD8" w14:textId="7DBC004E" w:rsidR="00AC40D3" w:rsidRDefault="00AC40D3" w:rsidP="00AC40D3">
      <w:pPr>
        <w:pStyle w:val="TOC3"/>
        <w:spacing w:before="160"/>
        <w:rPr>
          <w:rFonts w:asciiTheme="minorHAnsi" w:eastAsiaTheme="minorEastAsia" w:hAnsiTheme="minorHAnsi" w:cstheme="minorBidi"/>
          <w:noProof/>
          <w:kern w:val="2"/>
          <w:lang w:eastAsia="en-AU"/>
          <w14:ligatures w14:val="standardContextual"/>
        </w:rPr>
      </w:pPr>
      <w:hyperlink w:anchor="_Toc200271547" w:history="1">
        <w:r w:rsidRPr="007E6257">
          <w:rPr>
            <w:rStyle w:val="Hyperlink"/>
            <w:noProof/>
          </w:rPr>
          <w:t>1.3</w:t>
        </w:r>
        <w:r>
          <w:rPr>
            <w:rFonts w:asciiTheme="minorHAnsi" w:eastAsiaTheme="minorEastAsia" w:hAnsiTheme="minorHAnsi" w:cstheme="minorBidi"/>
            <w:noProof/>
            <w:kern w:val="2"/>
            <w:lang w:eastAsia="en-AU"/>
            <w14:ligatures w14:val="standardContextual"/>
          </w:rPr>
          <w:tab/>
        </w:r>
        <w:r w:rsidRPr="007E6257">
          <w:rPr>
            <w:rStyle w:val="Hyperlink"/>
            <w:noProof/>
          </w:rPr>
          <w:t>Disability Support Worker-related Supports</w:t>
        </w:r>
        <w:r>
          <w:rPr>
            <w:noProof/>
            <w:webHidden/>
          </w:rPr>
          <w:tab/>
        </w:r>
        <w:r>
          <w:rPr>
            <w:noProof/>
            <w:webHidden/>
          </w:rPr>
          <w:fldChar w:fldCharType="begin"/>
        </w:r>
        <w:r>
          <w:rPr>
            <w:noProof/>
            <w:webHidden/>
          </w:rPr>
          <w:instrText xml:space="preserve"> PAGEREF _Toc200271547 \h </w:instrText>
        </w:r>
        <w:r>
          <w:rPr>
            <w:noProof/>
            <w:webHidden/>
          </w:rPr>
        </w:r>
        <w:r>
          <w:rPr>
            <w:noProof/>
            <w:webHidden/>
          </w:rPr>
          <w:fldChar w:fldCharType="separate"/>
        </w:r>
        <w:r w:rsidR="005763F9">
          <w:rPr>
            <w:noProof/>
            <w:webHidden/>
          </w:rPr>
          <w:t>10</w:t>
        </w:r>
        <w:r>
          <w:rPr>
            <w:noProof/>
            <w:webHidden/>
          </w:rPr>
          <w:fldChar w:fldCharType="end"/>
        </w:r>
      </w:hyperlink>
    </w:p>
    <w:p w14:paraId="4B0D705E" w14:textId="20CCFBC8" w:rsidR="00AC40D3" w:rsidRDefault="00AC40D3" w:rsidP="00AC40D3">
      <w:pPr>
        <w:pStyle w:val="TOC3"/>
        <w:spacing w:before="160"/>
        <w:rPr>
          <w:rFonts w:asciiTheme="minorHAnsi" w:eastAsiaTheme="minorEastAsia" w:hAnsiTheme="minorHAnsi" w:cstheme="minorBidi"/>
          <w:noProof/>
          <w:kern w:val="2"/>
          <w:lang w:eastAsia="en-AU"/>
          <w14:ligatures w14:val="standardContextual"/>
        </w:rPr>
      </w:pPr>
      <w:hyperlink w:anchor="_Toc200271549" w:history="1">
        <w:r w:rsidRPr="007E6257">
          <w:rPr>
            <w:rStyle w:val="Hyperlink"/>
            <w:noProof/>
          </w:rPr>
          <w:t>1.4</w:t>
        </w:r>
        <w:r>
          <w:rPr>
            <w:rFonts w:asciiTheme="minorHAnsi" w:eastAsiaTheme="minorEastAsia" w:hAnsiTheme="minorHAnsi" w:cstheme="minorBidi"/>
            <w:noProof/>
            <w:kern w:val="2"/>
            <w:lang w:eastAsia="en-AU"/>
            <w14:ligatures w14:val="standardContextual"/>
          </w:rPr>
          <w:tab/>
        </w:r>
        <w:r w:rsidRPr="007E6257">
          <w:rPr>
            <w:rStyle w:val="Hyperlink"/>
            <w:noProof/>
          </w:rPr>
          <w:t>Therapy Supports</w:t>
        </w:r>
        <w:r>
          <w:rPr>
            <w:noProof/>
            <w:webHidden/>
          </w:rPr>
          <w:tab/>
        </w:r>
        <w:r>
          <w:rPr>
            <w:noProof/>
            <w:webHidden/>
          </w:rPr>
          <w:fldChar w:fldCharType="begin"/>
        </w:r>
        <w:r>
          <w:rPr>
            <w:noProof/>
            <w:webHidden/>
          </w:rPr>
          <w:instrText xml:space="preserve"> PAGEREF _Toc200271549 \h </w:instrText>
        </w:r>
        <w:r>
          <w:rPr>
            <w:noProof/>
            <w:webHidden/>
          </w:rPr>
        </w:r>
        <w:r>
          <w:rPr>
            <w:noProof/>
            <w:webHidden/>
          </w:rPr>
          <w:fldChar w:fldCharType="separate"/>
        </w:r>
        <w:r w:rsidR="005763F9">
          <w:rPr>
            <w:noProof/>
            <w:webHidden/>
          </w:rPr>
          <w:t>11</w:t>
        </w:r>
        <w:r>
          <w:rPr>
            <w:noProof/>
            <w:webHidden/>
          </w:rPr>
          <w:fldChar w:fldCharType="end"/>
        </w:r>
      </w:hyperlink>
    </w:p>
    <w:p w14:paraId="36227409" w14:textId="2AA81589" w:rsidR="00AC40D3" w:rsidRDefault="00AC40D3" w:rsidP="00AC40D3">
      <w:pPr>
        <w:pStyle w:val="TOC3"/>
        <w:spacing w:before="160"/>
        <w:rPr>
          <w:rFonts w:asciiTheme="minorHAnsi" w:eastAsiaTheme="minorEastAsia" w:hAnsiTheme="minorHAnsi" w:cstheme="minorBidi"/>
          <w:noProof/>
          <w:kern w:val="2"/>
          <w:lang w:eastAsia="en-AU"/>
          <w14:ligatures w14:val="standardContextual"/>
        </w:rPr>
      </w:pPr>
      <w:hyperlink w:anchor="_Toc200271558" w:history="1">
        <w:r w:rsidRPr="007E6257">
          <w:rPr>
            <w:rStyle w:val="Hyperlink"/>
            <w:noProof/>
          </w:rPr>
          <w:t>1.5</w:t>
        </w:r>
        <w:r>
          <w:rPr>
            <w:rFonts w:asciiTheme="minorHAnsi" w:eastAsiaTheme="minorEastAsia" w:hAnsiTheme="minorHAnsi" w:cstheme="minorBidi"/>
            <w:noProof/>
            <w:kern w:val="2"/>
            <w:lang w:eastAsia="en-AU"/>
            <w14:ligatures w14:val="standardContextual"/>
          </w:rPr>
          <w:tab/>
        </w:r>
        <w:r w:rsidRPr="007E6257">
          <w:rPr>
            <w:rStyle w:val="Hyperlink"/>
            <w:noProof/>
          </w:rPr>
          <w:t>Support Coordination</w:t>
        </w:r>
        <w:r>
          <w:rPr>
            <w:noProof/>
            <w:webHidden/>
          </w:rPr>
          <w:tab/>
        </w:r>
        <w:r>
          <w:rPr>
            <w:noProof/>
            <w:webHidden/>
          </w:rPr>
          <w:fldChar w:fldCharType="begin"/>
        </w:r>
        <w:r>
          <w:rPr>
            <w:noProof/>
            <w:webHidden/>
          </w:rPr>
          <w:instrText xml:space="preserve"> PAGEREF _Toc200271558 \h </w:instrText>
        </w:r>
        <w:r>
          <w:rPr>
            <w:noProof/>
            <w:webHidden/>
          </w:rPr>
        </w:r>
        <w:r>
          <w:rPr>
            <w:noProof/>
            <w:webHidden/>
          </w:rPr>
          <w:fldChar w:fldCharType="separate"/>
        </w:r>
        <w:r w:rsidR="005763F9">
          <w:rPr>
            <w:noProof/>
            <w:webHidden/>
          </w:rPr>
          <w:t>17</w:t>
        </w:r>
        <w:r>
          <w:rPr>
            <w:noProof/>
            <w:webHidden/>
          </w:rPr>
          <w:fldChar w:fldCharType="end"/>
        </w:r>
      </w:hyperlink>
    </w:p>
    <w:p w14:paraId="14568452" w14:textId="25E8689D" w:rsidR="00AC40D3" w:rsidRDefault="00AC40D3" w:rsidP="00AC40D3">
      <w:pPr>
        <w:pStyle w:val="TOC3"/>
        <w:spacing w:before="160"/>
        <w:rPr>
          <w:rFonts w:asciiTheme="minorHAnsi" w:eastAsiaTheme="minorEastAsia" w:hAnsiTheme="minorHAnsi" w:cstheme="minorBidi"/>
          <w:noProof/>
          <w:kern w:val="2"/>
          <w:lang w:eastAsia="en-AU"/>
          <w14:ligatures w14:val="standardContextual"/>
        </w:rPr>
      </w:pPr>
      <w:hyperlink w:anchor="_Toc200271561" w:history="1">
        <w:r w:rsidRPr="007E6257">
          <w:rPr>
            <w:rStyle w:val="Hyperlink"/>
            <w:noProof/>
          </w:rPr>
          <w:t>1.6</w:t>
        </w:r>
        <w:r>
          <w:rPr>
            <w:rFonts w:asciiTheme="minorHAnsi" w:eastAsiaTheme="minorEastAsia" w:hAnsiTheme="minorHAnsi" w:cstheme="minorBidi"/>
            <w:noProof/>
            <w:kern w:val="2"/>
            <w:lang w:eastAsia="en-AU"/>
            <w14:ligatures w14:val="standardContextual"/>
          </w:rPr>
          <w:tab/>
        </w:r>
        <w:r w:rsidRPr="007E6257">
          <w:rPr>
            <w:rStyle w:val="Hyperlink"/>
            <w:noProof/>
          </w:rPr>
          <w:t>Plan Management</w:t>
        </w:r>
        <w:r>
          <w:rPr>
            <w:noProof/>
            <w:webHidden/>
          </w:rPr>
          <w:tab/>
        </w:r>
        <w:r>
          <w:rPr>
            <w:noProof/>
            <w:webHidden/>
          </w:rPr>
          <w:fldChar w:fldCharType="begin"/>
        </w:r>
        <w:r>
          <w:rPr>
            <w:noProof/>
            <w:webHidden/>
          </w:rPr>
          <w:instrText xml:space="preserve"> PAGEREF _Toc200271561 \h </w:instrText>
        </w:r>
        <w:r>
          <w:rPr>
            <w:noProof/>
            <w:webHidden/>
          </w:rPr>
        </w:r>
        <w:r>
          <w:rPr>
            <w:noProof/>
            <w:webHidden/>
          </w:rPr>
          <w:fldChar w:fldCharType="separate"/>
        </w:r>
        <w:r w:rsidR="005763F9">
          <w:rPr>
            <w:noProof/>
            <w:webHidden/>
          </w:rPr>
          <w:t>19</w:t>
        </w:r>
        <w:r>
          <w:rPr>
            <w:noProof/>
            <w:webHidden/>
          </w:rPr>
          <w:fldChar w:fldCharType="end"/>
        </w:r>
      </w:hyperlink>
    </w:p>
    <w:p w14:paraId="704AA499" w14:textId="486C2A28" w:rsidR="00AC40D3" w:rsidRDefault="00AC40D3" w:rsidP="00AC40D3">
      <w:pPr>
        <w:pStyle w:val="TOC2"/>
        <w:spacing w:before="160" w:after="0"/>
        <w:rPr>
          <w:rFonts w:asciiTheme="minorHAnsi" w:eastAsiaTheme="minorEastAsia" w:hAnsiTheme="minorHAnsi" w:cstheme="minorBidi"/>
          <w:noProof/>
          <w:kern w:val="2"/>
          <w:lang w:eastAsia="en-AU"/>
          <w14:ligatures w14:val="standardContextual"/>
        </w:rPr>
      </w:pPr>
      <w:hyperlink w:anchor="_Toc200271565" w:history="1">
        <w:r w:rsidRPr="007E6257">
          <w:rPr>
            <w:rStyle w:val="Hyperlink"/>
            <w:noProof/>
          </w:rPr>
          <w:t>2.</w:t>
        </w:r>
        <w:r>
          <w:rPr>
            <w:rFonts w:asciiTheme="minorHAnsi" w:eastAsiaTheme="minorEastAsia" w:hAnsiTheme="minorHAnsi" w:cstheme="minorBidi"/>
            <w:noProof/>
            <w:kern w:val="2"/>
            <w:lang w:eastAsia="en-AU"/>
            <w14:ligatures w14:val="standardContextual"/>
          </w:rPr>
          <w:tab/>
        </w:r>
        <w:r w:rsidRPr="007E6257">
          <w:rPr>
            <w:rStyle w:val="Hyperlink"/>
            <w:noProof/>
          </w:rPr>
          <w:t>Introduction</w:t>
        </w:r>
        <w:r>
          <w:rPr>
            <w:noProof/>
            <w:webHidden/>
          </w:rPr>
          <w:tab/>
        </w:r>
        <w:r>
          <w:rPr>
            <w:noProof/>
            <w:webHidden/>
          </w:rPr>
          <w:fldChar w:fldCharType="begin"/>
        </w:r>
        <w:r>
          <w:rPr>
            <w:noProof/>
            <w:webHidden/>
          </w:rPr>
          <w:instrText xml:space="preserve"> PAGEREF _Toc200271565 \h </w:instrText>
        </w:r>
        <w:r>
          <w:rPr>
            <w:noProof/>
            <w:webHidden/>
          </w:rPr>
        </w:r>
        <w:r>
          <w:rPr>
            <w:noProof/>
            <w:webHidden/>
          </w:rPr>
          <w:fldChar w:fldCharType="separate"/>
        </w:r>
        <w:r w:rsidR="005763F9">
          <w:rPr>
            <w:noProof/>
            <w:webHidden/>
          </w:rPr>
          <w:t>21</w:t>
        </w:r>
        <w:r>
          <w:rPr>
            <w:noProof/>
            <w:webHidden/>
          </w:rPr>
          <w:fldChar w:fldCharType="end"/>
        </w:r>
      </w:hyperlink>
    </w:p>
    <w:p w14:paraId="7A997F4F" w14:textId="4D4E2506" w:rsidR="00AC40D3" w:rsidRDefault="00AC40D3" w:rsidP="00AC40D3">
      <w:pPr>
        <w:pStyle w:val="TOC3"/>
        <w:spacing w:before="160"/>
        <w:rPr>
          <w:rFonts w:asciiTheme="minorHAnsi" w:eastAsiaTheme="minorEastAsia" w:hAnsiTheme="minorHAnsi" w:cstheme="minorBidi"/>
          <w:noProof/>
          <w:kern w:val="2"/>
          <w:lang w:eastAsia="en-AU"/>
          <w14:ligatures w14:val="standardContextual"/>
        </w:rPr>
      </w:pPr>
      <w:hyperlink w:anchor="_Toc200271566" w:history="1">
        <w:r w:rsidRPr="007E6257">
          <w:rPr>
            <w:rStyle w:val="Hyperlink"/>
            <w:noProof/>
          </w:rPr>
          <w:t>2.1</w:t>
        </w:r>
        <w:r>
          <w:rPr>
            <w:rFonts w:asciiTheme="minorHAnsi" w:eastAsiaTheme="minorEastAsia" w:hAnsiTheme="minorHAnsi" w:cstheme="minorBidi"/>
            <w:noProof/>
            <w:kern w:val="2"/>
            <w:lang w:eastAsia="en-AU"/>
            <w14:ligatures w14:val="standardContextual"/>
          </w:rPr>
          <w:tab/>
        </w:r>
        <w:r w:rsidRPr="007E6257">
          <w:rPr>
            <w:rStyle w:val="Hyperlink"/>
            <w:noProof/>
          </w:rPr>
          <w:t>Context</w:t>
        </w:r>
        <w:r>
          <w:rPr>
            <w:noProof/>
            <w:webHidden/>
          </w:rPr>
          <w:tab/>
        </w:r>
        <w:r>
          <w:rPr>
            <w:noProof/>
            <w:webHidden/>
          </w:rPr>
          <w:fldChar w:fldCharType="begin"/>
        </w:r>
        <w:r>
          <w:rPr>
            <w:noProof/>
            <w:webHidden/>
          </w:rPr>
          <w:instrText xml:space="preserve"> PAGEREF _Toc200271566 \h </w:instrText>
        </w:r>
        <w:r>
          <w:rPr>
            <w:noProof/>
            <w:webHidden/>
          </w:rPr>
        </w:r>
        <w:r>
          <w:rPr>
            <w:noProof/>
            <w:webHidden/>
          </w:rPr>
          <w:fldChar w:fldCharType="separate"/>
        </w:r>
        <w:r w:rsidR="005763F9">
          <w:rPr>
            <w:noProof/>
            <w:webHidden/>
          </w:rPr>
          <w:t>21</w:t>
        </w:r>
        <w:r>
          <w:rPr>
            <w:noProof/>
            <w:webHidden/>
          </w:rPr>
          <w:fldChar w:fldCharType="end"/>
        </w:r>
      </w:hyperlink>
    </w:p>
    <w:p w14:paraId="6DB5F21B" w14:textId="7AB0C209" w:rsidR="00AC40D3" w:rsidRDefault="00AC40D3" w:rsidP="00AC40D3">
      <w:pPr>
        <w:pStyle w:val="TOC3"/>
        <w:spacing w:before="160"/>
        <w:rPr>
          <w:rFonts w:asciiTheme="minorHAnsi" w:eastAsiaTheme="minorEastAsia" w:hAnsiTheme="minorHAnsi" w:cstheme="minorBidi"/>
          <w:noProof/>
          <w:kern w:val="2"/>
          <w:lang w:eastAsia="en-AU"/>
          <w14:ligatures w14:val="standardContextual"/>
        </w:rPr>
      </w:pPr>
      <w:hyperlink w:anchor="_Toc200271567" w:history="1">
        <w:r w:rsidRPr="007E6257">
          <w:rPr>
            <w:rStyle w:val="Hyperlink"/>
            <w:noProof/>
          </w:rPr>
          <w:t>2.2</w:t>
        </w:r>
        <w:r>
          <w:rPr>
            <w:rFonts w:asciiTheme="minorHAnsi" w:eastAsiaTheme="minorEastAsia" w:hAnsiTheme="minorHAnsi" w:cstheme="minorBidi"/>
            <w:noProof/>
            <w:kern w:val="2"/>
            <w:lang w:eastAsia="en-AU"/>
            <w14:ligatures w14:val="standardContextual"/>
          </w:rPr>
          <w:tab/>
        </w:r>
        <w:r w:rsidRPr="007E6257">
          <w:rPr>
            <w:rStyle w:val="Hyperlink"/>
            <w:noProof/>
          </w:rPr>
          <w:t>NDIA’s Role as Market Steward</w:t>
        </w:r>
        <w:r>
          <w:rPr>
            <w:noProof/>
            <w:webHidden/>
          </w:rPr>
          <w:tab/>
        </w:r>
        <w:r>
          <w:rPr>
            <w:noProof/>
            <w:webHidden/>
          </w:rPr>
          <w:fldChar w:fldCharType="begin"/>
        </w:r>
        <w:r>
          <w:rPr>
            <w:noProof/>
            <w:webHidden/>
          </w:rPr>
          <w:instrText xml:space="preserve"> PAGEREF _Toc200271567 \h </w:instrText>
        </w:r>
        <w:r>
          <w:rPr>
            <w:noProof/>
            <w:webHidden/>
          </w:rPr>
        </w:r>
        <w:r>
          <w:rPr>
            <w:noProof/>
            <w:webHidden/>
          </w:rPr>
          <w:fldChar w:fldCharType="separate"/>
        </w:r>
        <w:r w:rsidR="005763F9">
          <w:rPr>
            <w:noProof/>
            <w:webHidden/>
          </w:rPr>
          <w:t>21</w:t>
        </w:r>
        <w:r>
          <w:rPr>
            <w:noProof/>
            <w:webHidden/>
          </w:rPr>
          <w:fldChar w:fldCharType="end"/>
        </w:r>
      </w:hyperlink>
    </w:p>
    <w:p w14:paraId="7815F21D" w14:textId="1ED90562" w:rsidR="00AC40D3" w:rsidRDefault="00AC40D3" w:rsidP="00AC40D3">
      <w:pPr>
        <w:pStyle w:val="TOC3"/>
        <w:spacing w:before="160"/>
        <w:rPr>
          <w:rFonts w:asciiTheme="minorHAnsi" w:eastAsiaTheme="minorEastAsia" w:hAnsiTheme="minorHAnsi" w:cstheme="minorBidi"/>
          <w:noProof/>
          <w:kern w:val="2"/>
          <w:lang w:eastAsia="en-AU"/>
          <w14:ligatures w14:val="standardContextual"/>
        </w:rPr>
      </w:pPr>
      <w:hyperlink w:anchor="_Toc200271568" w:history="1">
        <w:r w:rsidRPr="007E6257">
          <w:rPr>
            <w:rStyle w:val="Hyperlink"/>
            <w:noProof/>
          </w:rPr>
          <w:t>2.3</w:t>
        </w:r>
        <w:r>
          <w:rPr>
            <w:rFonts w:asciiTheme="minorHAnsi" w:eastAsiaTheme="minorEastAsia" w:hAnsiTheme="minorHAnsi" w:cstheme="minorBidi"/>
            <w:noProof/>
            <w:kern w:val="2"/>
            <w:lang w:eastAsia="en-AU"/>
            <w14:ligatures w14:val="standardContextual"/>
          </w:rPr>
          <w:tab/>
        </w:r>
        <w:r w:rsidRPr="007E6257">
          <w:rPr>
            <w:rStyle w:val="Hyperlink"/>
            <w:noProof/>
          </w:rPr>
          <w:t>Quality Supports Program</w:t>
        </w:r>
        <w:r>
          <w:rPr>
            <w:noProof/>
            <w:webHidden/>
          </w:rPr>
          <w:tab/>
        </w:r>
        <w:r>
          <w:rPr>
            <w:noProof/>
            <w:webHidden/>
          </w:rPr>
          <w:fldChar w:fldCharType="begin"/>
        </w:r>
        <w:r>
          <w:rPr>
            <w:noProof/>
            <w:webHidden/>
          </w:rPr>
          <w:instrText xml:space="preserve"> PAGEREF _Toc200271568 \h </w:instrText>
        </w:r>
        <w:r>
          <w:rPr>
            <w:noProof/>
            <w:webHidden/>
          </w:rPr>
        </w:r>
        <w:r>
          <w:rPr>
            <w:noProof/>
            <w:webHidden/>
          </w:rPr>
          <w:fldChar w:fldCharType="separate"/>
        </w:r>
        <w:r w:rsidR="005763F9">
          <w:rPr>
            <w:noProof/>
            <w:webHidden/>
          </w:rPr>
          <w:t>22</w:t>
        </w:r>
        <w:r>
          <w:rPr>
            <w:noProof/>
            <w:webHidden/>
          </w:rPr>
          <w:fldChar w:fldCharType="end"/>
        </w:r>
      </w:hyperlink>
    </w:p>
    <w:p w14:paraId="7CF6298F" w14:textId="3459EBF1" w:rsidR="00AC40D3" w:rsidRDefault="00AC40D3" w:rsidP="00AC40D3">
      <w:pPr>
        <w:pStyle w:val="TOC3"/>
        <w:spacing w:before="160"/>
        <w:rPr>
          <w:rFonts w:asciiTheme="minorHAnsi" w:eastAsiaTheme="minorEastAsia" w:hAnsiTheme="minorHAnsi" w:cstheme="minorBidi"/>
          <w:noProof/>
          <w:kern w:val="2"/>
          <w:lang w:eastAsia="en-AU"/>
          <w14:ligatures w14:val="standardContextual"/>
        </w:rPr>
      </w:pPr>
      <w:hyperlink w:anchor="_Toc200271569" w:history="1">
        <w:r w:rsidRPr="007E6257">
          <w:rPr>
            <w:rStyle w:val="Hyperlink"/>
            <w:noProof/>
          </w:rPr>
          <w:t>2.4</w:t>
        </w:r>
        <w:r>
          <w:rPr>
            <w:rFonts w:asciiTheme="minorHAnsi" w:eastAsiaTheme="minorEastAsia" w:hAnsiTheme="minorHAnsi" w:cstheme="minorBidi"/>
            <w:noProof/>
            <w:kern w:val="2"/>
            <w:lang w:eastAsia="en-AU"/>
            <w14:ligatures w14:val="standardContextual"/>
          </w:rPr>
          <w:tab/>
        </w:r>
        <w:r w:rsidRPr="007E6257">
          <w:rPr>
            <w:rStyle w:val="Hyperlink"/>
            <w:noProof/>
          </w:rPr>
          <w:t>Consultation Process</w:t>
        </w:r>
        <w:r>
          <w:rPr>
            <w:noProof/>
            <w:webHidden/>
          </w:rPr>
          <w:tab/>
        </w:r>
        <w:r>
          <w:rPr>
            <w:noProof/>
            <w:webHidden/>
          </w:rPr>
          <w:fldChar w:fldCharType="begin"/>
        </w:r>
        <w:r>
          <w:rPr>
            <w:noProof/>
            <w:webHidden/>
          </w:rPr>
          <w:instrText xml:space="preserve"> PAGEREF _Toc200271569 \h </w:instrText>
        </w:r>
        <w:r>
          <w:rPr>
            <w:noProof/>
            <w:webHidden/>
          </w:rPr>
        </w:r>
        <w:r>
          <w:rPr>
            <w:noProof/>
            <w:webHidden/>
          </w:rPr>
          <w:fldChar w:fldCharType="separate"/>
        </w:r>
        <w:r w:rsidR="005763F9">
          <w:rPr>
            <w:noProof/>
            <w:webHidden/>
          </w:rPr>
          <w:t>22</w:t>
        </w:r>
        <w:r>
          <w:rPr>
            <w:noProof/>
            <w:webHidden/>
          </w:rPr>
          <w:fldChar w:fldCharType="end"/>
        </w:r>
      </w:hyperlink>
    </w:p>
    <w:p w14:paraId="66D2E41C" w14:textId="12493045" w:rsidR="00AC40D3" w:rsidRDefault="00AC40D3" w:rsidP="00AC40D3">
      <w:pPr>
        <w:pStyle w:val="TOC2"/>
        <w:spacing w:before="160" w:after="0"/>
        <w:rPr>
          <w:rFonts w:asciiTheme="minorHAnsi" w:eastAsiaTheme="minorEastAsia" w:hAnsiTheme="minorHAnsi" w:cstheme="minorBidi"/>
          <w:noProof/>
          <w:kern w:val="2"/>
          <w:lang w:eastAsia="en-AU"/>
          <w14:ligatures w14:val="standardContextual"/>
        </w:rPr>
      </w:pPr>
      <w:hyperlink w:anchor="_Toc200271573" w:history="1">
        <w:r w:rsidRPr="007E6257">
          <w:rPr>
            <w:rStyle w:val="Hyperlink"/>
            <w:noProof/>
          </w:rPr>
          <w:t>3.</w:t>
        </w:r>
        <w:r>
          <w:rPr>
            <w:rFonts w:asciiTheme="minorHAnsi" w:eastAsiaTheme="minorEastAsia" w:hAnsiTheme="minorHAnsi" w:cstheme="minorBidi"/>
            <w:noProof/>
            <w:kern w:val="2"/>
            <w:lang w:eastAsia="en-AU"/>
            <w14:ligatures w14:val="standardContextual"/>
          </w:rPr>
          <w:tab/>
        </w:r>
        <w:r w:rsidRPr="007E6257">
          <w:rPr>
            <w:rStyle w:val="Hyperlink"/>
            <w:noProof/>
          </w:rPr>
          <w:t>Independent Pricing Committee</w:t>
        </w:r>
        <w:r>
          <w:rPr>
            <w:noProof/>
            <w:webHidden/>
          </w:rPr>
          <w:tab/>
        </w:r>
        <w:r>
          <w:rPr>
            <w:noProof/>
            <w:webHidden/>
          </w:rPr>
          <w:fldChar w:fldCharType="begin"/>
        </w:r>
        <w:r>
          <w:rPr>
            <w:noProof/>
            <w:webHidden/>
          </w:rPr>
          <w:instrText xml:space="preserve"> PAGEREF _Toc200271573 \h </w:instrText>
        </w:r>
        <w:r>
          <w:rPr>
            <w:noProof/>
            <w:webHidden/>
          </w:rPr>
        </w:r>
        <w:r>
          <w:rPr>
            <w:noProof/>
            <w:webHidden/>
          </w:rPr>
          <w:fldChar w:fldCharType="separate"/>
        </w:r>
        <w:r w:rsidR="005763F9">
          <w:rPr>
            <w:noProof/>
            <w:webHidden/>
          </w:rPr>
          <w:t>24</w:t>
        </w:r>
        <w:r>
          <w:rPr>
            <w:noProof/>
            <w:webHidden/>
          </w:rPr>
          <w:fldChar w:fldCharType="end"/>
        </w:r>
      </w:hyperlink>
    </w:p>
    <w:p w14:paraId="0C696D9F" w14:textId="14F694BC" w:rsidR="00AC40D3" w:rsidRDefault="00AC40D3" w:rsidP="00AC40D3">
      <w:pPr>
        <w:pStyle w:val="TOC2"/>
        <w:spacing w:before="160" w:after="0"/>
        <w:rPr>
          <w:rFonts w:asciiTheme="minorHAnsi" w:eastAsiaTheme="minorEastAsia" w:hAnsiTheme="minorHAnsi" w:cstheme="minorBidi"/>
          <w:noProof/>
          <w:kern w:val="2"/>
          <w:lang w:eastAsia="en-AU"/>
          <w14:ligatures w14:val="standardContextual"/>
        </w:rPr>
      </w:pPr>
      <w:hyperlink w:anchor="_Toc200271582" w:history="1">
        <w:r w:rsidRPr="007E6257">
          <w:rPr>
            <w:rStyle w:val="Hyperlink"/>
            <w:noProof/>
          </w:rPr>
          <w:t>4.</w:t>
        </w:r>
        <w:r>
          <w:rPr>
            <w:rFonts w:asciiTheme="minorHAnsi" w:eastAsiaTheme="minorEastAsia" w:hAnsiTheme="minorHAnsi" w:cstheme="minorBidi"/>
            <w:noProof/>
            <w:kern w:val="2"/>
            <w:lang w:eastAsia="en-AU"/>
            <w14:ligatures w14:val="standardContextual"/>
          </w:rPr>
          <w:tab/>
        </w:r>
        <w:r w:rsidRPr="007E6257">
          <w:rPr>
            <w:rStyle w:val="Hyperlink"/>
            <w:noProof/>
          </w:rPr>
          <w:t>Domestic Economic Conditions</w:t>
        </w:r>
        <w:r>
          <w:rPr>
            <w:noProof/>
            <w:webHidden/>
          </w:rPr>
          <w:tab/>
        </w:r>
        <w:r>
          <w:rPr>
            <w:noProof/>
            <w:webHidden/>
          </w:rPr>
          <w:fldChar w:fldCharType="begin"/>
        </w:r>
        <w:r>
          <w:rPr>
            <w:noProof/>
            <w:webHidden/>
          </w:rPr>
          <w:instrText xml:space="preserve"> PAGEREF _Toc200271582 \h </w:instrText>
        </w:r>
        <w:r>
          <w:rPr>
            <w:noProof/>
            <w:webHidden/>
          </w:rPr>
        </w:r>
        <w:r>
          <w:rPr>
            <w:noProof/>
            <w:webHidden/>
          </w:rPr>
          <w:fldChar w:fldCharType="separate"/>
        </w:r>
        <w:r w:rsidR="005763F9">
          <w:rPr>
            <w:noProof/>
            <w:webHidden/>
          </w:rPr>
          <w:t>28</w:t>
        </w:r>
        <w:r>
          <w:rPr>
            <w:noProof/>
            <w:webHidden/>
          </w:rPr>
          <w:fldChar w:fldCharType="end"/>
        </w:r>
      </w:hyperlink>
    </w:p>
    <w:p w14:paraId="439F1646" w14:textId="7A2C0FDF" w:rsidR="00AC40D3" w:rsidRDefault="00AC40D3" w:rsidP="00AC40D3">
      <w:pPr>
        <w:pStyle w:val="TOC3"/>
        <w:spacing w:before="160"/>
        <w:rPr>
          <w:rFonts w:asciiTheme="minorHAnsi" w:eastAsiaTheme="minorEastAsia" w:hAnsiTheme="minorHAnsi" w:cstheme="minorBidi"/>
          <w:noProof/>
          <w:kern w:val="2"/>
          <w:lang w:eastAsia="en-AU"/>
          <w14:ligatures w14:val="standardContextual"/>
        </w:rPr>
      </w:pPr>
      <w:hyperlink w:anchor="_Toc200271583" w:history="1">
        <w:r w:rsidRPr="007E6257">
          <w:rPr>
            <w:rStyle w:val="Hyperlink"/>
            <w:noProof/>
          </w:rPr>
          <w:t>4.1</w:t>
        </w:r>
        <w:r>
          <w:rPr>
            <w:rFonts w:asciiTheme="minorHAnsi" w:eastAsiaTheme="minorEastAsia" w:hAnsiTheme="minorHAnsi" w:cstheme="minorBidi"/>
            <w:noProof/>
            <w:kern w:val="2"/>
            <w:lang w:eastAsia="en-AU"/>
            <w14:ligatures w14:val="standardContextual"/>
          </w:rPr>
          <w:tab/>
        </w:r>
        <w:r w:rsidRPr="007E6257">
          <w:rPr>
            <w:rStyle w:val="Hyperlink"/>
            <w:noProof/>
          </w:rPr>
          <w:t>Economic Outlook</w:t>
        </w:r>
        <w:r>
          <w:rPr>
            <w:noProof/>
            <w:webHidden/>
          </w:rPr>
          <w:tab/>
        </w:r>
        <w:r>
          <w:rPr>
            <w:noProof/>
            <w:webHidden/>
          </w:rPr>
          <w:fldChar w:fldCharType="begin"/>
        </w:r>
        <w:r>
          <w:rPr>
            <w:noProof/>
            <w:webHidden/>
          </w:rPr>
          <w:instrText xml:space="preserve"> PAGEREF _Toc200271583 \h </w:instrText>
        </w:r>
        <w:r>
          <w:rPr>
            <w:noProof/>
            <w:webHidden/>
          </w:rPr>
        </w:r>
        <w:r>
          <w:rPr>
            <w:noProof/>
            <w:webHidden/>
          </w:rPr>
          <w:fldChar w:fldCharType="separate"/>
        </w:r>
        <w:r w:rsidR="005763F9">
          <w:rPr>
            <w:noProof/>
            <w:webHidden/>
          </w:rPr>
          <w:t>28</w:t>
        </w:r>
        <w:r>
          <w:rPr>
            <w:noProof/>
            <w:webHidden/>
          </w:rPr>
          <w:fldChar w:fldCharType="end"/>
        </w:r>
      </w:hyperlink>
    </w:p>
    <w:p w14:paraId="49264708" w14:textId="00821822" w:rsidR="00AC40D3" w:rsidRDefault="00AC40D3" w:rsidP="00AC40D3">
      <w:pPr>
        <w:pStyle w:val="TOC3"/>
        <w:spacing w:before="160"/>
        <w:rPr>
          <w:rFonts w:asciiTheme="minorHAnsi" w:eastAsiaTheme="minorEastAsia" w:hAnsiTheme="minorHAnsi" w:cstheme="minorBidi"/>
          <w:noProof/>
          <w:kern w:val="2"/>
          <w:lang w:eastAsia="en-AU"/>
          <w14:ligatures w14:val="standardContextual"/>
        </w:rPr>
      </w:pPr>
      <w:hyperlink w:anchor="_Toc200271584" w:history="1">
        <w:r w:rsidRPr="007E6257">
          <w:rPr>
            <w:rStyle w:val="Hyperlink"/>
            <w:noProof/>
          </w:rPr>
          <w:t>4.2</w:t>
        </w:r>
        <w:r>
          <w:rPr>
            <w:rFonts w:asciiTheme="minorHAnsi" w:eastAsiaTheme="minorEastAsia" w:hAnsiTheme="minorHAnsi" w:cstheme="minorBidi"/>
            <w:noProof/>
            <w:kern w:val="2"/>
            <w:lang w:eastAsia="en-AU"/>
            <w14:ligatures w14:val="standardContextual"/>
          </w:rPr>
          <w:tab/>
        </w:r>
        <w:r w:rsidRPr="007E6257">
          <w:rPr>
            <w:rStyle w:val="Hyperlink"/>
            <w:noProof/>
          </w:rPr>
          <w:t>Inflation</w:t>
        </w:r>
        <w:r>
          <w:rPr>
            <w:noProof/>
            <w:webHidden/>
          </w:rPr>
          <w:tab/>
        </w:r>
        <w:r>
          <w:rPr>
            <w:noProof/>
            <w:webHidden/>
          </w:rPr>
          <w:fldChar w:fldCharType="begin"/>
        </w:r>
        <w:r>
          <w:rPr>
            <w:noProof/>
            <w:webHidden/>
          </w:rPr>
          <w:instrText xml:space="preserve"> PAGEREF _Toc200271584 \h </w:instrText>
        </w:r>
        <w:r>
          <w:rPr>
            <w:noProof/>
            <w:webHidden/>
          </w:rPr>
        </w:r>
        <w:r>
          <w:rPr>
            <w:noProof/>
            <w:webHidden/>
          </w:rPr>
          <w:fldChar w:fldCharType="separate"/>
        </w:r>
        <w:r w:rsidR="005763F9">
          <w:rPr>
            <w:noProof/>
            <w:webHidden/>
          </w:rPr>
          <w:t>28</w:t>
        </w:r>
        <w:r>
          <w:rPr>
            <w:noProof/>
            <w:webHidden/>
          </w:rPr>
          <w:fldChar w:fldCharType="end"/>
        </w:r>
      </w:hyperlink>
    </w:p>
    <w:p w14:paraId="5C7FE24F" w14:textId="6D299EA1" w:rsidR="00AC40D3" w:rsidRDefault="00AC40D3" w:rsidP="00AC40D3">
      <w:pPr>
        <w:pStyle w:val="TOC3"/>
        <w:spacing w:before="160"/>
        <w:rPr>
          <w:rFonts w:asciiTheme="minorHAnsi" w:eastAsiaTheme="minorEastAsia" w:hAnsiTheme="minorHAnsi" w:cstheme="minorBidi"/>
          <w:noProof/>
          <w:kern w:val="2"/>
          <w:lang w:eastAsia="en-AU"/>
          <w14:ligatures w14:val="standardContextual"/>
        </w:rPr>
      </w:pPr>
      <w:hyperlink w:anchor="_Toc200271585" w:history="1">
        <w:r w:rsidRPr="007E6257">
          <w:rPr>
            <w:rStyle w:val="Hyperlink"/>
            <w:noProof/>
          </w:rPr>
          <w:t>4.3</w:t>
        </w:r>
        <w:r>
          <w:rPr>
            <w:rFonts w:asciiTheme="minorHAnsi" w:eastAsiaTheme="minorEastAsia" w:hAnsiTheme="minorHAnsi" w:cstheme="minorBidi"/>
            <w:noProof/>
            <w:kern w:val="2"/>
            <w:lang w:eastAsia="en-AU"/>
            <w14:ligatures w14:val="standardContextual"/>
          </w:rPr>
          <w:tab/>
        </w:r>
        <w:r w:rsidRPr="007E6257">
          <w:rPr>
            <w:rStyle w:val="Hyperlink"/>
            <w:noProof/>
          </w:rPr>
          <w:t>Labour Market Conditions</w:t>
        </w:r>
        <w:r>
          <w:rPr>
            <w:noProof/>
            <w:webHidden/>
          </w:rPr>
          <w:tab/>
        </w:r>
        <w:r>
          <w:rPr>
            <w:noProof/>
            <w:webHidden/>
          </w:rPr>
          <w:fldChar w:fldCharType="begin"/>
        </w:r>
        <w:r>
          <w:rPr>
            <w:noProof/>
            <w:webHidden/>
          </w:rPr>
          <w:instrText xml:space="preserve"> PAGEREF _Toc200271585 \h </w:instrText>
        </w:r>
        <w:r>
          <w:rPr>
            <w:noProof/>
            <w:webHidden/>
          </w:rPr>
        </w:r>
        <w:r>
          <w:rPr>
            <w:noProof/>
            <w:webHidden/>
          </w:rPr>
          <w:fldChar w:fldCharType="separate"/>
        </w:r>
        <w:r w:rsidR="005763F9">
          <w:rPr>
            <w:noProof/>
            <w:webHidden/>
          </w:rPr>
          <w:t>29</w:t>
        </w:r>
        <w:r>
          <w:rPr>
            <w:noProof/>
            <w:webHidden/>
          </w:rPr>
          <w:fldChar w:fldCharType="end"/>
        </w:r>
      </w:hyperlink>
    </w:p>
    <w:p w14:paraId="3119D9D3" w14:textId="4809A05D" w:rsidR="00AC40D3" w:rsidRDefault="00AC40D3" w:rsidP="00AC40D3">
      <w:pPr>
        <w:pStyle w:val="TOC3"/>
        <w:spacing w:before="160"/>
        <w:rPr>
          <w:rFonts w:asciiTheme="minorHAnsi" w:eastAsiaTheme="minorEastAsia" w:hAnsiTheme="minorHAnsi" w:cstheme="minorBidi"/>
          <w:noProof/>
          <w:kern w:val="2"/>
          <w:lang w:eastAsia="en-AU"/>
          <w14:ligatures w14:val="standardContextual"/>
        </w:rPr>
      </w:pPr>
      <w:hyperlink w:anchor="_Toc200271586" w:history="1">
        <w:r w:rsidRPr="007E6257">
          <w:rPr>
            <w:rStyle w:val="Hyperlink"/>
            <w:noProof/>
          </w:rPr>
          <w:t>4.4</w:t>
        </w:r>
        <w:r>
          <w:rPr>
            <w:rFonts w:asciiTheme="minorHAnsi" w:eastAsiaTheme="minorEastAsia" w:hAnsiTheme="minorHAnsi" w:cstheme="minorBidi"/>
            <w:noProof/>
            <w:kern w:val="2"/>
            <w:lang w:eastAsia="en-AU"/>
            <w14:ligatures w14:val="standardContextual"/>
          </w:rPr>
          <w:tab/>
        </w:r>
        <w:r w:rsidRPr="007E6257">
          <w:rPr>
            <w:rStyle w:val="Hyperlink"/>
            <w:noProof/>
          </w:rPr>
          <w:t>Wage Growth</w:t>
        </w:r>
        <w:r>
          <w:rPr>
            <w:noProof/>
            <w:webHidden/>
          </w:rPr>
          <w:tab/>
        </w:r>
        <w:r>
          <w:rPr>
            <w:noProof/>
            <w:webHidden/>
          </w:rPr>
          <w:fldChar w:fldCharType="begin"/>
        </w:r>
        <w:r>
          <w:rPr>
            <w:noProof/>
            <w:webHidden/>
          </w:rPr>
          <w:instrText xml:space="preserve"> PAGEREF _Toc200271586 \h </w:instrText>
        </w:r>
        <w:r>
          <w:rPr>
            <w:noProof/>
            <w:webHidden/>
          </w:rPr>
        </w:r>
        <w:r>
          <w:rPr>
            <w:noProof/>
            <w:webHidden/>
          </w:rPr>
          <w:fldChar w:fldCharType="separate"/>
        </w:r>
        <w:r w:rsidR="005763F9">
          <w:rPr>
            <w:noProof/>
            <w:webHidden/>
          </w:rPr>
          <w:t>32</w:t>
        </w:r>
        <w:r>
          <w:rPr>
            <w:noProof/>
            <w:webHidden/>
          </w:rPr>
          <w:fldChar w:fldCharType="end"/>
        </w:r>
      </w:hyperlink>
    </w:p>
    <w:p w14:paraId="47C6476C" w14:textId="79E59F77" w:rsidR="00AC40D3" w:rsidRDefault="00AC40D3" w:rsidP="00AC40D3">
      <w:pPr>
        <w:pStyle w:val="TOC2"/>
        <w:spacing w:before="160" w:after="0"/>
        <w:rPr>
          <w:rFonts w:asciiTheme="minorHAnsi" w:eastAsiaTheme="minorEastAsia" w:hAnsiTheme="minorHAnsi" w:cstheme="minorBidi"/>
          <w:noProof/>
          <w:kern w:val="2"/>
          <w:lang w:eastAsia="en-AU"/>
          <w14:ligatures w14:val="standardContextual"/>
        </w:rPr>
      </w:pPr>
      <w:hyperlink w:anchor="_Toc200271587" w:history="1">
        <w:r w:rsidRPr="007E6257">
          <w:rPr>
            <w:rStyle w:val="Hyperlink"/>
            <w:noProof/>
          </w:rPr>
          <w:t>5.</w:t>
        </w:r>
        <w:r>
          <w:rPr>
            <w:rFonts w:asciiTheme="minorHAnsi" w:eastAsiaTheme="minorEastAsia" w:hAnsiTheme="minorHAnsi" w:cstheme="minorBidi"/>
            <w:noProof/>
            <w:kern w:val="2"/>
            <w:lang w:eastAsia="en-AU"/>
            <w14:ligatures w14:val="standardContextual"/>
          </w:rPr>
          <w:tab/>
        </w:r>
        <w:r w:rsidRPr="007E6257">
          <w:rPr>
            <w:rStyle w:val="Hyperlink"/>
            <w:noProof/>
          </w:rPr>
          <w:t>NDIS Pricing and Award Considerations</w:t>
        </w:r>
        <w:r>
          <w:rPr>
            <w:noProof/>
            <w:webHidden/>
          </w:rPr>
          <w:tab/>
        </w:r>
        <w:r>
          <w:rPr>
            <w:noProof/>
            <w:webHidden/>
          </w:rPr>
          <w:fldChar w:fldCharType="begin"/>
        </w:r>
        <w:r>
          <w:rPr>
            <w:noProof/>
            <w:webHidden/>
          </w:rPr>
          <w:instrText xml:space="preserve"> PAGEREF _Toc200271587 \h </w:instrText>
        </w:r>
        <w:r>
          <w:rPr>
            <w:noProof/>
            <w:webHidden/>
          </w:rPr>
        </w:r>
        <w:r>
          <w:rPr>
            <w:noProof/>
            <w:webHidden/>
          </w:rPr>
          <w:fldChar w:fldCharType="separate"/>
        </w:r>
        <w:r w:rsidR="005763F9">
          <w:rPr>
            <w:noProof/>
            <w:webHidden/>
          </w:rPr>
          <w:t>33</w:t>
        </w:r>
        <w:r>
          <w:rPr>
            <w:noProof/>
            <w:webHidden/>
          </w:rPr>
          <w:fldChar w:fldCharType="end"/>
        </w:r>
      </w:hyperlink>
    </w:p>
    <w:p w14:paraId="1CAED6EC" w14:textId="6345C6F8" w:rsidR="00AC40D3" w:rsidRDefault="00AC40D3" w:rsidP="00AC40D3">
      <w:pPr>
        <w:pStyle w:val="TOC3"/>
        <w:spacing w:before="160"/>
        <w:rPr>
          <w:rFonts w:asciiTheme="minorHAnsi" w:eastAsiaTheme="minorEastAsia" w:hAnsiTheme="minorHAnsi" w:cstheme="minorBidi"/>
          <w:noProof/>
          <w:kern w:val="2"/>
          <w:lang w:eastAsia="en-AU"/>
          <w14:ligatures w14:val="standardContextual"/>
        </w:rPr>
      </w:pPr>
      <w:hyperlink w:anchor="_Toc200271588" w:history="1">
        <w:r w:rsidRPr="007E6257">
          <w:rPr>
            <w:rStyle w:val="Hyperlink"/>
            <w:noProof/>
          </w:rPr>
          <w:t>5.1</w:t>
        </w:r>
        <w:r>
          <w:rPr>
            <w:rFonts w:asciiTheme="minorHAnsi" w:eastAsiaTheme="minorEastAsia" w:hAnsiTheme="minorHAnsi" w:cstheme="minorBidi"/>
            <w:noProof/>
            <w:kern w:val="2"/>
            <w:lang w:eastAsia="en-AU"/>
            <w14:ligatures w14:val="standardContextual"/>
          </w:rPr>
          <w:tab/>
        </w:r>
        <w:r w:rsidRPr="007E6257">
          <w:rPr>
            <w:rStyle w:val="Hyperlink"/>
            <w:noProof/>
          </w:rPr>
          <w:t>NDIA Pricing Workplan</w:t>
        </w:r>
        <w:r>
          <w:rPr>
            <w:noProof/>
            <w:webHidden/>
          </w:rPr>
          <w:tab/>
        </w:r>
        <w:r>
          <w:rPr>
            <w:noProof/>
            <w:webHidden/>
          </w:rPr>
          <w:fldChar w:fldCharType="begin"/>
        </w:r>
        <w:r>
          <w:rPr>
            <w:noProof/>
            <w:webHidden/>
          </w:rPr>
          <w:instrText xml:space="preserve"> PAGEREF _Toc200271588 \h </w:instrText>
        </w:r>
        <w:r>
          <w:rPr>
            <w:noProof/>
            <w:webHidden/>
          </w:rPr>
        </w:r>
        <w:r>
          <w:rPr>
            <w:noProof/>
            <w:webHidden/>
          </w:rPr>
          <w:fldChar w:fldCharType="separate"/>
        </w:r>
        <w:r w:rsidR="005763F9">
          <w:rPr>
            <w:noProof/>
            <w:webHidden/>
          </w:rPr>
          <w:t>33</w:t>
        </w:r>
        <w:r>
          <w:rPr>
            <w:noProof/>
            <w:webHidden/>
          </w:rPr>
          <w:fldChar w:fldCharType="end"/>
        </w:r>
      </w:hyperlink>
    </w:p>
    <w:p w14:paraId="654BCEA3" w14:textId="1ABB0D5B" w:rsidR="00AC40D3" w:rsidRDefault="00AC40D3" w:rsidP="00AC40D3">
      <w:pPr>
        <w:pStyle w:val="TOC3"/>
        <w:spacing w:before="160"/>
        <w:rPr>
          <w:rFonts w:asciiTheme="minorHAnsi" w:eastAsiaTheme="minorEastAsia" w:hAnsiTheme="minorHAnsi" w:cstheme="minorBidi"/>
          <w:noProof/>
          <w:kern w:val="2"/>
          <w:lang w:eastAsia="en-AU"/>
          <w14:ligatures w14:val="standardContextual"/>
        </w:rPr>
      </w:pPr>
      <w:hyperlink w:anchor="_Toc200271590" w:history="1">
        <w:r w:rsidRPr="007E6257">
          <w:rPr>
            <w:rStyle w:val="Hyperlink"/>
            <w:rFonts w:eastAsia="Arial" w:cs="Arial"/>
            <w:bCs/>
            <w:noProof/>
          </w:rPr>
          <w:t>5.2</w:t>
        </w:r>
        <w:r>
          <w:rPr>
            <w:rFonts w:asciiTheme="minorHAnsi" w:eastAsiaTheme="minorEastAsia" w:hAnsiTheme="minorHAnsi" w:cstheme="minorBidi"/>
            <w:noProof/>
            <w:kern w:val="2"/>
            <w:lang w:eastAsia="en-AU"/>
            <w14:ligatures w14:val="standardContextual"/>
          </w:rPr>
          <w:tab/>
        </w:r>
        <w:r w:rsidRPr="007E6257">
          <w:rPr>
            <w:rStyle w:val="Hyperlink"/>
            <w:rFonts w:eastAsia="Arial" w:cs="Arial"/>
            <w:bCs/>
            <w:noProof/>
          </w:rPr>
          <w:t>Nurses Award</w:t>
        </w:r>
        <w:r>
          <w:rPr>
            <w:noProof/>
            <w:webHidden/>
          </w:rPr>
          <w:tab/>
        </w:r>
        <w:r>
          <w:rPr>
            <w:noProof/>
            <w:webHidden/>
          </w:rPr>
          <w:fldChar w:fldCharType="begin"/>
        </w:r>
        <w:r>
          <w:rPr>
            <w:noProof/>
            <w:webHidden/>
          </w:rPr>
          <w:instrText xml:space="preserve"> PAGEREF _Toc200271590 \h </w:instrText>
        </w:r>
        <w:r>
          <w:rPr>
            <w:noProof/>
            <w:webHidden/>
          </w:rPr>
        </w:r>
        <w:r>
          <w:rPr>
            <w:noProof/>
            <w:webHidden/>
          </w:rPr>
          <w:fldChar w:fldCharType="separate"/>
        </w:r>
        <w:r w:rsidR="005763F9">
          <w:rPr>
            <w:noProof/>
            <w:webHidden/>
          </w:rPr>
          <w:t>34</w:t>
        </w:r>
        <w:r>
          <w:rPr>
            <w:noProof/>
            <w:webHidden/>
          </w:rPr>
          <w:fldChar w:fldCharType="end"/>
        </w:r>
      </w:hyperlink>
    </w:p>
    <w:p w14:paraId="28431FC1" w14:textId="288A62CD" w:rsidR="00AC40D3" w:rsidRDefault="00AC40D3" w:rsidP="00AC40D3">
      <w:pPr>
        <w:pStyle w:val="TOC3"/>
        <w:spacing w:before="160"/>
        <w:rPr>
          <w:rFonts w:asciiTheme="minorHAnsi" w:eastAsiaTheme="minorEastAsia" w:hAnsiTheme="minorHAnsi" w:cstheme="minorBidi"/>
          <w:noProof/>
          <w:kern w:val="2"/>
          <w:lang w:eastAsia="en-AU"/>
          <w14:ligatures w14:val="standardContextual"/>
        </w:rPr>
      </w:pPr>
      <w:hyperlink w:anchor="_Toc200271591" w:history="1">
        <w:r w:rsidRPr="007E6257">
          <w:rPr>
            <w:rStyle w:val="Hyperlink"/>
            <w:rFonts w:eastAsia="Arial" w:cs="Arial"/>
            <w:bCs/>
            <w:noProof/>
          </w:rPr>
          <w:t>5.3</w:t>
        </w:r>
        <w:r>
          <w:rPr>
            <w:rFonts w:asciiTheme="minorHAnsi" w:eastAsiaTheme="minorEastAsia" w:hAnsiTheme="minorHAnsi" w:cstheme="minorBidi"/>
            <w:noProof/>
            <w:kern w:val="2"/>
            <w:lang w:eastAsia="en-AU"/>
            <w14:ligatures w14:val="standardContextual"/>
          </w:rPr>
          <w:tab/>
        </w:r>
        <w:r w:rsidRPr="007E6257">
          <w:rPr>
            <w:rStyle w:val="Hyperlink"/>
            <w:rFonts w:eastAsia="Arial" w:cs="Arial"/>
            <w:bCs/>
            <w:noProof/>
          </w:rPr>
          <w:t>Gender-based Undervaluation - Priority Awards Review</w:t>
        </w:r>
        <w:r>
          <w:rPr>
            <w:noProof/>
            <w:webHidden/>
          </w:rPr>
          <w:tab/>
        </w:r>
        <w:r>
          <w:rPr>
            <w:noProof/>
            <w:webHidden/>
          </w:rPr>
          <w:fldChar w:fldCharType="begin"/>
        </w:r>
        <w:r>
          <w:rPr>
            <w:noProof/>
            <w:webHidden/>
          </w:rPr>
          <w:instrText xml:space="preserve"> PAGEREF _Toc200271591 \h </w:instrText>
        </w:r>
        <w:r>
          <w:rPr>
            <w:noProof/>
            <w:webHidden/>
          </w:rPr>
        </w:r>
        <w:r>
          <w:rPr>
            <w:noProof/>
            <w:webHidden/>
          </w:rPr>
          <w:fldChar w:fldCharType="separate"/>
        </w:r>
        <w:r w:rsidR="005763F9">
          <w:rPr>
            <w:noProof/>
            <w:webHidden/>
          </w:rPr>
          <w:t>35</w:t>
        </w:r>
        <w:r>
          <w:rPr>
            <w:noProof/>
            <w:webHidden/>
          </w:rPr>
          <w:fldChar w:fldCharType="end"/>
        </w:r>
      </w:hyperlink>
    </w:p>
    <w:p w14:paraId="3225EF1A" w14:textId="0B247292" w:rsidR="00AC40D3" w:rsidRDefault="00AC40D3" w:rsidP="00AC40D3">
      <w:pPr>
        <w:pStyle w:val="TOC2"/>
        <w:spacing w:before="160" w:after="0"/>
        <w:rPr>
          <w:rFonts w:asciiTheme="minorHAnsi" w:eastAsiaTheme="minorEastAsia" w:hAnsiTheme="minorHAnsi" w:cstheme="minorBidi"/>
          <w:noProof/>
          <w:kern w:val="2"/>
          <w:lang w:eastAsia="en-AU"/>
          <w14:ligatures w14:val="standardContextual"/>
        </w:rPr>
      </w:pPr>
      <w:hyperlink w:anchor="_Toc200271592" w:history="1">
        <w:r w:rsidRPr="007E6257">
          <w:rPr>
            <w:rStyle w:val="Hyperlink"/>
            <w:rFonts w:cs="Arial"/>
            <w:noProof/>
          </w:rPr>
          <w:t>6.</w:t>
        </w:r>
        <w:r>
          <w:rPr>
            <w:rFonts w:asciiTheme="minorHAnsi" w:eastAsiaTheme="minorEastAsia" w:hAnsiTheme="minorHAnsi" w:cstheme="minorBidi"/>
            <w:noProof/>
            <w:kern w:val="2"/>
            <w:lang w:eastAsia="en-AU"/>
            <w14:ligatures w14:val="standardContextual"/>
          </w:rPr>
          <w:tab/>
        </w:r>
        <w:r w:rsidRPr="007E6257">
          <w:rPr>
            <w:rStyle w:val="Hyperlink"/>
            <w:rFonts w:cs="Arial"/>
            <w:noProof/>
          </w:rPr>
          <w:t>Disability Support Worker Related Supports</w:t>
        </w:r>
        <w:r>
          <w:rPr>
            <w:noProof/>
            <w:webHidden/>
          </w:rPr>
          <w:tab/>
        </w:r>
        <w:r>
          <w:rPr>
            <w:noProof/>
            <w:webHidden/>
          </w:rPr>
          <w:fldChar w:fldCharType="begin"/>
        </w:r>
        <w:r>
          <w:rPr>
            <w:noProof/>
            <w:webHidden/>
          </w:rPr>
          <w:instrText xml:space="preserve"> PAGEREF _Toc200271592 \h </w:instrText>
        </w:r>
        <w:r>
          <w:rPr>
            <w:noProof/>
            <w:webHidden/>
          </w:rPr>
        </w:r>
        <w:r>
          <w:rPr>
            <w:noProof/>
            <w:webHidden/>
          </w:rPr>
          <w:fldChar w:fldCharType="separate"/>
        </w:r>
        <w:r w:rsidR="005763F9">
          <w:rPr>
            <w:noProof/>
            <w:webHidden/>
          </w:rPr>
          <w:t>37</w:t>
        </w:r>
        <w:r>
          <w:rPr>
            <w:noProof/>
            <w:webHidden/>
          </w:rPr>
          <w:fldChar w:fldCharType="end"/>
        </w:r>
      </w:hyperlink>
    </w:p>
    <w:p w14:paraId="745296ED" w14:textId="4EDD1AB6" w:rsidR="00AC40D3" w:rsidRDefault="00AC40D3" w:rsidP="00AC40D3">
      <w:pPr>
        <w:pStyle w:val="TOC3"/>
        <w:spacing w:before="160"/>
        <w:rPr>
          <w:rFonts w:asciiTheme="minorHAnsi" w:eastAsiaTheme="minorEastAsia" w:hAnsiTheme="minorHAnsi" w:cstheme="minorBidi"/>
          <w:noProof/>
          <w:kern w:val="2"/>
          <w:lang w:eastAsia="en-AU"/>
          <w14:ligatures w14:val="standardContextual"/>
        </w:rPr>
      </w:pPr>
      <w:hyperlink w:anchor="_Toc200271593" w:history="1">
        <w:r w:rsidRPr="007E6257">
          <w:rPr>
            <w:rStyle w:val="Hyperlink"/>
            <w:noProof/>
          </w:rPr>
          <w:t>6.1</w:t>
        </w:r>
        <w:r>
          <w:rPr>
            <w:rFonts w:asciiTheme="minorHAnsi" w:eastAsiaTheme="minorEastAsia" w:hAnsiTheme="minorHAnsi" w:cstheme="minorBidi"/>
            <w:noProof/>
            <w:kern w:val="2"/>
            <w:lang w:eastAsia="en-AU"/>
            <w14:ligatures w14:val="standardContextual"/>
          </w:rPr>
          <w:tab/>
        </w:r>
        <w:r w:rsidRPr="007E6257">
          <w:rPr>
            <w:rStyle w:val="Hyperlink"/>
            <w:noProof/>
          </w:rPr>
          <w:t>Context</w:t>
        </w:r>
        <w:r>
          <w:rPr>
            <w:noProof/>
            <w:webHidden/>
          </w:rPr>
          <w:tab/>
        </w:r>
        <w:r>
          <w:rPr>
            <w:noProof/>
            <w:webHidden/>
          </w:rPr>
          <w:fldChar w:fldCharType="begin"/>
        </w:r>
        <w:r>
          <w:rPr>
            <w:noProof/>
            <w:webHidden/>
          </w:rPr>
          <w:instrText xml:space="preserve"> PAGEREF _Toc200271593 \h </w:instrText>
        </w:r>
        <w:r>
          <w:rPr>
            <w:noProof/>
            <w:webHidden/>
          </w:rPr>
        </w:r>
        <w:r>
          <w:rPr>
            <w:noProof/>
            <w:webHidden/>
          </w:rPr>
          <w:fldChar w:fldCharType="separate"/>
        </w:r>
        <w:r w:rsidR="005763F9">
          <w:rPr>
            <w:noProof/>
            <w:webHidden/>
          </w:rPr>
          <w:t>37</w:t>
        </w:r>
        <w:r>
          <w:rPr>
            <w:noProof/>
            <w:webHidden/>
          </w:rPr>
          <w:fldChar w:fldCharType="end"/>
        </w:r>
      </w:hyperlink>
    </w:p>
    <w:p w14:paraId="68B98B98" w14:textId="7AA03BE1" w:rsidR="00AC40D3" w:rsidRDefault="00AC40D3" w:rsidP="00AC40D3">
      <w:pPr>
        <w:pStyle w:val="TOC3"/>
        <w:spacing w:before="160"/>
        <w:rPr>
          <w:rFonts w:asciiTheme="minorHAnsi" w:eastAsiaTheme="minorEastAsia" w:hAnsiTheme="minorHAnsi" w:cstheme="minorBidi"/>
          <w:noProof/>
          <w:kern w:val="2"/>
          <w:lang w:eastAsia="en-AU"/>
          <w14:ligatures w14:val="standardContextual"/>
        </w:rPr>
      </w:pPr>
      <w:hyperlink w:anchor="_Toc200271596" w:history="1">
        <w:r w:rsidRPr="007E6257">
          <w:rPr>
            <w:rStyle w:val="Hyperlink"/>
            <w:noProof/>
          </w:rPr>
          <w:t>6.2</w:t>
        </w:r>
        <w:r>
          <w:rPr>
            <w:rFonts w:asciiTheme="minorHAnsi" w:eastAsiaTheme="minorEastAsia" w:hAnsiTheme="minorHAnsi" w:cstheme="minorBidi"/>
            <w:noProof/>
            <w:kern w:val="2"/>
            <w:lang w:eastAsia="en-AU"/>
            <w14:ligatures w14:val="standardContextual"/>
          </w:rPr>
          <w:tab/>
        </w:r>
        <w:r w:rsidRPr="007E6257">
          <w:rPr>
            <w:rStyle w:val="Hyperlink"/>
            <w:noProof/>
          </w:rPr>
          <w:t>Scheme Statistics</w:t>
        </w:r>
        <w:r>
          <w:rPr>
            <w:noProof/>
            <w:webHidden/>
          </w:rPr>
          <w:tab/>
        </w:r>
        <w:r>
          <w:rPr>
            <w:noProof/>
            <w:webHidden/>
          </w:rPr>
          <w:fldChar w:fldCharType="begin"/>
        </w:r>
        <w:r>
          <w:rPr>
            <w:noProof/>
            <w:webHidden/>
          </w:rPr>
          <w:instrText xml:space="preserve"> PAGEREF _Toc200271596 \h </w:instrText>
        </w:r>
        <w:r>
          <w:rPr>
            <w:noProof/>
            <w:webHidden/>
          </w:rPr>
        </w:r>
        <w:r>
          <w:rPr>
            <w:noProof/>
            <w:webHidden/>
          </w:rPr>
          <w:fldChar w:fldCharType="separate"/>
        </w:r>
        <w:r w:rsidR="005763F9">
          <w:rPr>
            <w:noProof/>
            <w:webHidden/>
          </w:rPr>
          <w:t>39</w:t>
        </w:r>
        <w:r>
          <w:rPr>
            <w:noProof/>
            <w:webHidden/>
          </w:rPr>
          <w:fldChar w:fldCharType="end"/>
        </w:r>
      </w:hyperlink>
    </w:p>
    <w:p w14:paraId="439B205B" w14:textId="038573BB" w:rsidR="00AC40D3" w:rsidRDefault="00AC40D3" w:rsidP="00AC40D3">
      <w:pPr>
        <w:pStyle w:val="TOC3"/>
        <w:spacing w:before="160"/>
        <w:rPr>
          <w:rFonts w:asciiTheme="minorHAnsi" w:eastAsiaTheme="minorEastAsia" w:hAnsiTheme="minorHAnsi" w:cstheme="minorBidi"/>
          <w:noProof/>
          <w:kern w:val="2"/>
          <w:lang w:eastAsia="en-AU"/>
          <w14:ligatures w14:val="standardContextual"/>
        </w:rPr>
      </w:pPr>
      <w:hyperlink w:anchor="_Toc200271605" w:history="1">
        <w:r w:rsidRPr="007E6257">
          <w:rPr>
            <w:rStyle w:val="Hyperlink"/>
            <w:noProof/>
          </w:rPr>
          <w:t>6.3</w:t>
        </w:r>
        <w:r>
          <w:rPr>
            <w:rFonts w:asciiTheme="minorHAnsi" w:eastAsiaTheme="minorEastAsia" w:hAnsiTheme="minorHAnsi" w:cstheme="minorBidi"/>
            <w:noProof/>
            <w:kern w:val="2"/>
            <w:lang w:eastAsia="en-AU"/>
            <w14:ligatures w14:val="standardContextual"/>
          </w:rPr>
          <w:tab/>
        </w:r>
        <w:r w:rsidRPr="007E6257">
          <w:rPr>
            <w:rStyle w:val="Hyperlink"/>
            <w:noProof/>
          </w:rPr>
          <w:t>Discussion</w:t>
        </w:r>
        <w:r>
          <w:rPr>
            <w:noProof/>
            <w:webHidden/>
          </w:rPr>
          <w:tab/>
        </w:r>
        <w:r>
          <w:rPr>
            <w:noProof/>
            <w:webHidden/>
          </w:rPr>
          <w:fldChar w:fldCharType="begin"/>
        </w:r>
        <w:r>
          <w:rPr>
            <w:noProof/>
            <w:webHidden/>
          </w:rPr>
          <w:instrText xml:space="preserve"> PAGEREF _Toc200271605 \h </w:instrText>
        </w:r>
        <w:r>
          <w:rPr>
            <w:noProof/>
            <w:webHidden/>
          </w:rPr>
        </w:r>
        <w:r>
          <w:rPr>
            <w:noProof/>
            <w:webHidden/>
          </w:rPr>
          <w:fldChar w:fldCharType="separate"/>
        </w:r>
        <w:r w:rsidR="005763F9">
          <w:rPr>
            <w:noProof/>
            <w:webHidden/>
          </w:rPr>
          <w:t>48</w:t>
        </w:r>
        <w:r>
          <w:rPr>
            <w:noProof/>
            <w:webHidden/>
          </w:rPr>
          <w:fldChar w:fldCharType="end"/>
        </w:r>
      </w:hyperlink>
    </w:p>
    <w:p w14:paraId="49E76503" w14:textId="1C53BF13" w:rsidR="00AC40D3" w:rsidRDefault="00AC40D3" w:rsidP="00AC40D3">
      <w:pPr>
        <w:pStyle w:val="TOC3"/>
        <w:spacing w:before="160"/>
        <w:rPr>
          <w:rFonts w:asciiTheme="minorHAnsi" w:eastAsiaTheme="minorEastAsia" w:hAnsiTheme="minorHAnsi" w:cstheme="minorBidi"/>
          <w:noProof/>
          <w:kern w:val="2"/>
          <w:lang w:eastAsia="en-AU"/>
          <w14:ligatures w14:val="standardContextual"/>
        </w:rPr>
      </w:pPr>
      <w:hyperlink w:anchor="_Toc200271608" w:history="1">
        <w:r w:rsidRPr="007E6257">
          <w:rPr>
            <w:rStyle w:val="Hyperlink"/>
            <w:noProof/>
          </w:rPr>
          <w:t>6.4</w:t>
        </w:r>
        <w:r>
          <w:rPr>
            <w:rFonts w:asciiTheme="minorHAnsi" w:eastAsiaTheme="minorEastAsia" w:hAnsiTheme="minorHAnsi" w:cstheme="minorBidi"/>
            <w:noProof/>
            <w:kern w:val="2"/>
            <w:lang w:eastAsia="en-AU"/>
            <w14:ligatures w14:val="standardContextual"/>
          </w:rPr>
          <w:tab/>
        </w:r>
        <w:r w:rsidRPr="007E6257">
          <w:rPr>
            <w:rStyle w:val="Hyperlink"/>
            <w:noProof/>
          </w:rPr>
          <w:t>Recommendations</w:t>
        </w:r>
        <w:r>
          <w:rPr>
            <w:noProof/>
            <w:webHidden/>
          </w:rPr>
          <w:tab/>
        </w:r>
        <w:r>
          <w:rPr>
            <w:noProof/>
            <w:webHidden/>
          </w:rPr>
          <w:fldChar w:fldCharType="begin"/>
        </w:r>
        <w:r>
          <w:rPr>
            <w:noProof/>
            <w:webHidden/>
          </w:rPr>
          <w:instrText xml:space="preserve"> PAGEREF _Toc200271608 \h </w:instrText>
        </w:r>
        <w:r>
          <w:rPr>
            <w:noProof/>
            <w:webHidden/>
          </w:rPr>
        </w:r>
        <w:r>
          <w:rPr>
            <w:noProof/>
            <w:webHidden/>
          </w:rPr>
          <w:fldChar w:fldCharType="separate"/>
        </w:r>
        <w:r w:rsidR="005763F9">
          <w:rPr>
            <w:noProof/>
            <w:webHidden/>
          </w:rPr>
          <w:t>49</w:t>
        </w:r>
        <w:r>
          <w:rPr>
            <w:noProof/>
            <w:webHidden/>
          </w:rPr>
          <w:fldChar w:fldCharType="end"/>
        </w:r>
      </w:hyperlink>
    </w:p>
    <w:p w14:paraId="4D1B1202" w14:textId="55917CC4" w:rsidR="00AC40D3" w:rsidRDefault="00AC40D3" w:rsidP="00AC40D3">
      <w:pPr>
        <w:pStyle w:val="TOC2"/>
        <w:spacing w:before="160" w:after="0"/>
        <w:rPr>
          <w:rFonts w:asciiTheme="minorHAnsi" w:eastAsiaTheme="minorEastAsia" w:hAnsiTheme="minorHAnsi" w:cstheme="minorBidi"/>
          <w:noProof/>
          <w:kern w:val="2"/>
          <w:lang w:eastAsia="en-AU"/>
          <w14:ligatures w14:val="standardContextual"/>
        </w:rPr>
      </w:pPr>
      <w:hyperlink w:anchor="_Toc200271609" w:history="1">
        <w:r w:rsidRPr="007E6257">
          <w:rPr>
            <w:rStyle w:val="Hyperlink"/>
            <w:noProof/>
          </w:rPr>
          <w:t>7.</w:t>
        </w:r>
        <w:r>
          <w:rPr>
            <w:rFonts w:asciiTheme="minorHAnsi" w:eastAsiaTheme="minorEastAsia" w:hAnsiTheme="minorHAnsi" w:cstheme="minorBidi"/>
            <w:noProof/>
            <w:kern w:val="2"/>
            <w:lang w:eastAsia="en-AU"/>
            <w14:ligatures w14:val="standardContextual"/>
          </w:rPr>
          <w:tab/>
        </w:r>
        <w:r w:rsidRPr="007E6257">
          <w:rPr>
            <w:rStyle w:val="Hyperlink"/>
            <w:noProof/>
          </w:rPr>
          <w:t>Therapy Supports</w:t>
        </w:r>
        <w:r>
          <w:rPr>
            <w:noProof/>
            <w:webHidden/>
          </w:rPr>
          <w:tab/>
        </w:r>
        <w:r>
          <w:rPr>
            <w:noProof/>
            <w:webHidden/>
          </w:rPr>
          <w:fldChar w:fldCharType="begin"/>
        </w:r>
        <w:r>
          <w:rPr>
            <w:noProof/>
            <w:webHidden/>
          </w:rPr>
          <w:instrText xml:space="preserve"> PAGEREF _Toc200271609 \h </w:instrText>
        </w:r>
        <w:r>
          <w:rPr>
            <w:noProof/>
            <w:webHidden/>
          </w:rPr>
        </w:r>
        <w:r>
          <w:rPr>
            <w:noProof/>
            <w:webHidden/>
          </w:rPr>
          <w:fldChar w:fldCharType="separate"/>
        </w:r>
        <w:r w:rsidR="005763F9">
          <w:rPr>
            <w:noProof/>
            <w:webHidden/>
          </w:rPr>
          <w:t>50</w:t>
        </w:r>
        <w:r>
          <w:rPr>
            <w:noProof/>
            <w:webHidden/>
          </w:rPr>
          <w:fldChar w:fldCharType="end"/>
        </w:r>
      </w:hyperlink>
    </w:p>
    <w:p w14:paraId="228EC27A" w14:textId="5A98BD8B" w:rsidR="00AC40D3" w:rsidRDefault="00AC40D3" w:rsidP="00AC40D3">
      <w:pPr>
        <w:pStyle w:val="TOC3"/>
        <w:spacing w:before="160"/>
        <w:rPr>
          <w:rFonts w:asciiTheme="minorHAnsi" w:eastAsiaTheme="minorEastAsia" w:hAnsiTheme="minorHAnsi" w:cstheme="minorBidi"/>
          <w:noProof/>
          <w:kern w:val="2"/>
          <w:lang w:eastAsia="en-AU"/>
          <w14:ligatures w14:val="standardContextual"/>
        </w:rPr>
      </w:pPr>
      <w:hyperlink w:anchor="_Toc200271610" w:history="1">
        <w:r w:rsidRPr="007E6257">
          <w:rPr>
            <w:rStyle w:val="Hyperlink"/>
            <w:noProof/>
          </w:rPr>
          <w:t>7.1</w:t>
        </w:r>
        <w:r>
          <w:rPr>
            <w:rFonts w:asciiTheme="minorHAnsi" w:eastAsiaTheme="minorEastAsia" w:hAnsiTheme="minorHAnsi" w:cstheme="minorBidi"/>
            <w:noProof/>
            <w:kern w:val="2"/>
            <w:lang w:eastAsia="en-AU"/>
            <w14:ligatures w14:val="standardContextual"/>
          </w:rPr>
          <w:tab/>
        </w:r>
        <w:r w:rsidRPr="007E6257">
          <w:rPr>
            <w:rStyle w:val="Hyperlink"/>
            <w:noProof/>
          </w:rPr>
          <w:t>Context</w:t>
        </w:r>
        <w:r>
          <w:rPr>
            <w:noProof/>
            <w:webHidden/>
          </w:rPr>
          <w:tab/>
        </w:r>
        <w:r>
          <w:rPr>
            <w:noProof/>
            <w:webHidden/>
          </w:rPr>
          <w:fldChar w:fldCharType="begin"/>
        </w:r>
        <w:r>
          <w:rPr>
            <w:noProof/>
            <w:webHidden/>
          </w:rPr>
          <w:instrText xml:space="preserve"> PAGEREF _Toc200271610 \h </w:instrText>
        </w:r>
        <w:r>
          <w:rPr>
            <w:noProof/>
            <w:webHidden/>
          </w:rPr>
        </w:r>
        <w:r>
          <w:rPr>
            <w:noProof/>
            <w:webHidden/>
          </w:rPr>
          <w:fldChar w:fldCharType="separate"/>
        </w:r>
        <w:r w:rsidR="005763F9">
          <w:rPr>
            <w:noProof/>
            <w:webHidden/>
          </w:rPr>
          <w:t>50</w:t>
        </w:r>
        <w:r>
          <w:rPr>
            <w:noProof/>
            <w:webHidden/>
          </w:rPr>
          <w:fldChar w:fldCharType="end"/>
        </w:r>
      </w:hyperlink>
    </w:p>
    <w:p w14:paraId="59C77D70" w14:textId="62EF1E40" w:rsidR="00AC40D3" w:rsidRDefault="00AC40D3" w:rsidP="00AC40D3">
      <w:pPr>
        <w:pStyle w:val="TOC3"/>
        <w:spacing w:before="160"/>
        <w:rPr>
          <w:rFonts w:asciiTheme="minorHAnsi" w:eastAsiaTheme="minorEastAsia" w:hAnsiTheme="minorHAnsi" w:cstheme="minorBidi"/>
          <w:noProof/>
          <w:kern w:val="2"/>
          <w:lang w:eastAsia="en-AU"/>
          <w14:ligatures w14:val="standardContextual"/>
        </w:rPr>
      </w:pPr>
      <w:hyperlink w:anchor="_Toc200271611" w:history="1">
        <w:r w:rsidRPr="007E6257">
          <w:rPr>
            <w:rStyle w:val="Hyperlink"/>
            <w:noProof/>
          </w:rPr>
          <w:t>7.2</w:t>
        </w:r>
        <w:r>
          <w:rPr>
            <w:rFonts w:asciiTheme="minorHAnsi" w:eastAsiaTheme="minorEastAsia" w:hAnsiTheme="minorHAnsi" w:cstheme="minorBidi"/>
            <w:noProof/>
            <w:kern w:val="2"/>
            <w:lang w:eastAsia="en-AU"/>
            <w14:ligatures w14:val="standardContextual"/>
          </w:rPr>
          <w:tab/>
        </w:r>
        <w:r w:rsidRPr="007E6257">
          <w:rPr>
            <w:rStyle w:val="Hyperlink"/>
            <w:noProof/>
          </w:rPr>
          <w:t>Scheme Statistics</w:t>
        </w:r>
        <w:r>
          <w:rPr>
            <w:noProof/>
            <w:webHidden/>
          </w:rPr>
          <w:tab/>
        </w:r>
        <w:r>
          <w:rPr>
            <w:noProof/>
            <w:webHidden/>
          </w:rPr>
          <w:fldChar w:fldCharType="begin"/>
        </w:r>
        <w:r>
          <w:rPr>
            <w:noProof/>
            <w:webHidden/>
          </w:rPr>
          <w:instrText xml:space="preserve"> PAGEREF _Toc200271611 \h </w:instrText>
        </w:r>
        <w:r>
          <w:rPr>
            <w:noProof/>
            <w:webHidden/>
          </w:rPr>
        </w:r>
        <w:r>
          <w:rPr>
            <w:noProof/>
            <w:webHidden/>
          </w:rPr>
          <w:fldChar w:fldCharType="separate"/>
        </w:r>
        <w:r w:rsidR="005763F9">
          <w:rPr>
            <w:noProof/>
            <w:webHidden/>
          </w:rPr>
          <w:t>51</w:t>
        </w:r>
        <w:r>
          <w:rPr>
            <w:noProof/>
            <w:webHidden/>
          </w:rPr>
          <w:fldChar w:fldCharType="end"/>
        </w:r>
      </w:hyperlink>
    </w:p>
    <w:p w14:paraId="67D8B622" w14:textId="64206E24" w:rsidR="00AC40D3" w:rsidRDefault="00AC40D3" w:rsidP="00AC40D3">
      <w:pPr>
        <w:pStyle w:val="TOC3"/>
        <w:spacing w:before="160"/>
        <w:rPr>
          <w:rFonts w:asciiTheme="minorHAnsi" w:eastAsiaTheme="minorEastAsia" w:hAnsiTheme="minorHAnsi" w:cstheme="minorBidi"/>
          <w:noProof/>
          <w:kern w:val="2"/>
          <w:lang w:eastAsia="en-AU"/>
          <w14:ligatures w14:val="standardContextual"/>
        </w:rPr>
      </w:pPr>
      <w:hyperlink w:anchor="_Toc200271621" w:history="1">
        <w:r w:rsidRPr="007E6257">
          <w:rPr>
            <w:rStyle w:val="Hyperlink"/>
            <w:noProof/>
          </w:rPr>
          <w:t>7.3</w:t>
        </w:r>
        <w:r>
          <w:rPr>
            <w:rFonts w:asciiTheme="minorHAnsi" w:eastAsiaTheme="minorEastAsia" w:hAnsiTheme="minorHAnsi" w:cstheme="minorBidi"/>
            <w:noProof/>
            <w:kern w:val="2"/>
            <w:lang w:eastAsia="en-AU"/>
            <w14:ligatures w14:val="standardContextual"/>
          </w:rPr>
          <w:tab/>
        </w:r>
        <w:r w:rsidRPr="007E6257">
          <w:rPr>
            <w:rStyle w:val="Hyperlink"/>
            <w:noProof/>
          </w:rPr>
          <w:t>Business Dynamism</w:t>
        </w:r>
        <w:r>
          <w:rPr>
            <w:noProof/>
            <w:webHidden/>
          </w:rPr>
          <w:tab/>
        </w:r>
        <w:r>
          <w:rPr>
            <w:noProof/>
            <w:webHidden/>
          </w:rPr>
          <w:fldChar w:fldCharType="begin"/>
        </w:r>
        <w:r>
          <w:rPr>
            <w:noProof/>
            <w:webHidden/>
          </w:rPr>
          <w:instrText xml:space="preserve"> PAGEREF _Toc200271621 \h </w:instrText>
        </w:r>
        <w:r>
          <w:rPr>
            <w:noProof/>
            <w:webHidden/>
          </w:rPr>
        </w:r>
        <w:r>
          <w:rPr>
            <w:noProof/>
            <w:webHidden/>
          </w:rPr>
          <w:fldChar w:fldCharType="separate"/>
        </w:r>
        <w:r w:rsidR="005763F9">
          <w:rPr>
            <w:noProof/>
            <w:webHidden/>
          </w:rPr>
          <w:t>62</w:t>
        </w:r>
        <w:r>
          <w:rPr>
            <w:noProof/>
            <w:webHidden/>
          </w:rPr>
          <w:fldChar w:fldCharType="end"/>
        </w:r>
      </w:hyperlink>
    </w:p>
    <w:p w14:paraId="5924E13A" w14:textId="48E453B2" w:rsidR="00AC40D3" w:rsidRDefault="00AC40D3" w:rsidP="00AC40D3">
      <w:pPr>
        <w:pStyle w:val="TOC3"/>
        <w:spacing w:before="160"/>
        <w:rPr>
          <w:rFonts w:asciiTheme="minorHAnsi" w:eastAsiaTheme="minorEastAsia" w:hAnsiTheme="minorHAnsi" w:cstheme="minorBidi"/>
          <w:noProof/>
          <w:kern w:val="2"/>
          <w:lang w:eastAsia="en-AU"/>
          <w14:ligatures w14:val="standardContextual"/>
        </w:rPr>
      </w:pPr>
      <w:hyperlink w:anchor="_Toc200271624" w:history="1">
        <w:r w:rsidRPr="007E6257">
          <w:rPr>
            <w:rStyle w:val="Hyperlink"/>
            <w:noProof/>
          </w:rPr>
          <w:t>7.4</w:t>
        </w:r>
        <w:r>
          <w:rPr>
            <w:rFonts w:asciiTheme="minorHAnsi" w:eastAsiaTheme="minorEastAsia" w:hAnsiTheme="minorHAnsi" w:cstheme="minorBidi"/>
            <w:noProof/>
            <w:kern w:val="2"/>
            <w:lang w:eastAsia="en-AU"/>
            <w14:ligatures w14:val="standardContextual"/>
          </w:rPr>
          <w:tab/>
        </w:r>
        <w:r w:rsidRPr="007E6257">
          <w:rPr>
            <w:rStyle w:val="Hyperlink"/>
            <w:noProof/>
          </w:rPr>
          <w:t>Benchmarking Approach and Data Sources</w:t>
        </w:r>
        <w:r>
          <w:rPr>
            <w:noProof/>
            <w:webHidden/>
          </w:rPr>
          <w:tab/>
        </w:r>
        <w:r>
          <w:rPr>
            <w:noProof/>
            <w:webHidden/>
          </w:rPr>
          <w:fldChar w:fldCharType="begin"/>
        </w:r>
        <w:r>
          <w:rPr>
            <w:noProof/>
            <w:webHidden/>
          </w:rPr>
          <w:instrText xml:space="preserve"> PAGEREF _Toc200271624 \h </w:instrText>
        </w:r>
        <w:r>
          <w:rPr>
            <w:noProof/>
            <w:webHidden/>
          </w:rPr>
        </w:r>
        <w:r>
          <w:rPr>
            <w:noProof/>
            <w:webHidden/>
          </w:rPr>
          <w:fldChar w:fldCharType="separate"/>
        </w:r>
        <w:r w:rsidR="005763F9">
          <w:rPr>
            <w:noProof/>
            <w:webHidden/>
          </w:rPr>
          <w:t>64</w:t>
        </w:r>
        <w:r>
          <w:rPr>
            <w:noProof/>
            <w:webHidden/>
          </w:rPr>
          <w:fldChar w:fldCharType="end"/>
        </w:r>
      </w:hyperlink>
    </w:p>
    <w:p w14:paraId="1252FDD8" w14:textId="0F8A43EF" w:rsidR="00AC40D3" w:rsidRDefault="00AC40D3" w:rsidP="00AC40D3">
      <w:pPr>
        <w:pStyle w:val="TOC3"/>
        <w:spacing w:before="160"/>
        <w:rPr>
          <w:rFonts w:asciiTheme="minorHAnsi" w:eastAsiaTheme="minorEastAsia" w:hAnsiTheme="minorHAnsi" w:cstheme="minorBidi"/>
          <w:noProof/>
          <w:kern w:val="2"/>
          <w:lang w:eastAsia="en-AU"/>
          <w14:ligatures w14:val="standardContextual"/>
        </w:rPr>
      </w:pPr>
      <w:hyperlink w:anchor="_Toc200271628" w:history="1">
        <w:r w:rsidRPr="007E6257">
          <w:rPr>
            <w:rStyle w:val="Hyperlink"/>
            <w:noProof/>
            <w:spacing w:val="-2"/>
          </w:rPr>
          <w:t>7.5</w:t>
        </w:r>
        <w:r>
          <w:rPr>
            <w:rFonts w:asciiTheme="minorHAnsi" w:eastAsiaTheme="minorEastAsia" w:hAnsiTheme="minorHAnsi" w:cstheme="minorBidi"/>
            <w:noProof/>
            <w:kern w:val="2"/>
            <w:lang w:eastAsia="en-AU"/>
            <w14:ligatures w14:val="standardContextual"/>
          </w:rPr>
          <w:tab/>
        </w:r>
        <w:r w:rsidRPr="007E6257">
          <w:rPr>
            <w:rStyle w:val="Hyperlink"/>
            <w:noProof/>
            <w:spacing w:val="-2"/>
          </w:rPr>
          <w:t>Benchmarking Results and Implications for Price Limits</w:t>
        </w:r>
        <w:r>
          <w:rPr>
            <w:noProof/>
            <w:webHidden/>
          </w:rPr>
          <w:tab/>
        </w:r>
        <w:r>
          <w:rPr>
            <w:noProof/>
            <w:webHidden/>
          </w:rPr>
          <w:fldChar w:fldCharType="begin"/>
        </w:r>
        <w:r>
          <w:rPr>
            <w:noProof/>
            <w:webHidden/>
          </w:rPr>
          <w:instrText xml:space="preserve"> PAGEREF _Toc200271628 \h </w:instrText>
        </w:r>
        <w:r>
          <w:rPr>
            <w:noProof/>
            <w:webHidden/>
          </w:rPr>
        </w:r>
        <w:r>
          <w:rPr>
            <w:noProof/>
            <w:webHidden/>
          </w:rPr>
          <w:fldChar w:fldCharType="separate"/>
        </w:r>
        <w:r w:rsidR="005763F9">
          <w:rPr>
            <w:noProof/>
            <w:webHidden/>
          </w:rPr>
          <w:t>69</w:t>
        </w:r>
        <w:r>
          <w:rPr>
            <w:noProof/>
            <w:webHidden/>
          </w:rPr>
          <w:fldChar w:fldCharType="end"/>
        </w:r>
      </w:hyperlink>
    </w:p>
    <w:p w14:paraId="19F5FA53" w14:textId="7704C039" w:rsidR="00AC40D3" w:rsidRDefault="00AC40D3" w:rsidP="00AC40D3">
      <w:pPr>
        <w:pStyle w:val="TOC3"/>
        <w:spacing w:before="160"/>
        <w:rPr>
          <w:rFonts w:asciiTheme="minorHAnsi" w:eastAsiaTheme="minorEastAsia" w:hAnsiTheme="minorHAnsi" w:cstheme="minorBidi"/>
          <w:noProof/>
          <w:kern w:val="2"/>
          <w:lang w:eastAsia="en-AU"/>
          <w14:ligatures w14:val="standardContextual"/>
        </w:rPr>
      </w:pPr>
      <w:hyperlink w:anchor="_Toc200271630" w:history="1">
        <w:r w:rsidRPr="007E6257">
          <w:rPr>
            <w:rStyle w:val="Hyperlink"/>
            <w:noProof/>
          </w:rPr>
          <w:t>7.6</w:t>
        </w:r>
        <w:r>
          <w:rPr>
            <w:rFonts w:asciiTheme="minorHAnsi" w:eastAsiaTheme="minorEastAsia" w:hAnsiTheme="minorHAnsi" w:cstheme="minorBidi"/>
            <w:noProof/>
            <w:kern w:val="2"/>
            <w:lang w:eastAsia="en-AU"/>
            <w14:ligatures w14:val="standardContextual"/>
          </w:rPr>
          <w:tab/>
        </w:r>
        <w:r w:rsidRPr="007E6257">
          <w:rPr>
            <w:rStyle w:val="Hyperlink"/>
            <w:noProof/>
          </w:rPr>
          <w:t>Interpreting Benchmarking Results</w:t>
        </w:r>
        <w:r>
          <w:rPr>
            <w:noProof/>
            <w:webHidden/>
          </w:rPr>
          <w:tab/>
        </w:r>
        <w:r>
          <w:rPr>
            <w:noProof/>
            <w:webHidden/>
          </w:rPr>
          <w:fldChar w:fldCharType="begin"/>
        </w:r>
        <w:r>
          <w:rPr>
            <w:noProof/>
            <w:webHidden/>
          </w:rPr>
          <w:instrText xml:space="preserve"> PAGEREF _Toc200271630 \h </w:instrText>
        </w:r>
        <w:r>
          <w:rPr>
            <w:noProof/>
            <w:webHidden/>
          </w:rPr>
        </w:r>
        <w:r>
          <w:rPr>
            <w:noProof/>
            <w:webHidden/>
          </w:rPr>
          <w:fldChar w:fldCharType="separate"/>
        </w:r>
        <w:r w:rsidR="005763F9">
          <w:rPr>
            <w:noProof/>
            <w:webHidden/>
          </w:rPr>
          <w:t>71</w:t>
        </w:r>
        <w:r>
          <w:rPr>
            <w:noProof/>
            <w:webHidden/>
          </w:rPr>
          <w:fldChar w:fldCharType="end"/>
        </w:r>
      </w:hyperlink>
    </w:p>
    <w:p w14:paraId="393714D7" w14:textId="578F6EAF" w:rsidR="00AC40D3" w:rsidRDefault="00AC40D3" w:rsidP="00AC40D3">
      <w:pPr>
        <w:pStyle w:val="TOC3"/>
        <w:spacing w:before="160"/>
        <w:rPr>
          <w:rFonts w:asciiTheme="minorHAnsi" w:eastAsiaTheme="minorEastAsia" w:hAnsiTheme="minorHAnsi" w:cstheme="minorBidi"/>
          <w:noProof/>
          <w:kern w:val="2"/>
          <w:lang w:eastAsia="en-AU"/>
          <w14:ligatures w14:val="standardContextual"/>
        </w:rPr>
      </w:pPr>
      <w:hyperlink w:anchor="_Toc200271641" w:history="1">
        <w:r w:rsidRPr="007E6257">
          <w:rPr>
            <w:rStyle w:val="Hyperlink"/>
            <w:noProof/>
          </w:rPr>
          <w:t>7.7</w:t>
        </w:r>
        <w:r>
          <w:rPr>
            <w:rFonts w:asciiTheme="minorHAnsi" w:eastAsiaTheme="minorEastAsia" w:hAnsiTheme="minorHAnsi" w:cstheme="minorBidi"/>
            <w:noProof/>
            <w:kern w:val="2"/>
            <w:lang w:eastAsia="en-AU"/>
            <w14:ligatures w14:val="standardContextual"/>
          </w:rPr>
          <w:tab/>
        </w:r>
        <w:r w:rsidRPr="007E6257">
          <w:rPr>
            <w:rStyle w:val="Hyperlink"/>
            <w:noProof/>
          </w:rPr>
          <w:t>Geographic Patterns in Market Rates</w:t>
        </w:r>
        <w:r>
          <w:rPr>
            <w:noProof/>
            <w:webHidden/>
          </w:rPr>
          <w:tab/>
        </w:r>
        <w:r>
          <w:rPr>
            <w:noProof/>
            <w:webHidden/>
          </w:rPr>
          <w:fldChar w:fldCharType="begin"/>
        </w:r>
        <w:r>
          <w:rPr>
            <w:noProof/>
            <w:webHidden/>
          </w:rPr>
          <w:instrText xml:space="preserve"> PAGEREF _Toc200271641 \h </w:instrText>
        </w:r>
        <w:r>
          <w:rPr>
            <w:noProof/>
            <w:webHidden/>
          </w:rPr>
        </w:r>
        <w:r>
          <w:rPr>
            <w:noProof/>
            <w:webHidden/>
          </w:rPr>
          <w:fldChar w:fldCharType="separate"/>
        </w:r>
        <w:r w:rsidR="005763F9">
          <w:rPr>
            <w:noProof/>
            <w:webHidden/>
          </w:rPr>
          <w:t>78</w:t>
        </w:r>
        <w:r>
          <w:rPr>
            <w:noProof/>
            <w:webHidden/>
          </w:rPr>
          <w:fldChar w:fldCharType="end"/>
        </w:r>
      </w:hyperlink>
    </w:p>
    <w:p w14:paraId="2A6435C1" w14:textId="7F01AA7D" w:rsidR="00AC40D3" w:rsidRDefault="00AC40D3" w:rsidP="00AC40D3">
      <w:pPr>
        <w:pStyle w:val="TOC3"/>
        <w:spacing w:before="160"/>
        <w:rPr>
          <w:rFonts w:asciiTheme="minorHAnsi" w:eastAsiaTheme="minorEastAsia" w:hAnsiTheme="minorHAnsi" w:cstheme="minorBidi"/>
          <w:noProof/>
          <w:kern w:val="2"/>
          <w:lang w:eastAsia="en-AU"/>
          <w14:ligatures w14:val="standardContextual"/>
        </w:rPr>
      </w:pPr>
      <w:hyperlink w:anchor="_Toc200271643" w:history="1">
        <w:r w:rsidRPr="007E6257">
          <w:rPr>
            <w:rStyle w:val="Hyperlink"/>
            <w:noProof/>
          </w:rPr>
          <w:t>7.8</w:t>
        </w:r>
        <w:r>
          <w:rPr>
            <w:rFonts w:asciiTheme="minorHAnsi" w:eastAsiaTheme="minorEastAsia" w:hAnsiTheme="minorHAnsi" w:cstheme="minorBidi"/>
            <w:noProof/>
            <w:kern w:val="2"/>
            <w:lang w:eastAsia="en-AU"/>
            <w14:ligatures w14:val="standardContextual"/>
          </w:rPr>
          <w:tab/>
        </w:r>
        <w:r w:rsidRPr="007E6257">
          <w:rPr>
            <w:rStyle w:val="Hyperlink"/>
            <w:noProof/>
          </w:rPr>
          <w:t>Other Government Schemes</w:t>
        </w:r>
        <w:r>
          <w:rPr>
            <w:noProof/>
            <w:webHidden/>
          </w:rPr>
          <w:tab/>
        </w:r>
        <w:r>
          <w:rPr>
            <w:noProof/>
            <w:webHidden/>
          </w:rPr>
          <w:fldChar w:fldCharType="begin"/>
        </w:r>
        <w:r>
          <w:rPr>
            <w:noProof/>
            <w:webHidden/>
          </w:rPr>
          <w:instrText xml:space="preserve"> PAGEREF _Toc200271643 \h </w:instrText>
        </w:r>
        <w:r>
          <w:rPr>
            <w:noProof/>
            <w:webHidden/>
          </w:rPr>
        </w:r>
        <w:r>
          <w:rPr>
            <w:noProof/>
            <w:webHidden/>
          </w:rPr>
          <w:fldChar w:fldCharType="separate"/>
        </w:r>
        <w:r w:rsidR="005763F9">
          <w:rPr>
            <w:noProof/>
            <w:webHidden/>
          </w:rPr>
          <w:t>80</w:t>
        </w:r>
        <w:r>
          <w:rPr>
            <w:noProof/>
            <w:webHidden/>
          </w:rPr>
          <w:fldChar w:fldCharType="end"/>
        </w:r>
      </w:hyperlink>
    </w:p>
    <w:p w14:paraId="7AB57875" w14:textId="75715404" w:rsidR="00AC40D3" w:rsidRDefault="00AC40D3" w:rsidP="00AC40D3">
      <w:pPr>
        <w:pStyle w:val="TOC3"/>
        <w:spacing w:before="160"/>
        <w:rPr>
          <w:rFonts w:asciiTheme="minorHAnsi" w:eastAsiaTheme="minorEastAsia" w:hAnsiTheme="minorHAnsi" w:cstheme="minorBidi"/>
          <w:noProof/>
          <w:kern w:val="2"/>
          <w:lang w:eastAsia="en-AU"/>
          <w14:ligatures w14:val="standardContextual"/>
        </w:rPr>
      </w:pPr>
      <w:hyperlink w:anchor="_Toc200271645" w:history="1">
        <w:r w:rsidRPr="007E6257">
          <w:rPr>
            <w:rStyle w:val="Hyperlink"/>
            <w:noProof/>
          </w:rPr>
          <w:t>7.9</w:t>
        </w:r>
        <w:r>
          <w:rPr>
            <w:rFonts w:asciiTheme="minorHAnsi" w:eastAsiaTheme="minorEastAsia" w:hAnsiTheme="minorHAnsi" w:cstheme="minorBidi"/>
            <w:noProof/>
            <w:kern w:val="2"/>
            <w:lang w:eastAsia="en-AU"/>
            <w14:ligatures w14:val="standardContextual"/>
          </w:rPr>
          <w:tab/>
        </w:r>
        <w:r w:rsidRPr="007E6257">
          <w:rPr>
            <w:rStyle w:val="Hyperlink"/>
            <w:noProof/>
          </w:rPr>
          <w:t>Website Listings (Private Billing)</w:t>
        </w:r>
        <w:r>
          <w:rPr>
            <w:noProof/>
            <w:webHidden/>
          </w:rPr>
          <w:tab/>
        </w:r>
        <w:r>
          <w:rPr>
            <w:noProof/>
            <w:webHidden/>
          </w:rPr>
          <w:fldChar w:fldCharType="begin"/>
        </w:r>
        <w:r>
          <w:rPr>
            <w:noProof/>
            <w:webHidden/>
          </w:rPr>
          <w:instrText xml:space="preserve"> PAGEREF _Toc200271645 \h </w:instrText>
        </w:r>
        <w:r>
          <w:rPr>
            <w:noProof/>
            <w:webHidden/>
          </w:rPr>
        </w:r>
        <w:r>
          <w:rPr>
            <w:noProof/>
            <w:webHidden/>
          </w:rPr>
          <w:fldChar w:fldCharType="separate"/>
        </w:r>
        <w:r w:rsidR="005763F9">
          <w:rPr>
            <w:noProof/>
            <w:webHidden/>
          </w:rPr>
          <w:t>82</w:t>
        </w:r>
        <w:r>
          <w:rPr>
            <w:noProof/>
            <w:webHidden/>
          </w:rPr>
          <w:fldChar w:fldCharType="end"/>
        </w:r>
      </w:hyperlink>
    </w:p>
    <w:p w14:paraId="1EDB1758" w14:textId="7FFC9116" w:rsidR="00AC40D3" w:rsidRDefault="00AC40D3" w:rsidP="00AC40D3">
      <w:pPr>
        <w:pStyle w:val="TOC3"/>
        <w:spacing w:before="160"/>
        <w:rPr>
          <w:rFonts w:asciiTheme="minorHAnsi" w:eastAsiaTheme="minorEastAsia" w:hAnsiTheme="minorHAnsi" w:cstheme="minorBidi"/>
          <w:noProof/>
          <w:kern w:val="2"/>
          <w:lang w:eastAsia="en-AU"/>
          <w14:ligatures w14:val="standardContextual"/>
        </w:rPr>
      </w:pPr>
      <w:hyperlink w:anchor="_Toc200271646" w:history="1">
        <w:r w:rsidRPr="007E6257">
          <w:rPr>
            <w:rStyle w:val="Hyperlink"/>
            <w:noProof/>
          </w:rPr>
          <w:t>7.10</w:t>
        </w:r>
        <w:r>
          <w:rPr>
            <w:rFonts w:asciiTheme="minorHAnsi" w:eastAsiaTheme="minorEastAsia" w:hAnsiTheme="minorHAnsi" w:cstheme="minorBidi"/>
            <w:noProof/>
            <w:kern w:val="2"/>
            <w:lang w:eastAsia="en-AU"/>
            <w14:ligatures w14:val="standardContextual"/>
          </w:rPr>
          <w:tab/>
        </w:r>
        <w:r w:rsidRPr="007E6257">
          <w:rPr>
            <w:rStyle w:val="Hyperlink"/>
            <w:noProof/>
          </w:rPr>
          <w:t>Discussion</w:t>
        </w:r>
        <w:r>
          <w:rPr>
            <w:noProof/>
            <w:webHidden/>
          </w:rPr>
          <w:tab/>
        </w:r>
        <w:r>
          <w:rPr>
            <w:noProof/>
            <w:webHidden/>
          </w:rPr>
          <w:fldChar w:fldCharType="begin"/>
        </w:r>
        <w:r>
          <w:rPr>
            <w:noProof/>
            <w:webHidden/>
          </w:rPr>
          <w:instrText xml:space="preserve"> PAGEREF _Toc200271646 \h </w:instrText>
        </w:r>
        <w:r>
          <w:rPr>
            <w:noProof/>
            <w:webHidden/>
          </w:rPr>
        </w:r>
        <w:r>
          <w:rPr>
            <w:noProof/>
            <w:webHidden/>
          </w:rPr>
          <w:fldChar w:fldCharType="separate"/>
        </w:r>
        <w:r w:rsidR="005763F9">
          <w:rPr>
            <w:noProof/>
            <w:webHidden/>
          </w:rPr>
          <w:t>82</w:t>
        </w:r>
        <w:r>
          <w:rPr>
            <w:noProof/>
            <w:webHidden/>
          </w:rPr>
          <w:fldChar w:fldCharType="end"/>
        </w:r>
      </w:hyperlink>
    </w:p>
    <w:p w14:paraId="0DDCFC22" w14:textId="7E15EB52" w:rsidR="00AC40D3" w:rsidRDefault="00AC40D3" w:rsidP="00AC40D3">
      <w:pPr>
        <w:pStyle w:val="TOC3"/>
        <w:spacing w:before="160"/>
        <w:rPr>
          <w:rFonts w:asciiTheme="minorHAnsi" w:eastAsiaTheme="minorEastAsia" w:hAnsiTheme="minorHAnsi" w:cstheme="minorBidi"/>
          <w:noProof/>
          <w:kern w:val="2"/>
          <w:lang w:eastAsia="en-AU"/>
          <w14:ligatures w14:val="standardContextual"/>
        </w:rPr>
      </w:pPr>
      <w:hyperlink w:anchor="_Toc200271655" w:history="1">
        <w:r w:rsidRPr="007E6257">
          <w:rPr>
            <w:rStyle w:val="Hyperlink"/>
            <w:noProof/>
          </w:rPr>
          <w:t>7.11</w:t>
        </w:r>
        <w:r>
          <w:rPr>
            <w:rFonts w:asciiTheme="minorHAnsi" w:eastAsiaTheme="minorEastAsia" w:hAnsiTheme="minorHAnsi" w:cstheme="minorBidi"/>
            <w:noProof/>
            <w:kern w:val="2"/>
            <w:lang w:eastAsia="en-AU"/>
            <w14:ligatures w14:val="standardContextual"/>
          </w:rPr>
          <w:tab/>
        </w:r>
        <w:r w:rsidRPr="007E6257">
          <w:rPr>
            <w:rStyle w:val="Hyperlink"/>
            <w:noProof/>
          </w:rPr>
          <w:t>Recommendations</w:t>
        </w:r>
        <w:r>
          <w:rPr>
            <w:noProof/>
            <w:webHidden/>
          </w:rPr>
          <w:tab/>
        </w:r>
        <w:r>
          <w:rPr>
            <w:noProof/>
            <w:webHidden/>
          </w:rPr>
          <w:fldChar w:fldCharType="begin"/>
        </w:r>
        <w:r>
          <w:rPr>
            <w:noProof/>
            <w:webHidden/>
          </w:rPr>
          <w:instrText xml:space="preserve"> PAGEREF _Toc200271655 \h </w:instrText>
        </w:r>
        <w:r>
          <w:rPr>
            <w:noProof/>
            <w:webHidden/>
          </w:rPr>
        </w:r>
        <w:r>
          <w:rPr>
            <w:noProof/>
            <w:webHidden/>
          </w:rPr>
          <w:fldChar w:fldCharType="separate"/>
        </w:r>
        <w:r w:rsidR="005763F9">
          <w:rPr>
            <w:noProof/>
            <w:webHidden/>
          </w:rPr>
          <w:t>88</w:t>
        </w:r>
        <w:r>
          <w:rPr>
            <w:noProof/>
            <w:webHidden/>
          </w:rPr>
          <w:fldChar w:fldCharType="end"/>
        </w:r>
      </w:hyperlink>
    </w:p>
    <w:p w14:paraId="1116172A" w14:textId="34B6A393" w:rsidR="00AC40D3" w:rsidRDefault="00AC40D3" w:rsidP="00AC40D3">
      <w:pPr>
        <w:pStyle w:val="TOC2"/>
        <w:spacing w:before="160" w:after="0"/>
        <w:rPr>
          <w:rFonts w:asciiTheme="minorHAnsi" w:eastAsiaTheme="minorEastAsia" w:hAnsiTheme="minorHAnsi" w:cstheme="minorBidi"/>
          <w:noProof/>
          <w:kern w:val="2"/>
          <w:lang w:eastAsia="en-AU"/>
          <w14:ligatures w14:val="standardContextual"/>
        </w:rPr>
      </w:pPr>
      <w:hyperlink w:anchor="_Toc200271664" w:history="1">
        <w:r w:rsidRPr="007E6257">
          <w:rPr>
            <w:rStyle w:val="Hyperlink"/>
            <w:noProof/>
          </w:rPr>
          <w:t>8.</w:t>
        </w:r>
        <w:r>
          <w:rPr>
            <w:rFonts w:asciiTheme="minorHAnsi" w:eastAsiaTheme="minorEastAsia" w:hAnsiTheme="minorHAnsi" w:cstheme="minorBidi"/>
            <w:noProof/>
            <w:kern w:val="2"/>
            <w:lang w:eastAsia="en-AU"/>
            <w14:ligatures w14:val="standardContextual"/>
          </w:rPr>
          <w:tab/>
        </w:r>
        <w:r w:rsidRPr="007E6257">
          <w:rPr>
            <w:rStyle w:val="Hyperlink"/>
            <w:noProof/>
          </w:rPr>
          <w:t>Support Coordination</w:t>
        </w:r>
        <w:r>
          <w:rPr>
            <w:noProof/>
            <w:webHidden/>
          </w:rPr>
          <w:tab/>
        </w:r>
        <w:r>
          <w:rPr>
            <w:noProof/>
            <w:webHidden/>
          </w:rPr>
          <w:fldChar w:fldCharType="begin"/>
        </w:r>
        <w:r>
          <w:rPr>
            <w:noProof/>
            <w:webHidden/>
          </w:rPr>
          <w:instrText xml:space="preserve"> PAGEREF _Toc200271664 \h </w:instrText>
        </w:r>
        <w:r>
          <w:rPr>
            <w:noProof/>
            <w:webHidden/>
          </w:rPr>
        </w:r>
        <w:r>
          <w:rPr>
            <w:noProof/>
            <w:webHidden/>
          </w:rPr>
          <w:fldChar w:fldCharType="separate"/>
        </w:r>
        <w:r w:rsidR="005763F9">
          <w:rPr>
            <w:noProof/>
            <w:webHidden/>
          </w:rPr>
          <w:t>95</w:t>
        </w:r>
        <w:r>
          <w:rPr>
            <w:noProof/>
            <w:webHidden/>
          </w:rPr>
          <w:fldChar w:fldCharType="end"/>
        </w:r>
      </w:hyperlink>
    </w:p>
    <w:p w14:paraId="178353AB" w14:textId="78191465" w:rsidR="00AC40D3" w:rsidRDefault="00AC40D3" w:rsidP="00AC40D3">
      <w:pPr>
        <w:pStyle w:val="TOC3"/>
        <w:spacing w:before="160"/>
        <w:rPr>
          <w:rFonts w:asciiTheme="minorHAnsi" w:eastAsiaTheme="minorEastAsia" w:hAnsiTheme="minorHAnsi" w:cstheme="minorBidi"/>
          <w:noProof/>
          <w:kern w:val="2"/>
          <w:lang w:eastAsia="en-AU"/>
          <w14:ligatures w14:val="standardContextual"/>
        </w:rPr>
      </w:pPr>
      <w:hyperlink w:anchor="_Toc200271665" w:history="1">
        <w:r w:rsidRPr="007E6257">
          <w:rPr>
            <w:rStyle w:val="Hyperlink"/>
            <w:noProof/>
          </w:rPr>
          <w:t>8.1</w:t>
        </w:r>
        <w:r>
          <w:rPr>
            <w:rFonts w:asciiTheme="minorHAnsi" w:eastAsiaTheme="minorEastAsia" w:hAnsiTheme="minorHAnsi" w:cstheme="minorBidi"/>
            <w:noProof/>
            <w:kern w:val="2"/>
            <w:lang w:eastAsia="en-AU"/>
            <w14:ligatures w14:val="standardContextual"/>
          </w:rPr>
          <w:tab/>
        </w:r>
        <w:r w:rsidRPr="007E6257">
          <w:rPr>
            <w:rStyle w:val="Hyperlink"/>
            <w:noProof/>
          </w:rPr>
          <w:t>Context</w:t>
        </w:r>
        <w:r>
          <w:rPr>
            <w:noProof/>
            <w:webHidden/>
          </w:rPr>
          <w:tab/>
        </w:r>
        <w:r>
          <w:rPr>
            <w:noProof/>
            <w:webHidden/>
          </w:rPr>
          <w:fldChar w:fldCharType="begin"/>
        </w:r>
        <w:r>
          <w:rPr>
            <w:noProof/>
            <w:webHidden/>
          </w:rPr>
          <w:instrText xml:space="preserve"> PAGEREF _Toc200271665 \h </w:instrText>
        </w:r>
        <w:r>
          <w:rPr>
            <w:noProof/>
            <w:webHidden/>
          </w:rPr>
        </w:r>
        <w:r>
          <w:rPr>
            <w:noProof/>
            <w:webHidden/>
          </w:rPr>
          <w:fldChar w:fldCharType="separate"/>
        </w:r>
        <w:r w:rsidR="005763F9">
          <w:rPr>
            <w:noProof/>
            <w:webHidden/>
          </w:rPr>
          <w:t>95</w:t>
        </w:r>
        <w:r>
          <w:rPr>
            <w:noProof/>
            <w:webHidden/>
          </w:rPr>
          <w:fldChar w:fldCharType="end"/>
        </w:r>
      </w:hyperlink>
    </w:p>
    <w:p w14:paraId="00324C58" w14:textId="5B642252" w:rsidR="00AC40D3" w:rsidRDefault="00AC40D3" w:rsidP="00AC40D3">
      <w:pPr>
        <w:pStyle w:val="TOC3"/>
        <w:spacing w:before="160"/>
        <w:rPr>
          <w:rFonts w:asciiTheme="minorHAnsi" w:eastAsiaTheme="minorEastAsia" w:hAnsiTheme="minorHAnsi" w:cstheme="minorBidi"/>
          <w:noProof/>
          <w:kern w:val="2"/>
          <w:lang w:eastAsia="en-AU"/>
          <w14:ligatures w14:val="standardContextual"/>
        </w:rPr>
      </w:pPr>
      <w:hyperlink w:anchor="_Toc200271667" w:history="1">
        <w:r w:rsidRPr="007E6257">
          <w:rPr>
            <w:rStyle w:val="Hyperlink"/>
            <w:noProof/>
          </w:rPr>
          <w:t>8.2</w:t>
        </w:r>
        <w:r>
          <w:rPr>
            <w:rFonts w:asciiTheme="minorHAnsi" w:eastAsiaTheme="minorEastAsia" w:hAnsiTheme="minorHAnsi" w:cstheme="minorBidi"/>
            <w:noProof/>
            <w:kern w:val="2"/>
            <w:lang w:eastAsia="en-AU"/>
            <w14:ligatures w14:val="standardContextual"/>
          </w:rPr>
          <w:tab/>
        </w:r>
        <w:r w:rsidRPr="007E6257">
          <w:rPr>
            <w:rStyle w:val="Hyperlink"/>
            <w:noProof/>
          </w:rPr>
          <w:t>Scheme Statistics</w:t>
        </w:r>
        <w:r>
          <w:rPr>
            <w:noProof/>
            <w:webHidden/>
          </w:rPr>
          <w:tab/>
        </w:r>
        <w:r>
          <w:rPr>
            <w:noProof/>
            <w:webHidden/>
          </w:rPr>
          <w:fldChar w:fldCharType="begin"/>
        </w:r>
        <w:r>
          <w:rPr>
            <w:noProof/>
            <w:webHidden/>
          </w:rPr>
          <w:instrText xml:space="preserve"> PAGEREF _Toc200271667 \h </w:instrText>
        </w:r>
        <w:r>
          <w:rPr>
            <w:noProof/>
            <w:webHidden/>
          </w:rPr>
        </w:r>
        <w:r>
          <w:rPr>
            <w:noProof/>
            <w:webHidden/>
          </w:rPr>
          <w:fldChar w:fldCharType="separate"/>
        </w:r>
        <w:r w:rsidR="005763F9">
          <w:rPr>
            <w:noProof/>
            <w:webHidden/>
          </w:rPr>
          <w:t>96</w:t>
        </w:r>
        <w:r>
          <w:rPr>
            <w:noProof/>
            <w:webHidden/>
          </w:rPr>
          <w:fldChar w:fldCharType="end"/>
        </w:r>
      </w:hyperlink>
    </w:p>
    <w:p w14:paraId="29B1227B" w14:textId="3E05BA92" w:rsidR="00AC40D3" w:rsidRDefault="00AC40D3" w:rsidP="00AC40D3">
      <w:pPr>
        <w:pStyle w:val="TOC3"/>
        <w:spacing w:before="160"/>
        <w:rPr>
          <w:rFonts w:asciiTheme="minorHAnsi" w:eastAsiaTheme="minorEastAsia" w:hAnsiTheme="minorHAnsi" w:cstheme="minorBidi"/>
          <w:noProof/>
          <w:kern w:val="2"/>
          <w:lang w:eastAsia="en-AU"/>
          <w14:ligatures w14:val="standardContextual"/>
        </w:rPr>
      </w:pPr>
      <w:hyperlink w:anchor="_Toc200271676" w:history="1">
        <w:r w:rsidRPr="007E6257">
          <w:rPr>
            <w:rStyle w:val="Hyperlink"/>
            <w:noProof/>
          </w:rPr>
          <w:t>8.3</w:t>
        </w:r>
        <w:r>
          <w:rPr>
            <w:rFonts w:asciiTheme="minorHAnsi" w:eastAsiaTheme="minorEastAsia" w:hAnsiTheme="minorHAnsi" w:cstheme="minorBidi"/>
            <w:noProof/>
            <w:kern w:val="2"/>
            <w:lang w:eastAsia="en-AU"/>
            <w14:ligatures w14:val="standardContextual"/>
          </w:rPr>
          <w:tab/>
        </w:r>
        <w:r w:rsidRPr="007E6257">
          <w:rPr>
            <w:rStyle w:val="Hyperlink"/>
            <w:noProof/>
          </w:rPr>
          <w:t>Business Dynamism</w:t>
        </w:r>
        <w:r>
          <w:rPr>
            <w:noProof/>
            <w:webHidden/>
          </w:rPr>
          <w:tab/>
        </w:r>
        <w:r>
          <w:rPr>
            <w:noProof/>
            <w:webHidden/>
          </w:rPr>
          <w:fldChar w:fldCharType="begin"/>
        </w:r>
        <w:r>
          <w:rPr>
            <w:noProof/>
            <w:webHidden/>
          </w:rPr>
          <w:instrText xml:space="preserve"> PAGEREF _Toc200271676 \h </w:instrText>
        </w:r>
        <w:r>
          <w:rPr>
            <w:noProof/>
            <w:webHidden/>
          </w:rPr>
        </w:r>
        <w:r>
          <w:rPr>
            <w:noProof/>
            <w:webHidden/>
          </w:rPr>
          <w:fldChar w:fldCharType="separate"/>
        </w:r>
        <w:r w:rsidR="005763F9">
          <w:rPr>
            <w:noProof/>
            <w:webHidden/>
          </w:rPr>
          <w:t>106</w:t>
        </w:r>
        <w:r>
          <w:rPr>
            <w:noProof/>
            <w:webHidden/>
          </w:rPr>
          <w:fldChar w:fldCharType="end"/>
        </w:r>
      </w:hyperlink>
    </w:p>
    <w:p w14:paraId="694E707E" w14:textId="50C06AD7" w:rsidR="00AC40D3" w:rsidRDefault="00AC40D3" w:rsidP="00AC40D3">
      <w:pPr>
        <w:pStyle w:val="TOC3"/>
        <w:spacing w:before="160"/>
        <w:rPr>
          <w:rFonts w:asciiTheme="minorHAnsi" w:eastAsiaTheme="minorEastAsia" w:hAnsiTheme="minorHAnsi" w:cstheme="minorBidi"/>
          <w:noProof/>
          <w:kern w:val="2"/>
          <w:lang w:eastAsia="en-AU"/>
          <w14:ligatures w14:val="standardContextual"/>
        </w:rPr>
      </w:pPr>
      <w:hyperlink w:anchor="_Toc200271680" w:history="1">
        <w:r w:rsidRPr="007E6257">
          <w:rPr>
            <w:rStyle w:val="Hyperlink"/>
            <w:noProof/>
          </w:rPr>
          <w:t>8.4</w:t>
        </w:r>
        <w:r>
          <w:rPr>
            <w:rFonts w:asciiTheme="minorHAnsi" w:eastAsiaTheme="minorEastAsia" w:hAnsiTheme="minorHAnsi" w:cstheme="minorBidi"/>
            <w:noProof/>
            <w:kern w:val="2"/>
            <w:lang w:eastAsia="en-AU"/>
            <w14:ligatures w14:val="standardContextual"/>
          </w:rPr>
          <w:tab/>
        </w:r>
        <w:r w:rsidRPr="007E6257">
          <w:rPr>
            <w:rStyle w:val="Hyperlink"/>
            <w:noProof/>
          </w:rPr>
          <w:t>Discussion</w:t>
        </w:r>
        <w:r>
          <w:rPr>
            <w:noProof/>
            <w:webHidden/>
          </w:rPr>
          <w:tab/>
        </w:r>
        <w:r>
          <w:rPr>
            <w:noProof/>
            <w:webHidden/>
          </w:rPr>
          <w:fldChar w:fldCharType="begin"/>
        </w:r>
        <w:r>
          <w:rPr>
            <w:noProof/>
            <w:webHidden/>
          </w:rPr>
          <w:instrText xml:space="preserve"> PAGEREF _Toc200271680 \h </w:instrText>
        </w:r>
        <w:r>
          <w:rPr>
            <w:noProof/>
            <w:webHidden/>
          </w:rPr>
        </w:r>
        <w:r>
          <w:rPr>
            <w:noProof/>
            <w:webHidden/>
          </w:rPr>
          <w:fldChar w:fldCharType="separate"/>
        </w:r>
        <w:r w:rsidR="005763F9">
          <w:rPr>
            <w:noProof/>
            <w:webHidden/>
          </w:rPr>
          <w:t>110</w:t>
        </w:r>
        <w:r>
          <w:rPr>
            <w:noProof/>
            <w:webHidden/>
          </w:rPr>
          <w:fldChar w:fldCharType="end"/>
        </w:r>
      </w:hyperlink>
    </w:p>
    <w:p w14:paraId="013E79EE" w14:textId="394B5B7B" w:rsidR="00AC40D3" w:rsidRDefault="00AC40D3" w:rsidP="00AC40D3">
      <w:pPr>
        <w:pStyle w:val="TOC3"/>
        <w:spacing w:before="160"/>
        <w:rPr>
          <w:rFonts w:asciiTheme="minorHAnsi" w:eastAsiaTheme="minorEastAsia" w:hAnsiTheme="minorHAnsi" w:cstheme="minorBidi"/>
          <w:noProof/>
          <w:kern w:val="2"/>
          <w:lang w:eastAsia="en-AU"/>
          <w14:ligatures w14:val="standardContextual"/>
        </w:rPr>
      </w:pPr>
      <w:hyperlink w:anchor="_Toc200271681" w:history="1">
        <w:r w:rsidRPr="007E6257">
          <w:rPr>
            <w:rStyle w:val="Hyperlink"/>
            <w:noProof/>
          </w:rPr>
          <w:t>8.5</w:t>
        </w:r>
        <w:r>
          <w:rPr>
            <w:rFonts w:asciiTheme="minorHAnsi" w:eastAsiaTheme="minorEastAsia" w:hAnsiTheme="minorHAnsi" w:cstheme="minorBidi"/>
            <w:noProof/>
            <w:kern w:val="2"/>
            <w:lang w:eastAsia="en-AU"/>
            <w14:ligatures w14:val="standardContextual"/>
          </w:rPr>
          <w:tab/>
        </w:r>
        <w:r w:rsidRPr="007E6257">
          <w:rPr>
            <w:rStyle w:val="Hyperlink"/>
            <w:noProof/>
          </w:rPr>
          <w:t>Recommendations</w:t>
        </w:r>
        <w:r>
          <w:rPr>
            <w:noProof/>
            <w:webHidden/>
          </w:rPr>
          <w:tab/>
        </w:r>
        <w:r>
          <w:rPr>
            <w:noProof/>
            <w:webHidden/>
          </w:rPr>
          <w:fldChar w:fldCharType="begin"/>
        </w:r>
        <w:r>
          <w:rPr>
            <w:noProof/>
            <w:webHidden/>
          </w:rPr>
          <w:instrText xml:space="preserve"> PAGEREF _Toc200271681 \h </w:instrText>
        </w:r>
        <w:r>
          <w:rPr>
            <w:noProof/>
            <w:webHidden/>
          </w:rPr>
        </w:r>
        <w:r>
          <w:rPr>
            <w:noProof/>
            <w:webHidden/>
          </w:rPr>
          <w:fldChar w:fldCharType="separate"/>
        </w:r>
        <w:r w:rsidR="005763F9">
          <w:rPr>
            <w:noProof/>
            <w:webHidden/>
          </w:rPr>
          <w:t>111</w:t>
        </w:r>
        <w:r>
          <w:rPr>
            <w:noProof/>
            <w:webHidden/>
          </w:rPr>
          <w:fldChar w:fldCharType="end"/>
        </w:r>
      </w:hyperlink>
    </w:p>
    <w:p w14:paraId="54D83F01" w14:textId="1A966EB4" w:rsidR="00AC40D3" w:rsidRDefault="00AC40D3" w:rsidP="00AC40D3">
      <w:pPr>
        <w:pStyle w:val="TOC2"/>
        <w:spacing w:before="160" w:after="0"/>
        <w:rPr>
          <w:rFonts w:asciiTheme="minorHAnsi" w:eastAsiaTheme="minorEastAsia" w:hAnsiTheme="minorHAnsi" w:cstheme="minorBidi"/>
          <w:noProof/>
          <w:kern w:val="2"/>
          <w:lang w:eastAsia="en-AU"/>
          <w14:ligatures w14:val="standardContextual"/>
        </w:rPr>
      </w:pPr>
      <w:hyperlink w:anchor="_Toc200271682" w:history="1">
        <w:r w:rsidRPr="007E6257">
          <w:rPr>
            <w:rStyle w:val="Hyperlink"/>
            <w:noProof/>
          </w:rPr>
          <w:t>9.</w:t>
        </w:r>
        <w:r>
          <w:rPr>
            <w:rFonts w:asciiTheme="minorHAnsi" w:eastAsiaTheme="minorEastAsia" w:hAnsiTheme="minorHAnsi" w:cstheme="minorBidi"/>
            <w:noProof/>
            <w:kern w:val="2"/>
            <w:lang w:eastAsia="en-AU"/>
            <w14:ligatures w14:val="standardContextual"/>
          </w:rPr>
          <w:tab/>
        </w:r>
        <w:r w:rsidRPr="007E6257">
          <w:rPr>
            <w:rStyle w:val="Hyperlink"/>
            <w:noProof/>
          </w:rPr>
          <w:t>Plan Management</w:t>
        </w:r>
        <w:r>
          <w:rPr>
            <w:noProof/>
            <w:webHidden/>
          </w:rPr>
          <w:tab/>
        </w:r>
        <w:r>
          <w:rPr>
            <w:noProof/>
            <w:webHidden/>
          </w:rPr>
          <w:fldChar w:fldCharType="begin"/>
        </w:r>
        <w:r>
          <w:rPr>
            <w:noProof/>
            <w:webHidden/>
          </w:rPr>
          <w:instrText xml:space="preserve"> PAGEREF _Toc200271682 \h </w:instrText>
        </w:r>
        <w:r>
          <w:rPr>
            <w:noProof/>
            <w:webHidden/>
          </w:rPr>
        </w:r>
        <w:r>
          <w:rPr>
            <w:noProof/>
            <w:webHidden/>
          </w:rPr>
          <w:fldChar w:fldCharType="separate"/>
        </w:r>
        <w:r w:rsidR="005763F9">
          <w:rPr>
            <w:noProof/>
            <w:webHidden/>
          </w:rPr>
          <w:t>112</w:t>
        </w:r>
        <w:r>
          <w:rPr>
            <w:noProof/>
            <w:webHidden/>
          </w:rPr>
          <w:fldChar w:fldCharType="end"/>
        </w:r>
      </w:hyperlink>
    </w:p>
    <w:p w14:paraId="06F5F544" w14:textId="5D01D55D" w:rsidR="00AC40D3" w:rsidRDefault="00AC40D3" w:rsidP="00AC40D3">
      <w:pPr>
        <w:pStyle w:val="TOC3"/>
        <w:spacing w:before="160"/>
        <w:rPr>
          <w:rFonts w:asciiTheme="minorHAnsi" w:eastAsiaTheme="minorEastAsia" w:hAnsiTheme="minorHAnsi" w:cstheme="minorBidi"/>
          <w:noProof/>
          <w:kern w:val="2"/>
          <w:lang w:eastAsia="en-AU"/>
          <w14:ligatures w14:val="standardContextual"/>
        </w:rPr>
      </w:pPr>
      <w:hyperlink w:anchor="_Toc200271683" w:history="1">
        <w:r w:rsidRPr="007E6257">
          <w:rPr>
            <w:rStyle w:val="Hyperlink"/>
            <w:noProof/>
          </w:rPr>
          <w:t>9.1</w:t>
        </w:r>
        <w:r>
          <w:rPr>
            <w:rFonts w:asciiTheme="minorHAnsi" w:eastAsiaTheme="minorEastAsia" w:hAnsiTheme="minorHAnsi" w:cstheme="minorBidi"/>
            <w:noProof/>
            <w:kern w:val="2"/>
            <w:lang w:eastAsia="en-AU"/>
            <w14:ligatures w14:val="standardContextual"/>
          </w:rPr>
          <w:tab/>
        </w:r>
        <w:r w:rsidRPr="007E6257">
          <w:rPr>
            <w:rStyle w:val="Hyperlink"/>
            <w:noProof/>
          </w:rPr>
          <w:t>Context</w:t>
        </w:r>
        <w:r>
          <w:rPr>
            <w:noProof/>
            <w:webHidden/>
          </w:rPr>
          <w:tab/>
        </w:r>
        <w:r>
          <w:rPr>
            <w:noProof/>
            <w:webHidden/>
          </w:rPr>
          <w:fldChar w:fldCharType="begin"/>
        </w:r>
        <w:r>
          <w:rPr>
            <w:noProof/>
            <w:webHidden/>
          </w:rPr>
          <w:instrText xml:space="preserve"> PAGEREF _Toc200271683 \h </w:instrText>
        </w:r>
        <w:r>
          <w:rPr>
            <w:noProof/>
            <w:webHidden/>
          </w:rPr>
        </w:r>
        <w:r>
          <w:rPr>
            <w:noProof/>
            <w:webHidden/>
          </w:rPr>
          <w:fldChar w:fldCharType="separate"/>
        </w:r>
        <w:r w:rsidR="005763F9">
          <w:rPr>
            <w:noProof/>
            <w:webHidden/>
          </w:rPr>
          <w:t>112</w:t>
        </w:r>
        <w:r>
          <w:rPr>
            <w:noProof/>
            <w:webHidden/>
          </w:rPr>
          <w:fldChar w:fldCharType="end"/>
        </w:r>
      </w:hyperlink>
    </w:p>
    <w:p w14:paraId="24CEDFDC" w14:textId="3A6CA207" w:rsidR="00AC40D3" w:rsidRDefault="00AC40D3" w:rsidP="00AC40D3">
      <w:pPr>
        <w:pStyle w:val="TOC3"/>
        <w:spacing w:before="160"/>
        <w:rPr>
          <w:rFonts w:asciiTheme="minorHAnsi" w:eastAsiaTheme="minorEastAsia" w:hAnsiTheme="minorHAnsi" w:cstheme="minorBidi"/>
          <w:noProof/>
          <w:kern w:val="2"/>
          <w:lang w:eastAsia="en-AU"/>
          <w14:ligatures w14:val="standardContextual"/>
        </w:rPr>
      </w:pPr>
      <w:hyperlink w:anchor="_Toc200271684" w:history="1">
        <w:r w:rsidRPr="007E6257">
          <w:rPr>
            <w:rStyle w:val="Hyperlink"/>
            <w:noProof/>
          </w:rPr>
          <w:t>9.2</w:t>
        </w:r>
        <w:r>
          <w:rPr>
            <w:rFonts w:asciiTheme="minorHAnsi" w:eastAsiaTheme="minorEastAsia" w:hAnsiTheme="minorHAnsi" w:cstheme="minorBidi"/>
            <w:noProof/>
            <w:kern w:val="2"/>
            <w:lang w:eastAsia="en-AU"/>
            <w14:ligatures w14:val="standardContextual"/>
          </w:rPr>
          <w:tab/>
        </w:r>
        <w:r w:rsidRPr="007E6257">
          <w:rPr>
            <w:rStyle w:val="Hyperlink"/>
            <w:noProof/>
          </w:rPr>
          <w:t>Scheme Statistics</w:t>
        </w:r>
        <w:r>
          <w:rPr>
            <w:noProof/>
            <w:webHidden/>
          </w:rPr>
          <w:tab/>
        </w:r>
        <w:r>
          <w:rPr>
            <w:noProof/>
            <w:webHidden/>
          </w:rPr>
          <w:fldChar w:fldCharType="begin"/>
        </w:r>
        <w:r>
          <w:rPr>
            <w:noProof/>
            <w:webHidden/>
          </w:rPr>
          <w:instrText xml:space="preserve"> PAGEREF _Toc200271684 \h </w:instrText>
        </w:r>
        <w:r>
          <w:rPr>
            <w:noProof/>
            <w:webHidden/>
          </w:rPr>
        </w:r>
        <w:r>
          <w:rPr>
            <w:noProof/>
            <w:webHidden/>
          </w:rPr>
          <w:fldChar w:fldCharType="separate"/>
        </w:r>
        <w:r w:rsidR="005763F9">
          <w:rPr>
            <w:noProof/>
            <w:webHidden/>
          </w:rPr>
          <w:t>112</w:t>
        </w:r>
        <w:r>
          <w:rPr>
            <w:noProof/>
            <w:webHidden/>
          </w:rPr>
          <w:fldChar w:fldCharType="end"/>
        </w:r>
      </w:hyperlink>
    </w:p>
    <w:p w14:paraId="22C1FAC9" w14:textId="716A932D" w:rsidR="00AC40D3" w:rsidRDefault="00AC40D3" w:rsidP="00AC40D3">
      <w:pPr>
        <w:pStyle w:val="TOC3"/>
        <w:spacing w:before="160"/>
        <w:rPr>
          <w:rFonts w:asciiTheme="minorHAnsi" w:eastAsiaTheme="minorEastAsia" w:hAnsiTheme="minorHAnsi" w:cstheme="minorBidi"/>
          <w:noProof/>
          <w:kern w:val="2"/>
          <w:lang w:eastAsia="en-AU"/>
          <w14:ligatures w14:val="standardContextual"/>
        </w:rPr>
      </w:pPr>
      <w:hyperlink w:anchor="_Toc200271692" w:history="1">
        <w:r w:rsidRPr="007E6257">
          <w:rPr>
            <w:rStyle w:val="Hyperlink"/>
            <w:noProof/>
          </w:rPr>
          <w:t>9.3</w:t>
        </w:r>
        <w:r>
          <w:rPr>
            <w:rFonts w:asciiTheme="minorHAnsi" w:eastAsiaTheme="minorEastAsia" w:hAnsiTheme="minorHAnsi" w:cstheme="minorBidi"/>
            <w:noProof/>
            <w:kern w:val="2"/>
            <w:lang w:eastAsia="en-AU"/>
            <w14:ligatures w14:val="standardContextual"/>
          </w:rPr>
          <w:tab/>
        </w:r>
        <w:r w:rsidRPr="007E6257">
          <w:rPr>
            <w:rStyle w:val="Hyperlink"/>
            <w:noProof/>
          </w:rPr>
          <w:t>Business Dynamism</w:t>
        </w:r>
        <w:r>
          <w:rPr>
            <w:noProof/>
            <w:webHidden/>
          </w:rPr>
          <w:tab/>
        </w:r>
        <w:r>
          <w:rPr>
            <w:noProof/>
            <w:webHidden/>
          </w:rPr>
          <w:fldChar w:fldCharType="begin"/>
        </w:r>
        <w:r>
          <w:rPr>
            <w:noProof/>
            <w:webHidden/>
          </w:rPr>
          <w:instrText xml:space="preserve"> PAGEREF _Toc200271692 \h </w:instrText>
        </w:r>
        <w:r>
          <w:rPr>
            <w:noProof/>
            <w:webHidden/>
          </w:rPr>
        </w:r>
        <w:r>
          <w:rPr>
            <w:noProof/>
            <w:webHidden/>
          </w:rPr>
          <w:fldChar w:fldCharType="separate"/>
        </w:r>
        <w:r w:rsidR="005763F9">
          <w:rPr>
            <w:noProof/>
            <w:webHidden/>
          </w:rPr>
          <w:t>123</w:t>
        </w:r>
        <w:r>
          <w:rPr>
            <w:noProof/>
            <w:webHidden/>
          </w:rPr>
          <w:fldChar w:fldCharType="end"/>
        </w:r>
      </w:hyperlink>
    </w:p>
    <w:p w14:paraId="2DE67FAD" w14:textId="43949390" w:rsidR="00AC40D3" w:rsidRDefault="00AC40D3" w:rsidP="00AC40D3">
      <w:pPr>
        <w:pStyle w:val="TOC3"/>
        <w:spacing w:before="160"/>
        <w:rPr>
          <w:rFonts w:asciiTheme="minorHAnsi" w:eastAsiaTheme="minorEastAsia" w:hAnsiTheme="minorHAnsi" w:cstheme="minorBidi"/>
          <w:noProof/>
          <w:kern w:val="2"/>
          <w:lang w:eastAsia="en-AU"/>
          <w14:ligatures w14:val="standardContextual"/>
        </w:rPr>
      </w:pPr>
      <w:hyperlink w:anchor="_Toc200271695" w:history="1">
        <w:r w:rsidRPr="007E6257">
          <w:rPr>
            <w:rStyle w:val="Hyperlink"/>
            <w:noProof/>
          </w:rPr>
          <w:t>9.4</w:t>
        </w:r>
        <w:r>
          <w:rPr>
            <w:rFonts w:asciiTheme="minorHAnsi" w:eastAsiaTheme="minorEastAsia" w:hAnsiTheme="minorHAnsi" w:cstheme="minorBidi"/>
            <w:noProof/>
            <w:kern w:val="2"/>
            <w:lang w:eastAsia="en-AU"/>
            <w14:ligatures w14:val="standardContextual"/>
          </w:rPr>
          <w:tab/>
        </w:r>
        <w:r w:rsidRPr="007E6257">
          <w:rPr>
            <w:rStyle w:val="Hyperlink"/>
            <w:noProof/>
          </w:rPr>
          <w:t>Discussion</w:t>
        </w:r>
        <w:r>
          <w:rPr>
            <w:noProof/>
            <w:webHidden/>
          </w:rPr>
          <w:tab/>
        </w:r>
        <w:r>
          <w:rPr>
            <w:noProof/>
            <w:webHidden/>
          </w:rPr>
          <w:fldChar w:fldCharType="begin"/>
        </w:r>
        <w:r>
          <w:rPr>
            <w:noProof/>
            <w:webHidden/>
          </w:rPr>
          <w:instrText xml:space="preserve"> PAGEREF _Toc200271695 \h </w:instrText>
        </w:r>
        <w:r>
          <w:rPr>
            <w:noProof/>
            <w:webHidden/>
          </w:rPr>
        </w:r>
        <w:r>
          <w:rPr>
            <w:noProof/>
            <w:webHidden/>
          </w:rPr>
          <w:fldChar w:fldCharType="separate"/>
        </w:r>
        <w:r w:rsidR="005763F9">
          <w:rPr>
            <w:noProof/>
            <w:webHidden/>
          </w:rPr>
          <w:t>128</w:t>
        </w:r>
        <w:r>
          <w:rPr>
            <w:noProof/>
            <w:webHidden/>
          </w:rPr>
          <w:fldChar w:fldCharType="end"/>
        </w:r>
      </w:hyperlink>
    </w:p>
    <w:p w14:paraId="7EBCEA22" w14:textId="7E5F3EA0" w:rsidR="00AC40D3" w:rsidRDefault="00AC40D3" w:rsidP="00AC40D3">
      <w:pPr>
        <w:pStyle w:val="TOC3"/>
        <w:spacing w:before="160"/>
        <w:rPr>
          <w:rFonts w:asciiTheme="minorHAnsi" w:eastAsiaTheme="minorEastAsia" w:hAnsiTheme="minorHAnsi" w:cstheme="minorBidi"/>
          <w:noProof/>
          <w:kern w:val="2"/>
          <w:lang w:eastAsia="en-AU"/>
          <w14:ligatures w14:val="standardContextual"/>
        </w:rPr>
      </w:pPr>
      <w:hyperlink w:anchor="_Toc200271696" w:history="1">
        <w:r w:rsidRPr="007E6257">
          <w:rPr>
            <w:rStyle w:val="Hyperlink"/>
            <w:noProof/>
          </w:rPr>
          <w:t>9.5</w:t>
        </w:r>
        <w:r>
          <w:rPr>
            <w:rFonts w:asciiTheme="minorHAnsi" w:eastAsiaTheme="minorEastAsia" w:hAnsiTheme="minorHAnsi" w:cstheme="minorBidi"/>
            <w:noProof/>
            <w:kern w:val="2"/>
            <w:lang w:eastAsia="en-AU"/>
            <w14:ligatures w14:val="standardContextual"/>
          </w:rPr>
          <w:tab/>
        </w:r>
        <w:r w:rsidRPr="007E6257">
          <w:rPr>
            <w:rStyle w:val="Hyperlink"/>
            <w:noProof/>
          </w:rPr>
          <w:t>Recommendations</w:t>
        </w:r>
        <w:r>
          <w:rPr>
            <w:noProof/>
            <w:webHidden/>
          </w:rPr>
          <w:tab/>
        </w:r>
        <w:r>
          <w:rPr>
            <w:noProof/>
            <w:webHidden/>
          </w:rPr>
          <w:fldChar w:fldCharType="begin"/>
        </w:r>
        <w:r>
          <w:rPr>
            <w:noProof/>
            <w:webHidden/>
          </w:rPr>
          <w:instrText xml:space="preserve"> PAGEREF _Toc200271696 \h </w:instrText>
        </w:r>
        <w:r>
          <w:rPr>
            <w:noProof/>
            <w:webHidden/>
          </w:rPr>
        </w:r>
        <w:r>
          <w:rPr>
            <w:noProof/>
            <w:webHidden/>
          </w:rPr>
          <w:fldChar w:fldCharType="separate"/>
        </w:r>
        <w:r w:rsidR="005763F9">
          <w:rPr>
            <w:noProof/>
            <w:webHidden/>
          </w:rPr>
          <w:t>129</w:t>
        </w:r>
        <w:r>
          <w:rPr>
            <w:noProof/>
            <w:webHidden/>
          </w:rPr>
          <w:fldChar w:fldCharType="end"/>
        </w:r>
      </w:hyperlink>
    </w:p>
    <w:p w14:paraId="306F15D6" w14:textId="3CE1EE57" w:rsidR="00AC40D3" w:rsidRDefault="00AC40D3" w:rsidP="00AC40D3">
      <w:pPr>
        <w:pStyle w:val="TOC2"/>
        <w:spacing w:before="160" w:after="0"/>
        <w:rPr>
          <w:rFonts w:asciiTheme="minorHAnsi" w:eastAsiaTheme="minorEastAsia" w:hAnsiTheme="minorHAnsi" w:cstheme="minorBidi"/>
          <w:noProof/>
          <w:kern w:val="2"/>
          <w:lang w:eastAsia="en-AU"/>
          <w14:ligatures w14:val="standardContextual"/>
        </w:rPr>
      </w:pPr>
      <w:hyperlink w:anchor="_Toc200271697" w:history="1">
        <w:r w:rsidRPr="007E6257">
          <w:rPr>
            <w:rStyle w:val="Hyperlink"/>
            <w:rFonts w:cstheme="minorHAnsi"/>
            <w:noProof/>
          </w:rPr>
          <w:t>Appendix A: DSW Cost Model Detailed Breakdown</w:t>
        </w:r>
        <w:r>
          <w:rPr>
            <w:noProof/>
            <w:webHidden/>
          </w:rPr>
          <w:tab/>
        </w:r>
        <w:r>
          <w:rPr>
            <w:noProof/>
            <w:webHidden/>
          </w:rPr>
          <w:fldChar w:fldCharType="begin"/>
        </w:r>
        <w:r>
          <w:rPr>
            <w:noProof/>
            <w:webHidden/>
          </w:rPr>
          <w:instrText xml:space="preserve"> PAGEREF _Toc200271697 \h </w:instrText>
        </w:r>
        <w:r>
          <w:rPr>
            <w:noProof/>
            <w:webHidden/>
          </w:rPr>
        </w:r>
        <w:r>
          <w:rPr>
            <w:noProof/>
            <w:webHidden/>
          </w:rPr>
          <w:fldChar w:fldCharType="separate"/>
        </w:r>
        <w:r w:rsidR="005763F9">
          <w:rPr>
            <w:noProof/>
            <w:webHidden/>
          </w:rPr>
          <w:t>130</w:t>
        </w:r>
        <w:r>
          <w:rPr>
            <w:noProof/>
            <w:webHidden/>
          </w:rPr>
          <w:fldChar w:fldCharType="end"/>
        </w:r>
      </w:hyperlink>
    </w:p>
    <w:p w14:paraId="5059F399" w14:textId="7576F16C" w:rsidR="00AC40D3" w:rsidRDefault="00AC40D3" w:rsidP="00AC40D3">
      <w:pPr>
        <w:pStyle w:val="TOC2"/>
        <w:spacing w:before="160" w:after="0"/>
        <w:rPr>
          <w:rFonts w:asciiTheme="minorHAnsi" w:eastAsiaTheme="minorEastAsia" w:hAnsiTheme="minorHAnsi" w:cstheme="minorBidi"/>
          <w:noProof/>
          <w:kern w:val="2"/>
          <w:lang w:eastAsia="en-AU"/>
          <w14:ligatures w14:val="standardContextual"/>
        </w:rPr>
      </w:pPr>
      <w:hyperlink w:anchor="_Toc200271700" w:history="1">
        <w:r w:rsidRPr="007E6257">
          <w:rPr>
            <w:rStyle w:val="Hyperlink"/>
            <w:rFonts w:cstheme="minorHAnsi"/>
            <w:noProof/>
          </w:rPr>
          <w:t>Appendix B: Details of Medicare Benefits Schedule (MBS) and Private Health Insurance (</w:t>
        </w:r>
        <w:r w:rsidRPr="007E6257">
          <w:rPr>
            <w:rStyle w:val="Hyperlink"/>
            <w:noProof/>
          </w:rPr>
          <w:t>P</w:t>
        </w:r>
        <w:r w:rsidRPr="007E6257">
          <w:rPr>
            <w:rStyle w:val="Hyperlink"/>
            <w:noProof/>
            <w:spacing w:val="-60"/>
          </w:rPr>
          <w:t xml:space="preserve"> </w:t>
        </w:r>
        <w:r w:rsidRPr="007E6257">
          <w:rPr>
            <w:rStyle w:val="Hyperlink"/>
            <w:noProof/>
          </w:rPr>
          <w:t>H</w:t>
        </w:r>
        <w:r w:rsidRPr="007E6257">
          <w:rPr>
            <w:rStyle w:val="Hyperlink"/>
            <w:noProof/>
            <w:spacing w:val="-60"/>
          </w:rPr>
          <w:t xml:space="preserve"> </w:t>
        </w:r>
        <w:r w:rsidRPr="007E6257">
          <w:rPr>
            <w:rStyle w:val="Hyperlink"/>
            <w:noProof/>
          </w:rPr>
          <w:t>I</w:t>
        </w:r>
        <w:r w:rsidRPr="007E6257">
          <w:rPr>
            <w:rStyle w:val="Hyperlink"/>
            <w:rFonts w:cstheme="minorHAnsi"/>
            <w:noProof/>
          </w:rPr>
          <w:t>) implied hourly price rate conversions</w:t>
        </w:r>
        <w:r>
          <w:rPr>
            <w:noProof/>
            <w:webHidden/>
          </w:rPr>
          <w:tab/>
        </w:r>
        <w:r>
          <w:rPr>
            <w:noProof/>
            <w:webHidden/>
          </w:rPr>
          <w:fldChar w:fldCharType="begin"/>
        </w:r>
        <w:r>
          <w:rPr>
            <w:noProof/>
            <w:webHidden/>
          </w:rPr>
          <w:instrText xml:space="preserve"> PAGEREF _Toc200271700 \h </w:instrText>
        </w:r>
        <w:r>
          <w:rPr>
            <w:noProof/>
            <w:webHidden/>
          </w:rPr>
        </w:r>
        <w:r>
          <w:rPr>
            <w:noProof/>
            <w:webHidden/>
          </w:rPr>
          <w:fldChar w:fldCharType="separate"/>
        </w:r>
        <w:r w:rsidR="005763F9">
          <w:rPr>
            <w:noProof/>
            <w:webHidden/>
          </w:rPr>
          <w:t>132</w:t>
        </w:r>
        <w:r>
          <w:rPr>
            <w:noProof/>
            <w:webHidden/>
          </w:rPr>
          <w:fldChar w:fldCharType="end"/>
        </w:r>
      </w:hyperlink>
    </w:p>
    <w:p w14:paraId="25E31E62" w14:textId="215B595F" w:rsidR="00AC40D3" w:rsidRDefault="00AC40D3" w:rsidP="00AC40D3">
      <w:pPr>
        <w:pStyle w:val="TOC2"/>
        <w:spacing w:before="160" w:after="0"/>
        <w:rPr>
          <w:rFonts w:asciiTheme="minorHAnsi" w:eastAsiaTheme="minorEastAsia" w:hAnsiTheme="minorHAnsi" w:cstheme="minorBidi"/>
          <w:noProof/>
          <w:kern w:val="2"/>
          <w:lang w:eastAsia="en-AU"/>
          <w14:ligatures w14:val="standardContextual"/>
        </w:rPr>
      </w:pPr>
      <w:hyperlink w:anchor="_Toc200271701" w:history="1">
        <w:r w:rsidRPr="007E6257">
          <w:rPr>
            <w:rStyle w:val="Hyperlink"/>
            <w:rFonts w:cstheme="minorHAnsi"/>
            <w:noProof/>
          </w:rPr>
          <w:t>Appendix C: Summary of website price listing dataset</w:t>
        </w:r>
        <w:r>
          <w:rPr>
            <w:noProof/>
            <w:webHidden/>
          </w:rPr>
          <w:tab/>
        </w:r>
        <w:r>
          <w:rPr>
            <w:noProof/>
            <w:webHidden/>
          </w:rPr>
          <w:fldChar w:fldCharType="begin"/>
        </w:r>
        <w:r>
          <w:rPr>
            <w:noProof/>
            <w:webHidden/>
          </w:rPr>
          <w:instrText xml:space="preserve"> PAGEREF _Toc200271701 \h </w:instrText>
        </w:r>
        <w:r>
          <w:rPr>
            <w:noProof/>
            <w:webHidden/>
          </w:rPr>
        </w:r>
        <w:r>
          <w:rPr>
            <w:noProof/>
            <w:webHidden/>
          </w:rPr>
          <w:fldChar w:fldCharType="separate"/>
        </w:r>
        <w:r w:rsidR="005763F9">
          <w:rPr>
            <w:noProof/>
            <w:webHidden/>
          </w:rPr>
          <w:t>133</w:t>
        </w:r>
        <w:r>
          <w:rPr>
            <w:noProof/>
            <w:webHidden/>
          </w:rPr>
          <w:fldChar w:fldCharType="end"/>
        </w:r>
      </w:hyperlink>
    </w:p>
    <w:p w14:paraId="5A38CBF1" w14:textId="7DDAED07" w:rsidR="00F74162" w:rsidRPr="00D44388" w:rsidRDefault="0040062A" w:rsidP="00D44388">
      <w:pPr>
        <w:pStyle w:val="Heading2"/>
      </w:pPr>
      <w:r w:rsidRPr="0049386F">
        <w:lastRenderedPageBreak/>
        <w:fldChar w:fldCharType="end"/>
      </w:r>
      <w:bookmarkStart w:id="15" w:name="_Toc164970181"/>
      <w:bookmarkStart w:id="16" w:name="_Toc200271543"/>
      <w:r w:rsidR="000223C0" w:rsidRPr="00D44388">
        <w:t xml:space="preserve">Executive </w:t>
      </w:r>
      <w:r w:rsidR="007D74A6" w:rsidRPr="00D44388">
        <w:t>S</w:t>
      </w:r>
      <w:r w:rsidR="000223C0" w:rsidRPr="00D44388">
        <w:t>ummary</w:t>
      </w:r>
      <w:bookmarkEnd w:id="15"/>
      <w:bookmarkEnd w:id="16"/>
      <w:r w:rsidR="00AF7549" w:rsidRPr="00D44388">
        <w:t xml:space="preserve"> </w:t>
      </w:r>
    </w:p>
    <w:p w14:paraId="4E85AD24" w14:textId="77777777" w:rsidR="007D74A6" w:rsidRPr="008034CE" w:rsidRDefault="007D74A6" w:rsidP="007D74A6">
      <w:r w:rsidRPr="008034CE">
        <w:t>As the agency with primary responsibility for stewarding disability service provider markets, the National Disability Insurance Agency (NDIA) is committed to fostering efficient, effective, and participant-</w:t>
      </w:r>
      <w:proofErr w:type="spellStart"/>
      <w:r w:rsidRPr="008034CE">
        <w:t>centered</w:t>
      </w:r>
      <w:proofErr w:type="spellEnd"/>
      <w:r w:rsidRPr="008034CE">
        <w:t xml:space="preserve"> markets that consistently deliver safe, high-quality supports. Central to this role is the regular review of the National Disability Insurance Scheme (NDIS) pricing framework to ensure price limits remain appropriate, responsive to changing market conditions, and support diverse service delivery models. </w:t>
      </w:r>
    </w:p>
    <w:p w14:paraId="79500F5F" w14:textId="77777777" w:rsidR="007D74A6" w:rsidRPr="008034CE" w:rsidRDefault="007D74A6" w:rsidP="007D74A6">
      <w:r w:rsidRPr="008034CE">
        <w:t>The Annual Pricing Review (APR) is central to this work. Each year, the NDIA assesses whether price settings continue to:</w:t>
      </w:r>
    </w:p>
    <w:p w14:paraId="0F6AB2CA" w14:textId="77777777" w:rsidR="007D74A6" w:rsidRPr="008034CE" w:rsidRDefault="007D74A6" w:rsidP="002441B8">
      <w:pPr>
        <w:pStyle w:val="ListParagraph"/>
        <w:numPr>
          <w:ilvl w:val="0"/>
          <w:numId w:val="10"/>
        </w:numPr>
        <w:spacing w:line="288" w:lineRule="auto"/>
      </w:pPr>
      <w:r w:rsidRPr="008034CE">
        <w:t>Support value for money for participants through efficient service delivery;</w:t>
      </w:r>
    </w:p>
    <w:p w14:paraId="0B59ABDA" w14:textId="77777777" w:rsidR="007D74A6" w:rsidRPr="008034CE" w:rsidRDefault="007D74A6" w:rsidP="002441B8">
      <w:pPr>
        <w:pStyle w:val="ListParagraph"/>
        <w:numPr>
          <w:ilvl w:val="0"/>
          <w:numId w:val="10"/>
        </w:numPr>
        <w:spacing w:line="288" w:lineRule="auto"/>
      </w:pPr>
      <w:r w:rsidRPr="008034CE">
        <w:t>Enable safe and effective supports available for participants; and</w:t>
      </w:r>
    </w:p>
    <w:p w14:paraId="0A229414" w14:textId="77777777" w:rsidR="007D74A6" w:rsidRPr="008034CE" w:rsidRDefault="007D74A6" w:rsidP="002441B8">
      <w:pPr>
        <w:pStyle w:val="ListParagraph"/>
        <w:numPr>
          <w:ilvl w:val="0"/>
          <w:numId w:val="10"/>
        </w:numPr>
        <w:spacing w:line="288" w:lineRule="auto"/>
      </w:pPr>
      <w:r w:rsidRPr="008034CE">
        <w:t>Maintain viable provider markets.</w:t>
      </w:r>
    </w:p>
    <w:p w14:paraId="6B977A7C" w14:textId="77777777" w:rsidR="007D74A6" w:rsidRPr="008034CE" w:rsidRDefault="007D74A6" w:rsidP="007D74A6">
      <w:r w:rsidRPr="008034CE">
        <w:t>Delivering against these objectives requires a diverse and functioning market that can meet a range of support needs and complexities. Pricing plays a critical role in shaping markets by influencing provider incentives, workforce availability, and service quality across varied settings.</w:t>
      </w:r>
    </w:p>
    <w:p w14:paraId="2D42E23B" w14:textId="77777777" w:rsidR="007D74A6" w:rsidRPr="008034CE" w:rsidRDefault="007D74A6" w:rsidP="007D74A6">
      <w:r w:rsidRPr="008034CE">
        <w:t xml:space="preserve">The NDIA takes a structured, evidence-informed approach to pricing. The NDIA continues to improve its pricing approach and is expanding the available data sources to monitor market performance. This year, the NDIA expanded its therapy benchmarking to include Medicare Benefits Schedule and Private Health Insurance data to inform therapy price settings. </w:t>
      </w:r>
    </w:p>
    <w:p w14:paraId="57B841E3" w14:textId="466A5B04" w:rsidR="007D74A6" w:rsidRDefault="007D74A6">
      <w:r w:rsidRPr="008034CE">
        <w:t xml:space="preserve">The review of the NDIA pricing approach conducted by the Independent Pricing Committee (IPC) in 2024-25 has made a valuable contribution to the NDIA’s understanding of the role of pricing in market stewardship. The IPC’s report provides </w:t>
      </w:r>
      <w:r w:rsidRPr="00EF6495">
        <w:t xml:space="preserve">insights into how pricing is shaping markets and offers a framework for understanding how pricing can be used to influence participant outcomes, provider behaviour, and market performance. The report provides a pathway for an incremental shift towards a more nuanced and differentiated approach to pricing. </w:t>
      </w:r>
      <w:r w:rsidR="00EF6495" w:rsidRPr="00EF6495">
        <w:t xml:space="preserve">This APR marks the first step in a multi-year transition to a more differentiated pricing approach, guided by the IPC framework. The IPC’s findings provide the foundation for improved pricing approaches that will help protect the delivery of a broader range of support needs and identify the most efficient and effective ways to price supports. </w:t>
      </w:r>
      <w:r>
        <w:br w:type="page"/>
      </w:r>
    </w:p>
    <w:p w14:paraId="38642868" w14:textId="77777777" w:rsidR="00430CA6" w:rsidRPr="008034CE" w:rsidRDefault="00430CA6" w:rsidP="00430CA6">
      <w:pPr>
        <w:pStyle w:val="Heading3"/>
      </w:pPr>
      <w:bookmarkStart w:id="17" w:name="_Toc196754564"/>
      <w:bookmarkStart w:id="18" w:name="_Toc196758205"/>
      <w:bookmarkStart w:id="19" w:name="_Toc197344281"/>
      <w:bookmarkStart w:id="20" w:name="_Toc200271544"/>
      <w:r w:rsidRPr="008034CE">
        <w:lastRenderedPageBreak/>
        <w:t>NDIA Pricing Workplan</w:t>
      </w:r>
      <w:bookmarkEnd w:id="17"/>
      <w:bookmarkEnd w:id="18"/>
      <w:bookmarkEnd w:id="19"/>
      <w:bookmarkEnd w:id="20"/>
      <w:r w:rsidRPr="008034CE">
        <w:t xml:space="preserve"> </w:t>
      </w:r>
    </w:p>
    <w:p w14:paraId="756EF811" w14:textId="77777777" w:rsidR="00430CA6" w:rsidRPr="008034CE" w:rsidRDefault="00430CA6" w:rsidP="00430CA6">
      <w:r w:rsidRPr="008034CE">
        <w:t>The NDIA currently reviews price limits for all market segments on an annual cycle. While this ensures regular updates, it does not provide for deeper engagement on pricing in complex areas like therapy and disability support worker (DSW) supports that will be necessary to adopt new approaches to pricing.</w:t>
      </w:r>
    </w:p>
    <w:p w14:paraId="3D2F9FA8" w14:textId="77777777" w:rsidR="00430CA6" w:rsidRPr="008034CE" w:rsidRDefault="00430CA6" w:rsidP="00430CA6">
      <w:r w:rsidRPr="008034CE">
        <w:t xml:space="preserve">A multi-year work plan will allow the NDIA to focus on markets where market conditions are evolving and where a more in-depth analysis is required to inform future approaches. It will provide a schedule for reviewing key support types while maintaining flexibility to respond to emerging trends.  </w:t>
      </w:r>
    </w:p>
    <w:p w14:paraId="670CD70E" w14:textId="77777777" w:rsidR="00430CA6" w:rsidRPr="008034CE" w:rsidRDefault="00430CA6" w:rsidP="00430CA6">
      <w:r w:rsidRPr="008034CE">
        <w:t xml:space="preserve">This approach will enable the NDIA to shift towards more differentiated pricing by: </w:t>
      </w:r>
    </w:p>
    <w:p w14:paraId="72A32AEB" w14:textId="77777777" w:rsidR="00430CA6" w:rsidRPr="008034CE" w:rsidRDefault="00430CA6" w:rsidP="002441B8">
      <w:pPr>
        <w:pStyle w:val="ListParagraph"/>
        <w:numPr>
          <w:ilvl w:val="0"/>
          <w:numId w:val="11"/>
        </w:numPr>
        <w:spacing w:line="288" w:lineRule="auto"/>
      </w:pPr>
      <w:r w:rsidRPr="008034CE">
        <w:t>Consulting with providers and participants on changes to pricing approaches.</w:t>
      </w:r>
    </w:p>
    <w:p w14:paraId="78B27CB8" w14:textId="77777777" w:rsidR="00430CA6" w:rsidRPr="008034CE" w:rsidRDefault="00430CA6" w:rsidP="002441B8">
      <w:pPr>
        <w:pStyle w:val="ListParagraph"/>
        <w:numPr>
          <w:ilvl w:val="0"/>
          <w:numId w:val="11"/>
        </w:numPr>
        <w:spacing w:line="288" w:lineRule="auto"/>
      </w:pPr>
      <w:r w:rsidRPr="008034CE">
        <w:t xml:space="preserve">Leveraging insights from pilots such as the Supported Independent Living and Support Coordination deep dives and blended payments trials. </w:t>
      </w:r>
    </w:p>
    <w:p w14:paraId="726788B7" w14:textId="77777777" w:rsidR="00430CA6" w:rsidRPr="008034CE" w:rsidRDefault="00430CA6" w:rsidP="002441B8">
      <w:pPr>
        <w:pStyle w:val="ListParagraph"/>
        <w:numPr>
          <w:ilvl w:val="0"/>
          <w:numId w:val="11"/>
        </w:numPr>
        <w:spacing w:line="288" w:lineRule="auto"/>
      </w:pPr>
      <w:r w:rsidRPr="008034CE">
        <w:t xml:space="preserve">Improving data quality to monitor market trends and performance; and </w:t>
      </w:r>
    </w:p>
    <w:p w14:paraId="08F4C7A6" w14:textId="77777777" w:rsidR="00430CA6" w:rsidRPr="008034CE" w:rsidRDefault="00430CA6" w:rsidP="002441B8">
      <w:pPr>
        <w:pStyle w:val="ListParagraph"/>
        <w:numPr>
          <w:ilvl w:val="0"/>
          <w:numId w:val="11"/>
        </w:numPr>
        <w:spacing w:line="288" w:lineRule="auto"/>
      </w:pPr>
      <w:r w:rsidRPr="008034CE">
        <w:t xml:space="preserve">Adjusting prices incrementally to maintain market stability. </w:t>
      </w:r>
    </w:p>
    <w:p w14:paraId="319BE5D3" w14:textId="77777777" w:rsidR="00430CA6" w:rsidRPr="008034CE" w:rsidRDefault="00430CA6" w:rsidP="00430CA6">
      <w:r w:rsidRPr="008034CE">
        <w:t xml:space="preserve">Publishing a multi-year work plan will give providers clarity on the timing and nature of planned reforms and ensure that participants continue to benefit from a stable and functioning market. </w:t>
      </w:r>
    </w:p>
    <w:p w14:paraId="44CCA42C" w14:textId="77777777" w:rsidR="00430CA6" w:rsidRPr="008034CE" w:rsidRDefault="00430CA6" w:rsidP="00A81B23">
      <w:pPr>
        <w:pStyle w:val="Recommendationheading"/>
        <w:rPr>
          <w:b w:val="0"/>
        </w:rPr>
      </w:pPr>
      <w:r w:rsidRPr="008034CE">
        <w:t>Recommendation 1:</w:t>
      </w:r>
    </w:p>
    <w:p w14:paraId="79C301A0" w14:textId="77777777" w:rsidR="00430CA6" w:rsidRPr="008034CE" w:rsidRDefault="00430CA6" w:rsidP="007B588E">
      <w:pPr>
        <w:pStyle w:val="Normalrecommendationtext"/>
      </w:pPr>
      <w:r w:rsidRPr="008034CE">
        <w:t>The NDIA should commit to publishing a three-year work plan to implement key reforms arising from the Independent Pricing Committee’s Final Report. This work plan should outline a structured schedule for reviewing specific market segments, such as therapy supports and disability support worker-related supports, at defined intervals, rather than conducting a full Annual Pricing Review each year.</w:t>
      </w:r>
    </w:p>
    <w:p w14:paraId="49224891" w14:textId="77777777" w:rsidR="00430CA6" w:rsidRPr="008034CE" w:rsidRDefault="00430CA6" w:rsidP="007B588E">
      <w:pPr>
        <w:pStyle w:val="Normalrecommendationtext"/>
      </w:pPr>
      <w:r w:rsidRPr="008034CE">
        <w:t xml:space="preserve">The work plan will serve as the primary mechanism for delivering pricing reform, allowing for targeted deep dives, piloting of differentiated pricing approaches, and consultation with stakeholders. </w:t>
      </w:r>
    </w:p>
    <w:p w14:paraId="4346BCD1" w14:textId="77777777" w:rsidR="00430CA6" w:rsidRPr="008034CE" w:rsidRDefault="00430CA6" w:rsidP="00430CA6">
      <w:pPr>
        <w:pStyle w:val="Heading4"/>
      </w:pPr>
      <w:bookmarkStart w:id="21" w:name="_Toc200103430"/>
      <w:bookmarkStart w:id="22" w:name="_Toc200271545"/>
      <w:r w:rsidRPr="008034CE">
        <w:t>Timing of the Release of the APR</w:t>
      </w:r>
      <w:bookmarkEnd w:id="21"/>
      <w:bookmarkEnd w:id="22"/>
    </w:p>
    <w:p w14:paraId="0BC6651C" w14:textId="77777777" w:rsidR="00430CA6" w:rsidRPr="008034CE" w:rsidRDefault="00430CA6" w:rsidP="00430CA6">
      <w:r w:rsidRPr="008034CE">
        <w:t xml:space="preserve">The timing of the release of the APR is critical in supporting provider’s planning processes, as well as government’s planning and funding cycles. Under the current approach, the APR is released mid-year following the Fair Work Commission’s minimum wage decision, leaving little time for providers to prepare for pricing changes that take effect from 1 July. </w:t>
      </w:r>
    </w:p>
    <w:p w14:paraId="56C3D09E" w14:textId="7EDE90B8" w:rsidR="007B588E" w:rsidRDefault="007B588E">
      <w:r>
        <w:br w:type="page"/>
      </w:r>
    </w:p>
    <w:p w14:paraId="6F62B92A" w14:textId="77777777" w:rsidR="007B588E" w:rsidRPr="008034CE" w:rsidRDefault="007B588E" w:rsidP="007B588E">
      <w:r w:rsidRPr="008034CE">
        <w:lastRenderedPageBreak/>
        <w:t xml:space="preserve">To improve predictability, and aligning with the pricing reform work plan, the NDIA will shift to releasing future APRs earlier in the financial year, with timing to be set out in the three-year work plan. This change will allow for the integration of findings from initiatives such as the Quality Supports pilots, the blended payments trials and therapy pricing reform. </w:t>
      </w:r>
    </w:p>
    <w:p w14:paraId="39667FDD" w14:textId="77777777" w:rsidR="007B588E" w:rsidRPr="008034CE" w:rsidRDefault="007B588E" w:rsidP="007B588E">
      <w:pPr>
        <w:pStyle w:val="Recommendationheading"/>
      </w:pPr>
      <w:r w:rsidRPr="008034CE">
        <w:t xml:space="preserve">Recommendation 2: </w:t>
      </w:r>
    </w:p>
    <w:p w14:paraId="2C4401A6" w14:textId="77777777" w:rsidR="007B588E" w:rsidRPr="008034CE" w:rsidRDefault="007B588E" w:rsidP="007B588E">
      <w:pPr>
        <w:pStyle w:val="Normalrecommendationtext"/>
      </w:pPr>
      <w:r w:rsidRPr="008034CE">
        <w:t>The NDIA should reset the APR cycle by releasing future pricing recommendations earlier in the financial year, to support improved planning, and align with broader government planning and budget cycles. The timing of the next full pricing review will be determined based on the progress of reform initiatives and will be outlined in the NDIA Pricing Workplan.</w:t>
      </w:r>
    </w:p>
    <w:p w14:paraId="315B4F20" w14:textId="77777777" w:rsidR="007B588E" w:rsidRPr="008034CE" w:rsidRDefault="007B588E" w:rsidP="007B588E">
      <w:pPr>
        <w:pStyle w:val="Heading3"/>
      </w:pPr>
      <w:bookmarkStart w:id="23" w:name="_Toc196754565"/>
      <w:bookmarkStart w:id="24" w:name="_Toc196758206"/>
      <w:bookmarkStart w:id="25" w:name="_Toc197344282"/>
      <w:bookmarkStart w:id="26" w:name="_Toc200271546"/>
      <w:r w:rsidRPr="008034CE">
        <w:t>Nursing and Other Supports</w:t>
      </w:r>
      <w:bookmarkEnd w:id="23"/>
      <w:bookmarkEnd w:id="24"/>
      <w:bookmarkEnd w:id="25"/>
      <w:bookmarkEnd w:id="26"/>
      <w:r w:rsidRPr="008034CE">
        <w:t xml:space="preserve"> </w:t>
      </w:r>
    </w:p>
    <w:p w14:paraId="16F74C67" w14:textId="77777777" w:rsidR="007B588E" w:rsidRPr="008034CE" w:rsidRDefault="007B588E" w:rsidP="007B588E">
      <w:r w:rsidRPr="008034CE">
        <w:t xml:space="preserve">On 20 December 2024, the Fair Work Commission announced staged wage increases for aged care nurses, with changes applying to only those classified under the </w:t>
      </w:r>
      <w:r w:rsidRPr="008034CE">
        <w:rPr>
          <w:i/>
          <w:iCs/>
        </w:rPr>
        <w:t xml:space="preserve">Aged Care Award 2010. </w:t>
      </w:r>
      <w:r w:rsidRPr="008034CE">
        <w:t xml:space="preserve">These do not affect most nurses delivering NDIS-funded supports, who fall under a separate classification. </w:t>
      </w:r>
    </w:p>
    <w:p w14:paraId="283AD3BA" w14:textId="77777777" w:rsidR="007B588E" w:rsidRPr="008034CE" w:rsidRDefault="007B588E" w:rsidP="007B588E">
      <w:r w:rsidRPr="008034CE">
        <w:t xml:space="preserve">NDIS nursing price limits were set in 2019 using high-end wage benchmarks and have been indexed annually since. Current analysis shows that these rates remain 3.5 to 24.5% above the updated Award wages from March 2025, suggesting they remain sufficient to attract and retain nursing staff. </w:t>
      </w:r>
    </w:p>
    <w:p w14:paraId="73D944E8" w14:textId="77777777" w:rsidR="007B588E" w:rsidRPr="008034CE" w:rsidRDefault="007B588E" w:rsidP="007B588E">
      <w:r w:rsidRPr="008034CE">
        <w:t xml:space="preserve">For other supports not covered by the DSW Cost Model, including nursing and selected community-based services, indexation is based on a weighted combination of Wage Price Index (WPI) and Consumer Price Index (CPI). This approach does not apply to Capital, Plan Management, Therapy, or Support Coordination.  </w:t>
      </w:r>
    </w:p>
    <w:p w14:paraId="71357D47" w14:textId="77777777" w:rsidR="007B588E" w:rsidRPr="008034CE" w:rsidRDefault="007B588E" w:rsidP="00E15C52">
      <w:pPr>
        <w:pStyle w:val="Recommendationheading"/>
      </w:pPr>
      <w:r w:rsidRPr="008034CE">
        <w:t xml:space="preserve">Recommendation 3: </w:t>
      </w:r>
    </w:p>
    <w:p w14:paraId="2C13F685" w14:textId="77777777" w:rsidR="007B588E" w:rsidRPr="008034CE" w:rsidRDefault="007B588E" w:rsidP="00414967">
      <w:pPr>
        <w:pStyle w:val="Normalrecommendationtext"/>
      </w:pPr>
      <w:r w:rsidRPr="008034CE">
        <w:t xml:space="preserve">The NDIA should increase the price limits for nursing and other supports not covered by Disability Support Worker-related supports, Capital supports or otherwise covered in the APR, effective 1 July 2025. This adjustment should reflect the weighted movement in the Australian Bureau of Statistics Wage Price Index (Australia, total hourly rates of pay excluding bonuses) and the Australian Bureau of Statistics Consumer Price Index (All Groups, weighted average of eight capital cities) over the 12 months to the March Quarter immediately preceding the indexation data (with an 80/20 weighting). </w:t>
      </w:r>
    </w:p>
    <w:p w14:paraId="3B62E7D8" w14:textId="1C0AB9D9" w:rsidR="00414967" w:rsidRDefault="00414967">
      <w:r>
        <w:br w:type="page"/>
      </w:r>
    </w:p>
    <w:p w14:paraId="51B373AD" w14:textId="77777777" w:rsidR="00414967" w:rsidRPr="008034CE" w:rsidRDefault="00414967" w:rsidP="00414967">
      <w:pPr>
        <w:pStyle w:val="Heading3"/>
      </w:pPr>
      <w:bookmarkStart w:id="27" w:name="_Toc196754566"/>
      <w:bookmarkStart w:id="28" w:name="_Toc196758207"/>
      <w:bookmarkStart w:id="29" w:name="_Toc197344283"/>
      <w:bookmarkStart w:id="30" w:name="_Toc200271547"/>
      <w:r w:rsidRPr="008034CE">
        <w:lastRenderedPageBreak/>
        <w:t>Disability Support Worker-related Supports</w:t>
      </w:r>
      <w:bookmarkEnd w:id="27"/>
      <w:bookmarkEnd w:id="28"/>
      <w:bookmarkEnd w:id="29"/>
      <w:bookmarkEnd w:id="30"/>
      <w:r w:rsidRPr="008034CE">
        <w:t xml:space="preserve"> </w:t>
      </w:r>
    </w:p>
    <w:p w14:paraId="6C698717" w14:textId="77777777" w:rsidR="00414967" w:rsidRPr="008034CE" w:rsidRDefault="00414967" w:rsidP="00414967">
      <w:r w:rsidRPr="008034CE">
        <w:t xml:space="preserve">Between July and December 2024, 301,964 participants claimed at least one DSW-related support, representing 44% of all active participants. Over the same period, 136,864 providers delivered DSW supports, up from 122,857 in the six months to December 2023. Total payments reached $15 billion, accounting for 65.5% of all NDIS expenditure. </w:t>
      </w:r>
    </w:p>
    <w:p w14:paraId="277075FE" w14:textId="77777777" w:rsidR="00414967" w:rsidRPr="008034CE" w:rsidRDefault="00414967" w:rsidP="00414967">
      <w:r w:rsidRPr="008034CE">
        <w:t xml:space="preserve">The provider market is diverse. While companies made up 18% of all active providers, they delivered $11.6 billion in supports, with claim revenues averaging $480,754 per provider. In contrast, sole traders represent 77% of active providers, but accounted for only $2.2 billion in claims, with claim revenues averaging $21,214 per provider. This dual structure reflects a diverse market where smaller-scale providers coexist alongside a smaller group of large providers, who continue to service a high volume of participants. </w:t>
      </w:r>
    </w:p>
    <w:p w14:paraId="206B55D6" w14:textId="77777777" w:rsidR="00414967" w:rsidRPr="008034CE" w:rsidRDefault="00414967" w:rsidP="00414967">
      <w:r w:rsidRPr="008034CE">
        <w:t xml:space="preserve">The mix of registered and unregistered providers is shifting. </w:t>
      </w:r>
    </w:p>
    <w:p w14:paraId="50C8ADEF" w14:textId="77777777" w:rsidR="00414967" w:rsidRPr="008034CE" w:rsidRDefault="00414967" w:rsidP="002441B8">
      <w:pPr>
        <w:pStyle w:val="ListParagraph"/>
        <w:numPr>
          <w:ilvl w:val="0"/>
          <w:numId w:val="12"/>
        </w:numPr>
        <w:spacing w:line="288" w:lineRule="auto"/>
      </w:pPr>
      <w:r w:rsidRPr="008034CE">
        <w:t xml:space="preserve">Amongst registered providers, total payments rose by 14% to $10.7 billion, while provider numbers increased by 20% to 10,443. This led to a decline in average claims per provider from $1.1 million to $1.0 million. </w:t>
      </w:r>
    </w:p>
    <w:p w14:paraId="3DC596B2" w14:textId="77777777" w:rsidR="00414967" w:rsidRPr="008034CE" w:rsidRDefault="00414967" w:rsidP="002441B8">
      <w:pPr>
        <w:pStyle w:val="ListParagraph"/>
        <w:numPr>
          <w:ilvl w:val="0"/>
          <w:numId w:val="12"/>
        </w:numPr>
        <w:spacing w:line="288" w:lineRule="auto"/>
      </w:pPr>
      <w:r w:rsidRPr="008034CE">
        <w:t xml:space="preserve">Amongst unregistered providers, payment grew 17% to $4.2 billion, while provider numbers rose 11% to 127,217 – resulting in a 6% increase in average claims to $33,214. </w:t>
      </w:r>
    </w:p>
    <w:p w14:paraId="60330194" w14:textId="77777777" w:rsidR="00414967" w:rsidRPr="008034CE" w:rsidRDefault="00414967" w:rsidP="00414967">
      <w:r w:rsidRPr="008034CE">
        <w:t xml:space="preserve">Whilst most claims for DSW providers were made at the price limit (63% of total claims in the six months to December 2024), 68% of registered providers were charging at the NDIS price limit compared to 55% of unregistered providers over this same </w:t>
      </w:r>
      <w:proofErr w:type="gramStart"/>
      <w:r w:rsidRPr="008034CE">
        <w:t>time period</w:t>
      </w:r>
      <w:proofErr w:type="gramEnd"/>
      <w:r w:rsidRPr="008034CE">
        <w:t>.</w:t>
      </w:r>
      <w:r w:rsidRPr="008034CE" w:rsidDel="002F3BE4">
        <w:t xml:space="preserve"> </w:t>
      </w:r>
      <w:r w:rsidRPr="008034CE">
        <w:t xml:space="preserve">This pricing behaviour, combined with the shift toward smaller providers, suggests that current pricing arrangements may be disincentivising service models that invest in workforce development, clinical governance and multidisciplinary coordination. </w:t>
      </w:r>
    </w:p>
    <w:p w14:paraId="1FD07F95" w14:textId="77777777" w:rsidR="00414967" w:rsidRPr="008034CE" w:rsidRDefault="00414967" w:rsidP="00414967">
      <w:r w:rsidRPr="008034CE">
        <w:t xml:space="preserve">Provider growth has been particularly pronounced in remote and very remote areas, largely by unregistered providers. Between January 2022 and December 2024, the number of unregistered providers in remote areas increased from 1,020 to 1,991, while those in very remote area rose from 473 to 757. Over the same period, the market share of the top 10 providers in remote areas fell from 43% to 28%, and from 36% to 27% in very remote areas. </w:t>
      </w:r>
    </w:p>
    <w:p w14:paraId="628888CE" w14:textId="13C87319" w:rsidR="00414967" w:rsidRDefault="00414967">
      <w:r>
        <w:br w:type="page"/>
      </w:r>
    </w:p>
    <w:p w14:paraId="57ED1709" w14:textId="77777777" w:rsidR="00414967" w:rsidRPr="008034CE" w:rsidRDefault="00414967" w:rsidP="00414967">
      <w:pPr>
        <w:pStyle w:val="Heading4"/>
      </w:pPr>
      <w:bookmarkStart w:id="31" w:name="_Toc200103433"/>
      <w:bookmarkStart w:id="32" w:name="_Toc200271548"/>
      <w:r w:rsidRPr="008034CE">
        <w:lastRenderedPageBreak/>
        <w:t>DSW Cost Model Indexation</w:t>
      </w:r>
      <w:bookmarkEnd w:id="31"/>
      <w:bookmarkEnd w:id="32"/>
    </w:p>
    <w:p w14:paraId="3D999E38" w14:textId="77777777" w:rsidR="00414967" w:rsidRPr="008034CE" w:rsidRDefault="00414967" w:rsidP="00414967">
      <w:r w:rsidRPr="008034CE">
        <w:t xml:space="preserve">The DSW Cost Model links price limits to wage rates established under the </w:t>
      </w:r>
      <w:r w:rsidRPr="008034CE">
        <w:rPr>
          <w:i/>
          <w:iCs/>
        </w:rPr>
        <w:t>Social, Community, Home Care and Disability Services</w:t>
      </w:r>
      <w:r w:rsidRPr="008034CE">
        <w:rPr>
          <w:i/>
        </w:rPr>
        <w:t xml:space="preserve"> </w:t>
      </w:r>
      <w:r w:rsidRPr="008034CE">
        <w:rPr>
          <w:i/>
          <w:iCs/>
        </w:rPr>
        <w:t>Industry Award 2010</w:t>
      </w:r>
      <w:r w:rsidRPr="008034CE">
        <w:t xml:space="preserve"> (SCHADS Award) and adjusts them annually for Fair Work Commission adjustments. This ensures that providers </w:t>
      </w:r>
      <w:proofErr w:type="gramStart"/>
      <w:r w:rsidRPr="008034CE">
        <w:t>are able to</w:t>
      </w:r>
      <w:proofErr w:type="gramEnd"/>
      <w:r w:rsidRPr="008034CE">
        <w:t xml:space="preserve"> meet minimum DSW legal entitlements. The NDIA also considers broader changes, such as Award reviews, sector comparisons, and National Employment Standards when setting price limits.</w:t>
      </w:r>
    </w:p>
    <w:p w14:paraId="49579E0A" w14:textId="77777777" w:rsidR="00414967" w:rsidRPr="008034CE" w:rsidRDefault="00414967" w:rsidP="00414967">
      <w:pPr>
        <w:pStyle w:val="Recommendationheading"/>
      </w:pPr>
      <w:r w:rsidRPr="008034CE">
        <w:t xml:space="preserve">Recommendation 4: </w:t>
      </w:r>
    </w:p>
    <w:p w14:paraId="4156BB5A" w14:textId="77777777" w:rsidR="00414967" w:rsidRPr="008034CE" w:rsidRDefault="00414967" w:rsidP="00414967">
      <w:pPr>
        <w:pStyle w:val="Normalrecommendationtext"/>
      </w:pPr>
      <w:r w:rsidRPr="008034CE">
        <w:t xml:space="preserve">The NDIA should adjust the price limits for supports determined by the NDIS Disability Support Worker Cost Model, effective 1 July 2025. This adjustment should reflect changes in the minimum wage specified in the </w:t>
      </w:r>
      <w:r w:rsidRPr="008034CE">
        <w:rPr>
          <w:i/>
        </w:rPr>
        <w:t>Social, Community, Home Care, and Disability Services Industry Award</w:t>
      </w:r>
      <w:r w:rsidRPr="008034CE">
        <w:rPr>
          <w:i/>
          <w:iCs/>
        </w:rPr>
        <w:t xml:space="preserve"> 2010</w:t>
      </w:r>
      <w:r w:rsidRPr="008034CE">
        <w:t>, as determined by the Fair Work Commission’s Annual Wage Review, along with any increase in the Superannuation Guarantee.</w:t>
      </w:r>
    </w:p>
    <w:p w14:paraId="375E3DBE" w14:textId="77777777" w:rsidR="00414967" w:rsidRPr="008034CE" w:rsidRDefault="00414967" w:rsidP="00414967">
      <w:pPr>
        <w:pStyle w:val="Heading3"/>
      </w:pPr>
      <w:bookmarkStart w:id="33" w:name="_Toc196754570"/>
      <w:bookmarkStart w:id="34" w:name="_Toc196754572"/>
      <w:bookmarkStart w:id="35" w:name="_Toc196754573"/>
      <w:bookmarkStart w:id="36" w:name="_Toc196758208"/>
      <w:bookmarkStart w:id="37" w:name="_Toc197344284"/>
      <w:bookmarkStart w:id="38" w:name="_Toc200271549"/>
      <w:bookmarkEnd w:id="33"/>
      <w:bookmarkEnd w:id="34"/>
      <w:r w:rsidRPr="008034CE">
        <w:t>Therapy Supports</w:t>
      </w:r>
      <w:bookmarkEnd w:id="35"/>
      <w:bookmarkEnd w:id="36"/>
      <w:bookmarkEnd w:id="37"/>
      <w:bookmarkEnd w:id="38"/>
      <w:r w:rsidRPr="008034CE">
        <w:t xml:space="preserve"> </w:t>
      </w:r>
    </w:p>
    <w:p w14:paraId="357377E4" w14:textId="77777777" w:rsidR="00414967" w:rsidRPr="008034CE" w:rsidRDefault="00414967" w:rsidP="00414967">
      <w:r w:rsidRPr="008034CE">
        <w:t xml:space="preserve">Between July and December 2024, 412,945 participants accessed at least one therapy support, with $2.4 billion in payments representing around 11% of total Scheme expenditure. Over the same period, the number of active therapy providers rose by 5% to 55,730. </w:t>
      </w:r>
    </w:p>
    <w:p w14:paraId="29CB45D0" w14:textId="77777777" w:rsidR="00414967" w:rsidRPr="008034CE" w:rsidRDefault="00414967" w:rsidP="00414967">
      <w:r w:rsidRPr="008034CE">
        <w:t xml:space="preserve">While this growth reflects increasing demand and market expansion, delivery of therapy supports remains highly concentrated. Five types of therapy, occupational therapy, early childhood, behaviour support, speech pathology, and physiotherapy, accounted for 75% of all therapy expenditure. </w:t>
      </w:r>
    </w:p>
    <w:p w14:paraId="76420A2F" w14:textId="77777777" w:rsidR="00414967" w:rsidRPr="008034CE" w:rsidRDefault="00414967" w:rsidP="00414967">
      <w:r w:rsidRPr="008034CE">
        <w:t xml:space="preserve">Provider growth has been concentrated at the lower volume end of the market. In the six months to December 2024, 65% of therapy providers supported five or fewer participants and collectively claimed just 5% of therapy payments. Comparatively, less than 1% of providers (441 providers) who supported over 250 participants accounted for more than 40% of total therapy payments over this same period. </w:t>
      </w:r>
    </w:p>
    <w:p w14:paraId="5E8DB42B" w14:textId="4998D16A" w:rsidR="00FF3719" w:rsidRDefault="00414967" w:rsidP="00414967">
      <w:r w:rsidRPr="008034CE">
        <w:t xml:space="preserve">The provider base is increasingly being separated into small-scale, low-overhead unregistered providers and a small number of larger registered providers with greater infrastructure and clinical governance capabilities. </w:t>
      </w:r>
    </w:p>
    <w:p w14:paraId="06A69F76" w14:textId="77777777" w:rsidR="00FF3719" w:rsidRDefault="00FF3719">
      <w:pPr>
        <w:spacing w:before="120" w:after="120"/>
      </w:pPr>
      <w:r>
        <w:br w:type="page"/>
      </w:r>
    </w:p>
    <w:p w14:paraId="7D45C2A3" w14:textId="77777777" w:rsidR="00414967" w:rsidRPr="008034CE" w:rsidRDefault="00414967" w:rsidP="002441B8">
      <w:pPr>
        <w:pStyle w:val="ListParagraph"/>
        <w:numPr>
          <w:ilvl w:val="0"/>
          <w:numId w:val="13"/>
        </w:numPr>
        <w:spacing w:line="288" w:lineRule="auto"/>
      </w:pPr>
      <w:r w:rsidRPr="008034CE">
        <w:lastRenderedPageBreak/>
        <w:t xml:space="preserve">Unregistered providers now represent nearly 90% of therapy providers but deliver just 38% of total payments, with an average claimed amount of $18,647 per provider. </w:t>
      </w:r>
    </w:p>
    <w:p w14:paraId="44AF5CB0" w14:textId="77777777" w:rsidR="00414967" w:rsidRPr="008034CE" w:rsidRDefault="00414967" w:rsidP="002441B8">
      <w:pPr>
        <w:pStyle w:val="ListParagraph"/>
        <w:numPr>
          <w:ilvl w:val="0"/>
          <w:numId w:val="13"/>
        </w:numPr>
        <w:spacing w:line="288" w:lineRule="auto"/>
      </w:pPr>
      <w:r w:rsidRPr="008034CE">
        <w:t xml:space="preserve">Registered providers delivered 62% of total therapy spend in the six months to December 2024, representing a decline of 2%, and an average amount claimed of $206,626 per provider. </w:t>
      </w:r>
    </w:p>
    <w:p w14:paraId="1683B404" w14:textId="5289DCDD" w:rsidR="00414967" w:rsidRPr="008034CE" w:rsidRDefault="00414967" w:rsidP="00414967">
      <w:r w:rsidRPr="008034CE">
        <w:t>A similar pattern exists with legal entity type, with companies accounting for 31% of</w:t>
      </w:r>
      <w:r w:rsidR="007E0103">
        <w:t> </w:t>
      </w:r>
      <w:r w:rsidRPr="008034CE">
        <w:t xml:space="preserve">providers but receiving over 70% of therapy payments. </w:t>
      </w:r>
    </w:p>
    <w:p w14:paraId="4AEAD5F4" w14:textId="686F8F29" w:rsidR="00EF6495" w:rsidRPr="00EF6495" w:rsidRDefault="00EF6495" w:rsidP="00EF6495">
      <w:r w:rsidRPr="00EF6495">
        <w:t xml:space="preserve">While NDIS price limits were initially set to facilitate the expansion of provider markets, the evidence confirms that some price limits are out of step with broader market rates. The NDIA has expanded its benchmarking approach to include datasets from the Medicare Benefits Schedule (MBS), Private Health Insurance </w:t>
      </w:r>
      <w:r w:rsidRPr="007E0103">
        <w:rPr>
          <w:spacing w:val="-2"/>
        </w:rPr>
        <w:t>(P</w:t>
      </w:r>
      <w:r w:rsidR="007E0103" w:rsidRPr="007E0103">
        <w:rPr>
          <w:spacing w:val="-2"/>
        </w:rPr>
        <w:t> </w:t>
      </w:r>
      <w:r w:rsidRPr="007E0103">
        <w:rPr>
          <w:spacing w:val="-2"/>
        </w:rPr>
        <w:t>H</w:t>
      </w:r>
      <w:r w:rsidR="007E0103" w:rsidRPr="007E0103">
        <w:rPr>
          <w:spacing w:val="-2"/>
        </w:rPr>
        <w:t> </w:t>
      </w:r>
      <w:r w:rsidRPr="007E0103">
        <w:rPr>
          <w:spacing w:val="-2"/>
        </w:rPr>
        <w:t xml:space="preserve">I) claims, on top of private website listings and comparable government schemes. </w:t>
      </w:r>
    </w:p>
    <w:p w14:paraId="2E1EBD18" w14:textId="6F470F15" w:rsidR="00EF6495" w:rsidRPr="00EF6495" w:rsidRDefault="00EF6495" w:rsidP="00EF6495">
      <w:r w:rsidRPr="00EF6495">
        <w:t xml:space="preserve">These sources show that several support types, including physiotherapy, dietetics, and podiatry, have NDIS price limits that exceed prevailing market rates, in some cases, up to 68%. Conversely, psychology price limits appear below market rates, particularly in metropolitan areas. </w:t>
      </w:r>
    </w:p>
    <w:p w14:paraId="6C49182F" w14:textId="77777777" w:rsidR="00EF6495" w:rsidRPr="00EF6495" w:rsidRDefault="00EF6495" w:rsidP="00EF6495">
      <w:r w:rsidRPr="00EF6495">
        <w:t xml:space="preserve">These external benchmarks were used as reference points for the purpose of this price review. The NDIA compared NDIS price limits to the 75th percentile of observed market rates in MBS and P H I datasets to assess relative positioning and identify areas of material misalignment. </w:t>
      </w:r>
    </w:p>
    <w:p w14:paraId="4B31B471" w14:textId="06CB7679" w:rsidR="00EF6495" w:rsidRPr="00EF6495" w:rsidRDefault="00EF6495" w:rsidP="00EF6495">
      <w:r w:rsidRPr="00EF6495">
        <w:t>Benchmarking is one input among many, including participant outcomes, market structure, and workforce conditions, used to guide NDIS pricing decisions. This is not</w:t>
      </w:r>
      <w:r w:rsidR="007E0103">
        <w:t> </w:t>
      </w:r>
      <w:r w:rsidRPr="00EF6495">
        <w:t xml:space="preserve">a fixed percentile approach, but a first step of a broader therapy methodology improvement. An appropriate pricing approach will be developed in the future therapy review. </w:t>
      </w:r>
    </w:p>
    <w:p w14:paraId="29418F46" w14:textId="2070281E" w:rsidR="00227C14" w:rsidRPr="00EF6495" w:rsidRDefault="00EF6495" w:rsidP="00EF6495">
      <w:r w:rsidRPr="00EF6495">
        <w:t>A flat hourly NDIS therapy price limit of $193.99 per hour for most therapies is no</w:t>
      </w:r>
      <w:r w:rsidR="007E0103">
        <w:t> </w:t>
      </w:r>
      <w:r w:rsidRPr="00EF6495">
        <w:t>longer considered necessary to facilitate market expansion. As the Scheme continues to mature, the Agency will explore a more differentiated pricing approaches, based on support type, service context, and evidence of market divergence. This ensures NDIS pricing achieves both access to supports and market</w:t>
      </w:r>
      <w:r>
        <w:t> </w:t>
      </w:r>
      <w:r w:rsidRPr="00EF6495">
        <w:t xml:space="preserve">sustainability. </w:t>
      </w:r>
    </w:p>
    <w:p w14:paraId="2737BADE" w14:textId="77777777" w:rsidR="00227C14" w:rsidRDefault="00227C14">
      <w:pPr>
        <w:spacing w:before="120" w:after="120"/>
      </w:pPr>
      <w:r>
        <w:br w:type="page"/>
      </w:r>
    </w:p>
    <w:p w14:paraId="53223A75" w14:textId="77777777" w:rsidR="00414967" w:rsidRPr="008034CE" w:rsidRDefault="00414967" w:rsidP="00414967">
      <w:pPr>
        <w:pStyle w:val="Heading4"/>
      </w:pPr>
      <w:bookmarkStart w:id="39" w:name="_Toc200103435"/>
      <w:bookmarkStart w:id="40" w:name="_Toc200271550"/>
      <w:r w:rsidRPr="008034CE">
        <w:lastRenderedPageBreak/>
        <w:t>Therapy Pricing Review</w:t>
      </w:r>
      <w:bookmarkEnd w:id="39"/>
      <w:bookmarkEnd w:id="40"/>
      <w:r w:rsidRPr="008034CE">
        <w:t xml:space="preserve"> </w:t>
      </w:r>
    </w:p>
    <w:p w14:paraId="76DBC25B" w14:textId="29A897C6" w:rsidR="00061110" w:rsidRPr="008034CE" w:rsidRDefault="00414967" w:rsidP="00061110">
      <w:r w:rsidRPr="008034CE">
        <w:t>There is increasing diversity in business models, practitioner types, and service delivery contexts across the therapy markets. While this reflects a maturing sector, it</w:t>
      </w:r>
      <w:r w:rsidR="00227C14">
        <w:t> </w:t>
      </w:r>
      <w:r w:rsidR="00061110" w:rsidRPr="008034CE">
        <w:t xml:space="preserve">also highlights emerging challenges with the alignment between current price limits and the way therapy supports are being delivered in practice. </w:t>
      </w:r>
    </w:p>
    <w:p w14:paraId="67BC16F7" w14:textId="77777777" w:rsidR="00061110" w:rsidRPr="008034CE" w:rsidRDefault="00061110" w:rsidP="00061110">
      <w:r w:rsidRPr="008034CE">
        <w:t xml:space="preserve">To ensure pricing continues to support participant outcomes, provider sustainability, and service quality, the NDIA will review therapy pricing. This review will assess whether existing price limits remain fit for purpose and will inform the development of differentiated pricing approaches aligned with the framework proposed by the IPC. </w:t>
      </w:r>
    </w:p>
    <w:p w14:paraId="35C9EFF3" w14:textId="77777777" w:rsidR="00061110" w:rsidRPr="00285216" w:rsidRDefault="00061110" w:rsidP="00285216">
      <w:r w:rsidRPr="008034CE">
        <w:t xml:space="preserve">The review will consider factors such as practitioner qualifications, workforce availability, service settings, regulatory obligations, and the nature of participant outcomes achieved. It will be informed by sector consultations and analysis of </w:t>
      </w:r>
      <w:r w:rsidRPr="00285216">
        <w:t xml:space="preserve">provider and market data. </w:t>
      </w:r>
    </w:p>
    <w:p w14:paraId="2FD0FD40" w14:textId="7F905AE9" w:rsidR="00285216" w:rsidRPr="00285216" w:rsidRDefault="00285216" w:rsidP="00285216">
      <w:r w:rsidRPr="00285216">
        <w:t>The review will be conducted over an 18-month period, with findings and recommendations to be finalised by late 2026. These will inform the next pricing reset for therapy supports as part of the 2026-27 APR.</w:t>
      </w:r>
    </w:p>
    <w:p w14:paraId="6F2B3EC4" w14:textId="77777777" w:rsidR="00061110" w:rsidRPr="008034CE" w:rsidRDefault="00061110" w:rsidP="00061110">
      <w:pPr>
        <w:pStyle w:val="Recommendationheading"/>
      </w:pPr>
      <w:r w:rsidRPr="008034CE">
        <w:t>Recommendation 5:</w:t>
      </w:r>
    </w:p>
    <w:p w14:paraId="6913CC9A" w14:textId="77777777" w:rsidR="00061110" w:rsidRPr="008034CE" w:rsidRDefault="00061110" w:rsidP="00061110">
      <w:pPr>
        <w:pStyle w:val="Normalrecommendationtext"/>
      </w:pPr>
      <w:r w:rsidRPr="008034CE">
        <w:t xml:space="preserve">The NDIA should review therapy pricing to assess whether current price limits and market settings remain appropriate for therapy types. This work will inform the development of differentiated pricing approaches consistent with the framework outlined by the IPC. </w:t>
      </w:r>
    </w:p>
    <w:p w14:paraId="379D2343" w14:textId="77777777" w:rsidR="00061110" w:rsidRPr="008034CE" w:rsidRDefault="00061110" w:rsidP="00061110">
      <w:pPr>
        <w:pStyle w:val="Heading4"/>
      </w:pPr>
      <w:bookmarkStart w:id="41" w:name="_Toc200103436"/>
      <w:bookmarkStart w:id="42" w:name="_Toc200271551"/>
      <w:r w:rsidRPr="008034CE">
        <w:t>Removal of State and Territory Special Pricing Arrangements</w:t>
      </w:r>
      <w:bookmarkEnd w:id="41"/>
      <w:bookmarkEnd w:id="42"/>
      <w:r w:rsidRPr="008034CE">
        <w:t xml:space="preserve"> </w:t>
      </w:r>
    </w:p>
    <w:p w14:paraId="6BCD2C15" w14:textId="77777777" w:rsidR="00285216" w:rsidRPr="00285216" w:rsidRDefault="00285216" w:rsidP="00285216">
      <w:r w:rsidRPr="00285216">
        <w:t>The existing jurisdictional price premiums for psychology and physiotherapy were introduced in 2019 based on evidence at the time, that indicated market prices were higher in Western Australia (W</w:t>
      </w:r>
      <w:r w:rsidRPr="00285216">
        <w:rPr>
          <w:spacing w:val="-60"/>
        </w:rPr>
        <w:t xml:space="preserve"> </w:t>
      </w:r>
      <w:r w:rsidRPr="00285216">
        <w:t>A), South Australia (S</w:t>
      </w:r>
      <w:r w:rsidRPr="00285216">
        <w:rPr>
          <w:spacing w:val="-60"/>
        </w:rPr>
        <w:t xml:space="preserve"> </w:t>
      </w:r>
      <w:r w:rsidRPr="00285216">
        <w:t xml:space="preserve">A), Northern Territory (NT), and Tasmania (TAS) (2019 Review of NDIS Therapy Pricing Arrangements). The original therapy review found no statistically conclusive cost differences but introduced higher limits in select jurisdictions to support market development in consideration of data limitations. These premiums were not intended to be permanent and were to be reviewed once better data became available. </w:t>
      </w:r>
    </w:p>
    <w:p w14:paraId="39210210" w14:textId="77777777" w:rsidR="00285216" w:rsidRPr="00285216" w:rsidRDefault="00285216" w:rsidP="00285216">
      <w:r w:rsidRPr="00285216">
        <w:t>The most recent benchmarking results do not support maintaining higher NDIS price limits for Physiotherapy and Psychology in W</w:t>
      </w:r>
      <w:r w:rsidRPr="00285216">
        <w:rPr>
          <w:spacing w:val="-60"/>
        </w:rPr>
        <w:t xml:space="preserve"> </w:t>
      </w:r>
      <w:r w:rsidRPr="00285216">
        <w:t>A, S</w:t>
      </w:r>
      <w:r w:rsidRPr="00285216">
        <w:rPr>
          <w:spacing w:val="-60"/>
        </w:rPr>
        <w:t xml:space="preserve"> </w:t>
      </w:r>
      <w:r w:rsidRPr="00285216">
        <w:t>A, NT, and TAS. P</w:t>
      </w:r>
      <w:r w:rsidRPr="00285216">
        <w:rPr>
          <w:spacing w:val="-60"/>
        </w:rPr>
        <w:t xml:space="preserve"> </w:t>
      </w:r>
      <w:r w:rsidRPr="00285216">
        <w:t>H</w:t>
      </w:r>
      <w:r w:rsidRPr="00285216">
        <w:rPr>
          <w:spacing w:val="-60"/>
        </w:rPr>
        <w:t xml:space="preserve"> </w:t>
      </w:r>
      <w:r w:rsidRPr="00285216">
        <w:t>I and MBS data show that 75</w:t>
      </w:r>
      <w:r w:rsidRPr="00285216">
        <w:rPr>
          <w:vertAlign w:val="superscript"/>
        </w:rPr>
        <w:t>th</w:t>
      </w:r>
      <w:r w:rsidRPr="00285216">
        <w:t xml:space="preserve"> percentile rates and session patterns are consistent across all jurisdictions, with no evidence of higher costs in these states and territories that justify the existing price premium. </w:t>
      </w:r>
    </w:p>
    <w:p w14:paraId="29A745BE" w14:textId="491B47B7" w:rsidR="00061110" w:rsidRPr="008034CE" w:rsidRDefault="00285216" w:rsidP="00061110">
      <w:r w:rsidRPr="00285216">
        <w:lastRenderedPageBreak/>
        <w:t>A single national price limit would better reflect observed market conditions, support equity, and simplify administration without compromising support availability. Remote and very remote loadings of 40% and 50% will remain to support participants in those regions.</w:t>
      </w:r>
      <w:r>
        <w:t xml:space="preserve"> </w:t>
      </w:r>
      <w:r w:rsidR="00061110" w:rsidRPr="008034CE">
        <w:t xml:space="preserve"> </w:t>
      </w:r>
    </w:p>
    <w:p w14:paraId="112B54A8" w14:textId="77777777" w:rsidR="00061110" w:rsidRPr="008034CE" w:rsidRDefault="00061110" w:rsidP="00061110">
      <w:pPr>
        <w:pStyle w:val="Recommendationheading"/>
      </w:pPr>
      <w:r w:rsidRPr="008034CE">
        <w:t>Recommendation 6:</w:t>
      </w:r>
    </w:p>
    <w:p w14:paraId="465B6136" w14:textId="77777777" w:rsidR="00061110" w:rsidRPr="008034CE" w:rsidRDefault="00061110" w:rsidP="00061110">
      <w:pPr>
        <w:pStyle w:val="Normalrecommendationtext"/>
      </w:pPr>
      <w:r w:rsidRPr="008034CE">
        <w:t xml:space="preserve">The NDIA should remove the state and territory differentiated pricing arrangement for supports delivered by a Physiotherapists and Psychologists from 1 July 2025. The hourly price limits for Physiotherapists and Psychologists in Western Australia, South Australia, Northern Territory, and Tasmania should be aligned with the corresponding price limits in New South Wales, Victoria, Queensland and Australian Capital Territory, establishing a national price limit from 1 July 2025. </w:t>
      </w:r>
    </w:p>
    <w:p w14:paraId="3AAD2697" w14:textId="77777777" w:rsidR="00061110" w:rsidRPr="008034CE" w:rsidRDefault="00061110" w:rsidP="00061110">
      <w:pPr>
        <w:pStyle w:val="Normalrecommendationtext"/>
      </w:pPr>
      <w:r w:rsidRPr="008034CE">
        <w:t xml:space="preserve">In Financial Year 24-25 terms, the national price limit for supports delivered by a </w:t>
      </w:r>
      <w:proofErr w:type="gramStart"/>
      <w:r w:rsidRPr="008034CE">
        <w:t>Psychologist</w:t>
      </w:r>
      <w:proofErr w:type="gramEnd"/>
      <w:r w:rsidRPr="008034CE">
        <w:t xml:space="preserve"> would have been $222.99 per hour, and the national price limit for supports delivered by a Physiotherapist would have been $193.99 per hour.</w:t>
      </w:r>
    </w:p>
    <w:p w14:paraId="1FAE3DC2" w14:textId="77777777" w:rsidR="00061110" w:rsidRPr="008034CE" w:rsidRDefault="00061110" w:rsidP="00061110">
      <w:pPr>
        <w:pStyle w:val="Heading4"/>
      </w:pPr>
      <w:bookmarkStart w:id="43" w:name="_Toc200103437"/>
      <w:bookmarkStart w:id="44" w:name="_Toc200271552"/>
      <w:r w:rsidRPr="008034CE">
        <w:t>Psychologist Price Limits</w:t>
      </w:r>
      <w:bookmarkEnd w:id="43"/>
      <w:bookmarkEnd w:id="44"/>
    </w:p>
    <w:p w14:paraId="7A83F937" w14:textId="77777777" w:rsidR="00061110" w:rsidRPr="008034CE" w:rsidRDefault="00061110" w:rsidP="00061110">
      <w:r w:rsidRPr="008034CE">
        <w:t>Benchmarking results support an increase to the NDIS price limit for Psychology. The current price limit of $222.99 per hour falls below the implied hourly rates at the 75</w:t>
      </w:r>
      <w:r w:rsidRPr="008034CE">
        <w:rPr>
          <w:vertAlign w:val="superscript"/>
        </w:rPr>
        <w:t>th</w:t>
      </w:r>
      <w:r w:rsidRPr="008034CE">
        <w:t xml:space="preserve"> percentile for both P</w:t>
      </w:r>
      <w:r w:rsidRPr="008034CE">
        <w:rPr>
          <w:spacing w:val="-60"/>
        </w:rPr>
        <w:t xml:space="preserve"> </w:t>
      </w:r>
      <w:r w:rsidRPr="008034CE">
        <w:t>H</w:t>
      </w:r>
      <w:r w:rsidRPr="008034CE">
        <w:rPr>
          <w:spacing w:val="-60"/>
        </w:rPr>
        <w:t xml:space="preserve"> </w:t>
      </w:r>
      <w:r w:rsidRPr="008034CE">
        <w:t xml:space="preserve">I ($247.00) and MBS ($251.00) data for a 60-minute session. Raising the price limit would align NDIS price limits with typical market rates, support access to qualified psychologists, and help maintain timely, high-quality care for participants. </w:t>
      </w:r>
    </w:p>
    <w:p w14:paraId="33FCA699" w14:textId="77777777" w:rsidR="00061110" w:rsidRPr="008034CE" w:rsidRDefault="00061110" w:rsidP="00061110">
      <w:r w:rsidRPr="008034CE">
        <w:t>It is recommended that the NDIA should increase the price limit to bring it into closer alignment with broader rates. Given the pricing methodology is new, it is recommended that price limits are adjusted incrementally, with a need for future therapy deep dives to investigate further adjustment to ensure appropriateness against prevailing market rates.</w:t>
      </w:r>
    </w:p>
    <w:p w14:paraId="7E8FF98B" w14:textId="77777777" w:rsidR="00061110" w:rsidRPr="008034CE" w:rsidRDefault="00061110" w:rsidP="00061110">
      <w:pPr>
        <w:pStyle w:val="Recommendationheading"/>
      </w:pPr>
      <w:r w:rsidRPr="008034CE">
        <w:t>Recommendation 7:</w:t>
      </w:r>
    </w:p>
    <w:p w14:paraId="74655203" w14:textId="77777777" w:rsidR="00061110" w:rsidRPr="008034CE" w:rsidRDefault="00061110" w:rsidP="00061110">
      <w:pPr>
        <w:pStyle w:val="Normalrecommendationtext"/>
      </w:pPr>
      <w:r w:rsidRPr="008034CE">
        <w:t>The NDIA should increase the national price limit for supports delivered by a psychologist by $10 to a new national price limit of $232.99 per hour on 1 July 2025. This increase will apply uniformly across all jurisdictions. When combined with the removal of jurisdictional loadings, will result in a net reduction in price limits of $11.23 for Psychologists in Western Australia, South Australia, Northern Territory, and Tasmania.</w:t>
      </w:r>
    </w:p>
    <w:p w14:paraId="6E083B7E" w14:textId="77777777" w:rsidR="00061110" w:rsidRPr="008034CE" w:rsidRDefault="00061110" w:rsidP="00061110">
      <w:pPr>
        <w:pStyle w:val="Heading4"/>
      </w:pPr>
      <w:bookmarkStart w:id="45" w:name="_Toc200103438"/>
      <w:bookmarkStart w:id="46" w:name="_Toc200271553"/>
      <w:r w:rsidRPr="008034CE">
        <w:lastRenderedPageBreak/>
        <w:t>Physiotherapist Price Limits</w:t>
      </w:r>
      <w:bookmarkEnd w:id="45"/>
      <w:bookmarkEnd w:id="46"/>
    </w:p>
    <w:p w14:paraId="287AED09" w14:textId="497B09C8" w:rsidR="00B03FFA" w:rsidRPr="008034CE" w:rsidRDefault="00B03FFA" w:rsidP="00B03FFA">
      <w:r w:rsidRPr="008034CE">
        <w:t>Benchmarking results show the current NDIS price limit for Physiotherapy significantly exceeds prevailing market rates. The NDIS hourly price limit of $193.99 (or $224.62 in W</w:t>
      </w:r>
      <w:r w:rsidRPr="008034CE">
        <w:rPr>
          <w:spacing w:val="-60"/>
        </w:rPr>
        <w:t xml:space="preserve"> </w:t>
      </w:r>
      <w:r w:rsidRPr="008034CE">
        <w:t>A, S</w:t>
      </w:r>
      <w:r w:rsidRPr="008034CE">
        <w:rPr>
          <w:spacing w:val="-60"/>
        </w:rPr>
        <w:t xml:space="preserve"> </w:t>
      </w:r>
      <w:r w:rsidRPr="008034CE">
        <w:t xml:space="preserve">A, NT and TAS) is </w:t>
      </w:r>
      <w:r w:rsidR="00285216">
        <w:t>22</w:t>
      </w:r>
      <w:r w:rsidRPr="008034CE">
        <w:t>-</w:t>
      </w:r>
      <w:r w:rsidR="00285216">
        <w:t>29</w:t>
      </w:r>
      <w:r w:rsidRPr="008034CE">
        <w:t>% above MBS and P</w:t>
      </w:r>
      <w:r w:rsidRPr="008034CE">
        <w:rPr>
          <w:spacing w:val="-60"/>
        </w:rPr>
        <w:t xml:space="preserve"> </w:t>
      </w:r>
      <w:r w:rsidRPr="008034CE">
        <w:t>H</w:t>
      </w:r>
      <w:r w:rsidRPr="008034CE">
        <w:rPr>
          <w:spacing w:val="-60"/>
        </w:rPr>
        <w:t xml:space="preserve"> </w:t>
      </w:r>
      <w:r w:rsidRPr="008034CE">
        <w:t>I benchmarks in eastern states, and up to 55-68% higher in W</w:t>
      </w:r>
      <w:r w:rsidRPr="008034CE">
        <w:rPr>
          <w:spacing w:val="-60"/>
        </w:rPr>
        <w:t xml:space="preserve"> </w:t>
      </w:r>
      <w:r w:rsidRPr="008034CE">
        <w:t>A, S</w:t>
      </w:r>
      <w:r w:rsidRPr="008034CE">
        <w:rPr>
          <w:spacing w:val="-60"/>
        </w:rPr>
        <w:t xml:space="preserve"> </w:t>
      </w:r>
      <w:r w:rsidRPr="008034CE">
        <w:t xml:space="preserve">A, NT, and TAS. These benchmarks are based on large billing datasets and adjusted to hourly rates using validated methods. </w:t>
      </w:r>
    </w:p>
    <w:p w14:paraId="0EE44751" w14:textId="77777777" w:rsidR="00B03FFA" w:rsidRPr="008034CE" w:rsidRDefault="00B03FFA" w:rsidP="00B03FFA">
      <w:r w:rsidRPr="008034CE">
        <w:t xml:space="preserve">Given the size and consistency of this gap, there is a strong rationale to reduce the NDIS price limit to better align with the broader market and support long-term sustainability. A gradual adjustment is proposed to minimise disruption within markets while moving toward a more appropriate price limit. </w:t>
      </w:r>
    </w:p>
    <w:p w14:paraId="6690A81E" w14:textId="77777777" w:rsidR="00B03FFA" w:rsidRPr="008034CE" w:rsidRDefault="00B03FFA" w:rsidP="00B03FFA">
      <w:pPr>
        <w:pStyle w:val="Recommendationheading"/>
      </w:pPr>
      <w:r w:rsidRPr="008034CE">
        <w:t>Recommendation 8:</w:t>
      </w:r>
    </w:p>
    <w:p w14:paraId="568E81DB" w14:textId="49540439" w:rsidR="00B03FFA" w:rsidRPr="008034CE" w:rsidRDefault="00B03FFA" w:rsidP="00B03FFA">
      <w:pPr>
        <w:pStyle w:val="Normalrecommendationtext"/>
        <w:rPr>
          <w:b/>
        </w:rPr>
      </w:pPr>
      <w:r w:rsidRPr="008034CE">
        <w:t>The NDIA should lower the price limit for supports delivered by a Physiotherapist by $10 to a new national price limit of $183.99 per hour on 1 July 2025. This decrease will apply uniformly across all jurisdictions, and when combined with the removal of jurisdictional loadings, will result in a net reduction in price limits of $40.</w:t>
      </w:r>
      <w:r w:rsidR="008A656F">
        <w:t>63</w:t>
      </w:r>
      <w:r w:rsidRPr="008034CE">
        <w:t xml:space="preserve"> for Physiotherapists in Western Australia, South Australia, Northern Territory, and Tasmania.</w:t>
      </w:r>
    </w:p>
    <w:p w14:paraId="34188B2C" w14:textId="77777777" w:rsidR="00B03FFA" w:rsidRPr="008034CE" w:rsidRDefault="00B03FFA" w:rsidP="00B03FFA">
      <w:pPr>
        <w:pStyle w:val="Heading4"/>
      </w:pPr>
      <w:bookmarkStart w:id="47" w:name="_Toc200103439"/>
      <w:bookmarkStart w:id="48" w:name="_Toc200271554"/>
      <w:r w:rsidRPr="008034CE">
        <w:t>Dietitian Price Limits</w:t>
      </w:r>
      <w:bookmarkEnd w:id="47"/>
      <w:bookmarkEnd w:id="48"/>
    </w:p>
    <w:p w14:paraId="2C9FDDF1" w14:textId="4AE60717" w:rsidR="00B03FFA" w:rsidRPr="008034CE" w:rsidRDefault="00B03FFA" w:rsidP="00B03FFA">
      <w:r w:rsidRPr="008034CE">
        <w:t>Benchmarking results support a reduction to the NDIS price limit for Dietitian supports. The current NDIS hourly price limit of $193.99 is 1</w:t>
      </w:r>
      <w:r w:rsidR="00285216">
        <w:t>9.5</w:t>
      </w:r>
      <w:r w:rsidRPr="008034CE">
        <w:t>% above the P</w:t>
      </w:r>
      <w:r w:rsidRPr="008034CE">
        <w:rPr>
          <w:spacing w:val="-60"/>
        </w:rPr>
        <w:t xml:space="preserve"> </w:t>
      </w:r>
      <w:r w:rsidRPr="008034CE">
        <w:t>H</w:t>
      </w:r>
      <w:r w:rsidRPr="008034CE">
        <w:rPr>
          <w:spacing w:val="-60"/>
        </w:rPr>
        <w:t xml:space="preserve"> </w:t>
      </w:r>
      <w:r w:rsidRPr="008034CE">
        <w:t>I 75</w:t>
      </w:r>
      <w:r w:rsidRPr="008034CE">
        <w:rPr>
          <w:vertAlign w:val="superscript"/>
        </w:rPr>
        <w:t>th</w:t>
      </w:r>
      <w:r w:rsidRPr="008034CE">
        <w:t xml:space="preserve"> percentile ($162.30 per hour) and 3</w:t>
      </w:r>
      <w:r w:rsidR="00285216">
        <w:t>7.5</w:t>
      </w:r>
      <w:r w:rsidRPr="008034CE">
        <w:t>% above the MBS 75</w:t>
      </w:r>
      <w:r w:rsidRPr="008034CE">
        <w:rPr>
          <w:vertAlign w:val="superscript"/>
        </w:rPr>
        <w:t>th</w:t>
      </w:r>
      <w:r w:rsidRPr="008034CE">
        <w:t xml:space="preserve"> percentile ($141.10 per hour), based on large-scale billing data and adjusted for session duration. Given the size and consistency of this divergence, a gradual adjustment is proposed to minimise disruption within markets while moving toward a more appropriate price</w:t>
      </w:r>
      <w:r w:rsidR="00285216">
        <w:t> </w:t>
      </w:r>
      <w:r w:rsidRPr="008034CE">
        <w:t xml:space="preserve">limit. </w:t>
      </w:r>
    </w:p>
    <w:p w14:paraId="0C1240EB" w14:textId="77777777" w:rsidR="00B03FFA" w:rsidRPr="008034CE" w:rsidRDefault="00B03FFA" w:rsidP="00B03FFA">
      <w:pPr>
        <w:pStyle w:val="Recommendationheading"/>
      </w:pPr>
      <w:r w:rsidRPr="008034CE">
        <w:t>Recommendation 9:</w:t>
      </w:r>
    </w:p>
    <w:p w14:paraId="7F306703" w14:textId="77777777" w:rsidR="00285216" w:rsidRDefault="00B03FFA" w:rsidP="00B03FFA">
      <w:pPr>
        <w:pStyle w:val="Normalrecommendationtext"/>
      </w:pPr>
      <w:r w:rsidRPr="008034CE">
        <w:t>The NDIA should lower the price limit for supports delivered by a Dietitian by $5 to a new national price limit of $188.99 per hour on 1 July 2025.</w:t>
      </w:r>
    </w:p>
    <w:p w14:paraId="62015F01" w14:textId="77777777" w:rsidR="00285216" w:rsidRDefault="00285216">
      <w:pPr>
        <w:spacing w:before="120" w:after="120"/>
        <w:rPr>
          <w:color w:val="6B2876" w:themeColor="text1"/>
        </w:rPr>
      </w:pPr>
      <w:r>
        <w:br w:type="page"/>
      </w:r>
    </w:p>
    <w:p w14:paraId="4C3BD4A0" w14:textId="77777777" w:rsidR="00B03FFA" w:rsidRPr="008034CE" w:rsidRDefault="00B03FFA" w:rsidP="00B03FFA">
      <w:pPr>
        <w:pStyle w:val="Heading4"/>
      </w:pPr>
      <w:bookmarkStart w:id="49" w:name="_Toc200103440"/>
      <w:bookmarkStart w:id="50" w:name="_Toc200271555"/>
      <w:r w:rsidRPr="008034CE">
        <w:lastRenderedPageBreak/>
        <w:t>Podiatrist Price Limits</w:t>
      </w:r>
      <w:bookmarkEnd w:id="49"/>
      <w:bookmarkEnd w:id="50"/>
    </w:p>
    <w:p w14:paraId="5498149B" w14:textId="7FEFAAC8" w:rsidR="00B03FFA" w:rsidRPr="008034CE" w:rsidRDefault="00B03FFA" w:rsidP="00B03FFA">
      <w:r w:rsidRPr="008034CE">
        <w:t>Benchmarking indicates the current NDIS price limit for Podiatry is above broader market rates. The current NDIS hourly price limit of $193.99, exceeds the P</w:t>
      </w:r>
      <w:r w:rsidRPr="008034CE">
        <w:rPr>
          <w:spacing w:val="-60"/>
        </w:rPr>
        <w:t xml:space="preserve"> </w:t>
      </w:r>
      <w:r w:rsidRPr="008034CE">
        <w:t>H</w:t>
      </w:r>
      <w:r w:rsidRPr="008034CE">
        <w:rPr>
          <w:spacing w:val="-60"/>
        </w:rPr>
        <w:t xml:space="preserve"> </w:t>
      </w:r>
      <w:r w:rsidRPr="008034CE">
        <w:t>I 75</w:t>
      </w:r>
      <w:r w:rsidRPr="008034CE">
        <w:rPr>
          <w:vertAlign w:val="superscript"/>
        </w:rPr>
        <w:t>th</w:t>
      </w:r>
      <w:r w:rsidRPr="008034CE">
        <w:t xml:space="preserve"> percentile ($183.40 per hour) by 5.</w:t>
      </w:r>
      <w:r w:rsidR="00285216">
        <w:t>8</w:t>
      </w:r>
      <w:r w:rsidRPr="008034CE">
        <w:t>% and the MBS 75</w:t>
      </w:r>
      <w:r w:rsidRPr="008034CE">
        <w:rPr>
          <w:vertAlign w:val="superscript"/>
        </w:rPr>
        <w:t>th</w:t>
      </w:r>
      <w:r w:rsidRPr="008034CE">
        <w:t xml:space="preserve"> percentile by </w:t>
      </w:r>
      <w:r w:rsidR="00285216">
        <w:t>48</w:t>
      </w:r>
      <w:r w:rsidRPr="008034CE">
        <w:t>% ($131.10 per hour). Given the size and consistency of this divergence, a gradual</w:t>
      </w:r>
      <w:r w:rsidR="00454B2A">
        <w:t xml:space="preserve"> </w:t>
      </w:r>
      <w:r w:rsidRPr="008034CE">
        <w:t>adjustment is proposed to minimise disruption within markets while moving toward a more appropriate price limit.</w:t>
      </w:r>
    </w:p>
    <w:p w14:paraId="695B5AD8" w14:textId="77777777" w:rsidR="00B03FFA" w:rsidRPr="008034CE" w:rsidRDefault="00B03FFA" w:rsidP="00B03FFA">
      <w:pPr>
        <w:pStyle w:val="Recommendationheading"/>
      </w:pPr>
      <w:r w:rsidRPr="008034CE">
        <w:t xml:space="preserve">Recommendation 10: </w:t>
      </w:r>
    </w:p>
    <w:p w14:paraId="70B8F6D1" w14:textId="79C76ABE" w:rsidR="00B03FFA" w:rsidRPr="008034CE" w:rsidRDefault="00B03FFA" w:rsidP="00B03FFA">
      <w:pPr>
        <w:pStyle w:val="Normalrecommendationtext"/>
      </w:pPr>
      <w:r w:rsidRPr="008034CE">
        <w:t xml:space="preserve">The NDIA should lower the price limit for supports delivered by a Podiatrist by $5 to a new national price limit of $188.99 per hour on 1 July 2025. </w:t>
      </w:r>
    </w:p>
    <w:p w14:paraId="16C5522B" w14:textId="79C76ABE" w:rsidR="00B03FFA" w:rsidRPr="008034CE" w:rsidRDefault="00B03FFA" w:rsidP="00B03FFA">
      <w:pPr>
        <w:pStyle w:val="Heading4"/>
      </w:pPr>
      <w:bookmarkStart w:id="51" w:name="_Toc200103442"/>
      <w:bookmarkStart w:id="52" w:name="_Toc200271556"/>
      <w:r w:rsidRPr="008034CE">
        <w:t>Presentation of Therapy Session Length</w:t>
      </w:r>
      <w:bookmarkEnd w:id="51"/>
      <w:bookmarkEnd w:id="52"/>
      <w:r w:rsidRPr="008034CE">
        <w:t xml:space="preserve"> </w:t>
      </w:r>
    </w:p>
    <w:p w14:paraId="4E7862A1" w14:textId="77777777" w:rsidR="00285216" w:rsidRPr="00285216" w:rsidRDefault="00285216" w:rsidP="00285216">
      <w:r w:rsidRPr="00285216">
        <w:t>NDIS payment data shows a persistent trend toward billing therapy supports at the maximum hourly price limit, with 65% of all claims in the second half of 2024 billed at the price limit. This pattern is particularly concentrated among registered providers (69%) and reflects widespread use of 60-minute sessions across most therapy types. Although current pricing rules allow for pro-rata billing, charging for a full hour appears to be increasingly used as the default, irrespective of industry norms for session lengths.</w:t>
      </w:r>
    </w:p>
    <w:p w14:paraId="7B6CAB8D" w14:textId="77777777" w:rsidR="00285216" w:rsidRPr="00285216" w:rsidRDefault="00285216" w:rsidP="00285216">
      <w:r w:rsidRPr="00285216">
        <w:t xml:space="preserve">This year the price limits for therapies are presented in 10-minute increments to encourage session lengths that align with participant needs and best practice. </w:t>
      </w:r>
    </w:p>
    <w:p w14:paraId="12FE4419" w14:textId="77777777" w:rsidR="00285216" w:rsidRPr="00285216" w:rsidRDefault="00285216" w:rsidP="00285216">
      <w:r w:rsidRPr="00285216">
        <w:t xml:space="preserve">This is not a change to the pricing arrangement, rather a different presentation of information aimed at clarifying that the hourly rate does not represent a default to 60-minute session or session rate. </w:t>
      </w:r>
    </w:p>
    <w:p w14:paraId="3F8740EF" w14:textId="77777777" w:rsidR="00285216" w:rsidRPr="00C6540B" w:rsidRDefault="00285216" w:rsidP="00285216">
      <w:r w:rsidRPr="00285216">
        <w:t>The NDIA is also aware of the Department of Health, Disability and Ageing’s Review of MBS Allied Health Chronic Disease Management Services that commenced on 20 August 2024. This includes reviewing session length in delivering those services to patients. Further consideration will be given in the proposed Therapy Pricing Review, which allows the NDIA to consider the outcomes of this MBS Review to ensure consistency across Government on therapy-related matters.</w:t>
      </w:r>
    </w:p>
    <w:p w14:paraId="3361E393" w14:textId="538DE21E" w:rsidR="00D90D7A" w:rsidRPr="008034CE" w:rsidRDefault="00D90D7A" w:rsidP="00D90D7A">
      <w:pPr>
        <w:ind w:left="567"/>
        <w:rPr>
          <w:b/>
          <w:color w:val="6B2876" w:themeColor="text1"/>
          <w:u w:val="single"/>
        </w:rPr>
      </w:pPr>
      <w:r w:rsidRPr="008034CE">
        <w:rPr>
          <w:b/>
          <w:color w:val="6B2876" w:themeColor="text1"/>
          <w:u w:val="single"/>
        </w:rPr>
        <w:t>Recommendation 1</w:t>
      </w:r>
      <w:r w:rsidR="00285216">
        <w:rPr>
          <w:b/>
          <w:color w:val="6B2876" w:themeColor="text1"/>
          <w:u w:val="single"/>
        </w:rPr>
        <w:t>1</w:t>
      </w:r>
      <w:r w:rsidRPr="008034CE">
        <w:rPr>
          <w:b/>
          <w:color w:val="6B2876" w:themeColor="text1"/>
          <w:u w:val="single"/>
        </w:rPr>
        <w:t xml:space="preserve">: </w:t>
      </w:r>
    </w:p>
    <w:p w14:paraId="4D6457F1" w14:textId="77777777" w:rsidR="00D90D7A" w:rsidRPr="008034CE" w:rsidRDefault="00D90D7A" w:rsidP="00D90D7A">
      <w:pPr>
        <w:ind w:left="567"/>
        <w:rPr>
          <w:color w:val="6B2876" w:themeColor="text1"/>
        </w:rPr>
      </w:pPr>
      <w:r w:rsidRPr="008034CE">
        <w:rPr>
          <w:color w:val="6B2876" w:themeColor="text1"/>
        </w:rPr>
        <w:t>The NDIA should present therapy support price limits in 10-minute increments, to encourage greater flexibility in session lengths and improve alignment between claimed time and services delivered. This will be applied as a linear adjustment to the price limit per 10 minutes claimed.</w:t>
      </w:r>
    </w:p>
    <w:p w14:paraId="1D8E94B7" w14:textId="77777777" w:rsidR="00D90D7A" w:rsidRPr="008034CE" w:rsidRDefault="00D90D7A" w:rsidP="00D90D7A">
      <w:pPr>
        <w:ind w:left="567"/>
        <w:rPr>
          <w:color w:val="6B2876" w:themeColor="text1"/>
        </w:rPr>
      </w:pPr>
      <w:r w:rsidRPr="008034CE">
        <w:rPr>
          <w:color w:val="6B2876" w:themeColor="text1"/>
        </w:rPr>
        <w:t xml:space="preserve">This change would apply alongside existing claiming rules for therapy supports. </w:t>
      </w:r>
    </w:p>
    <w:p w14:paraId="01EBF3FF" w14:textId="77777777" w:rsidR="00D90D7A" w:rsidRPr="008034CE" w:rsidRDefault="00D90D7A" w:rsidP="00D90D7A">
      <w:pPr>
        <w:pStyle w:val="Heading4"/>
      </w:pPr>
      <w:bookmarkStart w:id="53" w:name="_Toc200103443"/>
      <w:bookmarkStart w:id="54" w:name="_Toc200271557"/>
      <w:r w:rsidRPr="008034CE">
        <w:lastRenderedPageBreak/>
        <w:t>Provider Travel Pricing Arrangements</w:t>
      </w:r>
      <w:bookmarkEnd w:id="53"/>
      <w:bookmarkEnd w:id="54"/>
    </w:p>
    <w:p w14:paraId="53FC2400" w14:textId="77777777" w:rsidR="00D90D7A" w:rsidRPr="008034CE" w:rsidRDefault="00D90D7A" w:rsidP="00D90D7A">
      <w:r w:rsidRPr="008034CE">
        <w:t>The NDIA proposes to retain existing travel rules for therapy but reduce the claimable rate for travel to 50% of the relevant hourly price limit. While therapists should be compensated for their time travelling to and from participant’s residences, the relevant pricing rate used does not need to necessarily include all the associated on-costs that are built into therapy price limits when delivering support to a participant directly (i.e., in a clinic).</w:t>
      </w:r>
    </w:p>
    <w:p w14:paraId="0AFDEDD8" w14:textId="0500B8DC" w:rsidR="00D90D7A" w:rsidRPr="008034CE" w:rsidRDefault="00D90D7A" w:rsidP="00D90D7A">
      <w:r w:rsidRPr="008034CE">
        <w:t>This change will better align travel claims with the cost of travel and improve the value participants can get from funding in their plans. By continuing to fund travel, it</w:t>
      </w:r>
      <w:r w:rsidR="00F23CBF">
        <w:t> </w:t>
      </w:r>
      <w:r w:rsidRPr="008034CE">
        <w:t xml:space="preserve">will ensure access to therapies for participants where travel is required. </w:t>
      </w:r>
    </w:p>
    <w:p w14:paraId="3EA54A65" w14:textId="4A9A39C8" w:rsidR="00D90D7A" w:rsidRDefault="00D90D7A" w:rsidP="00D90D7A">
      <w:r w:rsidRPr="008034CE">
        <w:t>Current arrangements can lead to travel claims that exceed the value of the support, particularly in regional or lower-density areas. A capped approach aligns with common practice to comparable systems, promotes efficient scheduling, and help participants manage their supports. Remote and very remote loadings will remain unchanged.</w:t>
      </w:r>
    </w:p>
    <w:p w14:paraId="18F3156A" w14:textId="2A6EF603" w:rsidR="00D90D7A" w:rsidRPr="008034CE" w:rsidRDefault="00D90D7A" w:rsidP="00D90D7A">
      <w:pPr>
        <w:pStyle w:val="Recommendationheading"/>
      </w:pPr>
      <w:r w:rsidRPr="008034CE">
        <w:t>Recommendation 1</w:t>
      </w:r>
      <w:r w:rsidR="00285216">
        <w:t>2</w:t>
      </w:r>
      <w:r w:rsidRPr="008034CE">
        <w:t xml:space="preserve">: </w:t>
      </w:r>
    </w:p>
    <w:p w14:paraId="408951E2" w14:textId="1A8B31A8" w:rsidR="00D90D7A" w:rsidRPr="008034CE" w:rsidRDefault="00D90D7A" w:rsidP="00AB3CD8">
      <w:pPr>
        <w:pStyle w:val="Normalrecommendationtext"/>
      </w:pPr>
      <w:r w:rsidRPr="008034CE">
        <w:t>From 1 July 2025, the NDIA should reduce the rate and cap on provider travel claims for therapy supports, limiting the total claimable amount for labour time component, to no more than 50% of the applicable therapy 10-minute price limit on a pro rata basis.</w:t>
      </w:r>
    </w:p>
    <w:p w14:paraId="6F1724CA" w14:textId="6D79E04C" w:rsidR="00285216" w:rsidRDefault="00D90D7A" w:rsidP="00AB3CD8">
      <w:pPr>
        <w:pStyle w:val="Normalrecommendationtext"/>
      </w:pPr>
      <w:r w:rsidRPr="008034CE">
        <w:t xml:space="preserve">This change would apply alongside existing claiming rules and thresholds for therapy supports, including time-based limits by remoteness area, and assist to ensure that travel claims remain proportionate to the service delivered. </w:t>
      </w:r>
    </w:p>
    <w:p w14:paraId="65EB437B" w14:textId="77777777" w:rsidR="00D90D7A" w:rsidRPr="008034CE" w:rsidRDefault="00D90D7A" w:rsidP="00D90D7A">
      <w:pPr>
        <w:pStyle w:val="Heading3"/>
      </w:pPr>
      <w:bookmarkStart w:id="55" w:name="_Toc196754574"/>
      <w:bookmarkStart w:id="56" w:name="_Toc196758209"/>
      <w:bookmarkStart w:id="57" w:name="_Toc197344285"/>
      <w:bookmarkStart w:id="58" w:name="_Toc200271558"/>
      <w:r w:rsidRPr="008034CE">
        <w:t>Support Coordination</w:t>
      </w:r>
      <w:bookmarkEnd w:id="55"/>
      <w:bookmarkEnd w:id="56"/>
      <w:bookmarkEnd w:id="57"/>
      <w:bookmarkEnd w:id="58"/>
      <w:r w:rsidRPr="008034CE">
        <w:t xml:space="preserve"> </w:t>
      </w:r>
    </w:p>
    <w:p w14:paraId="0D88A752" w14:textId="77777777" w:rsidR="00D90D7A" w:rsidRPr="008034CE" w:rsidRDefault="00D90D7A" w:rsidP="00D90D7A">
      <w:r w:rsidRPr="008034CE">
        <w:t xml:space="preserve">The support coordination market continues to grow in both participant volume and provider count, but with this expansion, the average size of providers is declining. </w:t>
      </w:r>
    </w:p>
    <w:p w14:paraId="4E879BE7" w14:textId="77777777" w:rsidR="00D90D7A" w:rsidRPr="008034CE" w:rsidRDefault="00D90D7A" w:rsidP="00D90D7A">
      <w:r w:rsidRPr="008034CE">
        <w:t xml:space="preserve">In the six months to December 2024, 262,994 participants accessed support coordination services, representing around 38% of all active participants, delivered by 10,184 providers. This reflects a 7% increase in participants accessing support </w:t>
      </w:r>
      <w:r w:rsidRPr="00454B2A">
        <w:rPr>
          <w:spacing w:val="-2"/>
        </w:rPr>
        <w:t xml:space="preserve">coordination and a 15% increase in provider numbers compared to the previous year. </w:t>
      </w:r>
    </w:p>
    <w:p w14:paraId="4374BFB7" w14:textId="77777777" w:rsidR="00D90D7A" w:rsidRPr="008034CE" w:rsidRDefault="00D90D7A" w:rsidP="00D90D7A">
      <w:r w:rsidRPr="008034CE">
        <w:t>Between January 2022 and December 2024, average claims per provider (total claims) declined by 8% to $55,544, indicating that market growth is being driven by smaller-scale entrants rather than expansion among existing providers. For the six months to December 2024:</w:t>
      </w:r>
    </w:p>
    <w:p w14:paraId="70EB9E4D" w14:textId="77777777" w:rsidR="00D90D7A" w:rsidRPr="008034CE" w:rsidRDefault="00D90D7A" w:rsidP="002441B8">
      <w:pPr>
        <w:pStyle w:val="ListParagraph"/>
        <w:numPr>
          <w:ilvl w:val="0"/>
          <w:numId w:val="14"/>
        </w:numPr>
        <w:spacing w:line="288" w:lineRule="auto"/>
      </w:pPr>
      <w:r w:rsidRPr="008034CE">
        <w:lastRenderedPageBreak/>
        <w:t xml:space="preserve">Around 3,000 providers support only one participant, with average total claims of $2,000 per provider. </w:t>
      </w:r>
    </w:p>
    <w:p w14:paraId="1A24F379" w14:textId="77777777" w:rsidR="00D90D7A" w:rsidRPr="008034CE" w:rsidRDefault="00D90D7A" w:rsidP="002441B8">
      <w:pPr>
        <w:pStyle w:val="ListParagraph"/>
        <w:numPr>
          <w:ilvl w:val="0"/>
          <w:numId w:val="14"/>
        </w:numPr>
        <w:spacing w:line="288" w:lineRule="auto"/>
      </w:pPr>
      <w:r w:rsidRPr="008034CE">
        <w:t>More than half of all providers (over 5,000) support five or fewer participants, with average total claims of around $4,000 per provider.</w:t>
      </w:r>
    </w:p>
    <w:p w14:paraId="169D3A68" w14:textId="77777777" w:rsidR="00D90D7A" w:rsidRPr="008034CE" w:rsidRDefault="00D90D7A" w:rsidP="002441B8">
      <w:pPr>
        <w:pStyle w:val="ListParagraph"/>
        <w:numPr>
          <w:ilvl w:val="0"/>
          <w:numId w:val="14"/>
        </w:numPr>
        <w:spacing w:line="288" w:lineRule="auto"/>
      </w:pPr>
      <w:r w:rsidRPr="008034CE">
        <w:t xml:space="preserve">The largest 184 providers support over 250 participants each and account for 35% of total claims for support coordination, with an average total payment of approximately $1.1m per provider. </w:t>
      </w:r>
    </w:p>
    <w:p w14:paraId="28D66C44" w14:textId="77777777" w:rsidR="00D90D7A" w:rsidRPr="008034CE" w:rsidRDefault="00D90D7A" w:rsidP="00D90D7A">
      <w:r w:rsidRPr="008034CE">
        <w:t xml:space="preserve">Between January 2022 and December 2024, over 9,300 unregistered providers have entered the market, representing an increase of 17% in the number of providers and 28% in terms of participants serviced. Unregistered providers now account for 68% of support coordination. The average amount claimed by unregistered providers is $18,913 compared to $107,593 for registered providers. </w:t>
      </w:r>
    </w:p>
    <w:p w14:paraId="67BC0B6F" w14:textId="6343BE62" w:rsidR="007B31E1" w:rsidRPr="008034CE" w:rsidRDefault="00D90D7A" w:rsidP="00B12866">
      <w:r w:rsidRPr="008034CE">
        <w:t>Registered providers account for over 90% of payments, averaging $107,593 in annual claims. While only 30% of registered provider were active in all six half-year</w:t>
      </w:r>
      <w:r w:rsidR="00227C14">
        <w:t xml:space="preserve"> </w:t>
      </w:r>
      <w:r w:rsidR="007B31E1" w:rsidRPr="008034CE">
        <w:t xml:space="preserve">periods, they remain a small but relatively stable segment of the market that provides service continuity for NDIS participants. </w:t>
      </w:r>
    </w:p>
    <w:p w14:paraId="340F9923" w14:textId="77777777" w:rsidR="007B31E1" w:rsidRPr="008034CE" w:rsidRDefault="007B31E1" w:rsidP="007B31E1">
      <w:pPr>
        <w:pStyle w:val="Heading4"/>
      </w:pPr>
      <w:bookmarkStart w:id="59" w:name="_Toc200103445"/>
      <w:bookmarkStart w:id="60" w:name="_Toc200271559"/>
      <w:r w:rsidRPr="008034CE">
        <w:t>Level 1: Support Connection</w:t>
      </w:r>
      <w:bookmarkEnd w:id="59"/>
      <w:bookmarkEnd w:id="60"/>
    </w:p>
    <w:p w14:paraId="55729833" w14:textId="46BA9B54" w:rsidR="00B12866" w:rsidRDefault="007B31E1" w:rsidP="007B31E1">
      <w:r w:rsidRPr="008034CE">
        <w:t xml:space="preserve">It is reasonable to continue indexing Level 1: Support Connection and Psychosocial Recovery Coach supports in line with the DSW Cost Model in line with pricing adjustments for base level rates. </w:t>
      </w:r>
    </w:p>
    <w:p w14:paraId="2845B71E" w14:textId="0CCB1B6E" w:rsidR="007B31E1" w:rsidRPr="008034CE" w:rsidRDefault="007B31E1" w:rsidP="007B31E1">
      <w:pPr>
        <w:pStyle w:val="Recommendationheading"/>
      </w:pPr>
      <w:r w:rsidRPr="008034CE">
        <w:t>Recommendation 1</w:t>
      </w:r>
      <w:r w:rsidR="00B12866">
        <w:t>3</w:t>
      </w:r>
      <w:r w:rsidRPr="008034CE">
        <w:t xml:space="preserve">: </w:t>
      </w:r>
    </w:p>
    <w:p w14:paraId="158EC488" w14:textId="77777777" w:rsidR="007B31E1" w:rsidRPr="008034CE" w:rsidRDefault="007B31E1" w:rsidP="00B12866">
      <w:pPr>
        <w:pStyle w:val="Normalrecommendationtext"/>
        <w:spacing w:after="0"/>
      </w:pPr>
      <w:r w:rsidRPr="008034CE">
        <w:t>The NDIA should index the price limits for Level 1: Support Connection services and Psychosocial Recovery Coaches service in line with indexation of supports determined by the Disability Support Worker Cost Model in Recommendation 6 on 1 July 2025.</w:t>
      </w:r>
    </w:p>
    <w:p w14:paraId="21164596" w14:textId="77777777" w:rsidR="007B31E1" w:rsidRPr="008034CE" w:rsidRDefault="007B31E1" w:rsidP="007B31E1">
      <w:pPr>
        <w:pStyle w:val="Heading4"/>
      </w:pPr>
      <w:bookmarkStart w:id="61" w:name="_Toc200103446"/>
      <w:bookmarkStart w:id="62" w:name="_Toc200271560"/>
      <w:r w:rsidRPr="008034CE">
        <w:t>Level 2: Coordination of Supports and Level 3: Specialist Support Coordination</w:t>
      </w:r>
      <w:bookmarkEnd w:id="61"/>
      <w:bookmarkEnd w:id="62"/>
      <w:r w:rsidRPr="008034CE">
        <w:t xml:space="preserve"> </w:t>
      </w:r>
    </w:p>
    <w:p w14:paraId="0B67C16F" w14:textId="77777777" w:rsidR="00B12866" w:rsidRPr="00B12866" w:rsidRDefault="00B12866" w:rsidP="007B31E1">
      <w:r w:rsidRPr="00B12866">
        <w:t>The support coordination market continues to grow and there is no evidence of widespread unmet demand or supply constraints. However, the NDIA recognises that significant structural reform – including mandatory registration for support coordinators after July 2025 and the introduction of the Navigator role – will impact the market.</w:t>
      </w:r>
    </w:p>
    <w:p w14:paraId="5D7D56D4" w14:textId="77777777" w:rsidR="00B12866" w:rsidRDefault="00B12866" w:rsidP="00B12866">
      <w:r w:rsidRPr="00B12866">
        <w:t xml:space="preserve">The NDIA is currently running a Support Coordination Pilot with a group of established providers to gather evidence on practices that lead to better participant outcomes. The pilot is intended to build a clearer understanding of what quality </w:t>
      </w:r>
      <w:r w:rsidRPr="00B12866">
        <w:lastRenderedPageBreak/>
        <w:t>support coordination looks like and to inform the design of future Navigator functions. Insights from the pilot will guide future pricing and policy decisions.</w:t>
      </w:r>
      <w:r>
        <w:t xml:space="preserve"> </w:t>
      </w:r>
    </w:p>
    <w:p w14:paraId="7DB56F2A" w14:textId="3AE1B35C" w:rsidR="007B31E1" w:rsidRPr="008034CE" w:rsidRDefault="007B31E1" w:rsidP="007B31E1">
      <w:pPr>
        <w:pStyle w:val="Recommendationheading"/>
      </w:pPr>
      <w:r w:rsidRPr="008034CE">
        <w:t>Recommendation 1</w:t>
      </w:r>
      <w:r w:rsidR="00B12866">
        <w:t>4</w:t>
      </w:r>
      <w:r w:rsidRPr="008034CE">
        <w:t>:</w:t>
      </w:r>
    </w:p>
    <w:p w14:paraId="347698D7" w14:textId="2EC5EF47" w:rsidR="00227C14" w:rsidRDefault="007B31E1" w:rsidP="007B31E1">
      <w:pPr>
        <w:pStyle w:val="Normalrecommendationtext"/>
      </w:pPr>
      <w:r w:rsidRPr="008034CE">
        <w:t>The NDIA should maintain the existing price limits for Level 2: Coordination of</w:t>
      </w:r>
      <w:r w:rsidR="00EB1BB5">
        <w:t> </w:t>
      </w:r>
      <w:r w:rsidRPr="008034CE">
        <w:t xml:space="preserve">Supports and Level 3: Specialist Support Coordination, in alignment with current NDIS reforms. </w:t>
      </w:r>
    </w:p>
    <w:p w14:paraId="44D2503D" w14:textId="77777777" w:rsidR="007B31E1" w:rsidRPr="008034CE" w:rsidRDefault="007B31E1" w:rsidP="007B31E1">
      <w:pPr>
        <w:pStyle w:val="Heading3"/>
      </w:pPr>
      <w:bookmarkStart w:id="63" w:name="_Toc196754575"/>
      <w:bookmarkStart w:id="64" w:name="_Toc196758210"/>
      <w:bookmarkStart w:id="65" w:name="_Toc197344286"/>
      <w:bookmarkStart w:id="66" w:name="_Toc200271561"/>
      <w:r w:rsidRPr="008034CE">
        <w:t>Plan Management</w:t>
      </w:r>
      <w:bookmarkEnd w:id="63"/>
      <w:bookmarkEnd w:id="64"/>
      <w:bookmarkEnd w:id="65"/>
      <w:bookmarkEnd w:id="66"/>
      <w:r w:rsidRPr="008034CE">
        <w:t xml:space="preserve"> </w:t>
      </w:r>
    </w:p>
    <w:p w14:paraId="20268152" w14:textId="1436C89C" w:rsidR="00227C14" w:rsidRDefault="007B31E1" w:rsidP="00227C14">
      <w:pPr>
        <w:spacing w:after="160"/>
      </w:pPr>
      <w:r w:rsidRPr="008034CE">
        <w:t>In the six months to December 2024, 448,986 participants, 65% of all active participants, used plan management to process NDIS payments. This represents a</w:t>
      </w:r>
      <w:r w:rsidR="00227C14">
        <w:t> </w:t>
      </w:r>
      <w:r w:rsidRPr="008034CE">
        <w:t xml:space="preserve">12.1% increase from the prior year and an increase of 46% since early 2022. </w:t>
      </w:r>
    </w:p>
    <w:p w14:paraId="13F5D734" w14:textId="401FD476" w:rsidR="007B31E1" w:rsidRPr="008034CE" w:rsidRDefault="007B31E1" w:rsidP="00227C14">
      <w:pPr>
        <w:spacing w:after="160"/>
      </w:pPr>
      <w:r w:rsidRPr="008034CE">
        <w:t>In the six months to December 2024, plan managers processed $13.45 billion in participant payments, including $292 million in plan management fees. Total payments processed through plan managers in the six months to December 2024 grew by nearly 20% compared to the same period in the previous year.</w:t>
      </w:r>
    </w:p>
    <w:p w14:paraId="594DB324" w14:textId="77777777" w:rsidR="007B31E1" w:rsidRPr="008034CE" w:rsidRDefault="007B31E1" w:rsidP="00227C14">
      <w:pPr>
        <w:spacing w:after="160"/>
      </w:pPr>
      <w:r w:rsidRPr="008034CE">
        <w:t xml:space="preserve">While participant use of plan managers has grown rapidly, the provider base has remained relatively stable. The number of registered plan managers fell slightly over </w:t>
      </w:r>
      <w:r w:rsidRPr="00227C14">
        <w:rPr>
          <w:spacing w:val="-2"/>
        </w:rPr>
        <w:t xml:space="preserve">the three-year period to December 2024, from 1,717 to 1,624 plan managers. Despite </w:t>
      </w:r>
      <w:r w:rsidRPr="008034CE">
        <w:t xml:space="preserve">this, the five largest providers processed $4.2 billion in payments in the six months to December 2024, accounting for a substantial share of plan management activity. </w:t>
      </w:r>
    </w:p>
    <w:p w14:paraId="14DE5056" w14:textId="77777777" w:rsidR="007B31E1" w:rsidRPr="008034CE" w:rsidRDefault="007B31E1" w:rsidP="00227C14">
      <w:pPr>
        <w:spacing w:after="160"/>
      </w:pPr>
      <w:r w:rsidRPr="008034CE">
        <w:t>The market share of the top 10 providers has grown in every region, including remote areas (27% to 38%) and very remote areas (from 22% to 27%). Ninety-three percent of all plan-managed payments were processed by providers who remained active across all six half-year periods, underscoring the dominance of a stable, high-volume provider cohort.</w:t>
      </w:r>
    </w:p>
    <w:p w14:paraId="2FBCA811" w14:textId="77777777" w:rsidR="007B31E1" w:rsidRPr="008034CE" w:rsidRDefault="007B31E1" w:rsidP="00227C14">
      <w:pPr>
        <w:spacing w:after="160"/>
      </w:pPr>
      <w:r w:rsidRPr="008034CE">
        <w:t>Provider numbers in remote and very remote areas grew by 49% and 46% respectively since early 2022, and the number of participants serviced in remote regions has more than doubled. Large providers now operate nationally and dominate plan management even in these regions, suggesting that remote pricing incentives may no longer be required for these types of supports. The market also shows signs of increased specialisation. Although 66% of plan managers also claimed for other supports for the participants they manage, the other supports accounted for just 4% of total plan-managed payments, down from 7% in 2022. Correspondingly, the share of providers delivering only plan management services rose from 27% to 34%, indicating a shift toward more clearly defined administrative roles within a maturing NDIS provider market.</w:t>
      </w:r>
    </w:p>
    <w:p w14:paraId="7388702F" w14:textId="77777777" w:rsidR="007B31E1" w:rsidRPr="008034CE" w:rsidRDefault="007B31E1" w:rsidP="00227C14">
      <w:pPr>
        <w:pStyle w:val="Heading4"/>
        <w:spacing w:before="320" w:after="160"/>
      </w:pPr>
      <w:bookmarkStart w:id="67" w:name="_Toc200103448"/>
      <w:bookmarkStart w:id="68" w:name="_Toc200271562"/>
      <w:r w:rsidRPr="008034CE">
        <w:lastRenderedPageBreak/>
        <w:t>Monthly Fee for Plan Management</w:t>
      </w:r>
      <w:bookmarkEnd w:id="67"/>
      <w:bookmarkEnd w:id="68"/>
      <w:r w:rsidRPr="008034CE">
        <w:t xml:space="preserve"> </w:t>
      </w:r>
    </w:p>
    <w:p w14:paraId="5444BD60" w14:textId="77777777" w:rsidR="007B31E1" w:rsidRPr="008034CE" w:rsidRDefault="007B31E1" w:rsidP="00227C14">
      <w:pPr>
        <w:spacing w:after="160"/>
      </w:pPr>
      <w:r w:rsidRPr="008034CE">
        <w:t xml:space="preserve">Most plan management payments (99.3%) are delivered by providers supporting over 20 participants, indicating administrative efficiency with volume. This suggests that the monthly fee remains sufficient for the ongoing delivery of these functions. </w:t>
      </w:r>
    </w:p>
    <w:p w14:paraId="6C21E0EB" w14:textId="1C9B76D6" w:rsidR="007B31E1" w:rsidRPr="008034CE" w:rsidRDefault="007B31E1" w:rsidP="007B31E1">
      <w:pPr>
        <w:pStyle w:val="Recommendationheading"/>
      </w:pPr>
      <w:r w:rsidRPr="008034CE">
        <w:t>Recommendation 1</w:t>
      </w:r>
      <w:r w:rsidR="00794DDA">
        <w:t>5</w:t>
      </w:r>
      <w:r w:rsidRPr="008034CE">
        <w:t xml:space="preserve">: </w:t>
      </w:r>
    </w:p>
    <w:p w14:paraId="6E0B3012" w14:textId="352F6D71" w:rsidR="007B31E1" w:rsidRDefault="007B31E1" w:rsidP="00227C14">
      <w:pPr>
        <w:pStyle w:val="Normalrecommendationtext"/>
        <w:spacing w:after="0"/>
      </w:pPr>
      <w:r w:rsidRPr="008034CE">
        <w:t>The NDIA should maintain the current monthly fee for plan management. This applies to support item 14_034_0127_8_3 – Financial Administration of Plan Management, priced at $104.45 per month.</w:t>
      </w:r>
    </w:p>
    <w:p w14:paraId="06FC4F2B" w14:textId="77777777" w:rsidR="007B31E1" w:rsidRPr="008034CE" w:rsidRDefault="007B31E1" w:rsidP="007B31E1">
      <w:pPr>
        <w:pStyle w:val="Heading4"/>
      </w:pPr>
      <w:bookmarkStart w:id="69" w:name="_Toc200103449"/>
      <w:bookmarkStart w:id="70" w:name="_Toc200271563"/>
      <w:r w:rsidRPr="008034CE">
        <w:t>One-off Establishment Fee</w:t>
      </w:r>
      <w:bookmarkEnd w:id="69"/>
      <w:bookmarkEnd w:id="70"/>
      <w:r w:rsidRPr="008034CE">
        <w:t xml:space="preserve"> </w:t>
      </w:r>
    </w:p>
    <w:p w14:paraId="1875E297" w14:textId="77777777" w:rsidR="007B31E1" w:rsidRPr="008034CE" w:rsidRDefault="007B31E1" w:rsidP="007B31E1">
      <w:r w:rsidRPr="008034CE">
        <w:t xml:space="preserve">The establishment fee was designed to cover the administrative setup costs for new plans. However, now most plan managers support well-established, ongoing participants and operate at scale. From January 2022 to December 2024, there has been a significant drop in the proportion of participants </w:t>
      </w:r>
      <w:proofErr w:type="gramStart"/>
      <w:r w:rsidRPr="008034CE">
        <w:t>where</w:t>
      </w:r>
      <w:proofErr w:type="gramEnd"/>
      <w:r w:rsidRPr="008034CE">
        <w:t xml:space="preserve"> set up costs have been claimed (from 52.1% to 29.9%). Considering the transition to PACE, the administrative setup costs appear minimal and can be absorbed into the monthly fee where required. Removing this item simplifies the pricing approach, aligns payment with actual service delivery, and ensures that participant funds are directed toward ongoing financial oversight and support. </w:t>
      </w:r>
    </w:p>
    <w:p w14:paraId="7D8276A5" w14:textId="65C46D03" w:rsidR="007B31E1" w:rsidRPr="008034CE" w:rsidRDefault="007B31E1" w:rsidP="007B31E1">
      <w:pPr>
        <w:pStyle w:val="Recommendationheading"/>
      </w:pPr>
      <w:r w:rsidRPr="008034CE">
        <w:t>Recommendation 1</w:t>
      </w:r>
      <w:r w:rsidR="00794DDA">
        <w:t>6</w:t>
      </w:r>
      <w:r w:rsidRPr="008034CE">
        <w:t>:</w:t>
      </w:r>
    </w:p>
    <w:p w14:paraId="110E9633" w14:textId="77777777" w:rsidR="007B31E1" w:rsidRPr="008034CE" w:rsidRDefault="007B31E1" w:rsidP="007B31E1">
      <w:pPr>
        <w:pStyle w:val="Normalrecommendationtext"/>
      </w:pPr>
      <w:r w:rsidRPr="008034CE">
        <w:t>The NDIA should remove the one-off establishment fee for plan management effective from 1 July 2025. This applies to support item 14_033_0127_8_3 – Set Up Costs for Plan Management, which is currently priced at $232.35.</w:t>
      </w:r>
    </w:p>
    <w:p w14:paraId="77A4D88C" w14:textId="77777777" w:rsidR="007B31E1" w:rsidRPr="008034CE" w:rsidRDefault="007B31E1" w:rsidP="007B31E1">
      <w:pPr>
        <w:pStyle w:val="Heading4"/>
      </w:pPr>
      <w:bookmarkStart w:id="71" w:name="_Toc200103450"/>
      <w:bookmarkStart w:id="72" w:name="_Toc200271564"/>
      <w:r w:rsidRPr="008034CE">
        <w:t>Remote and Very Remote Loadings</w:t>
      </w:r>
      <w:bookmarkEnd w:id="71"/>
      <w:bookmarkEnd w:id="72"/>
      <w:r w:rsidRPr="008034CE">
        <w:t xml:space="preserve"> </w:t>
      </w:r>
    </w:p>
    <w:p w14:paraId="0A1471A4" w14:textId="77777777" w:rsidR="007B31E1" w:rsidRPr="008034CE" w:rsidRDefault="007B31E1" w:rsidP="007B31E1">
      <w:r w:rsidRPr="008034CE">
        <w:t xml:space="preserve">Remote and Very Remote loadings were introduced to address barriers to access in thin markets. However, plan management is now generally delivered virtually and at scale. Participant numbers in remote and very remote areas have more than doubled since 2022, with the top 10 providers operating nationally, accounting for 38% of payments in remote regions. As virtual delivery appears to be increasingly the norm and is readily available, removing the loadings supports a simpler pricing approach that is more reflective of actual service delivery costs. </w:t>
      </w:r>
    </w:p>
    <w:p w14:paraId="4D5860F1" w14:textId="2CAE2BB2" w:rsidR="007B31E1" w:rsidRPr="008034CE" w:rsidRDefault="007B31E1" w:rsidP="007B31E1">
      <w:pPr>
        <w:pStyle w:val="Recommendationheading"/>
      </w:pPr>
      <w:r w:rsidRPr="008034CE">
        <w:t>Recommendation 1</w:t>
      </w:r>
      <w:r w:rsidR="00794DDA">
        <w:t>7</w:t>
      </w:r>
      <w:r w:rsidRPr="008034CE">
        <w:t xml:space="preserve">: </w:t>
      </w:r>
    </w:p>
    <w:p w14:paraId="4CC6BBF1" w14:textId="528BD883" w:rsidR="00D90D7A" w:rsidRDefault="007B31E1" w:rsidP="007B31E1">
      <w:pPr>
        <w:pStyle w:val="Normalrecommendationtext"/>
      </w:pPr>
      <w:r w:rsidRPr="008034CE">
        <w:t xml:space="preserve">The NDIA should remove remote and very remote loadings for plan management, effective from 1 July 2025, and apply a consistent national price. </w:t>
      </w:r>
      <w:r w:rsidRPr="00A653FA">
        <w:rPr>
          <w:spacing w:val="-2"/>
        </w:rPr>
        <w:t>This applies to support item 14_034_0127_8_3 Plan Management Monthly Fee.</w:t>
      </w:r>
    </w:p>
    <w:p w14:paraId="10E68651" w14:textId="77777777" w:rsidR="0041432C" w:rsidRPr="008034CE" w:rsidRDefault="0041432C" w:rsidP="0041432C">
      <w:pPr>
        <w:pStyle w:val="Heading2"/>
      </w:pPr>
      <w:bookmarkStart w:id="73" w:name="_Toc196754576"/>
      <w:bookmarkStart w:id="74" w:name="_Toc196758211"/>
      <w:bookmarkStart w:id="75" w:name="_Toc197344287"/>
      <w:bookmarkStart w:id="76" w:name="_Toc200271565"/>
      <w:r w:rsidRPr="008034CE">
        <w:lastRenderedPageBreak/>
        <w:t>Introduction</w:t>
      </w:r>
      <w:bookmarkEnd w:id="73"/>
      <w:bookmarkEnd w:id="74"/>
      <w:bookmarkEnd w:id="75"/>
      <w:bookmarkEnd w:id="76"/>
    </w:p>
    <w:p w14:paraId="76BB947C" w14:textId="77777777" w:rsidR="0041432C" w:rsidRPr="008034CE" w:rsidRDefault="0041432C" w:rsidP="0041432C">
      <w:pPr>
        <w:pStyle w:val="Heading3"/>
        <w:numPr>
          <w:ilvl w:val="1"/>
          <w:numId w:val="1"/>
        </w:numPr>
      </w:pPr>
      <w:bookmarkStart w:id="77" w:name="_Toc196754577"/>
      <w:bookmarkStart w:id="78" w:name="_Toc196758212"/>
      <w:bookmarkStart w:id="79" w:name="_Toc197344288"/>
      <w:bookmarkStart w:id="80" w:name="_Toc200271566"/>
      <w:r w:rsidRPr="008034CE">
        <w:t>Context</w:t>
      </w:r>
      <w:bookmarkEnd w:id="77"/>
      <w:bookmarkEnd w:id="78"/>
      <w:bookmarkEnd w:id="79"/>
      <w:bookmarkEnd w:id="80"/>
      <w:r w:rsidRPr="008034CE">
        <w:t xml:space="preserve"> </w:t>
      </w:r>
    </w:p>
    <w:p w14:paraId="153C48B1" w14:textId="77777777" w:rsidR="0041432C" w:rsidRPr="008034CE" w:rsidRDefault="0041432C" w:rsidP="0041432C">
      <w:r w:rsidRPr="008034CE">
        <w:t xml:space="preserve">The National Disability Insurance Scheme (NDIS) was established in 2013 to support people with disability to pursue their goals, help them to realise their full potential, to assist them to participate in and contribute to society, and to empower them to exercise choice and control over their lives and futures. The NDIS provides funding to eligible individuals (participants) so that they can purchase, in the open market, the disability-related goods and services (supports) they need. </w:t>
      </w:r>
    </w:p>
    <w:p w14:paraId="44BD7AA7" w14:textId="77777777" w:rsidR="0041432C" w:rsidRPr="008034CE" w:rsidRDefault="0041432C" w:rsidP="0041432C">
      <w:r w:rsidRPr="008034CE">
        <w:t>The National Disability Insurance Agency (NDIA) is responsible for ensuring that price limits and market settings that govern this market remain appropriate and reflect the current market conditions.</w:t>
      </w:r>
    </w:p>
    <w:p w14:paraId="798090D1" w14:textId="77777777" w:rsidR="0041432C" w:rsidRPr="008034CE" w:rsidRDefault="0041432C" w:rsidP="0041432C">
      <w:pPr>
        <w:pStyle w:val="Heading3"/>
      </w:pPr>
      <w:bookmarkStart w:id="81" w:name="_Toc200271567"/>
      <w:r w:rsidRPr="008034CE">
        <w:t>NDIA’s Role as Market Steward</w:t>
      </w:r>
      <w:bookmarkEnd w:id="81"/>
    </w:p>
    <w:p w14:paraId="0A946226" w14:textId="10C63A3E" w:rsidR="00794DDA" w:rsidRPr="00794DDA" w:rsidRDefault="00794DDA" w:rsidP="00794DDA">
      <w:r w:rsidRPr="00794DDA">
        <w:t xml:space="preserve">The NDIA market stewardship framework is being revised to improve the Australian Government’s stewardship of provider markets. The NDIA is leading this initiative, working closely with government departments and the NDIS Quality and Safeguards Commission, and engaging </w:t>
      </w:r>
      <w:r w:rsidR="00F32618">
        <w:t xml:space="preserve">with </w:t>
      </w:r>
      <w:r w:rsidRPr="00794DDA">
        <w:t xml:space="preserve">states and territories. </w:t>
      </w:r>
    </w:p>
    <w:p w14:paraId="7985F8AF" w14:textId="77777777" w:rsidR="00794DDA" w:rsidRPr="00794DDA" w:rsidRDefault="00794DDA" w:rsidP="00794DDA">
      <w:r w:rsidRPr="00794DDA">
        <w:t xml:space="preserve">The new market stewardship framework will focus on identifying when and how the NDIA and other Government agencies should intervene to address issues in the disability market, how the NDIA monitors the market, and what strategies should be adopted to support growth, address emerging risks, or correct imbalances. </w:t>
      </w:r>
    </w:p>
    <w:p w14:paraId="23A24A36" w14:textId="77777777" w:rsidR="00794DDA" w:rsidRPr="00794DDA" w:rsidRDefault="00794DDA" w:rsidP="00794DDA">
      <w:r w:rsidRPr="00794DDA">
        <w:t xml:space="preserve">As part of this work, the NDIA is identifying key policy and market objectives, clarifying stewardship roles across agencies, and consulting on metrics to monitor market performance. Pricing is a central lever in this framework, used not just to reflect market conditions, but to shape them. The updated framework will guide how pricing is used to encourage investment, support innovation, and maintain a sustainable and responsive provider market. </w:t>
      </w:r>
    </w:p>
    <w:p w14:paraId="24B85562" w14:textId="4EB045F3" w:rsidR="0041432C" w:rsidRDefault="0041432C">
      <w:pPr>
        <w:spacing w:before="120" w:after="120"/>
      </w:pPr>
      <w:r>
        <w:br w:type="page"/>
      </w:r>
    </w:p>
    <w:p w14:paraId="3E8E0BCF" w14:textId="77777777" w:rsidR="001F7448" w:rsidRPr="008034CE" w:rsidRDefault="001F7448" w:rsidP="001F7448">
      <w:pPr>
        <w:pStyle w:val="Heading3"/>
        <w:numPr>
          <w:ilvl w:val="1"/>
          <w:numId w:val="1"/>
        </w:numPr>
      </w:pPr>
      <w:bookmarkStart w:id="82" w:name="_Toc200271568"/>
      <w:r w:rsidRPr="008034CE">
        <w:lastRenderedPageBreak/>
        <w:t>Quality Supports Program</w:t>
      </w:r>
      <w:bookmarkEnd w:id="82"/>
      <w:r w:rsidRPr="008034CE">
        <w:t xml:space="preserve"> </w:t>
      </w:r>
    </w:p>
    <w:p w14:paraId="6A67CF33" w14:textId="77777777" w:rsidR="001F7448" w:rsidRPr="008034CE" w:rsidRDefault="001F7448" w:rsidP="001F7448">
      <w:pPr>
        <w:rPr>
          <w:rFonts w:cs="Arial"/>
          <w:sz w:val="18"/>
          <w:szCs w:val="18"/>
        </w:rPr>
      </w:pPr>
      <w:bookmarkStart w:id="83" w:name="_Toc196754579"/>
      <w:r w:rsidRPr="008034CE">
        <w:rPr>
          <w:rStyle w:val="normaltextrun"/>
          <w:rFonts w:cs="Arial"/>
        </w:rPr>
        <w:t>The 2023-24 Annual Pricing Review (APR) committed the NDIA to strengthening the NDIS pricing approach to support a quality, diverse provider market that meets the individual needs of participants. This work has commenced with two 12-month Quality Supports pilots that will focus on defining the participant support needs and inform pricing in Support Coordination (SC) supports and Supported Independent Living (SIL).</w:t>
      </w:r>
    </w:p>
    <w:p w14:paraId="2B84D0EA" w14:textId="77777777" w:rsidR="001F7448" w:rsidRPr="008034CE" w:rsidRDefault="001F7448" w:rsidP="001F7448">
      <w:pPr>
        <w:pStyle w:val="Heading3"/>
        <w:numPr>
          <w:ilvl w:val="1"/>
          <w:numId w:val="1"/>
        </w:numPr>
      </w:pPr>
      <w:bookmarkStart w:id="84" w:name="_Toc196758214"/>
      <w:bookmarkStart w:id="85" w:name="_Toc197344290"/>
      <w:bookmarkStart w:id="86" w:name="_Toc200271569"/>
      <w:r w:rsidRPr="008034CE">
        <w:t>Consultation Process</w:t>
      </w:r>
      <w:bookmarkEnd w:id="83"/>
      <w:bookmarkEnd w:id="84"/>
      <w:bookmarkEnd w:id="85"/>
      <w:bookmarkEnd w:id="86"/>
    </w:p>
    <w:p w14:paraId="214F5E60" w14:textId="7BE8DEB8" w:rsidR="001F7448" w:rsidRPr="008034CE" w:rsidRDefault="001F7448" w:rsidP="001F7448">
      <w:r w:rsidRPr="008034CE">
        <w:t>Building on the findings of the Independent Pricing Committee (IPC, see Chapter 3), this year’s APR consultation process differs from previous APRs and has been more</w:t>
      </w:r>
      <w:r w:rsidR="005C6BB8">
        <w:t> </w:t>
      </w:r>
      <w:r w:rsidRPr="008034CE">
        <w:t>streamlined.</w:t>
      </w:r>
    </w:p>
    <w:p w14:paraId="7CE459A5" w14:textId="77777777" w:rsidR="001F7448" w:rsidRPr="008034CE" w:rsidRDefault="001F7448" w:rsidP="001F7448">
      <w:r w:rsidRPr="008034CE">
        <w:t xml:space="preserve">Extensive consultation in recent years has shaped the NDIA’s pricing approach, including through successive APRs, the Independent NDIS Review, and most recently, the consultation process led by the Independent Health and Aged Care Pricing Authority (IHACPA) and the IPC. These processes have provided valuable and important insights from people with disability, providers, and other stakeholders </w:t>
      </w:r>
      <w:r w:rsidRPr="005C6BB8">
        <w:rPr>
          <w:spacing w:val="-2"/>
        </w:rPr>
        <w:t>on how price settings affect service quality, market viability, and participant outcomes.</w:t>
      </w:r>
    </w:p>
    <w:p w14:paraId="74C51945" w14:textId="77777777" w:rsidR="001F7448" w:rsidRDefault="001F7448" w:rsidP="001F7448">
      <w:r w:rsidRPr="008034CE">
        <w:t xml:space="preserve">Informed by this substantial body of evidence, and to minimise consultation fatigue while progressing reform in a timely manner, the 2024-25 APR did not include a formal consultation period. Instead, the review drew on the feedback from all recent consultative processes. </w:t>
      </w:r>
    </w:p>
    <w:p w14:paraId="5F5007CD" w14:textId="254F7841" w:rsidR="001F7448" w:rsidRPr="008034CE" w:rsidRDefault="001F7448" w:rsidP="001F7448">
      <w:r w:rsidRPr="008034CE">
        <w:t>The NDIA remains committed to ongoing engagement with people with disability, families, providers, workers, peak and professional bodies. Ongoing consultation, market monitoring, and targeted engagement will continue to play a central role in shaping responsive, transparent, and evidence-based pricing arrangements.</w:t>
      </w:r>
    </w:p>
    <w:p w14:paraId="1C481CDD" w14:textId="77777777" w:rsidR="001F7448" w:rsidRPr="005C6BB8" w:rsidRDefault="001F7448" w:rsidP="001F7448">
      <w:pPr>
        <w:pStyle w:val="Heading4"/>
        <w:numPr>
          <w:ilvl w:val="2"/>
          <w:numId w:val="1"/>
        </w:numPr>
        <w:rPr>
          <w:spacing w:val="-2"/>
        </w:rPr>
      </w:pPr>
      <w:bookmarkStart w:id="87" w:name="_Toc200103456"/>
      <w:bookmarkStart w:id="88" w:name="_Toc200271570"/>
      <w:r w:rsidRPr="005C6BB8">
        <w:rPr>
          <w:spacing w:val="-2"/>
        </w:rPr>
        <w:t>Consultation with other Government Insurance and Funding Schemes</w:t>
      </w:r>
      <w:bookmarkEnd w:id="87"/>
      <w:bookmarkEnd w:id="88"/>
    </w:p>
    <w:p w14:paraId="15881883" w14:textId="77777777" w:rsidR="001F7448" w:rsidRPr="008034CE" w:rsidRDefault="001F7448" w:rsidP="001F7448">
      <w:r w:rsidRPr="008034CE">
        <w:t>The NDIA collaborated with 16 Commonwealth and State Schemes to obtain comparable therapy pricing. Responses from 13 schemes were received. Schemes that assisted with information were:  </w:t>
      </w:r>
    </w:p>
    <w:p w14:paraId="21212558" w14:textId="77777777" w:rsidR="001F7448" w:rsidRPr="008034CE" w:rsidRDefault="001F7448" w:rsidP="002441B8">
      <w:pPr>
        <w:pStyle w:val="ListParagraph"/>
        <w:numPr>
          <w:ilvl w:val="0"/>
          <w:numId w:val="15"/>
        </w:numPr>
        <w:spacing w:before="100" w:beforeAutospacing="1" w:after="240" w:line="288" w:lineRule="auto"/>
      </w:pPr>
      <w:r w:rsidRPr="008034CE">
        <w:t>Catastrophic Injuries Support (C</w:t>
      </w:r>
      <w:r w:rsidRPr="008034CE">
        <w:rPr>
          <w:spacing w:val="-60"/>
        </w:rPr>
        <w:t xml:space="preserve"> </w:t>
      </w:r>
      <w:r w:rsidRPr="008034CE">
        <w:t>I</w:t>
      </w:r>
      <w:r w:rsidRPr="008034CE">
        <w:rPr>
          <w:spacing w:val="-60"/>
        </w:rPr>
        <w:t xml:space="preserve"> </w:t>
      </w:r>
      <w:r w:rsidRPr="008034CE">
        <w:t>S) Scheme,   </w:t>
      </w:r>
    </w:p>
    <w:p w14:paraId="0FA26CF3" w14:textId="77777777" w:rsidR="001F7448" w:rsidRPr="008034CE" w:rsidRDefault="001F7448" w:rsidP="002441B8">
      <w:pPr>
        <w:pStyle w:val="ListParagraph"/>
        <w:numPr>
          <w:ilvl w:val="0"/>
          <w:numId w:val="15"/>
        </w:numPr>
        <w:spacing w:before="100" w:beforeAutospacing="1" w:after="240" w:line="288" w:lineRule="auto"/>
      </w:pPr>
      <w:r w:rsidRPr="008034CE">
        <w:t>ComCare,   </w:t>
      </w:r>
    </w:p>
    <w:p w14:paraId="653A60CB" w14:textId="77777777" w:rsidR="001F7448" w:rsidRPr="008034CE" w:rsidRDefault="001F7448" w:rsidP="002441B8">
      <w:pPr>
        <w:pStyle w:val="ListParagraph"/>
        <w:numPr>
          <w:ilvl w:val="0"/>
          <w:numId w:val="15"/>
        </w:numPr>
        <w:spacing w:before="100" w:beforeAutospacing="1" w:after="240" w:line="288" w:lineRule="auto"/>
      </w:pPr>
      <w:r w:rsidRPr="008034CE">
        <w:t>Department of Veterans’ Affairs (DVA),   </w:t>
      </w:r>
    </w:p>
    <w:p w14:paraId="597B25F6" w14:textId="77777777" w:rsidR="001F7448" w:rsidRPr="008034CE" w:rsidRDefault="001F7448" w:rsidP="002441B8">
      <w:pPr>
        <w:pStyle w:val="ListParagraph"/>
        <w:numPr>
          <w:ilvl w:val="0"/>
          <w:numId w:val="15"/>
        </w:numPr>
        <w:spacing w:before="100" w:beforeAutospacing="1" w:after="240" w:line="288" w:lineRule="auto"/>
      </w:pPr>
      <w:r w:rsidRPr="008034CE">
        <w:t>Home and Community Care Program for Younger People (HACC-PYP),   </w:t>
      </w:r>
    </w:p>
    <w:p w14:paraId="646C2AD4" w14:textId="77777777" w:rsidR="001F7448" w:rsidRPr="008034CE" w:rsidRDefault="001F7448" w:rsidP="002441B8">
      <w:pPr>
        <w:pStyle w:val="ListParagraph"/>
        <w:numPr>
          <w:ilvl w:val="0"/>
          <w:numId w:val="15"/>
        </w:numPr>
        <w:spacing w:before="100" w:beforeAutospacing="1" w:after="240" w:line="288" w:lineRule="auto"/>
      </w:pPr>
      <w:r w:rsidRPr="008034CE">
        <w:t>Lifetime Support Scheme (L</w:t>
      </w:r>
      <w:r w:rsidRPr="008034CE">
        <w:rPr>
          <w:spacing w:val="-60"/>
        </w:rPr>
        <w:t xml:space="preserve"> </w:t>
      </w:r>
      <w:r w:rsidRPr="008034CE">
        <w:t>S</w:t>
      </w:r>
      <w:r w:rsidRPr="008034CE">
        <w:rPr>
          <w:spacing w:val="-60"/>
        </w:rPr>
        <w:t xml:space="preserve"> </w:t>
      </w:r>
      <w:r w:rsidRPr="008034CE">
        <w:t>S),   </w:t>
      </w:r>
    </w:p>
    <w:p w14:paraId="24B3E667" w14:textId="77777777" w:rsidR="001F7448" w:rsidRPr="008034CE" w:rsidRDefault="001F7448" w:rsidP="002441B8">
      <w:pPr>
        <w:pStyle w:val="ListParagraph"/>
        <w:numPr>
          <w:ilvl w:val="0"/>
          <w:numId w:val="15"/>
        </w:numPr>
        <w:spacing w:before="100" w:beforeAutospacing="1" w:after="240" w:line="288" w:lineRule="auto"/>
      </w:pPr>
      <w:r w:rsidRPr="008034CE">
        <w:t>Motor Accidents Insurance Board (MAIB),   </w:t>
      </w:r>
    </w:p>
    <w:p w14:paraId="249AB9AA" w14:textId="77777777" w:rsidR="001F7448" w:rsidRPr="008034CE" w:rsidRDefault="001F7448" w:rsidP="002441B8">
      <w:pPr>
        <w:pStyle w:val="ListParagraph"/>
        <w:numPr>
          <w:ilvl w:val="0"/>
          <w:numId w:val="15"/>
        </w:numPr>
        <w:spacing w:before="100" w:beforeAutospacing="1" w:after="240" w:line="288" w:lineRule="auto"/>
      </w:pPr>
      <w:r w:rsidRPr="008034CE">
        <w:lastRenderedPageBreak/>
        <w:t>Medicare Benefit Scheme (MBS),   </w:t>
      </w:r>
    </w:p>
    <w:p w14:paraId="5ED163BB" w14:textId="77777777" w:rsidR="001F7448" w:rsidRPr="008034CE" w:rsidRDefault="001F7448" w:rsidP="002441B8">
      <w:pPr>
        <w:pStyle w:val="ListParagraph"/>
        <w:numPr>
          <w:ilvl w:val="0"/>
          <w:numId w:val="15"/>
        </w:numPr>
        <w:spacing w:before="100" w:beforeAutospacing="1" w:after="240" w:line="288" w:lineRule="auto"/>
      </w:pPr>
      <w:r w:rsidRPr="008034CE">
        <w:t>National Injury Insurance Scheme Queensland (NIISQ),   </w:t>
      </w:r>
    </w:p>
    <w:p w14:paraId="21EBE6E2" w14:textId="77777777" w:rsidR="001F7448" w:rsidRPr="008034CE" w:rsidRDefault="001F7448" w:rsidP="002441B8">
      <w:pPr>
        <w:pStyle w:val="ListParagraph"/>
        <w:numPr>
          <w:ilvl w:val="0"/>
          <w:numId w:val="15"/>
        </w:numPr>
        <w:spacing w:before="100" w:beforeAutospacing="1" w:after="240" w:line="288" w:lineRule="auto"/>
      </w:pPr>
      <w:r w:rsidRPr="008034CE">
        <w:t>Return To Work South Australia (RTWSA),   </w:t>
      </w:r>
    </w:p>
    <w:p w14:paraId="72053FCB" w14:textId="77777777" w:rsidR="001F7448" w:rsidRPr="008034CE" w:rsidRDefault="001F7448" w:rsidP="002441B8">
      <w:pPr>
        <w:pStyle w:val="ListParagraph"/>
        <w:numPr>
          <w:ilvl w:val="0"/>
          <w:numId w:val="15"/>
        </w:numPr>
        <w:spacing w:before="100" w:beforeAutospacing="1" w:after="240" w:line="288" w:lineRule="auto"/>
      </w:pPr>
      <w:r w:rsidRPr="008034CE">
        <w:t>State Insurance Regulatory Authority (S</w:t>
      </w:r>
      <w:r w:rsidRPr="008034CE">
        <w:rPr>
          <w:spacing w:val="-60"/>
        </w:rPr>
        <w:t xml:space="preserve"> </w:t>
      </w:r>
      <w:r w:rsidRPr="008034CE">
        <w:t>I</w:t>
      </w:r>
      <w:r w:rsidRPr="008034CE">
        <w:rPr>
          <w:spacing w:val="-60"/>
        </w:rPr>
        <w:t xml:space="preserve"> </w:t>
      </w:r>
      <w:r w:rsidRPr="008034CE">
        <w:t>R</w:t>
      </w:r>
      <w:r w:rsidRPr="008034CE">
        <w:rPr>
          <w:spacing w:val="-60"/>
        </w:rPr>
        <w:t xml:space="preserve"> </w:t>
      </w:r>
      <w:r w:rsidRPr="008034CE">
        <w:t>A),   </w:t>
      </w:r>
    </w:p>
    <w:p w14:paraId="4E6D4AD4" w14:textId="77777777" w:rsidR="001F7448" w:rsidRPr="008034CE" w:rsidRDefault="001F7448" w:rsidP="002441B8">
      <w:pPr>
        <w:pStyle w:val="ListParagraph"/>
        <w:numPr>
          <w:ilvl w:val="0"/>
          <w:numId w:val="15"/>
        </w:numPr>
        <w:spacing w:before="100" w:beforeAutospacing="1" w:after="240" w:line="288" w:lineRule="auto"/>
      </w:pPr>
      <w:r w:rsidRPr="008034CE">
        <w:t>Victorian Transport Accident Commission (T</w:t>
      </w:r>
      <w:r w:rsidRPr="008034CE">
        <w:rPr>
          <w:spacing w:val="-60"/>
        </w:rPr>
        <w:t xml:space="preserve"> </w:t>
      </w:r>
      <w:r w:rsidRPr="008034CE">
        <w:t>A</w:t>
      </w:r>
      <w:r w:rsidRPr="008034CE">
        <w:rPr>
          <w:spacing w:val="-60"/>
        </w:rPr>
        <w:t xml:space="preserve"> </w:t>
      </w:r>
      <w:r w:rsidRPr="008034CE">
        <w:t>C),   </w:t>
      </w:r>
    </w:p>
    <w:p w14:paraId="51DC7910" w14:textId="77777777" w:rsidR="001F7448" w:rsidRPr="008034CE" w:rsidRDefault="001F7448" w:rsidP="002441B8">
      <w:pPr>
        <w:pStyle w:val="ListParagraph"/>
        <w:numPr>
          <w:ilvl w:val="0"/>
          <w:numId w:val="15"/>
        </w:numPr>
        <w:spacing w:before="100" w:beforeAutospacing="1" w:after="240" w:line="288" w:lineRule="auto"/>
      </w:pPr>
      <w:proofErr w:type="spellStart"/>
      <w:r w:rsidRPr="008034CE">
        <w:t>WorkCover</w:t>
      </w:r>
      <w:proofErr w:type="spellEnd"/>
      <w:r w:rsidRPr="008034CE">
        <w:t xml:space="preserve"> Western Australia, and</w:t>
      </w:r>
    </w:p>
    <w:p w14:paraId="121D30AF" w14:textId="77777777" w:rsidR="001F7448" w:rsidRPr="008034CE" w:rsidRDefault="001F7448" w:rsidP="002441B8">
      <w:pPr>
        <w:pStyle w:val="ListParagraph"/>
        <w:numPr>
          <w:ilvl w:val="0"/>
          <w:numId w:val="15"/>
        </w:numPr>
        <w:spacing w:before="100" w:beforeAutospacing="1" w:after="240" w:line="288" w:lineRule="auto"/>
      </w:pPr>
      <w:r w:rsidRPr="008034CE">
        <w:t>WorkSafe Victoria.</w:t>
      </w:r>
    </w:p>
    <w:p w14:paraId="04E16333" w14:textId="77777777" w:rsidR="001F7448" w:rsidRPr="008034CE" w:rsidRDefault="001F7448" w:rsidP="001F7448">
      <w:pPr>
        <w:pStyle w:val="Heading4"/>
        <w:numPr>
          <w:ilvl w:val="2"/>
          <w:numId w:val="1"/>
        </w:numPr>
      </w:pPr>
      <w:bookmarkStart w:id="89" w:name="_Toc200103457"/>
      <w:bookmarkStart w:id="90" w:name="_Toc200271571"/>
      <w:r w:rsidRPr="008034CE">
        <w:t>Pricing Interdepartmental Committee</w:t>
      </w:r>
      <w:bookmarkEnd w:id="89"/>
      <w:bookmarkEnd w:id="90"/>
      <w:r w:rsidRPr="008034CE">
        <w:t xml:space="preserve"> </w:t>
      </w:r>
    </w:p>
    <w:p w14:paraId="55A742CA" w14:textId="77777777" w:rsidR="001F7448" w:rsidRPr="008034CE" w:rsidRDefault="001F7448" w:rsidP="001F7448">
      <w:pPr>
        <w:pStyle w:val="paragraph"/>
        <w:spacing w:before="0" w:beforeAutospacing="0" w:after="200" w:afterAutospacing="0" w:line="288" w:lineRule="auto"/>
        <w:textAlignment w:val="baseline"/>
        <w:rPr>
          <w:rFonts w:ascii="Arial" w:hAnsi="Arial" w:cs="Arial"/>
          <w:sz w:val="18"/>
          <w:szCs w:val="18"/>
        </w:rPr>
      </w:pPr>
      <w:r w:rsidRPr="008034CE">
        <w:rPr>
          <w:rStyle w:val="normaltextrun"/>
          <w:rFonts w:ascii="Arial" w:hAnsi="Arial" w:cs="Arial"/>
        </w:rPr>
        <w:t>The pricing Interdepartmental Committee (IDC), established in November 2022, supports a strategic, joined-up approach to pricing in the NDIS. It serves as a key mechanism for aligning pricing policy with broader government, economic, and regulatory, and social objectives.</w:t>
      </w:r>
      <w:r w:rsidRPr="008034CE">
        <w:rPr>
          <w:rStyle w:val="eop"/>
          <w:rFonts w:cs="Arial"/>
        </w:rPr>
        <w:t> </w:t>
      </w:r>
    </w:p>
    <w:p w14:paraId="0CBA201E" w14:textId="77777777" w:rsidR="001F7448" w:rsidRPr="008034CE" w:rsidRDefault="001F7448" w:rsidP="001F7448">
      <w:pPr>
        <w:pStyle w:val="paragraph"/>
        <w:spacing w:before="0" w:beforeAutospacing="0" w:after="200" w:afterAutospacing="0" w:line="288" w:lineRule="auto"/>
        <w:textAlignment w:val="baseline"/>
        <w:rPr>
          <w:rFonts w:ascii="Arial" w:hAnsi="Arial" w:cs="Arial"/>
          <w:sz w:val="18"/>
          <w:szCs w:val="18"/>
        </w:rPr>
      </w:pPr>
      <w:r w:rsidRPr="008034CE">
        <w:rPr>
          <w:rStyle w:val="normaltextrun"/>
          <w:rFonts w:ascii="Arial" w:hAnsi="Arial" w:cs="Arial"/>
        </w:rPr>
        <w:t>The Committee includes senior representatives from the Department of Social Services (D</w:t>
      </w:r>
      <w:r w:rsidRPr="008034CE">
        <w:rPr>
          <w:rStyle w:val="normaltextrun"/>
          <w:rFonts w:ascii="Arial" w:hAnsi="Arial" w:cs="Arial"/>
          <w:spacing w:val="-60"/>
        </w:rPr>
        <w:t xml:space="preserve"> </w:t>
      </w:r>
      <w:r w:rsidRPr="008034CE">
        <w:rPr>
          <w:rStyle w:val="normaltextrun"/>
          <w:rFonts w:ascii="Arial" w:hAnsi="Arial" w:cs="Arial"/>
        </w:rPr>
        <w:t>S</w:t>
      </w:r>
      <w:r w:rsidRPr="008034CE">
        <w:rPr>
          <w:rStyle w:val="normaltextrun"/>
          <w:rFonts w:ascii="Arial" w:hAnsi="Arial" w:cs="Arial"/>
          <w:spacing w:val="-60"/>
        </w:rPr>
        <w:t xml:space="preserve"> </w:t>
      </w:r>
      <w:r w:rsidRPr="008034CE">
        <w:rPr>
          <w:rStyle w:val="normaltextrun"/>
          <w:rFonts w:ascii="Arial" w:hAnsi="Arial" w:cs="Arial"/>
        </w:rPr>
        <w:t xml:space="preserve">S), Department of Finance, Commonwealth Treasury, and the NDIS Quality and Safeguards Commission (NDIS Commission). Through regular engagement, the IDC provides a platform for the NDIA to test ideas, consider fiscal and economic implications, and ensure pricing settings reflect the Government's broader stewardship responsibilities across the care and support sector. </w:t>
      </w:r>
    </w:p>
    <w:p w14:paraId="5B6EE57B" w14:textId="77777777" w:rsidR="001F7448" w:rsidRPr="008034CE" w:rsidRDefault="001F7448" w:rsidP="001F7448">
      <w:pPr>
        <w:pStyle w:val="paragraph"/>
        <w:spacing w:before="0" w:beforeAutospacing="0" w:after="200" w:afterAutospacing="0" w:line="288" w:lineRule="auto"/>
        <w:textAlignment w:val="baseline"/>
        <w:rPr>
          <w:rFonts w:ascii="Arial" w:hAnsi="Arial" w:cs="Arial"/>
          <w:sz w:val="18"/>
          <w:szCs w:val="18"/>
        </w:rPr>
      </w:pPr>
      <w:r w:rsidRPr="008034CE">
        <w:rPr>
          <w:rStyle w:val="normaltextrun"/>
          <w:rFonts w:ascii="Arial" w:hAnsi="Arial" w:cs="Arial"/>
        </w:rPr>
        <w:t>This system-level collaboration ensures pricing decisions are well-informed, coordinated, and responsive to emerging challenges – ultimately supporting the sustainability and effectiveness of the Scheme.</w:t>
      </w:r>
      <w:r w:rsidRPr="008034CE">
        <w:rPr>
          <w:rStyle w:val="eop"/>
          <w:rFonts w:cs="Arial"/>
        </w:rPr>
        <w:t> </w:t>
      </w:r>
    </w:p>
    <w:p w14:paraId="48667D92" w14:textId="77777777" w:rsidR="001F7448" w:rsidRPr="008034CE" w:rsidRDefault="001F7448" w:rsidP="001F7448">
      <w:pPr>
        <w:pStyle w:val="Heading4"/>
        <w:numPr>
          <w:ilvl w:val="2"/>
          <w:numId w:val="1"/>
        </w:numPr>
      </w:pPr>
      <w:bookmarkStart w:id="91" w:name="_Toc200103458"/>
      <w:bookmarkStart w:id="92" w:name="_Toc200271572"/>
      <w:r w:rsidRPr="008034CE">
        <w:t>Pricing Arrangement Reference Group</w:t>
      </w:r>
      <w:bookmarkEnd w:id="91"/>
      <w:bookmarkEnd w:id="92"/>
      <w:r w:rsidRPr="008034CE">
        <w:t xml:space="preserve"> </w:t>
      </w:r>
    </w:p>
    <w:p w14:paraId="61D63B2E" w14:textId="1DE9798C" w:rsidR="005C6BB8" w:rsidRDefault="001F7448" w:rsidP="001F7448">
      <w:r w:rsidRPr="008034CE">
        <w:t>The APR was informed by advice and peer review from the NDIA’s Pricing Arrangement Reference Group (P</w:t>
      </w:r>
      <w:r w:rsidRPr="008034CE">
        <w:rPr>
          <w:spacing w:val="-60"/>
        </w:rPr>
        <w:t xml:space="preserve"> </w:t>
      </w:r>
      <w:r w:rsidRPr="008034CE">
        <w:t>A</w:t>
      </w:r>
      <w:r w:rsidRPr="008034CE">
        <w:rPr>
          <w:spacing w:val="-60"/>
        </w:rPr>
        <w:t xml:space="preserve"> </w:t>
      </w:r>
      <w:r w:rsidRPr="008034CE">
        <w:t>R</w:t>
      </w:r>
      <w:r w:rsidRPr="008034CE">
        <w:rPr>
          <w:spacing w:val="-60"/>
        </w:rPr>
        <w:t xml:space="preserve"> </w:t>
      </w:r>
      <w:r w:rsidRPr="008034CE">
        <w:t xml:space="preserve">G), which provides expert advice to the NDIA Board via the Chief Executive Officer of the NDIA, on pricing regulation arrangements. This advisory process helps ensure that pricing decisions are transparent, evidence-based, and aligned with the NDIA’s objectives to support participant outcomes and strengthen market stewardship. More information can be found on the </w:t>
      </w:r>
      <w:hyperlink r:id="rId12" w:history="1">
        <w:r w:rsidRPr="008034CE">
          <w:rPr>
            <w:rStyle w:val="Hyperlink"/>
          </w:rPr>
          <w:t>NDIS website</w:t>
        </w:r>
      </w:hyperlink>
      <w:r w:rsidRPr="008034CE">
        <w:t>.</w:t>
      </w:r>
    </w:p>
    <w:p w14:paraId="394592BC" w14:textId="0097EA02" w:rsidR="002441B8" w:rsidRPr="00F32618" w:rsidRDefault="002441B8" w:rsidP="00F32618">
      <w:pPr>
        <w:spacing w:before="120" w:after="120"/>
      </w:pPr>
      <w:r>
        <w:br w:type="page"/>
      </w:r>
    </w:p>
    <w:p w14:paraId="7C3F5AFA" w14:textId="77777777" w:rsidR="00C02EFD" w:rsidRPr="008034CE" w:rsidRDefault="00C02EFD" w:rsidP="00C02EFD">
      <w:pPr>
        <w:pStyle w:val="Heading2"/>
      </w:pPr>
      <w:bookmarkStart w:id="93" w:name="_Toc196754581"/>
      <w:bookmarkStart w:id="94" w:name="_Toc196758216"/>
      <w:bookmarkStart w:id="95" w:name="_Toc197344292"/>
      <w:bookmarkStart w:id="96" w:name="_Toc200271573"/>
      <w:r w:rsidRPr="008034CE">
        <w:lastRenderedPageBreak/>
        <w:t>Independent Pricing Committee</w:t>
      </w:r>
      <w:bookmarkEnd w:id="93"/>
      <w:bookmarkEnd w:id="94"/>
      <w:bookmarkEnd w:id="95"/>
      <w:bookmarkEnd w:id="96"/>
      <w:r w:rsidRPr="008034CE">
        <w:t xml:space="preserve"> </w:t>
      </w:r>
    </w:p>
    <w:p w14:paraId="259210E6" w14:textId="77777777" w:rsidR="00C02EFD" w:rsidRPr="008034CE" w:rsidRDefault="00C02EFD" w:rsidP="00C02EFD">
      <w:r w:rsidRPr="008034CE">
        <w:t xml:space="preserve">In September 2024, the former Minister for the NDIS established the Independent Pricing Committee (IPC) to examine the NDIA's pricing approach. Rather than reviewing specific price limits, the IPC assessed how pricing influences the operation of provider markets, and whether the pricing approach could better support quality, access to supports, and market sustainability. </w:t>
      </w:r>
    </w:p>
    <w:p w14:paraId="6F9F0691" w14:textId="77777777" w:rsidR="00C02EFD" w:rsidRPr="008034CE" w:rsidRDefault="00C02EFD" w:rsidP="00C02EFD">
      <w:r w:rsidRPr="008034CE">
        <w:t xml:space="preserve">The IPC’s findings reflect consultations with providers, participants, and sector leaders including peak and professional bodies, as well as extensive analysis of NDIA administrative data and information collected in previous APRs. The IPC concluded that pricing is a key lever shaping markets, including service offerings, market structure, and participant outcomes. </w:t>
      </w:r>
    </w:p>
    <w:p w14:paraId="493B3378" w14:textId="77777777" w:rsidR="00794DDA" w:rsidRPr="00794DDA" w:rsidRDefault="00794DDA" w:rsidP="00794DDA">
      <w:r w:rsidRPr="00794DDA">
        <w:t xml:space="preserve">The IPC’s framework sets the strategic direction for NDIS pricing reform over the next three to five years. The NDIA has committed to progressively apply this approach, starting with the current 2024-25 Annual Pricing Review. </w:t>
      </w:r>
    </w:p>
    <w:p w14:paraId="22504152" w14:textId="77777777" w:rsidR="00C02EFD" w:rsidRPr="008034CE" w:rsidRDefault="00C02EFD" w:rsidP="00C02EFD">
      <w:r w:rsidRPr="008034CE">
        <w:t xml:space="preserve">In response to the findings in the IPC report, the 2024-25 APR takes the first steps in moving to a more differentiated pricing approach. This will be based on clearer service specifications that reflect the range of participant needs and how pricing can be structured to ensure provider markets are able to meet participant needs. </w:t>
      </w:r>
    </w:p>
    <w:p w14:paraId="7BE6A1FB" w14:textId="77777777" w:rsidR="00C02EFD" w:rsidRPr="008034CE" w:rsidRDefault="00C02EFD" w:rsidP="00C02EFD">
      <w:pPr>
        <w:pStyle w:val="Heading3small"/>
      </w:pPr>
      <w:bookmarkStart w:id="97" w:name="_Toc200103461"/>
      <w:bookmarkStart w:id="98" w:name="_Toc200271574"/>
      <w:r w:rsidRPr="008034CE">
        <w:t>Key Findings of the IPC</w:t>
      </w:r>
      <w:bookmarkEnd w:id="97"/>
      <w:bookmarkEnd w:id="98"/>
    </w:p>
    <w:p w14:paraId="59E1070E" w14:textId="77777777" w:rsidR="00C02EFD" w:rsidRPr="008034CE" w:rsidRDefault="00C02EFD" w:rsidP="00C02EFD">
      <w:r w:rsidRPr="008034CE">
        <w:t xml:space="preserve">The IPC reviewed how NDIS pricing influences provider behaviour and market outcomes. Its findings emphasise the limitations of a uniform pricing approach and highlight the need for a flexible and a more differentiated approach that supports both value-for-money and participant outcomes. </w:t>
      </w:r>
    </w:p>
    <w:p w14:paraId="28D87B14" w14:textId="77777777" w:rsidR="00C02EFD" w:rsidRPr="008034CE" w:rsidRDefault="00C02EFD" w:rsidP="00C02EFD">
      <w:r w:rsidRPr="008034CE">
        <w:t xml:space="preserve">The key findings: </w:t>
      </w:r>
    </w:p>
    <w:p w14:paraId="13F683B0" w14:textId="77777777" w:rsidR="00C02EFD" w:rsidRPr="008034CE" w:rsidRDefault="00C02EFD" w:rsidP="00C02EFD">
      <w:pPr>
        <w:pStyle w:val="ListParagraph"/>
        <w:numPr>
          <w:ilvl w:val="0"/>
          <w:numId w:val="11"/>
        </w:numPr>
        <w:spacing w:line="288" w:lineRule="auto"/>
      </w:pPr>
      <w:r w:rsidRPr="008034CE">
        <w:t xml:space="preserve">Competition alone cannot be relied upon to deliver optimal outcomes for participants dues to structural features of the Scheme. </w:t>
      </w:r>
    </w:p>
    <w:p w14:paraId="7326AD1C" w14:textId="77777777" w:rsidR="00C02EFD" w:rsidRPr="008034CE" w:rsidRDefault="00C02EFD" w:rsidP="00C02EFD">
      <w:pPr>
        <w:pStyle w:val="ListParagraph"/>
        <w:numPr>
          <w:ilvl w:val="0"/>
          <w:numId w:val="11"/>
        </w:numPr>
        <w:spacing w:line="288" w:lineRule="auto"/>
      </w:pPr>
      <w:r w:rsidRPr="008034CE">
        <w:t>Price limits are a powerful mechanism that shapes market behaviour, including which types of providers succeed, and the range of services offered.</w:t>
      </w:r>
    </w:p>
    <w:p w14:paraId="2DCBF186" w14:textId="77777777" w:rsidR="00C02EFD" w:rsidRPr="008034CE" w:rsidRDefault="00C02EFD" w:rsidP="00C02EFD">
      <w:pPr>
        <w:pStyle w:val="ListParagraph"/>
        <w:numPr>
          <w:ilvl w:val="0"/>
          <w:numId w:val="11"/>
        </w:numPr>
        <w:spacing w:line="288" w:lineRule="auto"/>
      </w:pPr>
      <w:r w:rsidRPr="008034CE">
        <w:t xml:space="preserve">The current uniform pricing approach may be distorting the market by overfunding low-cost providers and underfunding providers delivering more complex supports. </w:t>
      </w:r>
    </w:p>
    <w:p w14:paraId="03FD8051" w14:textId="4FAFB90C" w:rsidR="00C02EFD" w:rsidRPr="008034CE" w:rsidRDefault="00C02EFD" w:rsidP="00C02EFD">
      <w:pPr>
        <w:pStyle w:val="ListParagraph"/>
        <w:numPr>
          <w:ilvl w:val="0"/>
          <w:numId w:val="11"/>
        </w:numPr>
        <w:spacing w:line="288" w:lineRule="auto"/>
      </w:pPr>
      <w:r w:rsidRPr="008034CE">
        <w:t>This pattern risks narrowing the diversity of available services and may undermine the Scheme’s long-term ability to meet the full range of participant</w:t>
      </w:r>
      <w:r w:rsidR="005C6BB8">
        <w:t> </w:t>
      </w:r>
      <w:r w:rsidRPr="008034CE">
        <w:t xml:space="preserve">needs. </w:t>
      </w:r>
    </w:p>
    <w:p w14:paraId="7C38C983" w14:textId="1BA327FC" w:rsidR="00C02EFD" w:rsidRDefault="00C02EFD">
      <w:pPr>
        <w:spacing w:before="120" w:after="120"/>
      </w:pPr>
      <w:r>
        <w:br w:type="page"/>
      </w:r>
    </w:p>
    <w:p w14:paraId="467D0E55" w14:textId="77777777" w:rsidR="00C02EFD" w:rsidRPr="008034CE" w:rsidRDefault="00C02EFD" w:rsidP="00C02EFD">
      <w:pPr>
        <w:pStyle w:val="Heading3small"/>
      </w:pPr>
      <w:bookmarkStart w:id="99" w:name="_Toc200103462"/>
      <w:bookmarkStart w:id="100" w:name="_Toc200271575"/>
      <w:r w:rsidRPr="008034CE">
        <w:lastRenderedPageBreak/>
        <w:t>What the IPC’s Findings Mean for the NDIA</w:t>
      </w:r>
      <w:bookmarkEnd w:id="99"/>
      <w:bookmarkEnd w:id="100"/>
    </w:p>
    <w:p w14:paraId="469B9F15" w14:textId="787F3C61" w:rsidR="00C02EFD" w:rsidRPr="008034CE" w:rsidRDefault="00C02EFD" w:rsidP="00C02EFD">
      <w:r w:rsidRPr="008034CE">
        <w:t xml:space="preserve">The IPC’s observations make clear that pricing is not a neutral or administrative function. Instead, it is a powerful lever that shapes the structure of provider markets and influences service delivery models. </w:t>
      </w:r>
      <w:r w:rsidR="00794DDA" w:rsidRPr="00794DDA">
        <w:t>The NDIA recognises that pricing is a core mechanism in market stewardship, shaping provider behaviour, influencing service models, and enabling system-wide objectives</w:t>
      </w:r>
      <w:r w:rsidR="00794DDA">
        <w:t xml:space="preserve">. </w:t>
      </w:r>
      <w:r w:rsidRPr="008034CE">
        <w:t xml:space="preserve">In the unique context of the NDIS, where budgets are administered, market information is limited, and participant decision making can be constrained, pricing settings often determine which supports are viable and which providers are sustainable. </w:t>
      </w:r>
    </w:p>
    <w:p w14:paraId="5B32B80D" w14:textId="77777777" w:rsidR="00C02EFD" w:rsidRPr="008034CE" w:rsidRDefault="00C02EFD" w:rsidP="00C02EFD">
      <w:r w:rsidRPr="008034CE">
        <w:t xml:space="preserve">Across the Scheme, there is evidence of markets being shaped by price limits: </w:t>
      </w:r>
    </w:p>
    <w:p w14:paraId="43CBB93E" w14:textId="77777777" w:rsidR="00C02EFD" w:rsidRPr="008034CE" w:rsidRDefault="00C02EFD" w:rsidP="00C02EFD">
      <w:pPr>
        <w:pStyle w:val="ListParagraph"/>
        <w:numPr>
          <w:ilvl w:val="0"/>
          <w:numId w:val="16"/>
        </w:numPr>
        <w:spacing w:line="288" w:lineRule="auto"/>
      </w:pPr>
      <w:r w:rsidRPr="008034CE">
        <w:t xml:space="preserve">In DSW-related supports, price limits are enabling high levels of entry but not necessarily encouraging investment in more complex supports. </w:t>
      </w:r>
    </w:p>
    <w:p w14:paraId="798E564A" w14:textId="77777777" w:rsidR="00C02EFD" w:rsidRPr="008034CE" w:rsidRDefault="00C02EFD" w:rsidP="00C02EFD">
      <w:pPr>
        <w:pStyle w:val="ListParagraph"/>
        <w:numPr>
          <w:ilvl w:val="0"/>
          <w:numId w:val="16"/>
        </w:numPr>
        <w:spacing w:line="288" w:lineRule="auto"/>
      </w:pPr>
      <w:r w:rsidRPr="008034CE">
        <w:t>In therapy supports, the rapid growth of sole traders and variation in claiming patterns suggests that price settings are influencing business models and session structure.</w:t>
      </w:r>
    </w:p>
    <w:p w14:paraId="64913BC2" w14:textId="77777777" w:rsidR="00C02EFD" w:rsidRPr="008034CE" w:rsidRDefault="00C02EFD" w:rsidP="00C02EFD">
      <w:pPr>
        <w:pStyle w:val="ListParagraph"/>
        <w:numPr>
          <w:ilvl w:val="0"/>
          <w:numId w:val="16"/>
        </w:numPr>
        <w:spacing w:line="288" w:lineRule="auto"/>
      </w:pPr>
      <w:r w:rsidRPr="008034CE">
        <w:t xml:space="preserve">In support coordination, market fragmentation is emerging, especially among lower-cost and unregistered providers. </w:t>
      </w:r>
    </w:p>
    <w:p w14:paraId="32AE6A74" w14:textId="77777777" w:rsidR="00C02EFD" w:rsidRPr="008034CE" w:rsidRDefault="00C02EFD" w:rsidP="00C02EFD">
      <w:pPr>
        <w:pStyle w:val="ListParagraph"/>
        <w:numPr>
          <w:ilvl w:val="0"/>
          <w:numId w:val="16"/>
        </w:numPr>
        <w:spacing w:line="288" w:lineRule="auto"/>
      </w:pPr>
      <w:r w:rsidRPr="008034CE">
        <w:t xml:space="preserve">In plan management, pricing has supported market consolidation, with a small number of providers delivering the volume of supports. </w:t>
      </w:r>
    </w:p>
    <w:p w14:paraId="6836A9F9" w14:textId="77777777" w:rsidR="00C02EFD" w:rsidRPr="008034CE" w:rsidRDefault="00C02EFD" w:rsidP="00C02EFD">
      <w:r w:rsidRPr="008034CE">
        <w:t>The NDIA recognises the role of pricing in shaping markets and has commenced planning to progressively implement pricing approaches that support a responsive, sustainable provider market. This includes greater focus on aligning price settings with support value, addressing delivery risks, and improving the way pricing supports system-wide objectives.</w:t>
      </w:r>
    </w:p>
    <w:p w14:paraId="14239A63" w14:textId="77777777" w:rsidR="00C02EFD" w:rsidRPr="008034CE" w:rsidRDefault="00C02EFD" w:rsidP="00C02EFD">
      <w:pPr>
        <w:pStyle w:val="Heading3small"/>
      </w:pPr>
      <w:bookmarkStart w:id="101" w:name="_Toc200103463"/>
      <w:bookmarkStart w:id="102" w:name="_Toc200271576"/>
      <w:r w:rsidRPr="008034CE">
        <w:t>A New Framework for Pricing Decisions</w:t>
      </w:r>
      <w:bookmarkEnd w:id="101"/>
      <w:bookmarkEnd w:id="102"/>
    </w:p>
    <w:p w14:paraId="34E69524" w14:textId="77777777" w:rsidR="00C02EFD" w:rsidRPr="008034CE" w:rsidRDefault="00C02EFD" w:rsidP="00C02EFD">
      <w:pPr>
        <w:spacing w:before="100" w:beforeAutospacing="1" w:after="240"/>
      </w:pPr>
      <w:r w:rsidRPr="008034CE">
        <w:t xml:space="preserve">To guide NDIS pricing approaches, the IPC offers a framework for classifying supports based on how they deliver benefits to participants and the nature of costs incurred by providers. This framework moves beyond the assumption that hourly pricing is always appropriate and instead introduces a more structured way to assess when different pricing approaches may be beneficial. </w:t>
      </w:r>
    </w:p>
    <w:p w14:paraId="05A8667C" w14:textId="1C96ED86" w:rsidR="008E17FD" w:rsidRPr="008034CE" w:rsidRDefault="00C02EFD" w:rsidP="002961BF">
      <w:r w:rsidRPr="008034CE">
        <w:t>At its core, the classification recognises that not all supports function in the same way. Some deliver immediate benefits tied to in-person time. Others generate value over time, in ways that are not easily captured by hourly billing. Some supports require substantial upfront or ongoing investment from providers, regardless of how frequently they are used. By grouping supports according to these features, the</w:t>
      </w:r>
      <w:r w:rsidR="002961BF">
        <w:t> </w:t>
      </w:r>
      <w:r w:rsidR="008E17FD" w:rsidRPr="008034CE">
        <w:t>framework allows the NDIA to better align pricing with service characteristics and</w:t>
      </w:r>
      <w:r w:rsidR="002961BF">
        <w:t> </w:t>
      </w:r>
      <w:r w:rsidR="008E17FD" w:rsidRPr="008034CE">
        <w:t xml:space="preserve">delivery conditions. </w:t>
      </w:r>
    </w:p>
    <w:p w14:paraId="287053AD" w14:textId="77777777" w:rsidR="008E17FD" w:rsidRPr="008034CE" w:rsidRDefault="008E17FD" w:rsidP="008E17FD">
      <w:pPr>
        <w:spacing w:before="100" w:beforeAutospacing="1" w:after="240"/>
      </w:pPr>
      <w:r w:rsidRPr="008034CE">
        <w:lastRenderedPageBreak/>
        <w:t xml:space="preserve">The NDIA has applied the classifications identified by the IPC to the NDIS context to illustrate how the four categories can inform pricing approaches: </w:t>
      </w:r>
    </w:p>
    <w:p w14:paraId="7846E943" w14:textId="7F36AC31" w:rsidR="008E17FD" w:rsidRPr="008E17FD" w:rsidRDefault="008E17FD" w:rsidP="008E17FD">
      <w:pPr>
        <w:pStyle w:val="Heading3small"/>
        <w:spacing w:before="100" w:beforeAutospacing="1" w:after="240"/>
      </w:pPr>
      <w:bookmarkStart w:id="103" w:name="_Toc200103464"/>
      <w:bookmarkStart w:id="104" w:name="_Toc200271577"/>
      <w:r>
        <w:t xml:space="preserve">Type 1: </w:t>
      </w:r>
      <w:r w:rsidRPr="008E17FD">
        <w:t>Services based on an hourly rate</w:t>
      </w:r>
      <w:bookmarkEnd w:id="103"/>
      <w:bookmarkEnd w:id="104"/>
    </w:p>
    <w:p w14:paraId="536FB23D" w14:textId="77777777" w:rsidR="008E17FD" w:rsidRPr="008034CE" w:rsidRDefault="008E17FD" w:rsidP="008E17FD">
      <w:pPr>
        <w:spacing w:before="100" w:beforeAutospacing="1" w:after="240"/>
      </w:pPr>
      <w:r w:rsidRPr="008034CE">
        <w:t xml:space="preserve">These are supports where benefits and costs are closely aligned with the time spent delivering them. Most existing price limits fall into this category, including standard personal support, community access, and therapy </w:t>
      </w:r>
      <w:bookmarkStart w:id="105" w:name="_Int_9uuDXQVS"/>
      <w:r w:rsidRPr="008034CE">
        <w:t>supports</w:t>
      </w:r>
      <w:bookmarkEnd w:id="105"/>
      <w:r w:rsidRPr="008034CE">
        <w:t xml:space="preserve">. </w:t>
      </w:r>
    </w:p>
    <w:p w14:paraId="7F15B495" w14:textId="77777777" w:rsidR="008E17FD" w:rsidRPr="008034CE" w:rsidRDefault="008E17FD" w:rsidP="008E17FD">
      <w:pPr>
        <w:pStyle w:val="ListParagraph"/>
        <w:numPr>
          <w:ilvl w:val="0"/>
          <w:numId w:val="11"/>
        </w:numPr>
        <w:spacing w:before="100" w:beforeAutospacing="1" w:after="240" w:line="288" w:lineRule="auto"/>
      </w:pPr>
      <w:r w:rsidRPr="008034CE">
        <w:t>Standard prices (Type 1.1). That is, supports delivered efficiently under standard hourly pricing.</w:t>
      </w:r>
    </w:p>
    <w:p w14:paraId="5112F2A8" w14:textId="581DC832" w:rsidR="008E17FD" w:rsidRPr="008034CE" w:rsidRDefault="008E17FD" w:rsidP="008E17FD">
      <w:pPr>
        <w:pStyle w:val="ListParagraph"/>
        <w:numPr>
          <w:ilvl w:val="0"/>
          <w:numId w:val="11"/>
        </w:numPr>
        <w:spacing w:before="100" w:beforeAutospacing="1" w:after="240" w:line="288" w:lineRule="auto"/>
      </w:pPr>
      <w:r w:rsidRPr="008034CE">
        <w:t>Higher prices on higher value services (Type 1.2). That is, supports that require higher hourly price limits due to complexity or intensity, based on defined service specifications.</w:t>
      </w:r>
    </w:p>
    <w:p w14:paraId="5EF3E57B" w14:textId="0E767776" w:rsidR="008E17FD" w:rsidRPr="008E17FD" w:rsidRDefault="008E17FD" w:rsidP="008E17FD">
      <w:pPr>
        <w:pStyle w:val="Heading3small"/>
        <w:spacing w:before="480"/>
      </w:pPr>
      <w:bookmarkStart w:id="106" w:name="_Toc200103465"/>
      <w:bookmarkStart w:id="107" w:name="_Toc200271578"/>
      <w:r>
        <w:t xml:space="preserve">Type 2: </w:t>
      </w:r>
      <w:r w:rsidRPr="008E17FD">
        <w:t>Alternative pricing (innovation and capacity benefits)</w:t>
      </w:r>
      <w:bookmarkEnd w:id="106"/>
      <w:bookmarkEnd w:id="107"/>
    </w:p>
    <w:p w14:paraId="4DB78057" w14:textId="77777777" w:rsidR="008E17FD" w:rsidRPr="008034CE" w:rsidRDefault="008E17FD" w:rsidP="008E17FD">
      <w:pPr>
        <w:spacing w:before="100" w:beforeAutospacing="1" w:after="240"/>
      </w:pPr>
      <w:r w:rsidRPr="008034CE">
        <w:t xml:space="preserve">These supports provide benefits beyond face-to-face time or may be delivered in irregular or unpredictable ways. They may be better suited to blended payments or alternative pricing approaches. Support coordination is an example where support can be irregular and unpredictable from one year to the next for some participants. </w:t>
      </w:r>
    </w:p>
    <w:p w14:paraId="13C36F96" w14:textId="64FEA4E0" w:rsidR="008E17FD" w:rsidRPr="008E17FD" w:rsidRDefault="008E17FD" w:rsidP="008E17FD">
      <w:pPr>
        <w:pStyle w:val="Heading3small"/>
      </w:pPr>
      <w:bookmarkStart w:id="108" w:name="_Toc200103466"/>
      <w:bookmarkStart w:id="109" w:name="_Toc200271579"/>
      <w:r>
        <w:t xml:space="preserve">Type 3: </w:t>
      </w:r>
      <w:r w:rsidRPr="008E17FD">
        <w:t>System delivery regulation and assurance</w:t>
      </w:r>
      <w:bookmarkEnd w:id="108"/>
      <w:bookmarkEnd w:id="109"/>
    </w:p>
    <w:p w14:paraId="4B9C8922" w14:textId="77777777" w:rsidR="008E17FD" w:rsidRPr="008034CE" w:rsidRDefault="008E17FD" w:rsidP="008E17FD">
      <w:pPr>
        <w:spacing w:before="100" w:beforeAutospacing="1" w:after="240"/>
      </w:pPr>
      <w:r w:rsidRPr="008034CE">
        <w:t>These include functions like fraud prevention, regulatory oversight, market stewardship and/or services that support NDIS participants more broadly but are not funded through participant plans. They are typically government-appropriated rather than pricing through the NDIS. Plan Management could potentially provide another example of supports that are funded based on a system need, rather participant support needs.</w:t>
      </w:r>
    </w:p>
    <w:p w14:paraId="4F45CDAB" w14:textId="5DFA5206" w:rsidR="008E17FD" w:rsidRPr="008E17FD" w:rsidRDefault="008E17FD" w:rsidP="008E17FD">
      <w:pPr>
        <w:pStyle w:val="Heading3small"/>
      </w:pPr>
      <w:bookmarkStart w:id="110" w:name="_Toc200103467"/>
      <w:bookmarkStart w:id="111" w:name="_Toc200271580"/>
      <w:r>
        <w:t xml:space="preserve">Type 4: </w:t>
      </w:r>
      <w:r w:rsidRPr="008E17FD">
        <w:t>Fixed or “Availability” services</w:t>
      </w:r>
      <w:bookmarkEnd w:id="110"/>
      <w:bookmarkEnd w:id="111"/>
    </w:p>
    <w:p w14:paraId="43EFFDAD" w14:textId="77777777" w:rsidR="008E17FD" w:rsidRPr="008034CE" w:rsidRDefault="008E17FD" w:rsidP="008E17FD">
      <w:pPr>
        <w:spacing w:before="100" w:beforeAutospacing="1" w:after="240"/>
      </w:pPr>
      <w:r w:rsidRPr="008034CE">
        <w:t xml:space="preserve">These supports involve costs that aren’t driven by participant usage but by provider readiness, such as therapy rooms or on-call capacity in thin markets. These services can either be built into Type 1 hourly rates or funded through other mechanisms like commissioning in thin markets. </w:t>
      </w:r>
    </w:p>
    <w:p w14:paraId="03DA183F" w14:textId="4184A47D" w:rsidR="00AA053A" w:rsidRDefault="00AA053A">
      <w:pPr>
        <w:spacing w:before="120" w:after="120"/>
      </w:pPr>
      <w:r>
        <w:br w:type="page"/>
      </w:r>
    </w:p>
    <w:p w14:paraId="5FAB6F91" w14:textId="3D53BE07" w:rsidR="00AA053A" w:rsidRPr="008034CE" w:rsidRDefault="00AA053A" w:rsidP="00AA053A">
      <w:pPr>
        <w:spacing w:before="100" w:beforeAutospacing="1" w:after="240"/>
      </w:pPr>
      <w:r w:rsidRPr="008034CE">
        <w:lastRenderedPageBreak/>
        <w:t xml:space="preserve">This classification framework is a tool for informing pricing approaches. It is intended to be applied flexibly, but with an understanding of how pricing will achieve optimum outcomes and impact markets. </w:t>
      </w:r>
      <w:r w:rsidR="00002212" w:rsidRPr="00002212">
        <w:t>This framework provides a consistent structure for aligning pricing with the characteristics of different supports, enabling the NDIA to tailor price limits and payment models to reflect service value, delivery risks, and the maturity of each support market.</w:t>
      </w:r>
    </w:p>
    <w:p w14:paraId="4EE3E5F1" w14:textId="77777777" w:rsidR="00AA053A" w:rsidRPr="008034CE" w:rsidRDefault="00AA053A" w:rsidP="00AA053A">
      <w:pPr>
        <w:pStyle w:val="Heading3small"/>
      </w:pPr>
      <w:bookmarkStart w:id="112" w:name="_Toc200103468"/>
      <w:bookmarkStart w:id="113" w:name="_Toc200271581"/>
      <w:r w:rsidRPr="008034CE">
        <w:t>How the NDIA is Putting the Framework into Action</w:t>
      </w:r>
      <w:bookmarkEnd w:id="112"/>
      <w:bookmarkEnd w:id="113"/>
    </w:p>
    <w:p w14:paraId="2BD69CAD" w14:textId="77777777" w:rsidR="00002212" w:rsidRPr="00002212" w:rsidRDefault="00002212" w:rsidP="00002212">
      <w:r w:rsidRPr="00002212">
        <w:t xml:space="preserve">The IPC’s report provides a framework and suggested pathway for pricing reform over the next three to five years. </w:t>
      </w:r>
    </w:p>
    <w:p w14:paraId="634561FA" w14:textId="77777777" w:rsidR="00002212" w:rsidRPr="00002212" w:rsidRDefault="00002212" w:rsidP="00002212">
      <w:r w:rsidRPr="00002212">
        <w:t xml:space="preserve">This APR represents the first step in applying differentiated pricing, starting with targeted adjustments to therapy supports, and signals a broader shift toward aligning pricing with service complexity, value, and delivery context. </w:t>
      </w:r>
    </w:p>
    <w:p w14:paraId="18A727D4" w14:textId="77CC9872" w:rsidR="00C004C7" w:rsidRDefault="00002212" w:rsidP="00002212">
      <w:pPr>
        <w:spacing w:before="120" w:after="120"/>
      </w:pPr>
      <w:r w:rsidRPr="00002212">
        <w:t>Implementation will be staged, risk managed, and informed by continued consultation with participants, providers, and sector partners. The aim is not wholesale change, but an incremental evolution toward a pricing approach that supports quality, sustainability, and better participant outcomes.</w:t>
      </w:r>
      <w:r w:rsidR="00C004C7">
        <w:br w:type="page"/>
      </w:r>
    </w:p>
    <w:p w14:paraId="3A031C9E" w14:textId="77777777" w:rsidR="001E7864" w:rsidRPr="008034CE" w:rsidRDefault="001E7864" w:rsidP="00C240E4">
      <w:pPr>
        <w:pStyle w:val="Heading2"/>
      </w:pPr>
      <w:bookmarkStart w:id="114" w:name="_Toc196754615"/>
      <w:bookmarkStart w:id="115" w:name="_Toc196758217"/>
      <w:bookmarkStart w:id="116" w:name="_Toc197344293"/>
      <w:bookmarkStart w:id="117" w:name="_Toc200271582"/>
      <w:bookmarkStart w:id="118" w:name="_Hlk200001962"/>
      <w:r w:rsidRPr="008034CE">
        <w:lastRenderedPageBreak/>
        <w:t>Domestic Economic Conditions</w:t>
      </w:r>
      <w:bookmarkEnd w:id="114"/>
      <w:bookmarkEnd w:id="115"/>
      <w:bookmarkEnd w:id="116"/>
      <w:bookmarkEnd w:id="117"/>
    </w:p>
    <w:p w14:paraId="246D9D5C" w14:textId="77777777" w:rsidR="001E7864" w:rsidRPr="008034CE" w:rsidRDefault="001E7864" w:rsidP="001E7864">
      <w:pPr>
        <w:pStyle w:val="Heading3"/>
      </w:pPr>
      <w:r w:rsidRPr="008034CE">
        <w:t xml:space="preserve"> </w:t>
      </w:r>
      <w:bookmarkStart w:id="119" w:name="_Toc191037158"/>
      <w:bookmarkStart w:id="120" w:name="_Toc196754616"/>
      <w:bookmarkStart w:id="121" w:name="_Toc196758218"/>
      <w:bookmarkStart w:id="122" w:name="_Toc197344294"/>
      <w:bookmarkStart w:id="123" w:name="_Toc200271583"/>
      <w:r w:rsidRPr="008034CE">
        <w:t>Economic Outlook</w:t>
      </w:r>
      <w:bookmarkEnd w:id="119"/>
      <w:bookmarkEnd w:id="120"/>
      <w:bookmarkEnd w:id="121"/>
      <w:bookmarkEnd w:id="122"/>
      <w:bookmarkEnd w:id="123"/>
    </w:p>
    <w:p w14:paraId="1C3AA299" w14:textId="77777777" w:rsidR="001E7864" w:rsidRPr="008034CE" w:rsidRDefault="001E7864" w:rsidP="001E7864">
      <w:r w:rsidRPr="008034CE">
        <w:t>Australia’s economic growth slowed over most of 2024 due to the impact of higher interest rates, cost-of-living pressures and weaker global economic conditions</w:t>
      </w:r>
      <w:r w:rsidRPr="008034CE">
        <w:rPr>
          <w:rStyle w:val="FootnoteReference"/>
        </w:rPr>
        <w:footnoteReference w:id="2"/>
      </w:r>
      <w:r w:rsidRPr="008034CE">
        <w:t>. Despite these challenges, the labour market has remained resilient.</w:t>
      </w:r>
    </w:p>
    <w:p w14:paraId="107C88B3" w14:textId="77777777" w:rsidR="001E7864" w:rsidRPr="008034CE" w:rsidRDefault="001E7864" w:rsidP="001E7864">
      <w:r w:rsidRPr="008034CE">
        <w:t>While global and domestic economic pressures have weighed on Australia’s economic growth over most of the past year, economic growth picked up in the December quarter 2024</w:t>
      </w:r>
      <w:r w:rsidRPr="008034CE">
        <w:rPr>
          <w:rStyle w:val="FootnoteReference"/>
        </w:rPr>
        <w:footnoteReference w:id="3"/>
      </w:r>
      <w:r w:rsidRPr="008034CE">
        <w:t>. Although downside risks remain in the financial market and global economy, the Australian economy is expected to gain further momentum over 2025, with real Gross Domestic Product (GDP) forecast to grow by 1.5% in 2024–25 and then 2.25% in 2025–26</w:t>
      </w:r>
      <w:r w:rsidRPr="008034CE">
        <w:rPr>
          <w:rStyle w:val="FootnoteReference"/>
        </w:rPr>
        <w:footnoteReference w:id="4"/>
      </w:r>
      <w:r w:rsidRPr="008034CE">
        <w:t>.</w:t>
      </w:r>
    </w:p>
    <w:p w14:paraId="1494E896" w14:textId="77777777" w:rsidR="001E7864" w:rsidRPr="008034CE" w:rsidRDefault="001E7864" w:rsidP="001E7864">
      <w:pPr>
        <w:pStyle w:val="Heading3"/>
      </w:pPr>
      <w:bookmarkStart w:id="124" w:name="_Toc191037159"/>
      <w:bookmarkStart w:id="125" w:name="_Toc196754617"/>
      <w:bookmarkStart w:id="126" w:name="_Toc196758219"/>
      <w:bookmarkStart w:id="127" w:name="_Toc197344295"/>
      <w:bookmarkStart w:id="128" w:name="_Toc200271584"/>
      <w:r w:rsidRPr="008034CE">
        <w:t>Inflation</w:t>
      </w:r>
      <w:bookmarkEnd w:id="124"/>
      <w:bookmarkEnd w:id="125"/>
      <w:bookmarkEnd w:id="126"/>
      <w:bookmarkEnd w:id="127"/>
      <w:bookmarkEnd w:id="128"/>
    </w:p>
    <w:p w14:paraId="2FAB86C1" w14:textId="2D9E498E" w:rsidR="001E7864" w:rsidRPr="008034CE" w:rsidRDefault="001E7864" w:rsidP="001E7864">
      <w:r w:rsidRPr="008034CE">
        <w:t>Inflation has eased substantially in the Australian economy over the past year and is</w:t>
      </w:r>
      <w:r w:rsidR="005C6BB8">
        <w:t> </w:t>
      </w:r>
      <w:r w:rsidRPr="008034CE">
        <w:t>now at a four-year low. This represents a moderation in inflationary pressures from</w:t>
      </w:r>
      <w:r w:rsidR="005C6BB8">
        <w:t> </w:t>
      </w:r>
      <w:r w:rsidRPr="008034CE">
        <w:t>the past few years and may lead to a decrease in cost pressures for providers delivering supports to NDIS participants and less pressure to raise prices for their</w:t>
      </w:r>
      <w:r w:rsidR="005C6BB8">
        <w:t> </w:t>
      </w:r>
      <w:r w:rsidRPr="008034CE">
        <w:t>services.</w:t>
      </w:r>
    </w:p>
    <w:p w14:paraId="625D5FCB" w14:textId="0A0803EB" w:rsidR="001E7864" w:rsidRPr="008034CE" w:rsidRDefault="00D0554E" w:rsidP="001E7864">
      <w:r w:rsidRPr="00D0554E">
        <w:t>Annual headline inflation fell from 3.6% in the March quarter 2024 to 2.4% in the March quarter 2025 and is now back within the Reserve Bank of Australia’s (RBA) target band of 2-3%</w:t>
      </w:r>
      <w:r w:rsidR="001E7864" w:rsidRPr="008034CE">
        <w:rPr>
          <w:rStyle w:val="FootnoteReference"/>
        </w:rPr>
        <w:footnoteReference w:id="5"/>
      </w:r>
      <w:r w:rsidR="001E7864" w:rsidRPr="008034CE">
        <w:t>. However, the RBA expects headline inflation to increase over the second half of 2025 to be above 3%, before returning to the target range in the second half of 2026</w:t>
      </w:r>
      <w:r w:rsidR="001E7864" w:rsidRPr="008034CE">
        <w:rPr>
          <w:rStyle w:val="FootnoteReference"/>
        </w:rPr>
        <w:footnoteReference w:id="6"/>
      </w:r>
      <w:r w:rsidR="001E7864" w:rsidRPr="008034CE">
        <w:t>.</w:t>
      </w:r>
    </w:p>
    <w:bookmarkEnd w:id="118"/>
    <w:p w14:paraId="5880A7A0" w14:textId="2557A067" w:rsidR="00C240E4" w:rsidRDefault="00C240E4">
      <w:pPr>
        <w:spacing w:before="120" w:after="120"/>
      </w:pPr>
      <w:r>
        <w:br w:type="page"/>
      </w:r>
    </w:p>
    <w:p w14:paraId="6AB81493" w14:textId="7F053EEC" w:rsidR="00C240E4" w:rsidRPr="008034CE" w:rsidRDefault="00C240E4" w:rsidP="00C240E4">
      <w:r w:rsidRPr="008034CE">
        <w:lastRenderedPageBreak/>
        <w:t xml:space="preserve">Health inflation has fluctuated over the past year but remains above the headline inflation rate. </w:t>
      </w:r>
      <w:r w:rsidR="004D12B4" w:rsidRPr="004D12B4">
        <w:t>Annual inflation for health goods and services was 4.1% in the March quarter 2025, driven by a 4.9% increase in the cost of medical and hospital services</w:t>
      </w:r>
      <w:r w:rsidR="004D12B4" w:rsidRPr="004D12B4">
        <w:rPr>
          <w:rStyle w:val="FootnoteReference"/>
        </w:rPr>
        <w:footnoteReference w:id="7"/>
      </w:r>
      <w:r w:rsidR="004D12B4" w:rsidRPr="004D12B4">
        <w:t>. While health inflation eased in the second half of 2024, it</w:t>
      </w:r>
      <w:r w:rsidRPr="008034CE">
        <w:t xml:space="preserve"> remains above headline inflation, suggesting stronger cost pressures in the Healthcare and Social Assistance (HCSA) industry than the overall economy.</w:t>
      </w:r>
    </w:p>
    <w:p w14:paraId="32FA2E3C" w14:textId="168C9E09" w:rsidR="00C240E4" w:rsidRPr="008034CE" w:rsidRDefault="00C240E4" w:rsidP="00C240E4">
      <w:pPr>
        <w:pStyle w:val="Caption"/>
      </w:pPr>
      <w:r w:rsidRPr="008034CE">
        <w:t xml:space="preserve">Figure </w:t>
      </w:r>
      <w:r w:rsidR="005763F9">
        <w:fldChar w:fldCharType="begin"/>
      </w:r>
      <w:r w:rsidR="005763F9">
        <w:instrText xml:space="preserve"> SEQ Figure \* ARABIC </w:instrText>
      </w:r>
      <w:r w:rsidR="005763F9">
        <w:fldChar w:fldCharType="separate"/>
      </w:r>
      <w:r w:rsidR="005763F9">
        <w:rPr>
          <w:noProof/>
        </w:rPr>
        <w:t>1</w:t>
      </w:r>
      <w:r w:rsidR="005763F9">
        <w:rPr>
          <w:noProof/>
        </w:rPr>
        <w:fldChar w:fldCharType="end"/>
      </w:r>
      <w:r w:rsidRPr="008034CE">
        <w:t xml:space="preserve">: Headline and Health inflation (CPI) growth, from 2015 to 2025 </w:t>
      </w:r>
    </w:p>
    <w:p w14:paraId="42CC7DAD" w14:textId="77777777" w:rsidR="00C240E4" w:rsidRPr="008034CE" w:rsidRDefault="00C240E4" w:rsidP="00C240E4">
      <w:pPr>
        <w:jc w:val="center"/>
      </w:pPr>
      <w:r w:rsidRPr="008034CE">
        <w:rPr>
          <w:noProof/>
        </w:rPr>
        <w:drawing>
          <wp:inline distT="0" distB="0" distL="0" distR="0" wp14:anchorId="405D542D" wp14:editId="57731DD6">
            <wp:extent cx="5734800" cy="3321522"/>
            <wp:effectExtent l="0" t="0" r="0" b="0"/>
            <wp:docPr id="426744626" name="Picture 1" descr="A line graph comparing health inflation to headline inflation over time. Overall, health tends to have a higher rate of inflation compared to the headline rate. The graph shows that health inflation currently remains above health inf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744626" name="Picture 1" descr="A line graph comparing health inflation to headline inflation over time. Overall, health tends to have a higher rate of inflation compared to the headline rate. The graph shows that health inflation currently remains above health inflati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4800" cy="3321522"/>
                    </a:xfrm>
                    <a:prstGeom prst="rect">
                      <a:avLst/>
                    </a:prstGeom>
                    <a:noFill/>
                  </pic:spPr>
                </pic:pic>
              </a:graphicData>
            </a:graphic>
          </wp:inline>
        </w:drawing>
      </w:r>
    </w:p>
    <w:p w14:paraId="39FE336F" w14:textId="77777777" w:rsidR="00C240E4" w:rsidRPr="008034CE" w:rsidRDefault="00C240E4" w:rsidP="00C240E4">
      <w:r w:rsidRPr="008034CE">
        <w:rPr>
          <w:sz w:val="20"/>
          <w:szCs w:val="20"/>
        </w:rPr>
        <w:t>Source: ABS Consumer Price Index, March 2025</w:t>
      </w:r>
    </w:p>
    <w:p w14:paraId="6807FE24" w14:textId="77777777" w:rsidR="00C240E4" w:rsidRPr="008034CE" w:rsidRDefault="00C240E4" w:rsidP="00C240E4">
      <w:pPr>
        <w:pStyle w:val="Heading3"/>
      </w:pPr>
      <w:bookmarkStart w:id="129" w:name="_Toc191037160"/>
      <w:bookmarkStart w:id="130" w:name="_Toc196754618"/>
      <w:bookmarkStart w:id="131" w:name="_Toc196758220"/>
      <w:bookmarkStart w:id="132" w:name="_Toc197344296"/>
      <w:bookmarkStart w:id="133" w:name="_Toc200271585"/>
      <w:r w:rsidRPr="008034CE">
        <w:t>Labour Market Conditions</w:t>
      </w:r>
      <w:bookmarkEnd w:id="129"/>
      <w:bookmarkEnd w:id="130"/>
      <w:bookmarkEnd w:id="131"/>
      <w:bookmarkEnd w:id="132"/>
      <w:bookmarkEnd w:id="133"/>
    </w:p>
    <w:p w14:paraId="047B12B1" w14:textId="5E8C9B98" w:rsidR="002874A6" w:rsidRPr="008034CE" w:rsidRDefault="00C240E4" w:rsidP="00A43B9C">
      <w:r w:rsidRPr="008034CE">
        <w:t xml:space="preserve">Australia’s labour market has remained resilient over the past year with strong employment growth, the participation rate near record highs, and the unemployment </w:t>
      </w:r>
      <w:r w:rsidRPr="00A43B9C">
        <w:rPr>
          <w:spacing w:val="-2"/>
        </w:rPr>
        <w:t>rate close to historical lows. Employment increased by approximately 390,000</w:t>
      </w:r>
      <w:r w:rsidR="00A43B9C" w:rsidRPr="00A43B9C">
        <w:rPr>
          <w:spacing w:val="-2"/>
        </w:rPr>
        <w:t> </w:t>
      </w:r>
      <w:r w:rsidR="002874A6" w:rsidRPr="00A43B9C">
        <w:rPr>
          <w:spacing w:val="-2"/>
        </w:rPr>
        <w:t>people</w:t>
      </w:r>
      <w:r w:rsidR="002874A6" w:rsidRPr="008034CE">
        <w:t xml:space="preserve"> </w:t>
      </w:r>
      <w:r w:rsidR="002874A6" w:rsidRPr="008034CE">
        <w:lastRenderedPageBreak/>
        <w:t>over the year to April 2025</w:t>
      </w:r>
      <w:r w:rsidR="002874A6" w:rsidRPr="008034CE">
        <w:rPr>
          <w:rStyle w:val="FootnoteReference"/>
        </w:rPr>
        <w:footnoteReference w:id="8"/>
      </w:r>
      <w:r w:rsidR="002874A6" w:rsidRPr="008034CE">
        <w:t>. The participation rate rose to 67.1% in April 2025 and the unemployment rate remained steady at 4.1% in April</w:t>
      </w:r>
      <w:r w:rsidR="002874A6" w:rsidRPr="008034CE">
        <w:rPr>
          <w:rStyle w:val="FootnoteReference"/>
        </w:rPr>
        <w:footnoteReference w:id="9"/>
      </w:r>
      <w:r w:rsidR="002874A6" w:rsidRPr="008034CE">
        <w:t>.</w:t>
      </w:r>
    </w:p>
    <w:p w14:paraId="0088BDF0" w14:textId="77777777" w:rsidR="002874A6" w:rsidRPr="008034CE" w:rsidRDefault="002874A6" w:rsidP="002874A6">
      <w:r w:rsidRPr="008034CE">
        <w:t>The labour market is forecast to remain robust, with employment growth expected to increase at a faster rate and the participation rate expected to remain higher for longer</w:t>
      </w:r>
      <w:r w:rsidRPr="008034CE">
        <w:rPr>
          <w:rStyle w:val="FootnoteReference"/>
        </w:rPr>
        <w:footnoteReference w:id="10"/>
      </w:r>
      <w:r w:rsidRPr="008034CE">
        <w:t>. The unemployment rate is forecast to peak lower at 4.25% by June quarter 2025, which remains low by historical standards</w:t>
      </w:r>
      <w:r w:rsidRPr="008034CE">
        <w:rPr>
          <w:rStyle w:val="FootnoteReference"/>
        </w:rPr>
        <w:footnoteReference w:id="11"/>
      </w:r>
      <w:r w:rsidRPr="008034CE">
        <w:t>.</w:t>
      </w:r>
    </w:p>
    <w:p w14:paraId="18EB450E" w14:textId="77777777" w:rsidR="002874A6" w:rsidRPr="008034CE" w:rsidRDefault="002874A6" w:rsidP="002874A6">
      <w:r w:rsidRPr="008034CE">
        <w:t>The HCSA industry is the largest employing and fastest growing industry in the Australian economy. Employment in the industry increased by 78,500 people over the year to February 2025 to 2.3 million people in February 2025, representing 15.8% of total employment</w:t>
      </w:r>
      <w:r w:rsidRPr="008034CE">
        <w:rPr>
          <w:rStyle w:val="FootnoteReference"/>
        </w:rPr>
        <w:footnoteReference w:id="12"/>
      </w:r>
      <w:r w:rsidRPr="008034CE">
        <w:t>. This is consistent with a long-term trend of strong growth in employment within the HCSA industry, having grown at a higher average rate over the last ten years compared to all industries</w:t>
      </w:r>
      <w:r w:rsidRPr="008034CE">
        <w:rPr>
          <w:rStyle w:val="FootnoteReference"/>
        </w:rPr>
        <w:footnoteReference w:id="13"/>
      </w:r>
      <w:r w:rsidRPr="008034CE">
        <w:t>.</w:t>
      </w:r>
    </w:p>
    <w:p w14:paraId="14C4EBA7" w14:textId="4D809C6E" w:rsidR="002874A6" w:rsidRPr="008034CE" w:rsidRDefault="002874A6" w:rsidP="002874A6">
      <w:pPr>
        <w:pStyle w:val="Caption"/>
      </w:pPr>
      <w:r w:rsidRPr="008034CE">
        <w:t xml:space="preserve">Figure </w:t>
      </w:r>
      <w:r w:rsidR="005763F9">
        <w:fldChar w:fldCharType="begin"/>
      </w:r>
      <w:r w:rsidR="005763F9">
        <w:instrText xml:space="preserve"> SEQ Figure \* ARABIC </w:instrText>
      </w:r>
      <w:r w:rsidR="005763F9">
        <w:fldChar w:fldCharType="separate"/>
      </w:r>
      <w:r w:rsidR="005763F9">
        <w:rPr>
          <w:noProof/>
        </w:rPr>
        <w:t>2</w:t>
      </w:r>
      <w:r w:rsidR="005763F9">
        <w:rPr>
          <w:noProof/>
        </w:rPr>
        <w:fldChar w:fldCharType="end"/>
      </w:r>
      <w:r w:rsidRPr="008034CE">
        <w:t>: Employment growth in All Industries and HCSA industry from 2015 to 2025</w:t>
      </w:r>
    </w:p>
    <w:p w14:paraId="6191222C" w14:textId="77777777" w:rsidR="002874A6" w:rsidRPr="008034CE" w:rsidRDefault="002874A6" w:rsidP="002874A6">
      <w:pPr>
        <w:jc w:val="center"/>
      </w:pPr>
      <w:r w:rsidRPr="008034CE">
        <w:rPr>
          <w:noProof/>
        </w:rPr>
        <w:drawing>
          <wp:inline distT="0" distB="0" distL="0" distR="0" wp14:anchorId="741173C9" wp14:editId="76C96251">
            <wp:extent cx="4572000" cy="2191567"/>
            <wp:effectExtent l="0" t="0" r="0" b="0"/>
            <wp:docPr id="435836541" name="Picture 435836541" descr="A line graph showing the employment growth in all industries and HCSA over time. Overall, HCSA tends to have a higher rate of growth compared to other industries. The graph shows a decrease in growth in the HCSA industry in late 2024/early 2025, followed by an increase. The most recent data shows that HCSA growth is currently sitting above other industr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4572000" cy="2191567"/>
                    </a:xfrm>
                    <a:prstGeom prst="rect">
                      <a:avLst/>
                    </a:prstGeom>
                  </pic:spPr>
                </pic:pic>
              </a:graphicData>
            </a:graphic>
          </wp:inline>
        </w:drawing>
      </w:r>
    </w:p>
    <w:p w14:paraId="17D8D288" w14:textId="77777777" w:rsidR="002874A6" w:rsidRPr="008034CE" w:rsidRDefault="002874A6" w:rsidP="002874A6">
      <w:pPr>
        <w:ind w:firstLine="720"/>
        <w:rPr>
          <w:sz w:val="20"/>
          <w:szCs w:val="20"/>
        </w:rPr>
      </w:pPr>
      <w:r w:rsidRPr="008034CE">
        <w:rPr>
          <w:sz w:val="20"/>
          <w:szCs w:val="20"/>
        </w:rPr>
        <w:t xml:space="preserve">Source: ABS Labour Force, Australia, Detailed, February 2025. </w:t>
      </w:r>
    </w:p>
    <w:p w14:paraId="7C9B9FEB" w14:textId="4192DC69" w:rsidR="002874A6" w:rsidRDefault="002874A6">
      <w:pPr>
        <w:spacing w:before="120" w:after="120"/>
      </w:pPr>
      <w:r>
        <w:br w:type="page"/>
      </w:r>
    </w:p>
    <w:p w14:paraId="006E8021" w14:textId="77777777" w:rsidR="00254C6D" w:rsidRPr="008034CE" w:rsidRDefault="00254C6D" w:rsidP="00254C6D">
      <w:r w:rsidRPr="008034CE">
        <w:lastRenderedPageBreak/>
        <w:t>Within the care and support workforce, the largest NDIS-related occupations by employment in February 2025 were aged and disability carers, nursing support and personal care workers, and welfare support workers</w:t>
      </w:r>
      <w:r w:rsidRPr="008034CE">
        <w:rPr>
          <w:rStyle w:val="FootnoteReference"/>
        </w:rPr>
        <w:footnoteReference w:id="14"/>
      </w:r>
      <w:r w:rsidRPr="008034CE">
        <w:t>. Together these occupations represent over 77% of workers in NDIS-related occupations. Demand for workers in the HCSA industry remains strong. There were 59,100 job vacancies in the HCSA in February 2025, which is nearly double their pre-pandemic level of job vacancies</w:t>
      </w:r>
      <w:r w:rsidRPr="008034CE">
        <w:rPr>
          <w:rStyle w:val="FootnoteReference"/>
        </w:rPr>
        <w:footnoteReference w:id="15"/>
      </w:r>
      <w:r w:rsidRPr="008034CE">
        <w:t>. Aged and disabled carers recorded the highest number of vacancies, representing nearly a third of NDIS-related vacancies, followed by nursing support and personal care workers and occupational therapists</w:t>
      </w:r>
      <w:r w:rsidRPr="008034CE">
        <w:rPr>
          <w:rStyle w:val="FootnoteReference"/>
        </w:rPr>
        <w:footnoteReference w:id="16"/>
      </w:r>
      <w:r w:rsidRPr="008034CE">
        <w:t>. This highlights the increasing demand for healthcare and support services in the Australian economy.</w:t>
      </w:r>
    </w:p>
    <w:p w14:paraId="2A361B6D" w14:textId="77777777" w:rsidR="00254C6D" w:rsidRPr="008034CE" w:rsidRDefault="00254C6D" w:rsidP="00254C6D">
      <w:r w:rsidRPr="008034CE">
        <w:t>Alongside the high number of job vacancies in the HCSA industry, Jobs and Skills Australia considers several NDIS-related occupations to be in shortage. These include aged and disabled carers, nursing support and personal care workers, physiotherapists, speech professionals and audiologists, occupational therapists, and psychologists</w:t>
      </w:r>
      <w:r w:rsidRPr="008034CE">
        <w:rPr>
          <w:rStyle w:val="FootnoteReference"/>
        </w:rPr>
        <w:footnoteReference w:id="17"/>
      </w:r>
      <w:r w:rsidRPr="008034CE">
        <w:t>. However, these shortages are not unique to the NDIS sector and is a challenge faced by the broader HCSA industry and Australian economy.</w:t>
      </w:r>
    </w:p>
    <w:p w14:paraId="78C6E93B" w14:textId="33D20985" w:rsidR="00254C6D" w:rsidRDefault="00254C6D" w:rsidP="00254C6D">
      <w:r w:rsidRPr="008034CE">
        <w:t>The disability workforce is expected to continue to increase significantly to support the forecast growth in the NDIS and the HCSA industry. Jobs and Skills Australia projects employment in the HCSA industry to grow by 283,100 people (or 12.5%) over the five years to May 2029</w:t>
      </w:r>
      <w:r w:rsidRPr="008034CE">
        <w:rPr>
          <w:rStyle w:val="FootnoteReference"/>
        </w:rPr>
        <w:footnoteReference w:id="18"/>
      </w:r>
      <w:r w:rsidRPr="008034CE">
        <w:t>. This is the largest growth of all industries and nearly double the increase in the level of employment for the ‘professional, scientific, and technical services’ (second largest industry by level of employment in the economy)</w:t>
      </w:r>
      <w:r w:rsidRPr="008034CE">
        <w:rPr>
          <w:rStyle w:val="FootnoteReference"/>
        </w:rPr>
        <w:footnoteReference w:id="19"/>
      </w:r>
      <w:r w:rsidRPr="008034CE">
        <w:t>. Employment for aged and disabled carers is expected to grow by 56,300 people (or 16.7%) over the five years to May 2029</w:t>
      </w:r>
      <w:r w:rsidRPr="008034CE">
        <w:rPr>
          <w:rStyle w:val="FootnoteReference"/>
        </w:rPr>
        <w:footnoteReference w:id="20"/>
      </w:r>
      <w:r w:rsidRPr="008034CE">
        <w:t>.</w:t>
      </w:r>
    </w:p>
    <w:p w14:paraId="1BC3F242" w14:textId="77777777" w:rsidR="00254C6D" w:rsidRDefault="00254C6D">
      <w:pPr>
        <w:spacing w:before="120" w:after="120"/>
      </w:pPr>
      <w:r>
        <w:br w:type="page"/>
      </w:r>
    </w:p>
    <w:p w14:paraId="2D18C57C" w14:textId="238E4CFE" w:rsidR="00254C6D" w:rsidRPr="008034CE" w:rsidRDefault="00254C6D" w:rsidP="00254C6D">
      <w:pPr>
        <w:pStyle w:val="Caption"/>
      </w:pPr>
      <w:r w:rsidRPr="008034CE">
        <w:lastRenderedPageBreak/>
        <w:t xml:space="preserve">Figure </w:t>
      </w:r>
      <w:r w:rsidR="005763F9">
        <w:fldChar w:fldCharType="begin"/>
      </w:r>
      <w:r w:rsidR="005763F9">
        <w:instrText xml:space="preserve"> SEQ Figure \* ARABIC </w:instrText>
      </w:r>
      <w:r w:rsidR="005763F9">
        <w:fldChar w:fldCharType="separate"/>
      </w:r>
      <w:r w:rsidR="005763F9">
        <w:rPr>
          <w:noProof/>
        </w:rPr>
        <w:t>3</w:t>
      </w:r>
      <w:r w:rsidR="005763F9">
        <w:rPr>
          <w:noProof/>
        </w:rPr>
        <w:fldChar w:fldCharType="end"/>
      </w:r>
      <w:r w:rsidRPr="008034CE">
        <w:t>: Projected employment growth for the five largest industries from May 2024 to May 2029</w:t>
      </w:r>
    </w:p>
    <w:p w14:paraId="2A5D0189" w14:textId="77777777" w:rsidR="00254C6D" w:rsidRPr="008034CE" w:rsidRDefault="00254C6D" w:rsidP="00254C6D">
      <w:pPr>
        <w:jc w:val="center"/>
      </w:pPr>
      <w:r w:rsidRPr="008034CE">
        <w:rPr>
          <w:noProof/>
        </w:rPr>
        <w:drawing>
          <wp:inline distT="0" distB="0" distL="0" distR="0" wp14:anchorId="29734E1A" wp14:editId="67AF30AE">
            <wp:extent cx="4770154" cy="2810435"/>
            <wp:effectExtent l="0" t="0" r="0" b="0"/>
            <wp:docPr id="1023255892" name="Picture 1023255892" descr="A column graph showing the predicted employment growth for the five largest industries. Healthcare and Social Assistance is predicted to have the largest growth, with an expected increase of roughly 280,000 people.&#10;&#10;Professional, Scientific and Technical services is the next highest industry, with an expected growth of roughly 150,000 people.&#10;&#10;The following industries are Construction, Education and Training, and Accommodation and Food services. These industries are each expected to have a growth of less than 100,000 peop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255892" name="Picture 1023255892" descr="A column graph showing the predicted employment growth for the five largest industries. Healthcare and Social Assistance is predicted to have the largest growth, with an expected increase of roughly 280,000 people.&#10;&#10;Professional, Scientific and Technical services is the next highest industry, with an expected growth of roughly 150,000 people.&#10;&#10;The following industries are Construction, Education and Training, and Accommodation and Food services. These industries are each expected to have a growth of less than 100,000 people. "/>
                    <pic:cNvPicPr/>
                  </pic:nvPicPr>
                  <pic:blipFill rotWithShape="1">
                    <a:blip r:embed="rId15" cstate="print">
                      <a:extLst>
                        <a:ext uri="{28A0092B-C50C-407E-A947-70E740481C1C}">
                          <a14:useLocalDpi xmlns:a14="http://schemas.microsoft.com/office/drawing/2010/main" val="0"/>
                        </a:ext>
                      </a:extLst>
                    </a:blip>
                    <a:srcRect t="-856" b="901"/>
                    <a:stretch>
                      <a:fillRect/>
                    </a:stretch>
                  </pic:blipFill>
                  <pic:spPr bwMode="auto">
                    <a:xfrm>
                      <a:off x="0" y="0"/>
                      <a:ext cx="4772044" cy="2811549"/>
                    </a:xfrm>
                    <a:prstGeom prst="rect">
                      <a:avLst/>
                    </a:prstGeom>
                    <a:ln>
                      <a:noFill/>
                    </a:ln>
                    <a:extLst>
                      <a:ext uri="{53640926-AAD7-44D8-BBD7-CCE9431645EC}">
                        <a14:shadowObscured xmlns:a14="http://schemas.microsoft.com/office/drawing/2010/main"/>
                      </a:ext>
                    </a:extLst>
                  </pic:spPr>
                </pic:pic>
              </a:graphicData>
            </a:graphic>
          </wp:inline>
        </w:drawing>
      </w:r>
    </w:p>
    <w:p w14:paraId="4D10B64B" w14:textId="77777777" w:rsidR="00254C6D" w:rsidRPr="008034CE" w:rsidRDefault="00254C6D" w:rsidP="00254C6D">
      <w:pPr>
        <w:ind w:firstLine="720"/>
      </w:pPr>
      <w:r w:rsidRPr="008034CE">
        <w:rPr>
          <w:sz w:val="20"/>
          <w:szCs w:val="20"/>
        </w:rPr>
        <w:t xml:space="preserve">Source: Jobs and Skills Australia </w:t>
      </w:r>
    </w:p>
    <w:p w14:paraId="152E26B4" w14:textId="77777777" w:rsidR="00254C6D" w:rsidRPr="008034CE" w:rsidRDefault="00254C6D" w:rsidP="00254C6D">
      <w:pPr>
        <w:pStyle w:val="Heading3"/>
      </w:pPr>
      <w:bookmarkStart w:id="134" w:name="_Toc191037161"/>
      <w:bookmarkStart w:id="135" w:name="_Toc196754619"/>
      <w:bookmarkStart w:id="136" w:name="_Toc196758221"/>
      <w:bookmarkStart w:id="137" w:name="_Toc197344297"/>
      <w:bookmarkStart w:id="138" w:name="_Toc200271586"/>
      <w:r w:rsidRPr="008034CE">
        <w:t>Wage Growth</w:t>
      </w:r>
      <w:bookmarkEnd w:id="134"/>
      <w:bookmarkEnd w:id="135"/>
      <w:bookmarkEnd w:id="136"/>
      <w:bookmarkEnd w:id="137"/>
      <w:bookmarkEnd w:id="138"/>
    </w:p>
    <w:p w14:paraId="268F777F" w14:textId="1D2C1C60" w:rsidR="00254C6D" w:rsidRPr="008034CE" w:rsidRDefault="004D12B4" w:rsidP="00254C6D">
      <w:r w:rsidRPr="004D12B4">
        <w:t>Wage growth has eased over 2024 after increasing in the previous few years. Wage growth was 3.4% over the year to the March quarter 2025, down from 4.1% in the March quarter 2024 and is now at the second equal lowest growth since December quarter 2022</w:t>
      </w:r>
      <w:r w:rsidR="00254C6D" w:rsidRPr="008034CE">
        <w:rPr>
          <w:rStyle w:val="FootnoteReference"/>
        </w:rPr>
        <w:footnoteReference w:id="21"/>
      </w:r>
      <w:r w:rsidR="00254C6D" w:rsidRPr="008034CE">
        <w:t>. However, wages are expected to grow over the year ahead, as labour market conditions remain strong, while inflation continues to ease. Wages are expected to grow by 3% in 2024–25 and by 3¼% in 2025–26</w:t>
      </w:r>
      <w:r w:rsidR="00254C6D" w:rsidRPr="008034CE">
        <w:rPr>
          <w:rStyle w:val="FootnoteReference"/>
        </w:rPr>
        <w:footnoteReference w:id="22"/>
      </w:r>
      <w:r w:rsidR="00254C6D" w:rsidRPr="008034CE">
        <w:t>.</w:t>
      </w:r>
    </w:p>
    <w:p w14:paraId="68E80E23" w14:textId="75C46D0F" w:rsidR="00254C6D" w:rsidRPr="008034CE" w:rsidRDefault="00254C6D" w:rsidP="00254C6D">
      <w:r w:rsidRPr="008034CE">
        <w:t>The HCSA industry also recorded an easing in wage growth over 2024, after recording the highest annual growth (5.5%) since records began in the December quarter 2023</w:t>
      </w:r>
      <w:r w:rsidRPr="008034CE">
        <w:rPr>
          <w:rStyle w:val="FootnoteReference"/>
        </w:rPr>
        <w:footnoteReference w:id="23"/>
      </w:r>
      <w:r w:rsidRPr="008034CE">
        <w:t xml:space="preserve">. </w:t>
      </w:r>
      <w:r w:rsidR="004D12B4" w:rsidRPr="004D12B4">
        <w:t>Wage growth in the HCSA industry was 3.8% over the year to the March quarter 2025, above the all-industries wage growth rate, suggesting some upward pressure on wages for care and support sector workers</w:t>
      </w:r>
      <w:r w:rsidRPr="008034CE">
        <w:rPr>
          <w:rStyle w:val="FootnoteReference"/>
        </w:rPr>
        <w:footnoteReference w:id="24"/>
      </w:r>
      <w:r w:rsidRPr="008034CE">
        <w:t>.</w:t>
      </w:r>
    </w:p>
    <w:p w14:paraId="43982FA9" w14:textId="77777777" w:rsidR="00953272" w:rsidRPr="008034CE" w:rsidRDefault="00953272" w:rsidP="00953272">
      <w:pPr>
        <w:pStyle w:val="Heading2"/>
        <w:keepNext/>
      </w:pPr>
      <w:bookmarkStart w:id="139" w:name="_Toc196754620"/>
      <w:bookmarkStart w:id="140" w:name="_Toc196758222"/>
      <w:bookmarkStart w:id="141" w:name="_Toc197344298"/>
      <w:bookmarkStart w:id="142" w:name="_Toc200271587"/>
      <w:r w:rsidRPr="008034CE">
        <w:lastRenderedPageBreak/>
        <w:t>NDIS Pricing and Award Considerations</w:t>
      </w:r>
      <w:bookmarkEnd w:id="139"/>
      <w:bookmarkEnd w:id="140"/>
      <w:bookmarkEnd w:id="141"/>
      <w:bookmarkEnd w:id="142"/>
    </w:p>
    <w:p w14:paraId="4069324C" w14:textId="77777777" w:rsidR="00953272" w:rsidRPr="008034CE" w:rsidRDefault="00953272" w:rsidP="00953272">
      <w:pPr>
        <w:pStyle w:val="Heading3"/>
      </w:pPr>
      <w:bookmarkStart w:id="143" w:name="_Toc196754621"/>
      <w:bookmarkStart w:id="144" w:name="_Toc196758223"/>
      <w:bookmarkStart w:id="145" w:name="_Toc197344299"/>
      <w:bookmarkStart w:id="146" w:name="_Toc200271588"/>
      <w:r w:rsidRPr="008034CE">
        <w:t>NDIA Pricing Workplan</w:t>
      </w:r>
      <w:bookmarkEnd w:id="143"/>
      <w:bookmarkEnd w:id="144"/>
      <w:bookmarkEnd w:id="145"/>
      <w:bookmarkEnd w:id="146"/>
      <w:r w:rsidRPr="008034CE">
        <w:t xml:space="preserve"> </w:t>
      </w:r>
    </w:p>
    <w:p w14:paraId="1EBB6787" w14:textId="77777777" w:rsidR="00953272" w:rsidRPr="008034CE" w:rsidRDefault="00953272" w:rsidP="00953272">
      <w:r w:rsidRPr="008034CE">
        <w:t>The NDIA currently reviews price limits for all market segments on an annual cycle. While this ensures regular updates, it does not provide for deeper engagement on pricing in complex areas like therapy and disability support worker (DSW) supports that will be necessary to adopt new approaches to pricing.</w:t>
      </w:r>
    </w:p>
    <w:p w14:paraId="167F5853" w14:textId="77777777" w:rsidR="00953272" w:rsidRPr="008034CE" w:rsidRDefault="00953272" w:rsidP="00953272">
      <w:r w:rsidRPr="008034CE">
        <w:t xml:space="preserve">A multi-year work plan will allow the NDIA to focus on markets where market conditions are evolving and where a more in-depth analysis is required to inform future approaches. It will provide a schedule for reviewing key support types while maintaining flexibility to respond to emerging trends. </w:t>
      </w:r>
    </w:p>
    <w:p w14:paraId="5432D92E" w14:textId="77777777" w:rsidR="00CD1480" w:rsidRDefault="00CD1480" w:rsidP="00CD1480">
      <w:r w:rsidRPr="00CD1480">
        <w:t>The NDIA aims to publish the first iteration of this work plan by the end of 2025. This will include indicative timeline for pricing reviews across major support markets – including therapy, DSW supports, support coordination and plan management.</w:t>
      </w:r>
    </w:p>
    <w:p w14:paraId="03BD690E" w14:textId="77777777" w:rsidR="00953272" w:rsidRPr="008034CE" w:rsidRDefault="00953272" w:rsidP="00953272">
      <w:r w:rsidRPr="008034CE">
        <w:t xml:space="preserve">This approach will enable the NDIA to shift towards more differentiated pricing by: </w:t>
      </w:r>
    </w:p>
    <w:p w14:paraId="1473DFF5" w14:textId="77777777" w:rsidR="00953272" w:rsidRPr="008034CE" w:rsidRDefault="00953272" w:rsidP="00953272">
      <w:pPr>
        <w:pStyle w:val="ListParagraph"/>
        <w:numPr>
          <w:ilvl w:val="0"/>
          <w:numId w:val="11"/>
        </w:numPr>
        <w:spacing w:line="288" w:lineRule="auto"/>
      </w:pPr>
      <w:r w:rsidRPr="008034CE">
        <w:t>Consulting with providers and participants on changes to pricing approaches.</w:t>
      </w:r>
    </w:p>
    <w:p w14:paraId="3C637160" w14:textId="77777777" w:rsidR="00953272" w:rsidRPr="008034CE" w:rsidRDefault="00953272" w:rsidP="00953272">
      <w:pPr>
        <w:pStyle w:val="ListParagraph"/>
        <w:numPr>
          <w:ilvl w:val="0"/>
          <w:numId w:val="11"/>
        </w:numPr>
        <w:spacing w:line="288" w:lineRule="auto"/>
      </w:pPr>
      <w:r w:rsidRPr="008034CE">
        <w:t xml:space="preserve">Leveraging insights from pilots such as the Supported Independent Living and Support Coordination deep dives and blended payments trials. </w:t>
      </w:r>
    </w:p>
    <w:p w14:paraId="4E0152A1" w14:textId="77777777" w:rsidR="00953272" w:rsidRPr="008034CE" w:rsidRDefault="00953272" w:rsidP="00953272">
      <w:pPr>
        <w:pStyle w:val="ListParagraph"/>
        <w:numPr>
          <w:ilvl w:val="0"/>
          <w:numId w:val="11"/>
        </w:numPr>
        <w:spacing w:line="288" w:lineRule="auto"/>
      </w:pPr>
      <w:r w:rsidRPr="008034CE">
        <w:t xml:space="preserve">Improving data quality to monitor market trends and performance; and </w:t>
      </w:r>
    </w:p>
    <w:p w14:paraId="23CBD3C4" w14:textId="77777777" w:rsidR="00953272" w:rsidRPr="008034CE" w:rsidRDefault="00953272" w:rsidP="00953272">
      <w:pPr>
        <w:pStyle w:val="ListParagraph"/>
        <w:numPr>
          <w:ilvl w:val="0"/>
          <w:numId w:val="11"/>
        </w:numPr>
        <w:spacing w:line="288" w:lineRule="auto"/>
      </w:pPr>
      <w:r w:rsidRPr="008034CE">
        <w:t xml:space="preserve">Adjusting prices incrementally to maintain market stability. </w:t>
      </w:r>
    </w:p>
    <w:p w14:paraId="5D87C18B" w14:textId="77777777" w:rsidR="00953272" w:rsidRPr="008034CE" w:rsidRDefault="00953272" w:rsidP="00953272">
      <w:r w:rsidRPr="008034CE">
        <w:t xml:space="preserve">Publishing a multi-year work plan will give providers clarity on the timing and nature of planned reforms and ensure that participants continue to benefit from a stable and functioning market. </w:t>
      </w:r>
    </w:p>
    <w:p w14:paraId="7451D7C9" w14:textId="77777777" w:rsidR="00CD1480" w:rsidRPr="00CD1480" w:rsidRDefault="00CD1480" w:rsidP="00CD1480">
      <w:pPr>
        <w:pStyle w:val="Recommendationheading"/>
      </w:pPr>
      <w:r w:rsidRPr="00CD1480">
        <w:t>Recommendation 1:</w:t>
      </w:r>
    </w:p>
    <w:p w14:paraId="02D024F2" w14:textId="77777777" w:rsidR="00CD1480" w:rsidRPr="00CD1480" w:rsidRDefault="00CD1480" w:rsidP="00CD1480">
      <w:pPr>
        <w:pStyle w:val="Normalrecommendationtext"/>
      </w:pPr>
      <w:r w:rsidRPr="00CD1480">
        <w:t>The NDIA should commit to publishing a three-year work plan to implement key reforms arising from the Independent Pricing Committee’s Final Report. This work plan should outline a structured schedule for reviewing specific market segments, such as therapy supports and disability support worker-related supports, at defined intervals, rather than conducting a full Annual Pricing Review each year.</w:t>
      </w:r>
    </w:p>
    <w:p w14:paraId="06261330" w14:textId="77777777" w:rsidR="00CD1480" w:rsidRPr="00F45335" w:rsidRDefault="00CD1480" w:rsidP="00CD1480">
      <w:pPr>
        <w:pStyle w:val="Normalrecommendationtext"/>
      </w:pPr>
      <w:r w:rsidRPr="00CD1480">
        <w:t xml:space="preserve">The work plan will serve as the primary mechanism for delivering pricing reform, allowing for targeted deep dives, piloting of differentiated pricing approaches, and consultation with stakeholders. </w:t>
      </w:r>
    </w:p>
    <w:p w14:paraId="69D88E25" w14:textId="77777777" w:rsidR="00254C6D" w:rsidRPr="008034CE" w:rsidRDefault="00254C6D" w:rsidP="00254C6D"/>
    <w:p w14:paraId="0615DC52" w14:textId="77777777" w:rsidR="005633D2" w:rsidRPr="008034CE" w:rsidRDefault="005633D2" w:rsidP="005633D2">
      <w:pPr>
        <w:pStyle w:val="Heading4"/>
      </w:pPr>
      <w:bookmarkStart w:id="147" w:name="_Toc200103476"/>
      <w:bookmarkStart w:id="148" w:name="_Toc200271589"/>
      <w:r w:rsidRPr="008034CE">
        <w:lastRenderedPageBreak/>
        <w:t>Timing of the Release of the APR</w:t>
      </w:r>
      <w:bookmarkEnd w:id="147"/>
      <w:bookmarkEnd w:id="148"/>
    </w:p>
    <w:p w14:paraId="3739934A" w14:textId="77777777" w:rsidR="00CD1480" w:rsidRPr="00CD1480" w:rsidRDefault="00CD1480" w:rsidP="00CD1480">
      <w:r w:rsidRPr="00CD1480">
        <w:t xml:space="preserve">The NDIA aims to reset the Annual Pricing Review cycle to improve transparency, sector confidence, and alignment with government budgeting processes. Future APRs intend to be released earlier in the financial year to allow providers sufficient time to adjust systems and budgets ahead of implementation. </w:t>
      </w:r>
    </w:p>
    <w:p w14:paraId="36D43CAC" w14:textId="77777777" w:rsidR="00CD1480" w:rsidRDefault="00CD1480" w:rsidP="00CD1480">
      <w:r w:rsidRPr="00CD1480">
        <w:t>A three-year NDIS pricing work plan, to be published before the end of 2025, will specify the timing and scope of each pricing cycle and sector-specific review, including the integration of pilot and any applicable deep dive findings.</w:t>
      </w:r>
    </w:p>
    <w:p w14:paraId="05E7582A" w14:textId="77777777" w:rsidR="005633D2" w:rsidRPr="008034CE" w:rsidRDefault="005633D2" w:rsidP="005633D2">
      <w:pPr>
        <w:ind w:left="720"/>
        <w:rPr>
          <w:b/>
          <w:bCs/>
          <w:color w:val="6B2876" w:themeColor="text1"/>
          <w:u w:val="single"/>
        </w:rPr>
      </w:pPr>
      <w:r w:rsidRPr="008034CE">
        <w:rPr>
          <w:b/>
          <w:bCs/>
          <w:color w:val="6B2876" w:themeColor="text1"/>
          <w:u w:val="single"/>
        </w:rPr>
        <w:t xml:space="preserve">Recommendation 2: </w:t>
      </w:r>
    </w:p>
    <w:p w14:paraId="172DEB59" w14:textId="77777777" w:rsidR="005633D2" w:rsidRPr="008034CE" w:rsidRDefault="005633D2" w:rsidP="005633D2">
      <w:pPr>
        <w:ind w:left="720"/>
        <w:rPr>
          <w:color w:val="6B2876" w:themeColor="text1"/>
        </w:rPr>
      </w:pPr>
      <w:r w:rsidRPr="008034CE">
        <w:rPr>
          <w:color w:val="6B2876" w:themeColor="text1"/>
        </w:rPr>
        <w:t>The NDIA should reset the APR cycle by releasing future pricing recommendations earlier in the financial year, to support improved planning, and align with broader government planning and budget cycles. The timing of the next full pricing review will be determined based on the progress of reform initiatives and will be outlined in the NDIA Pricing Workplan.</w:t>
      </w:r>
    </w:p>
    <w:p w14:paraId="57AA6FA0" w14:textId="77777777" w:rsidR="005633D2" w:rsidRPr="008034CE" w:rsidRDefault="005633D2" w:rsidP="005633D2">
      <w:pPr>
        <w:pStyle w:val="Heading3"/>
        <w:rPr>
          <w:rFonts w:eastAsia="Arial" w:cs="Arial"/>
          <w:bCs/>
        </w:rPr>
      </w:pPr>
      <w:bookmarkStart w:id="149" w:name="_Toc196754622"/>
      <w:bookmarkStart w:id="150" w:name="_Toc196758224"/>
      <w:bookmarkStart w:id="151" w:name="_Toc197344300"/>
      <w:bookmarkStart w:id="152" w:name="_Toc200271590"/>
      <w:r w:rsidRPr="008034CE">
        <w:rPr>
          <w:rFonts w:eastAsia="Arial" w:cs="Arial"/>
          <w:bCs/>
        </w:rPr>
        <w:t>Nurses Award</w:t>
      </w:r>
      <w:bookmarkEnd w:id="149"/>
      <w:bookmarkEnd w:id="150"/>
      <w:bookmarkEnd w:id="151"/>
      <w:bookmarkEnd w:id="152"/>
    </w:p>
    <w:p w14:paraId="4089331A" w14:textId="77777777" w:rsidR="005633D2" w:rsidRPr="008034CE" w:rsidRDefault="005633D2" w:rsidP="005633D2">
      <w:pPr>
        <w:rPr>
          <w:rFonts w:eastAsia="Arial" w:cs="Arial"/>
        </w:rPr>
      </w:pPr>
      <w:r w:rsidRPr="008034CE">
        <w:rPr>
          <w:rFonts w:eastAsia="Arial" w:cs="Arial"/>
        </w:rPr>
        <w:t>On 6 December 2024, the Fair Work Commission (FWC) issued its decision on the Aged Care Work Value Case, introducing staged wage increases for aged care nurses working in residential and home-based settings. On 20 December 2024, the final determination of the decision was released.</w:t>
      </w:r>
      <w:r w:rsidRPr="008034CE">
        <w:rPr>
          <w:rStyle w:val="FootnoteReference"/>
          <w:rFonts w:eastAsia="Arial" w:cs="Arial"/>
        </w:rPr>
        <w:footnoteReference w:id="25"/>
      </w:r>
      <w:r w:rsidRPr="008034CE">
        <w:rPr>
          <w:rFonts w:eastAsia="Arial" w:cs="Arial"/>
        </w:rPr>
        <w:t xml:space="preserve"> These increases do not apply to nurses classified as ‘other than aged care </w:t>
      </w:r>
      <w:proofErr w:type="gramStart"/>
      <w:r w:rsidRPr="008034CE">
        <w:rPr>
          <w:rFonts w:eastAsia="Arial" w:cs="Arial"/>
        </w:rPr>
        <w:t>employees’</w:t>
      </w:r>
      <w:proofErr w:type="gramEnd"/>
      <w:r w:rsidRPr="008034CE">
        <w:rPr>
          <w:rFonts w:eastAsia="Arial" w:cs="Arial"/>
        </w:rPr>
        <w:t>.</w:t>
      </w:r>
    </w:p>
    <w:p w14:paraId="6A7A4E73" w14:textId="77777777" w:rsidR="005633D2" w:rsidRPr="008034CE" w:rsidRDefault="005633D2" w:rsidP="005633D2">
      <w:pPr>
        <w:rPr>
          <w:rFonts w:eastAsia="Arial" w:cs="Arial"/>
        </w:rPr>
      </w:pPr>
      <w:r w:rsidRPr="008034CE">
        <w:rPr>
          <w:rFonts w:eastAsia="Arial" w:cs="Arial"/>
        </w:rPr>
        <w:t>These staged changes to the awards and minimum wages include:</w:t>
      </w:r>
    </w:p>
    <w:p w14:paraId="3A1E8EA6" w14:textId="49B9E3B4" w:rsidR="005633D2" w:rsidRDefault="005633D2" w:rsidP="0010695B">
      <w:pPr>
        <w:pStyle w:val="ListParagraph"/>
        <w:numPr>
          <w:ilvl w:val="0"/>
          <w:numId w:val="18"/>
        </w:numPr>
        <w:rPr>
          <w:rFonts w:eastAsia="Arial"/>
        </w:rPr>
      </w:pPr>
      <w:r w:rsidRPr="005633D2">
        <w:rPr>
          <w:rFonts w:eastAsia="Arial"/>
        </w:rPr>
        <w:t>In 2025 and 2026, most aged care nurses will receive three equal tranches of wage increases, varying up to 25.5%.</w:t>
      </w:r>
      <w:r w:rsidRPr="008034CE">
        <w:rPr>
          <w:rFonts w:eastAsia="Arial"/>
          <w:vertAlign w:val="superscript"/>
        </w:rPr>
        <w:footnoteReference w:id="26"/>
      </w:r>
      <w:r w:rsidRPr="005633D2">
        <w:rPr>
          <w:rFonts w:eastAsia="Arial"/>
        </w:rPr>
        <w:t xml:space="preserve"> Rates of pay have been set aligned to the Educational Services (Teachers) Award 2020 or relative to </w:t>
      </w:r>
      <w:proofErr w:type="gramStart"/>
      <w:r w:rsidRPr="005633D2">
        <w:rPr>
          <w:rFonts w:eastAsia="Arial"/>
        </w:rPr>
        <w:t>other</w:t>
      </w:r>
      <w:proofErr w:type="gramEnd"/>
      <w:r w:rsidRPr="005633D2">
        <w:rPr>
          <w:rFonts w:eastAsia="Arial"/>
        </w:rPr>
        <w:t xml:space="preserve"> Nurse</w:t>
      </w:r>
    </w:p>
    <w:p w14:paraId="795C9084" w14:textId="1450C398" w:rsidR="005633D2" w:rsidRDefault="005633D2" w:rsidP="00883F06">
      <w:pPr>
        <w:pStyle w:val="ListParagraph"/>
        <w:spacing w:after="240"/>
        <w:rPr>
          <w:rFonts w:eastAsia="Arial" w:cs="Arial"/>
        </w:rPr>
      </w:pPr>
      <w:r w:rsidRPr="008034CE">
        <w:rPr>
          <w:rFonts w:eastAsia="Arial" w:cs="Arial"/>
        </w:rPr>
        <w:t>Award classifications.</w:t>
      </w:r>
      <w:r w:rsidR="00883F06">
        <w:rPr>
          <w:rFonts w:eastAsia="Arial" w:cs="Arial"/>
        </w:rPr>
        <w:t xml:space="preserve"> </w:t>
      </w:r>
      <w:r w:rsidRPr="008034CE">
        <w:rPr>
          <w:rFonts w:eastAsia="Arial" w:cs="Arial"/>
        </w:rPr>
        <w:t>These increases will be implemented on 1 March 2025, 1 October 2025 and 1 August 2026.</w:t>
      </w:r>
    </w:p>
    <w:p w14:paraId="640382D1" w14:textId="77777777" w:rsidR="005633D2" w:rsidRPr="008034CE" w:rsidRDefault="005633D2" w:rsidP="0010695B">
      <w:pPr>
        <w:pStyle w:val="ListParagraph"/>
        <w:numPr>
          <w:ilvl w:val="0"/>
          <w:numId w:val="19"/>
        </w:numPr>
        <w:spacing w:after="0" w:line="288" w:lineRule="auto"/>
        <w:rPr>
          <w:rFonts w:eastAsia="Arial" w:cs="Arial"/>
        </w:rPr>
      </w:pPr>
      <w:r w:rsidRPr="008034CE">
        <w:rPr>
          <w:rFonts w:eastAsia="Arial" w:cs="Arial"/>
        </w:rPr>
        <w:t xml:space="preserve">A new classification structure was introduced into the Nurses Award 2020 (Nurses Award), transitioned from 1 March 2025. </w:t>
      </w:r>
    </w:p>
    <w:p w14:paraId="2B3C4A58" w14:textId="77777777" w:rsidR="005633D2" w:rsidRPr="005633D2" w:rsidRDefault="005633D2" w:rsidP="005633D2">
      <w:pPr>
        <w:spacing w:before="480"/>
        <w:rPr>
          <w:rFonts w:eastAsia="Arial"/>
        </w:rPr>
      </w:pPr>
      <w:r w:rsidRPr="005633D2">
        <w:rPr>
          <w:rFonts w:eastAsia="Arial"/>
        </w:rPr>
        <w:t>This is in addition to the 15% increase in minimum award wages for aged care nurses that commenced from 30 June 2023, alongside minimum award wage increases for many aged care employees.</w:t>
      </w:r>
    </w:p>
    <w:p w14:paraId="42FCDCD2" w14:textId="77777777" w:rsidR="005633D2" w:rsidRPr="005633D2" w:rsidRDefault="005633D2" w:rsidP="005633D2">
      <w:pPr>
        <w:rPr>
          <w:rFonts w:eastAsia="Arial"/>
        </w:rPr>
      </w:pPr>
      <w:r w:rsidRPr="005633D2">
        <w:rPr>
          <w:rFonts w:eastAsia="Arial"/>
        </w:rPr>
        <w:lastRenderedPageBreak/>
        <w:t xml:space="preserve">To a certain extent, disability support and aged care, and other sectors, compete for the same limited pool of workers (nurses). NDIS nursing price limits were set in 2019 based on higher Award wage benchmarks across the country for each level of nursing. This structure also considers the type of nurse delivering supports to participants with different needs. As nursing price limits have been indexed every year since, the price limits continue to remain competitive compared with the rest of the care sector and attract the nurses to deliver supports for NDIS participants. For reference, assumed wages in 2019 across the 5 levels of nursing range from 3.5% to 24.5% above the equivalent Award wages that came into effect 1 March 2025, before any applicable indexation is </w:t>
      </w:r>
      <w:proofErr w:type="gramStart"/>
      <w:r w:rsidRPr="005633D2">
        <w:rPr>
          <w:rFonts w:eastAsia="Arial"/>
        </w:rPr>
        <w:t>taken into account</w:t>
      </w:r>
      <w:proofErr w:type="gramEnd"/>
      <w:r w:rsidRPr="005633D2">
        <w:rPr>
          <w:rFonts w:eastAsia="Arial"/>
        </w:rPr>
        <w:t>.</w:t>
      </w:r>
    </w:p>
    <w:p w14:paraId="79B04FBC" w14:textId="2F227F10" w:rsidR="005633D2" w:rsidRPr="005633D2" w:rsidRDefault="005633D2" w:rsidP="005633D2">
      <w:pPr>
        <w:rPr>
          <w:rFonts w:eastAsia="Arial"/>
        </w:rPr>
      </w:pPr>
      <w:r w:rsidRPr="005633D2">
        <w:rPr>
          <w:rFonts w:eastAsia="Arial"/>
        </w:rPr>
        <w:t>The NDIA has reviewed the determination and considers that, on balance, the current nursing price limits continue to remain appropriate.</w:t>
      </w:r>
      <w:r w:rsidRPr="005633D2" w:rsidDel="00A52AC2">
        <w:rPr>
          <w:rFonts w:eastAsia="Arial"/>
        </w:rPr>
        <w:t xml:space="preserve"> </w:t>
      </w:r>
      <w:r w:rsidRPr="005633D2">
        <w:rPr>
          <w:rFonts w:eastAsia="Arial"/>
        </w:rPr>
        <w:t>Given the staging of the</w:t>
      </w:r>
      <w:r w:rsidR="00883F06">
        <w:rPr>
          <w:rFonts w:eastAsia="Arial"/>
        </w:rPr>
        <w:t> </w:t>
      </w:r>
      <w:r w:rsidRPr="005633D2">
        <w:rPr>
          <w:rFonts w:eastAsia="Arial"/>
        </w:rPr>
        <w:t>upcoming Nurses Award changes, the NDIA should continue to monitor access to nursing support and assess the impact of future wage changes in the aged care</w:t>
      </w:r>
      <w:r w:rsidR="00883F06">
        <w:rPr>
          <w:rFonts w:eastAsia="Arial"/>
        </w:rPr>
        <w:t> </w:t>
      </w:r>
      <w:r w:rsidRPr="005633D2">
        <w:rPr>
          <w:rFonts w:eastAsia="Arial"/>
        </w:rPr>
        <w:t>sector.</w:t>
      </w:r>
    </w:p>
    <w:p w14:paraId="7BEFCB44" w14:textId="6DC5B3A1" w:rsidR="005633D2" w:rsidRPr="005633D2" w:rsidRDefault="005633D2" w:rsidP="005633D2">
      <w:pPr>
        <w:rPr>
          <w:rFonts w:eastAsia="Arial"/>
        </w:rPr>
      </w:pPr>
      <w:r w:rsidRPr="005633D2">
        <w:rPr>
          <w:rFonts w:eastAsia="Arial"/>
        </w:rPr>
        <w:t>For other supports not covered by the DSW Cost Model, including nursing and selected community-based services, price adjustments will be based on a weighted combination of the Australian Bureau of Statistics’ (A</w:t>
      </w:r>
      <w:r w:rsidRPr="005633D2">
        <w:rPr>
          <w:rFonts w:eastAsia="Arial"/>
          <w:spacing w:val="-60"/>
        </w:rPr>
        <w:t xml:space="preserve"> </w:t>
      </w:r>
      <w:r w:rsidRPr="005633D2">
        <w:rPr>
          <w:rFonts w:eastAsia="Arial"/>
        </w:rPr>
        <w:t>B</w:t>
      </w:r>
      <w:r w:rsidRPr="005633D2">
        <w:rPr>
          <w:rFonts w:eastAsia="Arial"/>
          <w:spacing w:val="-60"/>
        </w:rPr>
        <w:t xml:space="preserve"> </w:t>
      </w:r>
      <w:r w:rsidRPr="005633D2">
        <w:rPr>
          <w:rFonts w:eastAsia="Arial"/>
        </w:rPr>
        <w:t>S') Wage Price Index (WPI) and Consumer Price Index (CPI). This ensures indexation reflects broader economic conditions and remains proportionate, evidence based and aligned with provider cost</w:t>
      </w:r>
      <w:r w:rsidR="00883F06">
        <w:rPr>
          <w:rFonts w:eastAsia="Arial"/>
        </w:rPr>
        <w:t> </w:t>
      </w:r>
      <w:r w:rsidRPr="005633D2">
        <w:rPr>
          <w:rFonts w:eastAsia="Arial"/>
        </w:rPr>
        <w:t xml:space="preserve">pressures. </w:t>
      </w:r>
    </w:p>
    <w:p w14:paraId="3955E62A" w14:textId="77777777" w:rsidR="005633D2" w:rsidRPr="005633D2" w:rsidRDefault="005633D2" w:rsidP="005633D2">
      <w:pPr>
        <w:pStyle w:val="Recommendationheading"/>
      </w:pPr>
      <w:r w:rsidRPr="005633D2">
        <w:t xml:space="preserve">Recommendation </w:t>
      </w:r>
      <w:r w:rsidRPr="005633D2">
        <w:rPr>
          <w:bCs/>
        </w:rPr>
        <w:t>3</w:t>
      </w:r>
      <w:r w:rsidRPr="005633D2">
        <w:t xml:space="preserve">: </w:t>
      </w:r>
    </w:p>
    <w:p w14:paraId="6018B7E5" w14:textId="4EF54C83" w:rsidR="005633D2" w:rsidRDefault="005633D2" w:rsidP="00883F06">
      <w:pPr>
        <w:pStyle w:val="Normalrecommendationtext"/>
      </w:pPr>
      <w:r w:rsidRPr="005633D2">
        <w:t>The NDIA should increase the price limits for nursing and other supports not covered by Disability Support Worker-related supports, Capital supports or otherwise covered in the APR, effective 1 July 2025. This adjustment should reflect the weighted movement in the Australian Bureau of Statistics Wage Price Index (Australia, total hourly rates of pay excluding bonuses) and the Australian Bureau of Statistics Consumer Price Index (All Groups, weighted</w:t>
      </w:r>
      <w:r w:rsidR="00883F06">
        <w:t xml:space="preserve"> </w:t>
      </w:r>
      <w:r w:rsidR="00DF5844" w:rsidRPr="008034CE">
        <w:t>average of eight capital cities) over the 12 months to the March Quarter immediately preceding the indexation data (with an 80/20 weighting).</w:t>
      </w:r>
    </w:p>
    <w:p w14:paraId="17F76F63" w14:textId="77777777" w:rsidR="00DF5844" w:rsidRPr="008034CE" w:rsidRDefault="00DF5844" w:rsidP="00DF5844">
      <w:pPr>
        <w:pStyle w:val="Heading3"/>
        <w:rPr>
          <w:rFonts w:eastAsia="Arial" w:cs="Arial"/>
          <w:bCs/>
        </w:rPr>
      </w:pPr>
      <w:bookmarkStart w:id="153" w:name="_Toc196754623"/>
      <w:bookmarkStart w:id="154" w:name="_Toc196758225"/>
      <w:bookmarkStart w:id="155" w:name="_Toc197344301"/>
      <w:bookmarkStart w:id="156" w:name="_Toc200271591"/>
      <w:r w:rsidRPr="008034CE">
        <w:rPr>
          <w:rFonts w:eastAsia="Arial" w:cs="Arial"/>
          <w:bCs/>
        </w:rPr>
        <w:t>Gender-based Undervaluation - Priority Awards Review</w:t>
      </w:r>
      <w:bookmarkEnd w:id="153"/>
      <w:bookmarkEnd w:id="154"/>
      <w:bookmarkEnd w:id="155"/>
      <w:bookmarkEnd w:id="156"/>
    </w:p>
    <w:p w14:paraId="0A78DE64" w14:textId="77777777" w:rsidR="00DF5844" w:rsidRPr="008034CE" w:rsidRDefault="00DF5844" w:rsidP="00DF5844">
      <w:pPr>
        <w:rPr>
          <w:rFonts w:eastAsia="Arial" w:cs="Arial"/>
        </w:rPr>
      </w:pPr>
      <w:r w:rsidRPr="008034CE">
        <w:rPr>
          <w:rFonts w:eastAsia="Arial" w:cs="Arial"/>
        </w:rPr>
        <w:t xml:space="preserve">In the Annual Wage Review 2023–24 decision, the Fair Work Commission (FWC) determined to undertake a review on identified classifications in five modern awards. The purpose of the Review was to consider whether the classifications have been the subject of gender-based undervaluation requiring remedy on work value grounds. </w:t>
      </w:r>
    </w:p>
    <w:p w14:paraId="59F8695C" w14:textId="77777777" w:rsidR="00DF5844" w:rsidRPr="008034CE" w:rsidRDefault="00DF5844" w:rsidP="00DF5844">
      <w:pPr>
        <w:rPr>
          <w:rFonts w:eastAsia="Arial" w:cs="Arial"/>
        </w:rPr>
      </w:pPr>
      <w:r w:rsidRPr="008034CE">
        <w:rPr>
          <w:rFonts w:eastAsia="Arial" w:cs="Arial"/>
        </w:rPr>
        <w:t>These 5 identified Awards were the:</w:t>
      </w:r>
    </w:p>
    <w:p w14:paraId="29EECFC1" w14:textId="77777777" w:rsidR="00DF5844" w:rsidRPr="008034CE" w:rsidRDefault="00DF5844" w:rsidP="0010695B">
      <w:pPr>
        <w:pStyle w:val="ListParagraph"/>
        <w:numPr>
          <w:ilvl w:val="0"/>
          <w:numId w:val="20"/>
        </w:numPr>
        <w:spacing w:after="0" w:line="288" w:lineRule="auto"/>
        <w:rPr>
          <w:rFonts w:eastAsia="Arial" w:cs="Arial"/>
        </w:rPr>
      </w:pPr>
      <w:r w:rsidRPr="008034CE">
        <w:rPr>
          <w:rFonts w:eastAsia="Arial" w:cs="Arial"/>
        </w:rPr>
        <w:lastRenderedPageBreak/>
        <w:t>Aboriginal and Torres Strait Islander Health Workers and Practitioners and Aboriginal Community Controlled Health Services Award 2020,</w:t>
      </w:r>
    </w:p>
    <w:p w14:paraId="49A4F714" w14:textId="77777777" w:rsidR="00DF5844" w:rsidRPr="008034CE" w:rsidRDefault="00DF5844" w:rsidP="0010695B">
      <w:pPr>
        <w:pStyle w:val="ListParagraph"/>
        <w:numPr>
          <w:ilvl w:val="0"/>
          <w:numId w:val="20"/>
        </w:numPr>
        <w:spacing w:after="0" w:line="288" w:lineRule="auto"/>
        <w:rPr>
          <w:rFonts w:eastAsia="Arial" w:cs="Arial"/>
        </w:rPr>
      </w:pPr>
      <w:r w:rsidRPr="008034CE">
        <w:rPr>
          <w:rFonts w:eastAsia="Arial" w:cs="Arial"/>
        </w:rPr>
        <w:t xml:space="preserve">Children’s Services Award 2010, </w:t>
      </w:r>
    </w:p>
    <w:p w14:paraId="58A79D8B" w14:textId="77777777" w:rsidR="00DF5844" w:rsidRPr="008034CE" w:rsidRDefault="00DF5844" w:rsidP="0010695B">
      <w:pPr>
        <w:pStyle w:val="ListParagraph"/>
        <w:numPr>
          <w:ilvl w:val="0"/>
          <w:numId w:val="20"/>
        </w:numPr>
        <w:spacing w:after="0" w:line="288" w:lineRule="auto"/>
        <w:rPr>
          <w:rFonts w:eastAsia="Arial" w:cs="Arial"/>
        </w:rPr>
      </w:pPr>
      <w:r w:rsidRPr="008034CE">
        <w:rPr>
          <w:rFonts w:eastAsia="Arial" w:cs="Arial"/>
        </w:rPr>
        <w:t xml:space="preserve">Health Professionals and Support Services Award 2020 (HPSS Award), </w:t>
      </w:r>
    </w:p>
    <w:p w14:paraId="3153D130" w14:textId="77777777" w:rsidR="00DF5844" w:rsidRPr="008034CE" w:rsidRDefault="00DF5844" w:rsidP="0010695B">
      <w:pPr>
        <w:pStyle w:val="ListParagraph"/>
        <w:numPr>
          <w:ilvl w:val="0"/>
          <w:numId w:val="20"/>
        </w:numPr>
        <w:spacing w:after="0" w:line="288" w:lineRule="auto"/>
        <w:rPr>
          <w:rFonts w:eastAsia="Arial" w:cs="Arial"/>
        </w:rPr>
      </w:pPr>
      <w:r w:rsidRPr="008034CE">
        <w:rPr>
          <w:rFonts w:eastAsia="Arial" w:cs="Arial"/>
        </w:rPr>
        <w:t xml:space="preserve">Pharmacy Industry Award 2020 and </w:t>
      </w:r>
    </w:p>
    <w:p w14:paraId="778CE34B" w14:textId="77777777" w:rsidR="00DF5844" w:rsidRPr="008034CE" w:rsidRDefault="00DF5844" w:rsidP="0010695B">
      <w:pPr>
        <w:pStyle w:val="ListParagraph"/>
        <w:numPr>
          <w:ilvl w:val="0"/>
          <w:numId w:val="20"/>
        </w:numPr>
        <w:spacing w:after="0" w:line="288" w:lineRule="auto"/>
        <w:rPr>
          <w:rFonts w:eastAsia="Arial" w:cs="Arial"/>
        </w:rPr>
      </w:pPr>
      <w:r w:rsidRPr="008034CE">
        <w:rPr>
          <w:rFonts w:eastAsia="Arial" w:cs="Arial"/>
        </w:rPr>
        <w:t>Social, Community, Home Care and Disability Services Industry Award 2010 (SCHADS Award).</w:t>
      </w:r>
    </w:p>
    <w:p w14:paraId="49C51662" w14:textId="77777777" w:rsidR="00DF5844" w:rsidRPr="008034CE" w:rsidRDefault="00DF5844" w:rsidP="00DF5844">
      <w:pPr>
        <w:spacing w:before="360"/>
        <w:rPr>
          <w:rFonts w:eastAsia="Arial" w:cs="Arial"/>
        </w:rPr>
      </w:pPr>
      <w:r w:rsidRPr="008034CE">
        <w:rPr>
          <w:rFonts w:eastAsia="Arial" w:cs="Arial"/>
        </w:rPr>
        <w:t>The FWC announced the provisional decision of the Expert Panel on 16 April 2025. It was found that several classifications under the Awards have been the subject of gender-based undervaluation. The Expert Panel further determined that these findings constitute work value reasons justifying the variation of the modern award minimum wage rates applying to each category of employees.</w:t>
      </w:r>
    </w:p>
    <w:p w14:paraId="28F89408" w14:textId="77777777" w:rsidR="00DF5844" w:rsidRPr="008034CE" w:rsidRDefault="00DF5844" w:rsidP="00DF5844">
      <w:pPr>
        <w:rPr>
          <w:rFonts w:eastAsia="Arial" w:cs="Arial"/>
        </w:rPr>
      </w:pPr>
      <w:r w:rsidRPr="008034CE">
        <w:rPr>
          <w:rFonts w:eastAsia="Arial" w:cs="Arial"/>
        </w:rPr>
        <w:t>In respect of the SCHADS Award, it has proposed abolishing the current five separate classification structures (Schedules B, C, D, E and F) and implement a single, simplified classification structure based on an alignment with the ‘Caring Skills’ benchmark rate proposed at around $1269.80 per week for a Certificate 3-qualified employee from the Stage 3 Aged Care Award decision. It is also proposed to revoke the E</w:t>
      </w:r>
      <w:r w:rsidRPr="008034CE">
        <w:rPr>
          <w:rFonts w:eastAsia="Arial" w:cs="Arial"/>
          <w:spacing w:val="-60"/>
        </w:rPr>
        <w:t xml:space="preserve"> </w:t>
      </w:r>
      <w:r w:rsidRPr="008034CE">
        <w:rPr>
          <w:rFonts w:eastAsia="Arial" w:cs="Arial"/>
        </w:rPr>
        <w:t>R</w:t>
      </w:r>
      <w:r w:rsidRPr="008034CE">
        <w:rPr>
          <w:rFonts w:eastAsia="Arial" w:cs="Arial"/>
          <w:spacing w:val="-60"/>
        </w:rPr>
        <w:t xml:space="preserve"> </w:t>
      </w:r>
      <w:r w:rsidRPr="008034CE">
        <w:rPr>
          <w:rFonts w:eastAsia="Arial" w:cs="Arial"/>
        </w:rPr>
        <w:t xml:space="preserve">O as part of the implementation of this new classification structure. </w:t>
      </w:r>
    </w:p>
    <w:p w14:paraId="6353B5FE" w14:textId="77777777" w:rsidR="00DF5844" w:rsidRPr="008034CE" w:rsidRDefault="00DF5844" w:rsidP="00DF5844">
      <w:pPr>
        <w:rPr>
          <w:rFonts w:eastAsia="Arial" w:cs="Arial"/>
        </w:rPr>
      </w:pPr>
      <w:r w:rsidRPr="008034CE">
        <w:rPr>
          <w:rFonts w:eastAsia="Arial" w:cs="Arial"/>
        </w:rPr>
        <w:t>Additionally, for health professional employees covered by the HPSS Award, it is proposed to establish a new, simplified classification and minimum wage rate structure. The new proposed pay structure would distinguish between the different professional occupations based on the Australian Qualifications Framework (AQF) level of the standard educational qualification required for entry into the profession.</w:t>
      </w:r>
    </w:p>
    <w:p w14:paraId="2AFA6B9F" w14:textId="77777777" w:rsidR="00883F06" w:rsidRDefault="00DF5844" w:rsidP="00DF5844">
      <w:pPr>
        <w:rPr>
          <w:rFonts w:eastAsia="Arial" w:cs="Arial"/>
        </w:rPr>
      </w:pPr>
      <w:r w:rsidRPr="008034CE">
        <w:rPr>
          <w:rFonts w:eastAsia="Arial" w:cs="Arial"/>
        </w:rPr>
        <w:t xml:space="preserve">More information can be found on the Fair Work Commission’s </w:t>
      </w:r>
      <w:hyperlink r:id="rId16" w:history="1">
        <w:r w:rsidRPr="008034CE">
          <w:rPr>
            <w:rStyle w:val="Hyperlink"/>
            <w:rFonts w:eastAsia="Arial" w:cs="Arial"/>
          </w:rPr>
          <w:t>website</w:t>
        </w:r>
      </w:hyperlink>
      <w:r w:rsidRPr="008034CE">
        <w:rPr>
          <w:rFonts w:eastAsia="Arial" w:cs="Arial"/>
        </w:rPr>
        <w:t>.</w:t>
      </w:r>
      <w:r w:rsidR="00883F06">
        <w:rPr>
          <w:rFonts w:eastAsia="Arial" w:cs="Arial"/>
        </w:rPr>
        <w:t xml:space="preserve"> </w:t>
      </w:r>
    </w:p>
    <w:p w14:paraId="5A7CA508" w14:textId="34BC2618" w:rsidR="00AC2C73" w:rsidRDefault="00AC2C73" w:rsidP="00DF5844">
      <w:pPr>
        <w:rPr>
          <w:rFonts w:eastAsia="Arial" w:cs="Arial"/>
        </w:rPr>
      </w:pPr>
      <w:r w:rsidRPr="008034CE">
        <w:rPr>
          <w:rFonts w:eastAsia="Arial" w:cs="Arial"/>
        </w:rPr>
        <w:t>As this decision remains provisional at the time of preparing the APR, the NDIA will</w:t>
      </w:r>
      <w:r w:rsidR="00883F06">
        <w:rPr>
          <w:rFonts w:eastAsia="Arial" w:cs="Arial"/>
        </w:rPr>
        <w:t> </w:t>
      </w:r>
      <w:r w:rsidRPr="008034CE">
        <w:rPr>
          <w:rFonts w:eastAsia="Arial" w:cs="Arial"/>
        </w:rPr>
        <w:t>consider the decision and its impact on relevant supports and their pricing once</w:t>
      </w:r>
      <w:r w:rsidR="00883F06">
        <w:rPr>
          <w:rFonts w:eastAsia="Arial" w:cs="Arial"/>
        </w:rPr>
        <w:t> </w:t>
      </w:r>
      <w:r w:rsidRPr="008034CE">
        <w:rPr>
          <w:rFonts w:eastAsia="Arial" w:cs="Arial"/>
        </w:rPr>
        <w:t>finalised.</w:t>
      </w:r>
    </w:p>
    <w:p w14:paraId="621AB447" w14:textId="77777777" w:rsidR="00AC2C73" w:rsidRDefault="00AC2C73">
      <w:pPr>
        <w:spacing w:before="120" w:after="120"/>
        <w:rPr>
          <w:rFonts w:eastAsia="Arial" w:cs="Arial"/>
        </w:rPr>
      </w:pPr>
      <w:r>
        <w:rPr>
          <w:rFonts w:eastAsia="Arial" w:cs="Arial"/>
        </w:rPr>
        <w:br w:type="page"/>
      </w:r>
    </w:p>
    <w:p w14:paraId="009B25E0" w14:textId="77777777" w:rsidR="00AC2C73" w:rsidRPr="008034CE" w:rsidRDefault="00AC2C73" w:rsidP="00AC2C73">
      <w:pPr>
        <w:pStyle w:val="Heading2"/>
        <w:rPr>
          <w:rFonts w:cs="Arial"/>
        </w:rPr>
      </w:pPr>
      <w:bookmarkStart w:id="157" w:name="_Toc196754624"/>
      <w:bookmarkStart w:id="158" w:name="_Toc196758226"/>
      <w:bookmarkStart w:id="159" w:name="_Toc197344302"/>
      <w:bookmarkStart w:id="160" w:name="_Toc200271592"/>
      <w:r w:rsidRPr="008034CE">
        <w:rPr>
          <w:rFonts w:cs="Arial"/>
        </w:rPr>
        <w:lastRenderedPageBreak/>
        <w:t>Disability Support Worker Related Supports</w:t>
      </w:r>
      <w:bookmarkEnd w:id="157"/>
      <w:bookmarkEnd w:id="158"/>
      <w:bookmarkEnd w:id="159"/>
      <w:bookmarkEnd w:id="160"/>
      <w:r w:rsidRPr="008034CE">
        <w:rPr>
          <w:rFonts w:cs="Arial"/>
        </w:rPr>
        <w:t xml:space="preserve"> </w:t>
      </w:r>
    </w:p>
    <w:p w14:paraId="5B08A9F0" w14:textId="77777777" w:rsidR="00AC2C73" w:rsidRPr="008034CE" w:rsidRDefault="00AC2C73" w:rsidP="00AC2C73">
      <w:pPr>
        <w:pStyle w:val="Heading3"/>
      </w:pPr>
      <w:bookmarkStart w:id="161" w:name="_Toc196754625"/>
      <w:bookmarkStart w:id="162" w:name="_Toc196758227"/>
      <w:bookmarkStart w:id="163" w:name="_Toc197344303"/>
      <w:bookmarkStart w:id="164" w:name="_Toc200271593"/>
      <w:r w:rsidRPr="008034CE">
        <w:t>Context</w:t>
      </w:r>
      <w:bookmarkEnd w:id="161"/>
      <w:bookmarkEnd w:id="162"/>
      <w:bookmarkEnd w:id="163"/>
      <w:bookmarkEnd w:id="164"/>
    </w:p>
    <w:p w14:paraId="766C326E" w14:textId="77777777" w:rsidR="00AC2C73" w:rsidRPr="008034CE" w:rsidRDefault="00AC2C73" w:rsidP="00AC2C73">
      <w:r w:rsidRPr="008034CE">
        <w:t>Disability Support Workers (DSWs) are an essential part of Australia’s care and support workforce, bridging the gap between healthcare services and daily living assistance for individuals with disabilities. DSWs represent the sector’s diversity, working across various settings, from private homes to community-based programs, providing personalised support that enhances the independence of NDIS participants.  </w:t>
      </w:r>
    </w:p>
    <w:p w14:paraId="2FD78DE3" w14:textId="77777777" w:rsidR="00AC2C73" w:rsidRPr="008034CE" w:rsidRDefault="00AC2C73" w:rsidP="00AC2C73">
      <w:pPr>
        <w:pStyle w:val="Heading4"/>
      </w:pPr>
      <w:bookmarkStart w:id="165" w:name="_Toc195553323"/>
      <w:bookmarkStart w:id="166" w:name="_Toc195553384"/>
      <w:bookmarkStart w:id="167" w:name="_Toc195553405"/>
      <w:bookmarkStart w:id="168" w:name="_Toc200103481"/>
      <w:bookmarkStart w:id="169" w:name="_Toc200271594"/>
      <w:r w:rsidRPr="008034CE">
        <w:t>Approach to Setting DSW-Related Price Limits</w:t>
      </w:r>
      <w:bookmarkEnd w:id="165"/>
      <w:bookmarkEnd w:id="166"/>
      <w:bookmarkEnd w:id="167"/>
      <w:bookmarkEnd w:id="168"/>
      <w:bookmarkEnd w:id="169"/>
      <w:r w:rsidRPr="008034CE">
        <w:t xml:space="preserve"> </w:t>
      </w:r>
    </w:p>
    <w:p w14:paraId="7B6B14E7" w14:textId="77777777" w:rsidR="00AC2C73" w:rsidRPr="008034CE" w:rsidRDefault="00AC2C73" w:rsidP="00AC2C73">
      <w:r w:rsidRPr="008034CE">
        <w:t xml:space="preserve">The NDIA uses the Disability Support Worker Cost Model (DSW Cost Model) to estimate the cost that a provider would likely incur to deliver a billable hour of support. The model informs price limits for a range of DSW-related supports and is based on a set of assumptions aligned with minimum wage and employment conditions under the </w:t>
      </w:r>
      <w:r w:rsidRPr="008034CE">
        <w:rPr>
          <w:i/>
          <w:iCs/>
        </w:rPr>
        <w:t>Social, Community, Home Care and Disability Services Industry Award 2010</w:t>
      </w:r>
      <w:r w:rsidRPr="008034CE">
        <w:t xml:space="preserve"> (SCHADS Award). </w:t>
      </w:r>
    </w:p>
    <w:p w14:paraId="560DE125" w14:textId="77777777" w:rsidR="00AC2C73" w:rsidRPr="008034CE" w:rsidRDefault="00AC2C73" w:rsidP="00AC2C73">
      <w:r w:rsidRPr="008034CE">
        <w:t xml:space="preserve">Following refinement of the model in 2022, the DSW Cost Model groups provider expenses into 3 broad categories: </w:t>
      </w:r>
    </w:p>
    <w:p w14:paraId="6D8332C3" w14:textId="77777777" w:rsidR="00AC2C73" w:rsidRPr="008034CE" w:rsidRDefault="00AC2C73" w:rsidP="0010695B">
      <w:pPr>
        <w:pStyle w:val="paragraph"/>
        <w:numPr>
          <w:ilvl w:val="0"/>
          <w:numId w:val="21"/>
        </w:numPr>
        <w:spacing w:before="0" w:beforeAutospacing="0" w:after="0" w:afterAutospacing="0" w:line="360" w:lineRule="auto"/>
        <w:textAlignment w:val="baseline"/>
        <w:rPr>
          <w:rFonts w:ascii="Arial" w:hAnsi="Arial" w:cs="Arial"/>
          <w:color w:val="000000"/>
        </w:rPr>
      </w:pPr>
      <w:r w:rsidRPr="008034CE">
        <w:rPr>
          <w:rFonts w:ascii="Arial" w:hAnsi="Arial" w:cs="Arial"/>
          <w:b/>
          <w:bCs/>
          <w:color w:val="000000"/>
        </w:rPr>
        <w:t xml:space="preserve">Direct worker employment costs, </w:t>
      </w:r>
      <w:r w:rsidRPr="008034CE">
        <w:rPr>
          <w:rFonts w:ascii="Arial" w:hAnsi="Arial" w:cs="Arial"/>
          <w:color w:val="000000"/>
        </w:rPr>
        <w:t xml:space="preserve">including wages (based on SCHADS Award levels 2.3-4.4), superannuation (12% from 1 July 2025), leave entitlements, and allowances; </w:t>
      </w:r>
    </w:p>
    <w:p w14:paraId="5D3F5960" w14:textId="77777777" w:rsidR="00AC2C73" w:rsidRPr="008034CE" w:rsidRDefault="00AC2C73" w:rsidP="0010695B">
      <w:pPr>
        <w:pStyle w:val="paragraph"/>
        <w:numPr>
          <w:ilvl w:val="0"/>
          <w:numId w:val="21"/>
        </w:numPr>
        <w:spacing w:before="0" w:beforeAutospacing="0" w:after="0" w:afterAutospacing="0" w:line="360" w:lineRule="auto"/>
        <w:textAlignment w:val="baseline"/>
        <w:rPr>
          <w:rFonts w:ascii="Arial" w:hAnsi="Arial" w:cs="Arial"/>
          <w:color w:val="000000"/>
        </w:rPr>
      </w:pPr>
      <w:r w:rsidRPr="008034CE">
        <w:rPr>
          <w:rFonts w:ascii="Arial" w:hAnsi="Arial" w:cs="Arial"/>
          <w:b/>
          <w:bCs/>
          <w:color w:val="000000"/>
        </w:rPr>
        <w:t xml:space="preserve">Operational overheads, </w:t>
      </w:r>
      <w:r w:rsidRPr="008034CE">
        <w:rPr>
          <w:rFonts w:ascii="Arial" w:hAnsi="Arial" w:cs="Arial"/>
          <w:color w:val="000000"/>
        </w:rPr>
        <w:t xml:space="preserve">covering supervision, rostering, training, and quality assurance, including assumptions around utilisation rates and workforce mix; and </w:t>
      </w:r>
    </w:p>
    <w:p w14:paraId="62549F80" w14:textId="77777777" w:rsidR="00AC2C73" w:rsidRPr="008034CE" w:rsidRDefault="00AC2C73" w:rsidP="0010695B">
      <w:pPr>
        <w:pStyle w:val="paragraph"/>
        <w:numPr>
          <w:ilvl w:val="0"/>
          <w:numId w:val="21"/>
        </w:numPr>
        <w:spacing w:before="0" w:beforeAutospacing="0" w:after="0" w:afterAutospacing="0" w:line="360" w:lineRule="auto"/>
        <w:textAlignment w:val="baseline"/>
        <w:rPr>
          <w:rFonts w:ascii="Arial" w:hAnsi="Arial" w:cs="Arial"/>
          <w:color w:val="000000"/>
        </w:rPr>
      </w:pPr>
      <w:r w:rsidRPr="008034CE">
        <w:rPr>
          <w:rFonts w:ascii="Arial" w:hAnsi="Arial" w:cs="Arial"/>
          <w:b/>
          <w:bCs/>
          <w:color w:val="000000"/>
        </w:rPr>
        <w:t xml:space="preserve">Corporate overheads, </w:t>
      </w:r>
      <w:r w:rsidRPr="008034CE">
        <w:rPr>
          <w:rFonts w:ascii="Arial" w:hAnsi="Arial" w:cs="Arial"/>
          <w:color w:val="000000"/>
        </w:rPr>
        <w:t xml:space="preserve">such as accounting, Human Resources, Information Technology, and other business functions. </w:t>
      </w:r>
    </w:p>
    <w:p w14:paraId="6377D35B" w14:textId="77777777" w:rsidR="00AC2C73" w:rsidRPr="008034CE" w:rsidRDefault="00AC2C73" w:rsidP="00AC2C73">
      <w:r w:rsidRPr="008034CE">
        <w:t xml:space="preserve">A margin is also applied to reflect working capital needs. All elements are calculated as a percentage of direct costs, using a multiplicative model structure. </w:t>
      </w:r>
    </w:p>
    <w:p w14:paraId="782ECCF5" w14:textId="3F384EFC" w:rsidR="006E3240" w:rsidRPr="008034CE" w:rsidRDefault="00AC2C73" w:rsidP="006E3240">
      <w:r w:rsidRPr="008034CE">
        <w:t>While the NDIA acknowledges that some providers use Enterprise Bargaining Agreements (E</w:t>
      </w:r>
      <w:r w:rsidRPr="008034CE">
        <w:rPr>
          <w:spacing w:val="-60"/>
        </w:rPr>
        <w:t xml:space="preserve"> </w:t>
      </w:r>
      <w:r w:rsidRPr="008034CE">
        <w:t>B</w:t>
      </w:r>
      <w:r w:rsidRPr="008034CE">
        <w:rPr>
          <w:spacing w:val="-60"/>
        </w:rPr>
        <w:t xml:space="preserve"> </w:t>
      </w:r>
      <w:r w:rsidRPr="008034CE">
        <w:t>As) or classify workers differently under the SCHADS Award (e.g., Home Care vs Social and Community Services streams), the DSW Cost Model</w:t>
      </w:r>
      <w:r w:rsidR="00883F06">
        <w:t xml:space="preserve"> </w:t>
      </w:r>
      <w:r w:rsidR="006E3240" w:rsidRPr="008034CE">
        <w:t xml:space="preserve">benchmarks are based on Award minimums and remain the most appropriate foundation for setting national price limits. </w:t>
      </w:r>
    </w:p>
    <w:p w14:paraId="3679DBC0" w14:textId="77777777" w:rsidR="006E3240" w:rsidRPr="008034CE" w:rsidRDefault="006E3240" w:rsidP="006E3240">
      <w:r w:rsidRPr="008034CE">
        <w:lastRenderedPageBreak/>
        <w:t xml:space="preserve">The DSW Cost Model includes cost assumptions for four skill levels (DSW levels 1-4) to reflect the diversity of tasks and participant needs, but these levels do not limit the types of DSW who may deliver funded supports. </w:t>
      </w:r>
    </w:p>
    <w:p w14:paraId="7BF01B41" w14:textId="77777777" w:rsidR="006E3240" w:rsidRPr="008034CE" w:rsidRDefault="006E3240" w:rsidP="006E3240">
      <w:r w:rsidRPr="008034CE">
        <w:t xml:space="preserve">The DSW Cost Model does not function in isolation. It is applied alongside consideration of market conditions, industrial relations changes, regulatory requirements, and workforce dynamics when determining final price settings for DSW-related supports. </w:t>
      </w:r>
    </w:p>
    <w:p w14:paraId="455289E5" w14:textId="77777777" w:rsidR="006E3240" w:rsidRPr="008034CE" w:rsidRDefault="006E3240" w:rsidP="006E3240">
      <w:r w:rsidRPr="008034CE">
        <w:t xml:space="preserve">More detailed costs and model assumptions are available in Appendix A and on the </w:t>
      </w:r>
      <w:hyperlink r:id="rId17" w:anchor="disability-support-worker-cost-model" w:history="1">
        <w:r w:rsidRPr="008034CE">
          <w:rPr>
            <w:rStyle w:val="Hyperlink"/>
          </w:rPr>
          <w:t>NDIS website</w:t>
        </w:r>
      </w:hyperlink>
      <w:r w:rsidRPr="008034CE">
        <w:t xml:space="preserve">. </w:t>
      </w:r>
    </w:p>
    <w:p w14:paraId="0A80E4A5" w14:textId="77777777" w:rsidR="006E3240" w:rsidRPr="008034CE" w:rsidRDefault="006E3240" w:rsidP="006E3240">
      <w:pPr>
        <w:pStyle w:val="Heading4"/>
      </w:pPr>
      <w:bookmarkStart w:id="170" w:name="_Toc195553324"/>
      <w:bookmarkStart w:id="171" w:name="_Toc195553385"/>
      <w:bookmarkStart w:id="172" w:name="_Toc195553406"/>
      <w:bookmarkStart w:id="173" w:name="_Toc200103482"/>
      <w:bookmarkStart w:id="174" w:name="_Toc200271595"/>
      <w:r w:rsidRPr="008034CE">
        <w:t>Supported Independent Living (SIL) Quality Supports</w:t>
      </w:r>
      <w:bookmarkEnd w:id="170"/>
      <w:bookmarkEnd w:id="171"/>
      <w:bookmarkEnd w:id="172"/>
      <w:bookmarkEnd w:id="173"/>
      <w:bookmarkEnd w:id="174"/>
      <w:r w:rsidRPr="008034CE">
        <w:t xml:space="preserve"> </w:t>
      </w:r>
    </w:p>
    <w:p w14:paraId="0DD0483D" w14:textId="77777777" w:rsidR="006E3240" w:rsidRPr="008034CE" w:rsidRDefault="006E3240" w:rsidP="006E3240">
      <w:r w:rsidRPr="008034CE">
        <w:t xml:space="preserve">The NDIA’s SIL Quality Support Pilot is a 12-month initiative under the Quality Supports Program. It is designed to strengthen the evidence base for quality SIL supports and inform future pricing approaches by identifying the characteristics, capabilities, and cost drivers associated with delivering effective, sustainable supports for participants with complex needs. </w:t>
      </w:r>
    </w:p>
    <w:p w14:paraId="0A700BC7" w14:textId="77777777" w:rsidR="006E3240" w:rsidRPr="008034CE" w:rsidRDefault="006E3240" w:rsidP="006E3240">
      <w:pPr>
        <w:rPr>
          <w:rFonts w:cs="Arial"/>
        </w:rPr>
      </w:pPr>
      <w:r w:rsidRPr="008034CE">
        <w:rPr>
          <w:rFonts w:cs="Arial"/>
        </w:rPr>
        <w:t>The pilot engages a cohort of experienced providers, specifically those supporting at least fifty participants and maintaining registration for high-intensity and behaviour support services. These providers will partner with the NDIA to explore how organisational capability, workforce strategies, and support models influence participant outcomes and provider viability. This process is still underway at the time of preparing the APR.</w:t>
      </w:r>
    </w:p>
    <w:p w14:paraId="07808CF1" w14:textId="77777777" w:rsidR="006E3240" w:rsidRPr="008034CE" w:rsidRDefault="006E3240" w:rsidP="006E3240">
      <w:pPr>
        <w:rPr>
          <w:rFonts w:cs="Arial"/>
        </w:rPr>
      </w:pPr>
      <w:r w:rsidRPr="008034CE">
        <w:rPr>
          <w:rFonts w:cs="Arial"/>
        </w:rPr>
        <w:t>Participating providers will contribute detailed data and qualitative insights across key domains, including:</w:t>
      </w:r>
    </w:p>
    <w:p w14:paraId="69AB9D24" w14:textId="77777777" w:rsidR="006E3240" w:rsidRPr="008034CE" w:rsidRDefault="006E3240" w:rsidP="0010695B">
      <w:pPr>
        <w:pStyle w:val="ListParagraph"/>
        <w:numPr>
          <w:ilvl w:val="0"/>
          <w:numId w:val="21"/>
        </w:numPr>
        <w:spacing w:line="288" w:lineRule="auto"/>
        <w:rPr>
          <w:rFonts w:cs="Arial"/>
        </w:rPr>
      </w:pPr>
      <w:r w:rsidRPr="008034CE">
        <w:rPr>
          <w:rFonts w:cs="Arial"/>
        </w:rPr>
        <w:t>Organisational governance and quality management</w:t>
      </w:r>
    </w:p>
    <w:p w14:paraId="77B852A1" w14:textId="77777777" w:rsidR="006E3240" w:rsidRPr="008034CE" w:rsidRDefault="006E3240" w:rsidP="0010695B">
      <w:pPr>
        <w:pStyle w:val="ListParagraph"/>
        <w:numPr>
          <w:ilvl w:val="0"/>
          <w:numId w:val="21"/>
        </w:numPr>
        <w:spacing w:line="288" w:lineRule="auto"/>
        <w:rPr>
          <w:rFonts w:cs="Arial"/>
        </w:rPr>
      </w:pPr>
      <w:r w:rsidRPr="008034CE">
        <w:rPr>
          <w:rFonts w:cs="Arial"/>
        </w:rPr>
        <w:t>Workforce capacity and development</w:t>
      </w:r>
    </w:p>
    <w:p w14:paraId="7546E18C" w14:textId="77777777" w:rsidR="006E3240" w:rsidRPr="008034CE" w:rsidRDefault="006E3240" w:rsidP="0010695B">
      <w:pPr>
        <w:pStyle w:val="ListParagraph"/>
        <w:numPr>
          <w:ilvl w:val="0"/>
          <w:numId w:val="21"/>
        </w:numPr>
        <w:spacing w:line="288" w:lineRule="auto"/>
        <w:rPr>
          <w:rFonts w:cs="Arial"/>
        </w:rPr>
      </w:pPr>
      <w:r w:rsidRPr="008034CE">
        <w:rPr>
          <w:rFonts w:cs="Arial"/>
        </w:rPr>
        <w:t xml:space="preserve">Participant-centred support models </w:t>
      </w:r>
    </w:p>
    <w:p w14:paraId="3B47A9D3" w14:textId="77777777" w:rsidR="006E3240" w:rsidRPr="008034CE" w:rsidRDefault="006E3240" w:rsidP="0010695B">
      <w:pPr>
        <w:pStyle w:val="ListParagraph"/>
        <w:numPr>
          <w:ilvl w:val="0"/>
          <w:numId w:val="21"/>
        </w:numPr>
        <w:spacing w:line="288" w:lineRule="auto"/>
        <w:rPr>
          <w:rFonts w:cs="Arial"/>
        </w:rPr>
      </w:pPr>
      <w:r w:rsidRPr="008034CE">
        <w:rPr>
          <w:rFonts w:cs="Arial"/>
        </w:rPr>
        <w:t xml:space="preserve">Cost structures linked to service complexity and quality delivery </w:t>
      </w:r>
    </w:p>
    <w:p w14:paraId="474AE822" w14:textId="77777777" w:rsidR="006E3240" w:rsidRPr="008034CE" w:rsidRDefault="006E3240" w:rsidP="006E3240">
      <w:pPr>
        <w:rPr>
          <w:rFonts w:cs="Arial"/>
        </w:rPr>
      </w:pPr>
      <w:r w:rsidRPr="008034CE">
        <w:rPr>
          <w:rFonts w:cs="Arial"/>
        </w:rPr>
        <w:t xml:space="preserve">Providers will also participate in Communities of Practice and submit structured evaluations such as case studies, participant engagement summaries, pricing and workforce questionnaires, and financial reports. </w:t>
      </w:r>
    </w:p>
    <w:p w14:paraId="4BAA12F1" w14:textId="4C160CBF" w:rsidR="006E3240" w:rsidRPr="008034CE" w:rsidRDefault="006E3240" w:rsidP="006E3240">
      <w:pPr>
        <w:rPr>
          <w:rFonts w:cs="Arial"/>
        </w:rPr>
      </w:pPr>
      <w:r w:rsidRPr="008034CE">
        <w:rPr>
          <w:rFonts w:cs="Arial"/>
        </w:rPr>
        <w:t>The pilot will provide critical insights into the conditions required to deliver consistently high-quality SIL supports. It will also inform potential future pricing</w:t>
      </w:r>
      <w:r w:rsidR="00883F06">
        <w:rPr>
          <w:rFonts w:cs="Arial"/>
        </w:rPr>
        <w:t xml:space="preserve"> </w:t>
      </w:r>
      <w:r w:rsidRPr="008034CE">
        <w:rPr>
          <w:rFonts w:cs="Arial"/>
        </w:rPr>
        <w:t xml:space="preserve">pathways, identify what are the value adds that are above minimum requirements which foster better outcomes. </w:t>
      </w:r>
    </w:p>
    <w:p w14:paraId="56A5789F" w14:textId="77777777" w:rsidR="006E3240" w:rsidRPr="008034CE" w:rsidRDefault="006E3240" w:rsidP="006E3240">
      <w:pPr>
        <w:rPr>
          <w:rFonts w:cs="Arial"/>
        </w:rPr>
      </w:pPr>
      <w:r w:rsidRPr="008034CE">
        <w:rPr>
          <w:rFonts w:cs="Arial"/>
        </w:rPr>
        <w:lastRenderedPageBreak/>
        <w:t xml:space="preserve">The pilot outcomes will contribute to the NDIA’s market stewardship responsibilities by identifying scalable delivery models and supporting a more evidence-based approach to pricing for quality and practices across the SIL provider market. </w:t>
      </w:r>
    </w:p>
    <w:p w14:paraId="25115A22" w14:textId="77777777" w:rsidR="006E3240" w:rsidRPr="008034CE" w:rsidRDefault="006E3240" w:rsidP="00BF6D97">
      <w:pPr>
        <w:pStyle w:val="Heading3"/>
      </w:pPr>
      <w:bookmarkStart w:id="175" w:name="_Toc194053821"/>
      <w:bookmarkStart w:id="176" w:name="_Toc196754626"/>
      <w:bookmarkStart w:id="177" w:name="_Toc196758228"/>
      <w:bookmarkStart w:id="178" w:name="_Toc197344304"/>
      <w:bookmarkStart w:id="179" w:name="_Toc200271596"/>
      <w:bookmarkEnd w:id="175"/>
      <w:r w:rsidRPr="008034CE">
        <w:t>Scheme Statistics</w:t>
      </w:r>
      <w:bookmarkEnd w:id="176"/>
      <w:bookmarkEnd w:id="177"/>
      <w:bookmarkEnd w:id="178"/>
      <w:bookmarkEnd w:id="179"/>
    </w:p>
    <w:p w14:paraId="25BB932F" w14:textId="77777777" w:rsidR="006E3240" w:rsidRPr="008034CE" w:rsidRDefault="006E3240" w:rsidP="006E3240">
      <w:pPr>
        <w:pStyle w:val="Heading4"/>
        <w:numPr>
          <w:ilvl w:val="2"/>
          <w:numId w:val="1"/>
        </w:numPr>
        <w:rPr>
          <w:rFonts w:cs="Arial"/>
        </w:rPr>
      </w:pPr>
      <w:bookmarkStart w:id="180" w:name="_Toc195553326"/>
      <w:bookmarkStart w:id="181" w:name="_Toc200103484"/>
      <w:bookmarkStart w:id="182" w:name="_Toc200271597"/>
      <w:r w:rsidRPr="008034CE">
        <w:rPr>
          <w:rFonts w:cs="Arial"/>
        </w:rPr>
        <w:t>Overview of the DSW Market trends</w:t>
      </w:r>
      <w:bookmarkEnd w:id="180"/>
      <w:bookmarkEnd w:id="181"/>
      <w:bookmarkEnd w:id="182"/>
    </w:p>
    <w:p w14:paraId="280A3AD5" w14:textId="77777777" w:rsidR="006E3240" w:rsidRPr="008034CE" w:rsidRDefault="006E3240" w:rsidP="006E3240">
      <w:r w:rsidRPr="008034CE">
        <w:t xml:space="preserve">This section analyses trends in participants accessing DSW-related supports, provider growth, payment volumes, and business dynamics for supports priced under the DSW Cost Model. Between January 2022 and December 2024, the number of providers, particularly unregistered, grew substantially, while the average volume of supports delivered per provider declined. </w:t>
      </w:r>
    </w:p>
    <w:p w14:paraId="2B7FBF2B" w14:textId="77777777" w:rsidR="006E3240" w:rsidRPr="008034CE" w:rsidRDefault="006E3240" w:rsidP="006E3240">
      <w:r w:rsidRPr="008034CE">
        <w:t xml:space="preserve">Unregistered providers now support a growing share of participants, especially for those receiving standard supports, but account for a smaller share of overall payments. New provider entry is high across all regions, contributing to declining market share for the largest providers. </w:t>
      </w:r>
    </w:p>
    <w:p w14:paraId="5ED59A87" w14:textId="77777777" w:rsidR="006E3240" w:rsidRPr="008034CE" w:rsidRDefault="006E3240" w:rsidP="006E3240">
      <w:r w:rsidRPr="008034CE">
        <w:t>The analysis suggests NDIS price limits are contributing to shaping the market in terms of provider entry, scale, and support mix, prompting consideration of whether the current DSW pricing approach is driving the market in the right direction.</w:t>
      </w:r>
    </w:p>
    <w:p w14:paraId="439618F1" w14:textId="77777777" w:rsidR="006E3240" w:rsidRPr="008034CE" w:rsidRDefault="006E3240" w:rsidP="006E3240">
      <w:pPr>
        <w:pStyle w:val="Heading4"/>
        <w:numPr>
          <w:ilvl w:val="2"/>
          <w:numId w:val="1"/>
        </w:numPr>
        <w:ind w:left="709" w:hanging="709"/>
        <w:rPr>
          <w:rFonts w:cs="Arial"/>
        </w:rPr>
      </w:pPr>
      <w:bookmarkStart w:id="183" w:name="_Toc200103485"/>
      <w:bookmarkStart w:id="184" w:name="_Toc200271598"/>
      <w:r w:rsidRPr="008034CE">
        <w:rPr>
          <w:rFonts w:cs="Arial"/>
        </w:rPr>
        <w:t>DSW Market Statistics</w:t>
      </w:r>
      <w:bookmarkEnd w:id="183"/>
      <w:bookmarkEnd w:id="184"/>
    </w:p>
    <w:p w14:paraId="70479E9A" w14:textId="4B4D456B" w:rsidR="006E3240" w:rsidRPr="008034CE" w:rsidRDefault="006E3240" w:rsidP="006E3240">
      <w:r w:rsidRPr="008034CE">
        <w:t>Between July and December 2024, 301,964 NDIS participants claimed at least one DSW-related support, representing approximately 44% of all active participants, a 7% increase from the previous period (</w:t>
      </w:r>
      <w:r w:rsidR="00F058BD">
        <w:fldChar w:fldCharType="begin"/>
      </w:r>
      <w:r w:rsidR="00F058BD">
        <w:instrText xml:space="preserve"> REF _Ref197339378 \h </w:instrText>
      </w:r>
      <w:r w:rsidR="00F058BD">
        <w:fldChar w:fldCharType="separate"/>
      </w:r>
      <w:r w:rsidR="005763F9" w:rsidRPr="008034CE">
        <w:t xml:space="preserve">Table </w:t>
      </w:r>
      <w:r w:rsidR="005763F9">
        <w:rPr>
          <w:noProof/>
        </w:rPr>
        <w:t>1</w:t>
      </w:r>
      <w:r w:rsidR="00F058BD">
        <w:fldChar w:fldCharType="end"/>
      </w:r>
      <w:r w:rsidRPr="008034CE">
        <w:t xml:space="preserve">). The number of providers rose by 11% to 136,864 over the same period. </w:t>
      </w:r>
      <w:r w:rsidR="00F058BD">
        <w:t>(</w:t>
      </w:r>
      <w:r w:rsidR="00F058BD">
        <w:fldChar w:fldCharType="begin"/>
      </w:r>
      <w:r w:rsidR="00F058BD">
        <w:instrText xml:space="preserve"> REF _Ref197339378 \h </w:instrText>
      </w:r>
      <w:r w:rsidR="00F058BD">
        <w:fldChar w:fldCharType="separate"/>
      </w:r>
      <w:r w:rsidR="005763F9" w:rsidRPr="008034CE">
        <w:t xml:space="preserve">Table </w:t>
      </w:r>
      <w:r w:rsidR="005763F9">
        <w:rPr>
          <w:noProof/>
        </w:rPr>
        <w:t>1</w:t>
      </w:r>
      <w:r w:rsidR="00F058BD">
        <w:fldChar w:fldCharType="end"/>
      </w:r>
      <w:r w:rsidRPr="008034CE">
        <w:t xml:space="preserve">, </w:t>
      </w:r>
      <w:r w:rsidRPr="008034CE">
        <w:fldChar w:fldCharType="begin"/>
      </w:r>
      <w:r w:rsidRPr="008034CE">
        <w:instrText xml:space="preserve"> REF _Ref195556121 \h  \* MERGEFORMAT </w:instrText>
      </w:r>
      <w:r w:rsidRPr="008034CE">
        <w:fldChar w:fldCharType="separate"/>
      </w:r>
      <w:r w:rsidR="005763F9" w:rsidRPr="008034CE">
        <w:t xml:space="preserve">Figure </w:t>
      </w:r>
      <w:r w:rsidR="005763F9">
        <w:t>4</w:t>
      </w:r>
      <w:r w:rsidRPr="008034CE">
        <w:fldChar w:fldCharType="end"/>
      </w:r>
      <w:r w:rsidRPr="008034CE">
        <w:t>).</w:t>
      </w:r>
    </w:p>
    <w:p w14:paraId="069C7DF9" w14:textId="29D3C713" w:rsidR="006E3240" w:rsidRPr="008034CE" w:rsidRDefault="006E3240" w:rsidP="006E3240">
      <w:r w:rsidRPr="008034CE">
        <w:t>Trends in DSW expenditure differed by registration status. The number of participants receiving DSW-related supports from registered providers increased by 4%, while the number of active registered providers grew by 20% (</w:t>
      </w:r>
      <w:r w:rsidR="00F058BD">
        <w:fldChar w:fldCharType="begin"/>
      </w:r>
      <w:r w:rsidR="00F058BD">
        <w:instrText xml:space="preserve"> REF _Ref197339389 \h </w:instrText>
      </w:r>
      <w:r w:rsidR="00F058BD">
        <w:fldChar w:fldCharType="separate"/>
      </w:r>
      <w:r w:rsidR="005763F9" w:rsidRPr="008034CE">
        <w:t xml:space="preserve">Table </w:t>
      </w:r>
      <w:r w:rsidR="005763F9">
        <w:rPr>
          <w:noProof/>
        </w:rPr>
        <w:t>2</w:t>
      </w:r>
      <w:r w:rsidR="00F058BD">
        <w:fldChar w:fldCharType="end"/>
      </w:r>
      <w:r w:rsidRPr="008034CE">
        <w:t>). Despite a 14% rise in total payments, the average claim per active registered provider declined by 5% to $1.0 million, suggesting new entrants could be operating at smaller scales (</w:t>
      </w:r>
      <w:r w:rsidR="00F058BD">
        <w:fldChar w:fldCharType="begin"/>
      </w:r>
      <w:r w:rsidR="00F058BD">
        <w:instrText xml:space="preserve"> REF _Ref197339389 \h </w:instrText>
      </w:r>
      <w:r w:rsidR="00F058BD">
        <w:fldChar w:fldCharType="separate"/>
      </w:r>
      <w:r w:rsidR="005763F9" w:rsidRPr="008034CE">
        <w:t xml:space="preserve">Table </w:t>
      </w:r>
      <w:r w:rsidR="005763F9">
        <w:rPr>
          <w:noProof/>
        </w:rPr>
        <w:t>2</w:t>
      </w:r>
      <w:r w:rsidR="00F058BD">
        <w:fldChar w:fldCharType="end"/>
      </w:r>
      <w:r w:rsidRPr="008034CE">
        <w:t xml:space="preserve">). </w:t>
      </w:r>
    </w:p>
    <w:p w14:paraId="20CAD9FD" w14:textId="4E1D95AE" w:rsidR="006E3240" w:rsidRDefault="006E3240" w:rsidP="006E3240">
      <w:r w:rsidRPr="008034CE">
        <w:t xml:space="preserve">Amongst unregistered providers, both the number of participants accessing services and the number of active unregistered providers increased by around 10%, with total </w:t>
      </w:r>
      <w:r w:rsidRPr="00F058BD">
        <w:rPr>
          <w:spacing w:val="-2"/>
        </w:rPr>
        <w:t>payments rising by 17% to $4.2 billion for the six months to December 2024 (</w:t>
      </w:r>
      <w:r w:rsidR="00F058BD">
        <w:rPr>
          <w:spacing w:val="-2"/>
        </w:rPr>
        <w:fldChar w:fldCharType="begin"/>
      </w:r>
      <w:r w:rsidR="00F058BD">
        <w:rPr>
          <w:spacing w:val="-2"/>
        </w:rPr>
        <w:instrText xml:space="preserve"> REF _Ref197339404 \h </w:instrText>
      </w:r>
      <w:r w:rsidR="00F058BD">
        <w:rPr>
          <w:spacing w:val="-2"/>
        </w:rPr>
      </w:r>
      <w:r w:rsidR="00F058BD">
        <w:rPr>
          <w:spacing w:val="-2"/>
        </w:rPr>
        <w:fldChar w:fldCharType="separate"/>
      </w:r>
      <w:r w:rsidR="005763F9" w:rsidRPr="008034CE">
        <w:t xml:space="preserve">Table </w:t>
      </w:r>
      <w:r w:rsidR="005763F9">
        <w:rPr>
          <w:noProof/>
        </w:rPr>
        <w:t>3</w:t>
      </w:r>
      <w:r w:rsidR="00F058BD">
        <w:rPr>
          <w:spacing w:val="-2"/>
        </w:rPr>
        <w:fldChar w:fldCharType="end"/>
      </w:r>
      <w:r w:rsidRPr="00F058BD">
        <w:rPr>
          <w:spacing w:val="-2"/>
        </w:rPr>
        <w:t>).</w:t>
      </w:r>
    </w:p>
    <w:p w14:paraId="4236351A" w14:textId="4461CE42" w:rsidR="006E3240" w:rsidRPr="008034CE" w:rsidRDefault="006E3240" w:rsidP="006E3240">
      <w:r w:rsidRPr="008034CE">
        <w:t>Average claims per active unregistered provider increased by 6% over the same observation period (</w:t>
      </w:r>
      <w:r w:rsidR="00657E5B">
        <w:fldChar w:fldCharType="begin"/>
      </w:r>
      <w:r w:rsidR="00657E5B">
        <w:instrText xml:space="preserve"> REF _Ref197339404 \h </w:instrText>
      </w:r>
      <w:r w:rsidR="00657E5B">
        <w:fldChar w:fldCharType="separate"/>
      </w:r>
      <w:r w:rsidR="005763F9" w:rsidRPr="008034CE">
        <w:t xml:space="preserve">Table </w:t>
      </w:r>
      <w:r w:rsidR="005763F9">
        <w:rPr>
          <w:noProof/>
        </w:rPr>
        <w:t>3</w:t>
      </w:r>
      <w:r w:rsidR="00657E5B">
        <w:fldChar w:fldCharType="end"/>
      </w:r>
      <w:r w:rsidRPr="008034CE">
        <w:t xml:space="preserve">). </w:t>
      </w:r>
    </w:p>
    <w:p w14:paraId="6641CF3E" w14:textId="461D9325" w:rsidR="006E3240" w:rsidRPr="008034CE" w:rsidRDefault="006E3240" w:rsidP="006E3240">
      <w:pPr>
        <w:pStyle w:val="Caption"/>
      </w:pPr>
      <w:bookmarkStart w:id="185" w:name="_Ref197339378"/>
      <w:r w:rsidRPr="008034CE">
        <w:lastRenderedPageBreak/>
        <w:t xml:space="preserve">Table </w:t>
      </w:r>
      <w:r w:rsidR="005763F9">
        <w:fldChar w:fldCharType="begin"/>
      </w:r>
      <w:r w:rsidR="005763F9">
        <w:instrText xml:space="preserve"> SEQ Table \* ARABIC </w:instrText>
      </w:r>
      <w:r w:rsidR="005763F9">
        <w:fldChar w:fldCharType="separate"/>
      </w:r>
      <w:r w:rsidR="005763F9">
        <w:rPr>
          <w:noProof/>
        </w:rPr>
        <w:t>1</w:t>
      </w:r>
      <w:r w:rsidR="005763F9">
        <w:rPr>
          <w:noProof/>
        </w:rPr>
        <w:fldChar w:fldCharType="end"/>
      </w:r>
      <w:bookmarkEnd w:id="185"/>
      <w:r w:rsidRPr="008034CE">
        <w:t>: DSW-Related Supports Scheme Statistics – All Providers</w:t>
      </w:r>
    </w:p>
    <w:tbl>
      <w:tblPr>
        <w:tblStyle w:val="GridTable4-Accent12"/>
        <w:tblW w:w="9074" w:type="dxa"/>
        <w:tblInd w:w="0" w:type="dxa"/>
        <w:tblLayout w:type="fixed"/>
        <w:tblLook w:val="04A0" w:firstRow="1" w:lastRow="0" w:firstColumn="1" w:lastColumn="0" w:noHBand="0" w:noVBand="1"/>
      </w:tblPr>
      <w:tblGrid>
        <w:gridCol w:w="3686"/>
        <w:gridCol w:w="1985"/>
        <w:gridCol w:w="1985"/>
        <w:gridCol w:w="1418"/>
      </w:tblGrid>
      <w:tr w:rsidR="00963123" w:rsidRPr="007C1E37" w14:paraId="722D21B9" w14:textId="77777777" w:rsidTr="00963123">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3686" w:type="dxa"/>
            <w:hideMark/>
          </w:tcPr>
          <w:p w14:paraId="2D832007" w14:textId="77777777" w:rsidR="00963123" w:rsidRPr="007C1E37" w:rsidRDefault="00963123" w:rsidP="001E519A">
            <w:pPr>
              <w:spacing w:before="60" w:after="60"/>
              <w:rPr>
                <w:rFonts w:cs="Arial"/>
                <w:sz w:val="20"/>
                <w:szCs w:val="20"/>
              </w:rPr>
            </w:pPr>
            <w:r w:rsidRPr="007C1E37">
              <w:rPr>
                <w:rFonts w:cs="Arial"/>
                <w:sz w:val="20"/>
                <w:szCs w:val="20"/>
              </w:rPr>
              <w:t>Statistics</w:t>
            </w:r>
          </w:p>
        </w:tc>
        <w:tc>
          <w:tcPr>
            <w:tcW w:w="1985" w:type="dxa"/>
          </w:tcPr>
          <w:p w14:paraId="1A707108" w14:textId="77777777" w:rsidR="00963123" w:rsidRPr="007C1E37" w:rsidRDefault="00963123" w:rsidP="001E519A">
            <w:pPr>
              <w:spacing w:before="60" w:after="60"/>
              <w:jc w:val="right"/>
              <w:cnfStyle w:val="100000000000" w:firstRow="1" w:lastRow="0" w:firstColumn="0" w:lastColumn="0" w:oddVBand="0" w:evenVBand="0" w:oddHBand="0" w:evenHBand="0" w:firstRowFirstColumn="0" w:firstRowLastColumn="0" w:lastRowFirstColumn="0" w:lastRowLastColumn="0"/>
              <w:rPr>
                <w:rFonts w:cs="Arial"/>
                <w:sz w:val="20"/>
                <w:szCs w:val="20"/>
              </w:rPr>
            </w:pPr>
            <w:r w:rsidRPr="007C1E37">
              <w:rPr>
                <w:rFonts w:cs="Arial"/>
                <w:sz w:val="20"/>
                <w:szCs w:val="20"/>
              </w:rPr>
              <w:t>July – December 2023</w:t>
            </w:r>
          </w:p>
        </w:tc>
        <w:tc>
          <w:tcPr>
            <w:tcW w:w="1985" w:type="dxa"/>
          </w:tcPr>
          <w:p w14:paraId="66ACF421" w14:textId="77777777" w:rsidR="00963123" w:rsidRPr="007C1E37" w:rsidRDefault="00963123" w:rsidP="001E519A">
            <w:pPr>
              <w:spacing w:before="60" w:after="60"/>
              <w:jc w:val="right"/>
              <w:cnfStyle w:val="100000000000" w:firstRow="1" w:lastRow="0" w:firstColumn="0" w:lastColumn="0" w:oddVBand="0" w:evenVBand="0" w:oddHBand="0" w:evenHBand="0" w:firstRowFirstColumn="0" w:firstRowLastColumn="0" w:lastRowFirstColumn="0" w:lastRowLastColumn="0"/>
              <w:rPr>
                <w:rFonts w:cs="Arial"/>
                <w:sz w:val="20"/>
                <w:szCs w:val="20"/>
              </w:rPr>
            </w:pPr>
            <w:r w:rsidRPr="007C1E37">
              <w:rPr>
                <w:rFonts w:cs="Arial"/>
                <w:sz w:val="20"/>
                <w:szCs w:val="20"/>
              </w:rPr>
              <w:t>July – December 2024</w:t>
            </w:r>
          </w:p>
        </w:tc>
        <w:tc>
          <w:tcPr>
            <w:tcW w:w="1418" w:type="dxa"/>
          </w:tcPr>
          <w:p w14:paraId="141E86FC" w14:textId="77777777" w:rsidR="00963123" w:rsidRPr="007C1E37" w:rsidRDefault="00963123" w:rsidP="001E519A">
            <w:pPr>
              <w:spacing w:before="60" w:after="60"/>
              <w:jc w:val="right"/>
              <w:cnfStyle w:val="100000000000" w:firstRow="1" w:lastRow="0" w:firstColumn="0" w:lastColumn="0" w:oddVBand="0" w:evenVBand="0" w:oddHBand="0" w:evenHBand="0" w:firstRowFirstColumn="0" w:firstRowLastColumn="0" w:lastRowFirstColumn="0" w:lastRowLastColumn="0"/>
              <w:rPr>
                <w:rFonts w:cs="Arial"/>
                <w:sz w:val="20"/>
                <w:szCs w:val="20"/>
              </w:rPr>
            </w:pPr>
            <w:r w:rsidRPr="007C1E37">
              <w:rPr>
                <w:rFonts w:cs="Arial"/>
                <w:sz w:val="20"/>
                <w:szCs w:val="20"/>
              </w:rPr>
              <w:t>Percentage Change</w:t>
            </w:r>
          </w:p>
        </w:tc>
      </w:tr>
      <w:tr w:rsidR="00963123" w:rsidRPr="007C1E37" w14:paraId="7D70C414" w14:textId="77777777" w:rsidTr="001E51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4873AE8B" w14:textId="77777777" w:rsidR="00963123" w:rsidRPr="007C1E37" w:rsidRDefault="00963123" w:rsidP="001E519A">
            <w:pPr>
              <w:spacing w:before="60" w:after="60"/>
              <w:ind w:left="37"/>
              <w:rPr>
                <w:rFonts w:cs="Arial"/>
                <w:bCs w:val="0"/>
                <w:sz w:val="20"/>
                <w:szCs w:val="20"/>
                <w:lang w:eastAsia="en-AU"/>
              </w:rPr>
            </w:pPr>
            <w:r w:rsidRPr="007C1E37">
              <w:rPr>
                <w:rFonts w:cs="Arial"/>
                <w:bCs w:val="0"/>
                <w:sz w:val="20"/>
                <w:szCs w:val="20"/>
                <w:lang w:eastAsia="en-AU"/>
              </w:rPr>
              <w:t>Number of NDIS participants</w:t>
            </w:r>
          </w:p>
        </w:tc>
        <w:tc>
          <w:tcPr>
            <w:tcW w:w="1985" w:type="dxa"/>
            <w:noWrap/>
            <w:vAlign w:val="center"/>
          </w:tcPr>
          <w:p w14:paraId="18FBD98C" w14:textId="77777777" w:rsidR="00963123" w:rsidRPr="007C1E37" w:rsidRDefault="00963123" w:rsidP="001E519A">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7C1E37">
              <w:rPr>
                <w:rFonts w:cs="Arial"/>
                <w:color w:val="000000"/>
                <w:sz w:val="20"/>
                <w:szCs w:val="20"/>
              </w:rPr>
              <w:t>283,406</w:t>
            </w:r>
          </w:p>
        </w:tc>
        <w:tc>
          <w:tcPr>
            <w:tcW w:w="1985" w:type="dxa"/>
            <w:vAlign w:val="center"/>
          </w:tcPr>
          <w:p w14:paraId="10D59B8A" w14:textId="77777777" w:rsidR="00963123" w:rsidRPr="007C1E37" w:rsidRDefault="00963123" w:rsidP="001E519A">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7C1E37">
              <w:rPr>
                <w:rFonts w:cs="Arial"/>
                <w:color w:val="000000"/>
                <w:sz w:val="20"/>
                <w:szCs w:val="20"/>
              </w:rPr>
              <w:t>301,964</w:t>
            </w:r>
          </w:p>
        </w:tc>
        <w:tc>
          <w:tcPr>
            <w:tcW w:w="1418" w:type="dxa"/>
            <w:vAlign w:val="center"/>
          </w:tcPr>
          <w:p w14:paraId="6DBCC224" w14:textId="77777777" w:rsidR="00963123" w:rsidRPr="007C1E37" w:rsidRDefault="00963123" w:rsidP="001E519A">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7C1E37">
              <w:rPr>
                <w:rFonts w:cs="Arial"/>
                <w:color w:val="000000"/>
                <w:sz w:val="20"/>
                <w:szCs w:val="20"/>
              </w:rPr>
              <w:t>+7%</w:t>
            </w:r>
          </w:p>
        </w:tc>
      </w:tr>
      <w:tr w:rsidR="00963123" w:rsidRPr="007C1E37" w14:paraId="480EFBD3" w14:textId="77777777" w:rsidTr="001E519A">
        <w:trPr>
          <w:trHeight w:val="300"/>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6A1F2DC5" w14:textId="77777777" w:rsidR="00963123" w:rsidRPr="007C1E37" w:rsidRDefault="00963123" w:rsidP="001E519A">
            <w:pPr>
              <w:spacing w:before="60" w:after="60"/>
              <w:ind w:left="37"/>
              <w:rPr>
                <w:rFonts w:cs="Arial"/>
                <w:bCs w:val="0"/>
                <w:sz w:val="20"/>
                <w:szCs w:val="20"/>
                <w:lang w:eastAsia="en-AU"/>
              </w:rPr>
            </w:pPr>
            <w:r w:rsidRPr="007C1E37">
              <w:rPr>
                <w:rFonts w:cs="Arial"/>
                <w:bCs w:val="0"/>
                <w:sz w:val="20"/>
                <w:szCs w:val="20"/>
                <w:lang w:eastAsia="en-AU"/>
              </w:rPr>
              <w:t>Number of active providers</w:t>
            </w:r>
          </w:p>
        </w:tc>
        <w:tc>
          <w:tcPr>
            <w:tcW w:w="1985" w:type="dxa"/>
            <w:noWrap/>
            <w:vAlign w:val="center"/>
          </w:tcPr>
          <w:p w14:paraId="492BDE2B" w14:textId="77777777" w:rsidR="00963123" w:rsidRPr="007C1E37" w:rsidRDefault="00963123" w:rsidP="001E519A">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7C1E37">
              <w:rPr>
                <w:rFonts w:cs="Arial"/>
                <w:color w:val="000000"/>
                <w:sz w:val="20"/>
                <w:szCs w:val="20"/>
              </w:rPr>
              <w:t>122,857</w:t>
            </w:r>
          </w:p>
        </w:tc>
        <w:tc>
          <w:tcPr>
            <w:tcW w:w="1985" w:type="dxa"/>
            <w:vAlign w:val="center"/>
          </w:tcPr>
          <w:p w14:paraId="32F6FE46" w14:textId="77777777" w:rsidR="00963123" w:rsidRPr="007C1E37" w:rsidRDefault="00963123" w:rsidP="001E519A">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7C1E37">
              <w:rPr>
                <w:rFonts w:cs="Arial"/>
                <w:color w:val="000000"/>
                <w:sz w:val="20"/>
                <w:szCs w:val="20"/>
              </w:rPr>
              <w:t>136,864</w:t>
            </w:r>
          </w:p>
        </w:tc>
        <w:tc>
          <w:tcPr>
            <w:tcW w:w="1418" w:type="dxa"/>
            <w:vAlign w:val="center"/>
          </w:tcPr>
          <w:p w14:paraId="4885976D" w14:textId="77777777" w:rsidR="00963123" w:rsidRPr="007C1E37" w:rsidRDefault="00963123" w:rsidP="001E519A">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7C1E37">
              <w:rPr>
                <w:rFonts w:cs="Arial"/>
                <w:color w:val="000000"/>
                <w:sz w:val="20"/>
                <w:szCs w:val="20"/>
              </w:rPr>
              <w:t>+11%</w:t>
            </w:r>
          </w:p>
        </w:tc>
      </w:tr>
      <w:tr w:rsidR="00963123" w:rsidRPr="007C1E37" w14:paraId="04A0603D" w14:textId="77777777" w:rsidTr="001E51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01DFB595" w14:textId="77777777" w:rsidR="00963123" w:rsidRPr="007C1E37" w:rsidRDefault="00963123" w:rsidP="001E519A">
            <w:pPr>
              <w:spacing w:before="60" w:after="60"/>
              <w:ind w:left="37"/>
              <w:rPr>
                <w:rFonts w:cs="Arial"/>
                <w:bCs w:val="0"/>
                <w:sz w:val="20"/>
                <w:szCs w:val="20"/>
                <w:lang w:eastAsia="en-AU"/>
              </w:rPr>
            </w:pPr>
            <w:r w:rsidRPr="007C1E37">
              <w:rPr>
                <w:rFonts w:cs="Arial"/>
                <w:bCs w:val="0"/>
                <w:sz w:val="20"/>
                <w:szCs w:val="20"/>
                <w:lang w:eastAsia="en-AU"/>
              </w:rPr>
              <w:t>Total amount claimed by active providers of DSW-related supports</w:t>
            </w:r>
          </w:p>
        </w:tc>
        <w:tc>
          <w:tcPr>
            <w:tcW w:w="1985" w:type="dxa"/>
            <w:noWrap/>
            <w:vAlign w:val="center"/>
          </w:tcPr>
          <w:p w14:paraId="7E45C621" w14:textId="77777777" w:rsidR="00963123" w:rsidRPr="007C1E37" w:rsidRDefault="00963123" w:rsidP="001E519A">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7C1E37">
              <w:rPr>
                <w:rFonts w:cs="Arial"/>
                <w:color w:val="000000"/>
                <w:sz w:val="20"/>
                <w:szCs w:val="20"/>
              </w:rPr>
              <w:t>$13.0 billion</w:t>
            </w:r>
          </w:p>
        </w:tc>
        <w:tc>
          <w:tcPr>
            <w:tcW w:w="1985" w:type="dxa"/>
            <w:vAlign w:val="center"/>
          </w:tcPr>
          <w:p w14:paraId="55CED840" w14:textId="77777777" w:rsidR="00963123" w:rsidRPr="007C1E37" w:rsidRDefault="00963123" w:rsidP="001E519A">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7C1E37">
              <w:rPr>
                <w:rFonts w:cs="Arial"/>
                <w:color w:val="000000"/>
                <w:sz w:val="20"/>
                <w:szCs w:val="20"/>
              </w:rPr>
              <w:t>$15.0 billion</w:t>
            </w:r>
          </w:p>
        </w:tc>
        <w:tc>
          <w:tcPr>
            <w:tcW w:w="1418" w:type="dxa"/>
            <w:vAlign w:val="center"/>
          </w:tcPr>
          <w:p w14:paraId="7B4AEE2E" w14:textId="77777777" w:rsidR="00963123" w:rsidRPr="007C1E37" w:rsidRDefault="00963123" w:rsidP="001E519A">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7C1E37">
              <w:rPr>
                <w:rFonts w:cs="Arial"/>
                <w:color w:val="000000"/>
                <w:sz w:val="20"/>
                <w:szCs w:val="20"/>
              </w:rPr>
              <w:t>+15%</w:t>
            </w:r>
          </w:p>
        </w:tc>
      </w:tr>
      <w:tr w:rsidR="00963123" w:rsidRPr="007C1E37" w14:paraId="3F3E34BC" w14:textId="77777777" w:rsidTr="001E519A">
        <w:trPr>
          <w:trHeight w:val="300"/>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1798ABA6" w14:textId="77777777" w:rsidR="00963123" w:rsidRPr="007C1E37" w:rsidRDefault="00963123" w:rsidP="001E519A">
            <w:pPr>
              <w:spacing w:before="60" w:after="60"/>
              <w:ind w:left="37"/>
              <w:rPr>
                <w:rFonts w:cs="Arial"/>
                <w:bCs w:val="0"/>
                <w:sz w:val="20"/>
                <w:szCs w:val="20"/>
                <w:lang w:eastAsia="en-AU"/>
              </w:rPr>
            </w:pPr>
            <w:r w:rsidRPr="007C1E37">
              <w:rPr>
                <w:rFonts w:cs="Arial"/>
                <w:bCs w:val="0"/>
                <w:sz w:val="20"/>
                <w:szCs w:val="20"/>
                <w:lang w:eastAsia="en-AU"/>
              </w:rPr>
              <w:t>Average amount claimed by all active providers of DSW-related supports</w:t>
            </w:r>
          </w:p>
        </w:tc>
        <w:tc>
          <w:tcPr>
            <w:tcW w:w="1985" w:type="dxa"/>
            <w:noWrap/>
            <w:vAlign w:val="center"/>
          </w:tcPr>
          <w:p w14:paraId="56FDCE94" w14:textId="77777777" w:rsidR="00963123" w:rsidRPr="007C1E37" w:rsidRDefault="00963123" w:rsidP="001E519A">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7C1E37">
              <w:rPr>
                <w:rFonts w:cs="Arial"/>
                <w:color w:val="000000"/>
                <w:sz w:val="20"/>
                <w:szCs w:val="20"/>
              </w:rPr>
              <w:t>$106,180</w:t>
            </w:r>
          </w:p>
        </w:tc>
        <w:tc>
          <w:tcPr>
            <w:tcW w:w="1985" w:type="dxa"/>
            <w:vAlign w:val="center"/>
          </w:tcPr>
          <w:p w14:paraId="61EAE459" w14:textId="77777777" w:rsidR="00963123" w:rsidRPr="007C1E37" w:rsidRDefault="00963123" w:rsidP="001E519A">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7C1E37">
              <w:rPr>
                <w:rFonts w:cs="Arial"/>
                <w:color w:val="000000"/>
                <w:sz w:val="20"/>
                <w:szCs w:val="20"/>
              </w:rPr>
              <w:t>$109,414</w:t>
            </w:r>
          </w:p>
        </w:tc>
        <w:tc>
          <w:tcPr>
            <w:tcW w:w="1418" w:type="dxa"/>
            <w:vAlign w:val="center"/>
          </w:tcPr>
          <w:p w14:paraId="0B470958" w14:textId="77777777" w:rsidR="00963123" w:rsidRPr="007C1E37" w:rsidRDefault="00963123" w:rsidP="001E519A">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7C1E37">
              <w:rPr>
                <w:rFonts w:cs="Arial"/>
                <w:color w:val="000000"/>
                <w:sz w:val="20"/>
                <w:szCs w:val="20"/>
              </w:rPr>
              <w:t>+3%</w:t>
            </w:r>
          </w:p>
        </w:tc>
      </w:tr>
    </w:tbl>
    <w:p w14:paraId="729CFA88" w14:textId="0C325628" w:rsidR="00963123" w:rsidRPr="008034CE" w:rsidRDefault="00963123" w:rsidP="00963123">
      <w:pPr>
        <w:pStyle w:val="Caption"/>
      </w:pPr>
      <w:bookmarkStart w:id="186" w:name="_Ref197339389"/>
      <w:r w:rsidRPr="008034CE">
        <w:t xml:space="preserve">Table </w:t>
      </w:r>
      <w:r w:rsidR="005763F9">
        <w:fldChar w:fldCharType="begin"/>
      </w:r>
      <w:r w:rsidR="005763F9">
        <w:instrText xml:space="preserve"> SEQ Table \* ARABIC </w:instrText>
      </w:r>
      <w:r w:rsidR="005763F9">
        <w:fldChar w:fldCharType="separate"/>
      </w:r>
      <w:r w:rsidR="005763F9">
        <w:rPr>
          <w:noProof/>
        </w:rPr>
        <w:t>2</w:t>
      </w:r>
      <w:r w:rsidR="005763F9">
        <w:rPr>
          <w:noProof/>
        </w:rPr>
        <w:fldChar w:fldCharType="end"/>
      </w:r>
      <w:bookmarkEnd w:id="186"/>
      <w:r w:rsidRPr="008034CE">
        <w:t>: DSW-Related Supports Scheme Statistics – Registered Providers</w:t>
      </w:r>
    </w:p>
    <w:tbl>
      <w:tblPr>
        <w:tblStyle w:val="GridTable4-Accent12"/>
        <w:tblW w:w="9074" w:type="dxa"/>
        <w:tblInd w:w="0" w:type="dxa"/>
        <w:tblLayout w:type="fixed"/>
        <w:tblLook w:val="04A0" w:firstRow="1" w:lastRow="0" w:firstColumn="1" w:lastColumn="0" w:noHBand="0" w:noVBand="1"/>
      </w:tblPr>
      <w:tblGrid>
        <w:gridCol w:w="3686"/>
        <w:gridCol w:w="1985"/>
        <w:gridCol w:w="1985"/>
        <w:gridCol w:w="1418"/>
      </w:tblGrid>
      <w:tr w:rsidR="00283AD0" w:rsidRPr="007C1E37" w14:paraId="44669609" w14:textId="77777777" w:rsidTr="00283AD0">
        <w:trPr>
          <w:cnfStyle w:val="100000000000" w:firstRow="1" w:lastRow="0" w:firstColumn="0" w:lastColumn="0" w:oddVBand="0" w:evenVBand="0" w:oddHBand="0" w:evenHBand="0" w:firstRowFirstColumn="0" w:firstRowLastColumn="0" w:lastRowFirstColumn="0" w:lastRowLastColumn="0"/>
          <w:trHeight w:val="600"/>
          <w:tblHeader/>
        </w:trPr>
        <w:tc>
          <w:tcPr>
            <w:cnfStyle w:val="001000000000" w:firstRow="0" w:lastRow="0" w:firstColumn="1" w:lastColumn="0" w:oddVBand="0" w:evenVBand="0" w:oddHBand="0" w:evenHBand="0" w:firstRowFirstColumn="0" w:firstRowLastColumn="0" w:lastRowFirstColumn="0" w:lastRowLastColumn="0"/>
            <w:tcW w:w="3686" w:type="dxa"/>
            <w:hideMark/>
          </w:tcPr>
          <w:p w14:paraId="246A1B0A" w14:textId="77777777" w:rsidR="00283AD0" w:rsidRPr="007C1E37" w:rsidRDefault="00283AD0" w:rsidP="001E519A">
            <w:pPr>
              <w:spacing w:before="60" w:after="60"/>
              <w:rPr>
                <w:rFonts w:cs="Arial"/>
                <w:sz w:val="20"/>
                <w:szCs w:val="20"/>
                <w:lang w:eastAsia="zh-CN" w:bidi="th-TH"/>
              </w:rPr>
            </w:pPr>
            <w:r w:rsidRPr="007C1E37">
              <w:rPr>
                <w:rFonts w:cs="Arial"/>
                <w:sz w:val="20"/>
                <w:szCs w:val="20"/>
              </w:rPr>
              <w:t>Statistics</w:t>
            </w:r>
          </w:p>
        </w:tc>
        <w:tc>
          <w:tcPr>
            <w:tcW w:w="1985" w:type="dxa"/>
          </w:tcPr>
          <w:p w14:paraId="159C1FA2" w14:textId="77777777" w:rsidR="00283AD0" w:rsidRPr="007C1E37" w:rsidRDefault="00283AD0" w:rsidP="001E519A">
            <w:pPr>
              <w:spacing w:before="60" w:after="60"/>
              <w:jc w:val="right"/>
              <w:cnfStyle w:val="100000000000" w:firstRow="1" w:lastRow="0" w:firstColumn="0" w:lastColumn="0" w:oddVBand="0" w:evenVBand="0" w:oddHBand="0" w:evenHBand="0" w:firstRowFirstColumn="0" w:firstRowLastColumn="0" w:lastRowFirstColumn="0" w:lastRowLastColumn="0"/>
              <w:rPr>
                <w:rFonts w:cs="Arial"/>
                <w:sz w:val="20"/>
                <w:szCs w:val="20"/>
                <w:lang w:eastAsia="zh-CN" w:bidi="th-TH"/>
              </w:rPr>
            </w:pPr>
            <w:r w:rsidRPr="007C1E37">
              <w:rPr>
                <w:rFonts w:cs="Arial"/>
                <w:sz w:val="20"/>
                <w:szCs w:val="20"/>
              </w:rPr>
              <w:t>July – December 2023</w:t>
            </w:r>
          </w:p>
        </w:tc>
        <w:tc>
          <w:tcPr>
            <w:tcW w:w="1985" w:type="dxa"/>
          </w:tcPr>
          <w:p w14:paraId="21764AE4" w14:textId="77777777" w:rsidR="00283AD0" w:rsidRPr="007C1E37" w:rsidRDefault="00283AD0" w:rsidP="001E519A">
            <w:pPr>
              <w:spacing w:before="60" w:after="60"/>
              <w:jc w:val="right"/>
              <w:cnfStyle w:val="100000000000" w:firstRow="1" w:lastRow="0" w:firstColumn="0" w:lastColumn="0" w:oddVBand="0" w:evenVBand="0" w:oddHBand="0" w:evenHBand="0" w:firstRowFirstColumn="0" w:firstRowLastColumn="0" w:lastRowFirstColumn="0" w:lastRowLastColumn="0"/>
              <w:rPr>
                <w:rFonts w:cs="Arial"/>
                <w:sz w:val="20"/>
                <w:szCs w:val="20"/>
                <w:lang w:eastAsia="zh-CN" w:bidi="th-TH"/>
              </w:rPr>
            </w:pPr>
            <w:r w:rsidRPr="007C1E37">
              <w:rPr>
                <w:rFonts w:cs="Arial"/>
                <w:sz w:val="20"/>
                <w:szCs w:val="20"/>
              </w:rPr>
              <w:t>July – December 2024</w:t>
            </w:r>
          </w:p>
        </w:tc>
        <w:tc>
          <w:tcPr>
            <w:tcW w:w="1418" w:type="dxa"/>
          </w:tcPr>
          <w:p w14:paraId="5223D9C7" w14:textId="77777777" w:rsidR="00283AD0" w:rsidRPr="007C1E37" w:rsidRDefault="00283AD0" w:rsidP="001E519A">
            <w:pPr>
              <w:spacing w:before="60" w:after="60"/>
              <w:jc w:val="right"/>
              <w:cnfStyle w:val="100000000000" w:firstRow="1" w:lastRow="0" w:firstColumn="0" w:lastColumn="0" w:oddVBand="0" w:evenVBand="0" w:oddHBand="0" w:evenHBand="0" w:firstRowFirstColumn="0" w:firstRowLastColumn="0" w:lastRowFirstColumn="0" w:lastRowLastColumn="0"/>
              <w:rPr>
                <w:rFonts w:cs="Arial"/>
                <w:sz w:val="20"/>
                <w:szCs w:val="20"/>
                <w:lang w:eastAsia="zh-CN" w:bidi="th-TH"/>
              </w:rPr>
            </w:pPr>
            <w:r w:rsidRPr="007C1E37">
              <w:rPr>
                <w:rFonts w:cs="Arial"/>
                <w:sz w:val="20"/>
                <w:szCs w:val="20"/>
              </w:rPr>
              <w:t>Percentage Change</w:t>
            </w:r>
          </w:p>
        </w:tc>
      </w:tr>
      <w:tr w:rsidR="00283AD0" w:rsidRPr="007C1E37" w14:paraId="45A56461" w14:textId="77777777" w:rsidTr="001E519A">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2E96C2F1" w14:textId="77777777" w:rsidR="00283AD0" w:rsidRPr="007C1E37" w:rsidRDefault="00283AD0" w:rsidP="001E519A">
            <w:pPr>
              <w:spacing w:before="60" w:after="60"/>
              <w:ind w:left="37"/>
              <w:rPr>
                <w:rFonts w:cs="Arial"/>
                <w:bCs w:val="0"/>
                <w:sz w:val="20"/>
                <w:szCs w:val="20"/>
                <w:lang w:eastAsia="en-AU"/>
              </w:rPr>
            </w:pPr>
            <w:r w:rsidRPr="007C1E37">
              <w:rPr>
                <w:rFonts w:cs="Arial"/>
                <w:bCs w:val="0"/>
                <w:sz w:val="20"/>
                <w:szCs w:val="20"/>
                <w:lang w:eastAsia="en-AU"/>
              </w:rPr>
              <w:t>Number of NDIS participants</w:t>
            </w:r>
          </w:p>
        </w:tc>
        <w:tc>
          <w:tcPr>
            <w:tcW w:w="1985" w:type="dxa"/>
            <w:noWrap/>
            <w:vAlign w:val="center"/>
          </w:tcPr>
          <w:p w14:paraId="68C17210" w14:textId="77777777" w:rsidR="00283AD0" w:rsidRPr="007C1E37" w:rsidRDefault="00283AD0" w:rsidP="001E519A">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7C1E37">
              <w:rPr>
                <w:rFonts w:cs="Arial"/>
                <w:color w:val="000000"/>
                <w:sz w:val="20"/>
                <w:szCs w:val="20"/>
              </w:rPr>
              <w:t>194,667</w:t>
            </w:r>
          </w:p>
        </w:tc>
        <w:tc>
          <w:tcPr>
            <w:tcW w:w="1985" w:type="dxa"/>
            <w:vAlign w:val="center"/>
          </w:tcPr>
          <w:p w14:paraId="6041B9D6" w14:textId="77777777" w:rsidR="00283AD0" w:rsidRPr="007C1E37" w:rsidRDefault="00283AD0" w:rsidP="001E519A">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7C1E37">
              <w:rPr>
                <w:rFonts w:cs="Arial"/>
                <w:color w:val="000000"/>
                <w:sz w:val="20"/>
                <w:szCs w:val="20"/>
              </w:rPr>
              <w:t>202,684</w:t>
            </w:r>
          </w:p>
        </w:tc>
        <w:tc>
          <w:tcPr>
            <w:tcW w:w="1418" w:type="dxa"/>
            <w:vAlign w:val="center"/>
          </w:tcPr>
          <w:p w14:paraId="54832168" w14:textId="77777777" w:rsidR="00283AD0" w:rsidRPr="007C1E37" w:rsidRDefault="00283AD0" w:rsidP="001E519A">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7C1E37">
              <w:rPr>
                <w:rFonts w:cs="Arial"/>
                <w:color w:val="000000"/>
                <w:sz w:val="20"/>
                <w:szCs w:val="20"/>
              </w:rPr>
              <w:t>+4%</w:t>
            </w:r>
          </w:p>
        </w:tc>
      </w:tr>
      <w:tr w:rsidR="00283AD0" w:rsidRPr="007C1E37" w14:paraId="58ADF289" w14:textId="77777777" w:rsidTr="001E519A">
        <w:trPr>
          <w:trHeight w:val="420"/>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7508AFA8" w14:textId="77777777" w:rsidR="00283AD0" w:rsidRPr="007C1E37" w:rsidRDefault="00283AD0" w:rsidP="001E519A">
            <w:pPr>
              <w:spacing w:before="60" w:after="60"/>
              <w:ind w:left="37"/>
              <w:rPr>
                <w:rFonts w:cs="Arial"/>
                <w:bCs w:val="0"/>
                <w:sz w:val="20"/>
                <w:szCs w:val="20"/>
                <w:lang w:eastAsia="en-AU"/>
              </w:rPr>
            </w:pPr>
            <w:r w:rsidRPr="007C1E37">
              <w:rPr>
                <w:rFonts w:cs="Arial"/>
                <w:bCs w:val="0"/>
                <w:sz w:val="20"/>
                <w:szCs w:val="20"/>
                <w:lang w:eastAsia="en-AU"/>
              </w:rPr>
              <w:t>Number of active providers</w:t>
            </w:r>
          </w:p>
        </w:tc>
        <w:tc>
          <w:tcPr>
            <w:tcW w:w="1985" w:type="dxa"/>
            <w:noWrap/>
            <w:vAlign w:val="center"/>
          </w:tcPr>
          <w:p w14:paraId="6947B8BD" w14:textId="77777777" w:rsidR="00283AD0" w:rsidRPr="007C1E37" w:rsidRDefault="00283AD0" w:rsidP="001E519A">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7C1E37">
              <w:rPr>
                <w:rFonts w:cs="Arial"/>
                <w:color w:val="000000"/>
                <w:sz w:val="20"/>
                <w:szCs w:val="20"/>
              </w:rPr>
              <w:t>8,697</w:t>
            </w:r>
          </w:p>
        </w:tc>
        <w:tc>
          <w:tcPr>
            <w:tcW w:w="1985" w:type="dxa"/>
            <w:vAlign w:val="center"/>
          </w:tcPr>
          <w:p w14:paraId="7F871C79" w14:textId="77777777" w:rsidR="00283AD0" w:rsidRPr="007C1E37" w:rsidRDefault="00283AD0" w:rsidP="001E519A">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7C1E37">
              <w:rPr>
                <w:rFonts w:cs="Arial"/>
                <w:color w:val="000000"/>
                <w:sz w:val="20"/>
                <w:szCs w:val="20"/>
              </w:rPr>
              <w:t>10,443</w:t>
            </w:r>
          </w:p>
        </w:tc>
        <w:tc>
          <w:tcPr>
            <w:tcW w:w="1418" w:type="dxa"/>
            <w:vAlign w:val="center"/>
          </w:tcPr>
          <w:p w14:paraId="7D5C4AC9" w14:textId="77777777" w:rsidR="00283AD0" w:rsidRPr="007C1E37" w:rsidRDefault="00283AD0" w:rsidP="001E519A">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7C1E37">
              <w:rPr>
                <w:rFonts w:cs="Arial"/>
                <w:color w:val="000000"/>
                <w:sz w:val="20"/>
                <w:szCs w:val="20"/>
              </w:rPr>
              <w:t>+20%</w:t>
            </w:r>
          </w:p>
        </w:tc>
      </w:tr>
      <w:tr w:rsidR="00283AD0" w:rsidRPr="007C1E37" w14:paraId="256C907C" w14:textId="77777777" w:rsidTr="001E519A">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243E52CE" w14:textId="77777777" w:rsidR="00283AD0" w:rsidRPr="007C1E37" w:rsidRDefault="00283AD0" w:rsidP="001E519A">
            <w:pPr>
              <w:spacing w:before="60" w:after="60"/>
              <w:ind w:left="37"/>
              <w:rPr>
                <w:rFonts w:cs="Arial"/>
                <w:bCs w:val="0"/>
                <w:sz w:val="20"/>
                <w:szCs w:val="20"/>
                <w:lang w:eastAsia="en-AU"/>
              </w:rPr>
            </w:pPr>
            <w:r w:rsidRPr="007C1E37">
              <w:rPr>
                <w:rFonts w:cs="Arial"/>
                <w:bCs w:val="0"/>
                <w:sz w:val="20"/>
                <w:szCs w:val="20"/>
                <w:lang w:eastAsia="en-AU"/>
              </w:rPr>
              <w:t>Total amount claimed by active providers of DSW-related supports</w:t>
            </w:r>
          </w:p>
        </w:tc>
        <w:tc>
          <w:tcPr>
            <w:tcW w:w="1985" w:type="dxa"/>
            <w:noWrap/>
            <w:vAlign w:val="center"/>
          </w:tcPr>
          <w:p w14:paraId="05FB64EF" w14:textId="77777777" w:rsidR="00283AD0" w:rsidRPr="007C1E37" w:rsidRDefault="00283AD0" w:rsidP="001E519A">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7C1E37">
              <w:rPr>
                <w:rFonts w:cs="Arial"/>
                <w:color w:val="000000"/>
                <w:sz w:val="20"/>
                <w:szCs w:val="20"/>
              </w:rPr>
              <w:t>$9.4 billion</w:t>
            </w:r>
          </w:p>
        </w:tc>
        <w:tc>
          <w:tcPr>
            <w:tcW w:w="1985" w:type="dxa"/>
            <w:vAlign w:val="center"/>
          </w:tcPr>
          <w:p w14:paraId="185BCBDD" w14:textId="77777777" w:rsidR="00283AD0" w:rsidRPr="007C1E37" w:rsidRDefault="00283AD0" w:rsidP="001E519A">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7C1E37">
              <w:rPr>
                <w:rFonts w:cs="Arial"/>
                <w:color w:val="000000"/>
                <w:sz w:val="20"/>
                <w:szCs w:val="20"/>
              </w:rPr>
              <w:t>$10.7 billion</w:t>
            </w:r>
          </w:p>
        </w:tc>
        <w:tc>
          <w:tcPr>
            <w:tcW w:w="1418" w:type="dxa"/>
            <w:vAlign w:val="center"/>
          </w:tcPr>
          <w:p w14:paraId="14A8A91E" w14:textId="77777777" w:rsidR="00283AD0" w:rsidRPr="007C1E37" w:rsidRDefault="00283AD0" w:rsidP="001E519A">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7C1E37">
              <w:rPr>
                <w:rFonts w:cs="Arial"/>
                <w:color w:val="000000"/>
                <w:sz w:val="20"/>
                <w:szCs w:val="20"/>
              </w:rPr>
              <w:t>+14%</w:t>
            </w:r>
          </w:p>
        </w:tc>
      </w:tr>
      <w:tr w:rsidR="00283AD0" w:rsidRPr="007C1E37" w14:paraId="008E8D91" w14:textId="77777777" w:rsidTr="001E519A">
        <w:trPr>
          <w:trHeight w:val="420"/>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50EF9B72" w14:textId="77777777" w:rsidR="00283AD0" w:rsidRPr="007C1E37" w:rsidRDefault="00283AD0" w:rsidP="001E519A">
            <w:pPr>
              <w:spacing w:before="60" w:after="60"/>
              <w:ind w:left="37"/>
              <w:rPr>
                <w:rFonts w:cs="Arial"/>
                <w:bCs w:val="0"/>
                <w:sz w:val="20"/>
                <w:szCs w:val="20"/>
                <w:lang w:eastAsia="en-AU"/>
              </w:rPr>
            </w:pPr>
            <w:r w:rsidRPr="007C1E37">
              <w:rPr>
                <w:rFonts w:cs="Arial"/>
                <w:bCs w:val="0"/>
                <w:sz w:val="20"/>
                <w:szCs w:val="20"/>
                <w:lang w:eastAsia="en-AU"/>
              </w:rPr>
              <w:t>Average amount claimed by all active providers of DSW-related supports</w:t>
            </w:r>
          </w:p>
        </w:tc>
        <w:tc>
          <w:tcPr>
            <w:tcW w:w="1985" w:type="dxa"/>
            <w:noWrap/>
            <w:vAlign w:val="center"/>
          </w:tcPr>
          <w:p w14:paraId="132B3950" w14:textId="77777777" w:rsidR="00283AD0" w:rsidRPr="007C1E37" w:rsidRDefault="00283AD0" w:rsidP="001E519A">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7C1E37">
              <w:rPr>
                <w:rFonts w:cs="Arial"/>
                <w:color w:val="000000"/>
                <w:sz w:val="20"/>
                <w:szCs w:val="20"/>
              </w:rPr>
              <w:t>$1.1 million</w:t>
            </w:r>
          </w:p>
        </w:tc>
        <w:tc>
          <w:tcPr>
            <w:tcW w:w="1985" w:type="dxa"/>
            <w:vAlign w:val="center"/>
          </w:tcPr>
          <w:p w14:paraId="7C425DD1" w14:textId="77777777" w:rsidR="00283AD0" w:rsidRPr="007C1E37" w:rsidRDefault="00283AD0" w:rsidP="001E519A">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7C1E37">
              <w:rPr>
                <w:rFonts w:cs="Arial"/>
                <w:color w:val="000000"/>
                <w:sz w:val="20"/>
                <w:szCs w:val="20"/>
              </w:rPr>
              <w:t>$1.0 million</w:t>
            </w:r>
          </w:p>
        </w:tc>
        <w:tc>
          <w:tcPr>
            <w:tcW w:w="1418" w:type="dxa"/>
            <w:vAlign w:val="center"/>
          </w:tcPr>
          <w:p w14:paraId="19161E21" w14:textId="77777777" w:rsidR="00283AD0" w:rsidRPr="007C1E37" w:rsidRDefault="00283AD0" w:rsidP="001E519A">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7C1E37">
              <w:rPr>
                <w:rFonts w:cs="Arial"/>
                <w:color w:val="000000"/>
                <w:sz w:val="20"/>
                <w:szCs w:val="20"/>
              </w:rPr>
              <w:t>-5%</w:t>
            </w:r>
          </w:p>
        </w:tc>
      </w:tr>
    </w:tbl>
    <w:p w14:paraId="37DB0667" w14:textId="3F0FD377" w:rsidR="00283AD0" w:rsidRPr="008034CE" w:rsidRDefault="00283AD0" w:rsidP="00283AD0">
      <w:pPr>
        <w:pStyle w:val="Caption"/>
      </w:pPr>
      <w:bookmarkStart w:id="187" w:name="_Ref197339404"/>
      <w:r w:rsidRPr="008034CE">
        <w:t xml:space="preserve">Table </w:t>
      </w:r>
      <w:r w:rsidR="005763F9">
        <w:fldChar w:fldCharType="begin"/>
      </w:r>
      <w:r w:rsidR="005763F9">
        <w:instrText xml:space="preserve"> SEQ Table \* ARABIC </w:instrText>
      </w:r>
      <w:r w:rsidR="005763F9">
        <w:fldChar w:fldCharType="separate"/>
      </w:r>
      <w:r w:rsidR="005763F9">
        <w:rPr>
          <w:noProof/>
        </w:rPr>
        <w:t>3</w:t>
      </w:r>
      <w:r w:rsidR="005763F9">
        <w:rPr>
          <w:noProof/>
        </w:rPr>
        <w:fldChar w:fldCharType="end"/>
      </w:r>
      <w:bookmarkEnd w:id="187"/>
      <w:r w:rsidRPr="008034CE">
        <w:t>: DSW-Related Supports Scheme Statistics – Unregistered Providers</w:t>
      </w:r>
    </w:p>
    <w:tbl>
      <w:tblPr>
        <w:tblStyle w:val="GridTable4-Accent12"/>
        <w:tblW w:w="9074" w:type="dxa"/>
        <w:tblInd w:w="0" w:type="dxa"/>
        <w:tblLayout w:type="fixed"/>
        <w:tblLook w:val="04A0" w:firstRow="1" w:lastRow="0" w:firstColumn="1" w:lastColumn="0" w:noHBand="0" w:noVBand="1"/>
      </w:tblPr>
      <w:tblGrid>
        <w:gridCol w:w="3686"/>
        <w:gridCol w:w="1985"/>
        <w:gridCol w:w="1985"/>
        <w:gridCol w:w="1418"/>
      </w:tblGrid>
      <w:tr w:rsidR="00283AD0" w:rsidRPr="007C1E37" w14:paraId="31D0CFD1" w14:textId="77777777" w:rsidTr="001E519A">
        <w:trPr>
          <w:cnfStyle w:val="100000000000" w:firstRow="1" w:lastRow="0" w:firstColumn="0" w:lastColumn="0" w:oddVBand="0" w:evenVBand="0" w:oddHBand="0" w:evenHBand="0" w:firstRowFirstColumn="0" w:firstRowLastColumn="0" w:lastRowFirstColumn="0" w:lastRowLastColumn="0"/>
          <w:trHeight w:val="581"/>
          <w:tblHeader/>
        </w:trPr>
        <w:tc>
          <w:tcPr>
            <w:cnfStyle w:val="001000000000" w:firstRow="0" w:lastRow="0" w:firstColumn="1" w:lastColumn="0" w:oddVBand="0" w:evenVBand="0" w:oddHBand="0" w:evenHBand="0" w:firstRowFirstColumn="0" w:firstRowLastColumn="0" w:lastRowFirstColumn="0" w:lastRowLastColumn="0"/>
            <w:tcW w:w="3686" w:type="dxa"/>
            <w:hideMark/>
          </w:tcPr>
          <w:p w14:paraId="4984103F" w14:textId="77777777" w:rsidR="00283AD0" w:rsidRPr="007C1E37" w:rsidRDefault="00283AD0" w:rsidP="001E519A">
            <w:pPr>
              <w:spacing w:before="60" w:after="60"/>
              <w:rPr>
                <w:rFonts w:cs="Arial"/>
                <w:sz w:val="20"/>
                <w:szCs w:val="20"/>
                <w:lang w:eastAsia="zh-CN" w:bidi="th-TH"/>
              </w:rPr>
            </w:pPr>
            <w:r w:rsidRPr="007C1E37">
              <w:rPr>
                <w:rFonts w:cs="Arial"/>
                <w:sz w:val="20"/>
                <w:szCs w:val="20"/>
              </w:rPr>
              <w:t>Statistics</w:t>
            </w:r>
          </w:p>
        </w:tc>
        <w:tc>
          <w:tcPr>
            <w:tcW w:w="1985" w:type="dxa"/>
          </w:tcPr>
          <w:p w14:paraId="6A702BE2" w14:textId="77777777" w:rsidR="00283AD0" w:rsidRPr="007C1E37" w:rsidRDefault="00283AD0" w:rsidP="001E519A">
            <w:pPr>
              <w:spacing w:before="60" w:after="60"/>
              <w:jc w:val="right"/>
              <w:cnfStyle w:val="100000000000" w:firstRow="1" w:lastRow="0" w:firstColumn="0" w:lastColumn="0" w:oddVBand="0" w:evenVBand="0" w:oddHBand="0" w:evenHBand="0" w:firstRowFirstColumn="0" w:firstRowLastColumn="0" w:lastRowFirstColumn="0" w:lastRowLastColumn="0"/>
              <w:rPr>
                <w:rFonts w:cs="Arial"/>
                <w:sz w:val="20"/>
                <w:szCs w:val="20"/>
                <w:lang w:eastAsia="zh-CN" w:bidi="th-TH"/>
              </w:rPr>
            </w:pPr>
            <w:r w:rsidRPr="007C1E37">
              <w:rPr>
                <w:rFonts w:cs="Arial"/>
                <w:sz w:val="20"/>
                <w:szCs w:val="20"/>
              </w:rPr>
              <w:t>July – December 2023</w:t>
            </w:r>
          </w:p>
        </w:tc>
        <w:tc>
          <w:tcPr>
            <w:tcW w:w="1985" w:type="dxa"/>
          </w:tcPr>
          <w:p w14:paraId="6C5065A0" w14:textId="77777777" w:rsidR="00283AD0" w:rsidRPr="007C1E37" w:rsidRDefault="00283AD0" w:rsidP="001E519A">
            <w:pPr>
              <w:spacing w:before="60" w:after="60"/>
              <w:jc w:val="right"/>
              <w:cnfStyle w:val="100000000000" w:firstRow="1" w:lastRow="0" w:firstColumn="0" w:lastColumn="0" w:oddVBand="0" w:evenVBand="0" w:oddHBand="0" w:evenHBand="0" w:firstRowFirstColumn="0" w:firstRowLastColumn="0" w:lastRowFirstColumn="0" w:lastRowLastColumn="0"/>
              <w:rPr>
                <w:rFonts w:cs="Arial"/>
                <w:sz w:val="20"/>
                <w:szCs w:val="20"/>
                <w:lang w:eastAsia="zh-CN" w:bidi="th-TH"/>
              </w:rPr>
            </w:pPr>
            <w:r w:rsidRPr="007C1E37">
              <w:rPr>
                <w:rFonts w:cs="Arial"/>
                <w:sz w:val="20"/>
                <w:szCs w:val="20"/>
              </w:rPr>
              <w:t>July – December 2024</w:t>
            </w:r>
          </w:p>
        </w:tc>
        <w:tc>
          <w:tcPr>
            <w:tcW w:w="1418" w:type="dxa"/>
          </w:tcPr>
          <w:p w14:paraId="635793DF" w14:textId="77777777" w:rsidR="00283AD0" w:rsidRPr="007C1E37" w:rsidRDefault="00283AD0" w:rsidP="001E519A">
            <w:pPr>
              <w:spacing w:before="60" w:after="60"/>
              <w:jc w:val="right"/>
              <w:cnfStyle w:val="100000000000" w:firstRow="1" w:lastRow="0" w:firstColumn="0" w:lastColumn="0" w:oddVBand="0" w:evenVBand="0" w:oddHBand="0" w:evenHBand="0" w:firstRowFirstColumn="0" w:firstRowLastColumn="0" w:lastRowFirstColumn="0" w:lastRowLastColumn="0"/>
              <w:rPr>
                <w:rFonts w:cs="Arial"/>
                <w:sz w:val="20"/>
                <w:szCs w:val="20"/>
                <w:lang w:eastAsia="zh-CN" w:bidi="th-TH"/>
              </w:rPr>
            </w:pPr>
            <w:r w:rsidRPr="007C1E37">
              <w:rPr>
                <w:rFonts w:cs="Arial"/>
                <w:sz w:val="20"/>
                <w:szCs w:val="20"/>
              </w:rPr>
              <w:t>Percentage Change</w:t>
            </w:r>
          </w:p>
        </w:tc>
      </w:tr>
      <w:tr w:rsidR="00283AD0" w:rsidRPr="007C1E37" w14:paraId="21A898EB" w14:textId="77777777" w:rsidTr="001E519A">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32C15DCB" w14:textId="77777777" w:rsidR="00283AD0" w:rsidRPr="007C1E37" w:rsidRDefault="00283AD0" w:rsidP="001E519A">
            <w:pPr>
              <w:spacing w:before="60" w:after="60"/>
              <w:ind w:left="37"/>
              <w:rPr>
                <w:rFonts w:cs="Arial"/>
                <w:bCs w:val="0"/>
                <w:sz w:val="20"/>
                <w:szCs w:val="20"/>
                <w:lang w:eastAsia="en-AU"/>
              </w:rPr>
            </w:pPr>
            <w:r w:rsidRPr="007C1E37">
              <w:rPr>
                <w:rFonts w:cs="Arial"/>
                <w:bCs w:val="0"/>
                <w:sz w:val="20"/>
                <w:szCs w:val="20"/>
                <w:lang w:eastAsia="en-AU"/>
              </w:rPr>
              <w:t>Number of NDIS participants</w:t>
            </w:r>
          </w:p>
        </w:tc>
        <w:tc>
          <w:tcPr>
            <w:tcW w:w="1985" w:type="dxa"/>
            <w:noWrap/>
            <w:vAlign w:val="center"/>
          </w:tcPr>
          <w:p w14:paraId="3F37F88E" w14:textId="77777777" w:rsidR="00283AD0" w:rsidRPr="007C1E37" w:rsidRDefault="00283AD0" w:rsidP="001E519A">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7C1E37">
              <w:rPr>
                <w:rFonts w:cs="Arial"/>
                <w:color w:val="000000"/>
                <w:sz w:val="20"/>
                <w:szCs w:val="20"/>
              </w:rPr>
              <w:t>163,055</w:t>
            </w:r>
          </w:p>
        </w:tc>
        <w:tc>
          <w:tcPr>
            <w:tcW w:w="1985" w:type="dxa"/>
            <w:vAlign w:val="center"/>
          </w:tcPr>
          <w:p w14:paraId="6147482F" w14:textId="77777777" w:rsidR="00283AD0" w:rsidRPr="007C1E37" w:rsidRDefault="00283AD0" w:rsidP="001E519A">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7C1E37">
              <w:rPr>
                <w:rFonts w:cs="Arial"/>
                <w:color w:val="000000"/>
                <w:sz w:val="20"/>
                <w:szCs w:val="20"/>
              </w:rPr>
              <w:t>179,165</w:t>
            </w:r>
          </w:p>
        </w:tc>
        <w:tc>
          <w:tcPr>
            <w:tcW w:w="1418" w:type="dxa"/>
            <w:vAlign w:val="center"/>
          </w:tcPr>
          <w:p w14:paraId="06A922CC" w14:textId="77777777" w:rsidR="00283AD0" w:rsidRPr="007C1E37" w:rsidRDefault="00283AD0" w:rsidP="001E519A">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7C1E37">
              <w:rPr>
                <w:rFonts w:cs="Arial"/>
                <w:color w:val="000000"/>
                <w:sz w:val="20"/>
                <w:szCs w:val="20"/>
              </w:rPr>
              <w:t>+10%</w:t>
            </w:r>
          </w:p>
        </w:tc>
      </w:tr>
      <w:tr w:rsidR="00283AD0" w:rsidRPr="007C1E37" w14:paraId="3E109833" w14:textId="77777777" w:rsidTr="001E519A">
        <w:trPr>
          <w:trHeight w:val="406"/>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5BFF3AAC" w14:textId="77777777" w:rsidR="00283AD0" w:rsidRPr="007C1E37" w:rsidRDefault="00283AD0" w:rsidP="001E519A">
            <w:pPr>
              <w:spacing w:before="60" w:after="60"/>
              <w:ind w:left="37"/>
              <w:rPr>
                <w:rFonts w:cs="Arial"/>
                <w:bCs w:val="0"/>
                <w:sz w:val="20"/>
                <w:szCs w:val="20"/>
                <w:lang w:eastAsia="en-AU"/>
              </w:rPr>
            </w:pPr>
            <w:r w:rsidRPr="007C1E37">
              <w:rPr>
                <w:rFonts w:cs="Arial"/>
                <w:bCs w:val="0"/>
                <w:sz w:val="20"/>
                <w:szCs w:val="20"/>
                <w:lang w:eastAsia="en-AU"/>
              </w:rPr>
              <w:t>Number of active providers</w:t>
            </w:r>
          </w:p>
        </w:tc>
        <w:tc>
          <w:tcPr>
            <w:tcW w:w="1985" w:type="dxa"/>
            <w:noWrap/>
            <w:vAlign w:val="center"/>
          </w:tcPr>
          <w:p w14:paraId="697AC760" w14:textId="77777777" w:rsidR="00283AD0" w:rsidRPr="007C1E37" w:rsidRDefault="00283AD0" w:rsidP="001E519A">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7C1E37">
              <w:rPr>
                <w:rFonts w:cs="Arial"/>
                <w:color w:val="000000"/>
                <w:sz w:val="20"/>
                <w:szCs w:val="20"/>
              </w:rPr>
              <w:t>114,777</w:t>
            </w:r>
          </w:p>
        </w:tc>
        <w:tc>
          <w:tcPr>
            <w:tcW w:w="1985" w:type="dxa"/>
            <w:vAlign w:val="center"/>
          </w:tcPr>
          <w:p w14:paraId="263FA77C" w14:textId="77777777" w:rsidR="00283AD0" w:rsidRPr="007C1E37" w:rsidRDefault="00283AD0" w:rsidP="001E519A">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7C1E37">
              <w:rPr>
                <w:rFonts w:cs="Arial"/>
                <w:color w:val="000000"/>
                <w:sz w:val="20"/>
                <w:szCs w:val="20"/>
              </w:rPr>
              <w:t>127,217</w:t>
            </w:r>
          </w:p>
        </w:tc>
        <w:tc>
          <w:tcPr>
            <w:tcW w:w="1418" w:type="dxa"/>
            <w:vAlign w:val="center"/>
          </w:tcPr>
          <w:p w14:paraId="73091251" w14:textId="77777777" w:rsidR="00283AD0" w:rsidRPr="007C1E37" w:rsidRDefault="00283AD0" w:rsidP="001E519A">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7C1E37">
              <w:rPr>
                <w:rFonts w:cs="Arial"/>
                <w:color w:val="000000"/>
                <w:sz w:val="20"/>
                <w:szCs w:val="20"/>
              </w:rPr>
              <w:t>+11%</w:t>
            </w:r>
          </w:p>
        </w:tc>
      </w:tr>
      <w:tr w:rsidR="00283AD0" w:rsidRPr="007C1E37" w14:paraId="1B1F0756" w14:textId="77777777" w:rsidTr="001E519A">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1DABB03A" w14:textId="77777777" w:rsidR="00283AD0" w:rsidRPr="007C1E37" w:rsidRDefault="00283AD0" w:rsidP="001E519A">
            <w:pPr>
              <w:spacing w:before="60" w:after="60"/>
              <w:ind w:left="37"/>
              <w:rPr>
                <w:rFonts w:cs="Arial"/>
                <w:bCs w:val="0"/>
                <w:sz w:val="20"/>
                <w:szCs w:val="20"/>
                <w:lang w:eastAsia="en-AU"/>
              </w:rPr>
            </w:pPr>
            <w:r w:rsidRPr="007C1E37">
              <w:rPr>
                <w:rFonts w:cs="Arial"/>
                <w:bCs w:val="0"/>
                <w:sz w:val="20"/>
                <w:szCs w:val="20"/>
                <w:lang w:eastAsia="en-AU"/>
              </w:rPr>
              <w:t>Total amount claimed by active providers of DSW-related supports</w:t>
            </w:r>
          </w:p>
        </w:tc>
        <w:tc>
          <w:tcPr>
            <w:tcW w:w="1985" w:type="dxa"/>
            <w:noWrap/>
            <w:vAlign w:val="center"/>
          </w:tcPr>
          <w:p w14:paraId="5E94506C" w14:textId="77777777" w:rsidR="00283AD0" w:rsidRPr="007C1E37" w:rsidRDefault="00283AD0" w:rsidP="001E519A">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7C1E37">
              <w:rPr>
                <w:rFonts w:cs="Arial"/>
                <w:color w:val="000000"/>
                <w:sz w:val="20"/>
                <w:szCs w:val="20"/>
              </w:rPr>
              <w:t>$3.6 billion</w:t>
            </w:r>
          </w:p>
        </w:tc>
        <w:tc>
          <w:tcPr>
            <w:tcW w:w="1985" w:type="dxa"/>
            <w:vAlign w:val="center"/>
          </w:tcPr>
          <w:p w14:paraId="7ADE37A4" w14:textId="77777777" w:rsidR="00283AD0" w:rsidRPr="007C1E37" w:rsidRDefault="00283AD0" w:rsidP="001E519A">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7C1E37">
              <w:rPr>
                <w:rFonts w:cs="Arial"/>
                <w:color w:val="000000"/>
                <w:sz w:val="20"/>
                <w:szCs w:val="20"/>
              </w:rPr>
              <w:t>$4.2 billion</w:t>
            </w:r>
          </w:p>
        </w:tc>
        <w:tc>
          <w:tcPr>
            <w:tcW w:w="1418" w:type="dxa"/>
            <w:vAlign w:val="center"/>
          </w:tcPr>
          <w:p w14:paraId="3A098ACF" w14:textId="77777777" w:rsidR="00283AD0" w:rsidRPr="007C1E37" w:rsidRDefault="00283AD0" w:rsidP="001E519A">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7C1E37">
              <w:rPr>
                <w:rFonts w:cs="Arial"/>
                <w:color w:val="000000"/>
                <w:sz w:val="20"/>
                <w:szCs w:val="20"/>
              </w:rPr>
              <w:t>+17%</w:t>
            </w:r>
          </w:p>
        </w:tc>
      </w:tr>
      <w:tr w:rsidR="00283AD0" w:rsidRPr="007C1E37" w14:paraId="3E2D377B" w14:textId="77777777" w:rsidTr="001E519A">
        <w:trPr>
          <w:trHeight w:val="406"/>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10692372" w14:textId="77777777" w:rsidR="00283AD0" w:rsidRPr="007C1E37" w:rsidRDefault="00283AD0" w:rsidP="001E519A">
            <w:pPr>
              <w:spacing w:before="60" w:after="60"/>
              <w:ind w:left="37"/>
              <w:rPr>
                <w:rFonts w:cs="Arial"/>
                <w:bCs w:val="0"/>
                <w:sz w:val="20"/>
                <w:szCs w:val="20"/>
                <w:lang w:eastAsia="en-AU"/>
              </w:rPr>
            </w:pPr>
            <w:r w:rsidRPr="007C1E37">
              <w:rPr>
                <w:rFonts w:cs="Arial"/>
                <w:bCs w:val="0"/>
                <w:sz w:val="20"/>
                <w:szCs w:val="20"/>
                <w:lang w:eastAsia="en-AU"/>
              </w:rPr>
              <w:t>Average amount claimed by all active providers of DSW-related supports</w:t>
            </w:r>
          </w:p>
        </w:tc>
        <w:tc>
          <w:tcPr>
            <w:tcW w:w="1985" w:type="dxa"/>
            <w:noWrap/>
            <w:vAlign w:val="center"/>
          </w:tcPr>
          <w:p w14:paraId="2C817E8B" w14:textId="77777777" w:rsidR="00283AD0" w:rsidRPr="007C1E37" w:rsidRDefault="00283AD0" w:rsidP="001E519A">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7C1E37">
              <w:rPr>
                <w:rFonts w:cs="Arial"/>
                <w:color w:val="000000"/>
                <w:sz w:val="20"/>
                <w:szCs w:val="20"/>
              </w:rPr>
              <w:t>$31,348</w:t>
            </w:r>
          </w:p>
        </w:tc>
        <w:tc>
          <w:tcPr>
            <w:tcW w:w="1985" w:type="dxa"/>
            <w:vAlign w:val="center"/>
          </w:tcPr>
          <w:p w14:paraId="7EE061D3" w14:textId="77777777" w:rsidR="00283AD0" w:rsidRPr="007C1E37" w:rsidRDefault="00283AD0" w:rsidP="001E519A">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7C1E37">
              <w:rPr>
                <w:rFonts w:cs="Arial"/>
                <w:color w:val="000000"/>
                <w:sz w:val="20"/>
                <w:szCs w:val="20"/>
              </w:rPr>
              <w:t>$33,214</w:t>
            </w:r>
          </w:p>
        </w:tc>
        <w:tc>
          <w:tcPr>
            <w:tcW w:w="1418" w:type="dxa"/>
            <w:vAlign w:val="center"/>
          </w:tcPr>
          <w:p w14:paraId="0115D8DD" w14:textId="77777777" w:rsidR="00283AD0" w:rsidRPr="007C1E37" w:rsidRDefault="00283AD0" w:rsidP="001E519A">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7C1E37">
              <w:rPr>
                <w:rFonts w:cs="Arial"/>
                <w:color w:val="000000"/>
                <w:sz w:val="20"/>
                <w:szCs w:val="20"/>
              </w:rPr>
              <w:t>+6%</w:t>
            </w:r>
          </w:p>
        </w:tc>
      </w:tr>
    </w:tbl>
    <w:p w14:paraId="33422717" w14:textId="77777777" w:rsidR="00283AD0" w:rsidRPr="008034CE" w:rsidRDefault="00283AD0" w:rsidP="00283AD0">
      <w:pPr>
        <w:pStyle w:val="Sourcefortableorfigure"/>
        <w:spacing w:before="240"/>
        <w:rPr>
          <w:rFonts w:cs="Arial"/>
        </w:rPr>
      </w:pPr>
      <w:r w:rsidRPr="008034CE">
        <w:rPr>
          <w:rFonts w:cs="Arial"/>
        </w:rPr>
        <w:t>Source: NDIS internal administrative data </w:t>
      </w:r>
    </w:p>
    <w:p w14:paraId="0BE279D2" w14:textId="373874D1" w:rsidR="006B16A7" w:rsidRDefault="00283AD0" w:rsidP="00283AD0">
      <w:pPr>
        <w:pStyle w:val="Notefortableorfigure"/>
        <w:rPr>
          <w:rFonts w:cs="Arial"/>
        </w:rPr>
      </w:pPr>
      <w:r w:rsidRPr="008034CE">
        <w:rPr>
          <w:rFonts w:cs="Arial"/>
        </w:rPr>
        <w:t>Note: Registration status is determined as at the posting date of payment. Some providers may be counted more than once if they changed registration status during the period.</w:t>
      </w:r>
    </w:p>
    <w:p w14:paraId="0BE654F0" w14:textId="77777777" w:rsidR="006B16A7" w:rsidRDefault="006B16A7">
      <w:pPr>
        <w:spacing w:before="120" w:after="120"/>
        <w:rPr>
          <w:rFonts w:eastAsiaTheme="minorEastAsia" w:cs="Arial"/>
          <w:sz w:val="20"/>
          <w:szCs w:val="18"/>
        </w:rPr>
      </w:pPr>
      <w:r>
        <w:rPr>
          <w:rFonts w:cs="Arial"/>
        </w:rPr>
        <w:br w:type="page"/>
      </w:r>
    </w:p>
    <w:p w14:paraId="706568FF" w14:textId="369D52C4" w:rsidR="006B16A7" w:rsidRPr="008034CE" w:rsidRDefault="006B16A7" w:rsidP="006B16A7">
      <w:r w:rsidRPr="008034CE">
        <w:lastRenderedPageBreak/>
        <w:fldChar w:fldCharType="begin"/>
      </w:r>
      <w:r w:rsidRPr="008034CE">
        <w:instrText xml:space="preserve"> REF _Ref195556121 \h  \* MERGEFORMAT </w:instrText>
      </w:r>
      <w:r w:rsidRPr="008034CE">
        <w:fldChar w:fldCharType="separate"/>
      </w:r>
      <w:r w:rsidR="005763F9" w:rsidRPr="008034CE">
        <w:t xml:space="preserve">Figure </w:t>
      </w:r>
      <w:r w:rsidR="005763F9">
        <w:t>4</w:t>
      </w:r>
      <w:r w:rsidRPr="008034CE">
        <w:fldChar w:fldCharType="end"/>
      </w:r>
      <w:r w:rsidRPr="008034CE">
        <w:t xml:space="preserve"> illustrates steady growth in DSW-related supports from January to June 2022 to July to December 2024. Total expenditure on DSW-related supports made up 65.5% of the total scheme expenditure for the six months to December 2024 ($15.0 billion).</w:t>
      </w:r>
    </w:p>
    <w:p w14:paraId="7D79E8CF" w14:textId="608C120B" w:rsidR="006B16A7" w:rsidRPr="008034CE" w:rsidRDefault="006B16A7" w:rsidP="006B16A7">
      <w:pPr>
        <w:pStyle w:val="Caption"/>
      </w:pPr>
      <w:bookmarkStart w:id="188" w:name="_Ref195556121"/>
      <w:r w:rsidRPr="008034CE">
        <w:t xml:space="preserve">Figure </w:t>
      </w:r>
      <w:r w:rsidR="005763F9">
        <w:fldChar w:fldCharType="begin"/>
      </w:r>
      <w:r w:rsidR="005763F9">
        <w:instrText xml:space="preserve"> SEQ Figure \* ARABIC </w:instrText>
      </w:r>
      <w:r w:rsidR="005763F9">
        <w:fldChar w:fldCharType="separate"/>
      </w:r>
      <w:r w:rsidR="005763F9">
        <w:rPr>
          <w:noProof/>
        </w:rPr>
        <w:t>4</w:t>
      </w:r>
      <w:r w:rsidR="005763F9">
        <w:rPr>
          <w:noProof/>
        </w:rPr>
        <w:fldChar w:fldCharType="end"/>
      </w:r>
      <w:bookmarkEnd w:id="188"/>
      <w:r w:rsidRPr="008034CE">
        <w:t>: NDIS Expenditure on DSW-related Supports since January 2022 Relative to Total NDIS Expenditure</w:t>
      </w:r>
    </w:p>
    <w:p w14:paraId="48E535E0" w14:textId="77777777" w:rsidR="006B16A7" w:rsidRPr="008034CE" w:rsidRDefault="006B16A7" w:rsidP="006B16A7">
      <w:pPr>
        <w:pStyle w:val="Image"/>
        <w:rPr>
          <w:rFonts w:cs="Arial"/>
          <w:noProof w:val="0"/>
          <w:lang w:eastAsia="en-AU"/>
        </w:rPr>
      </w:pPr>
      <w:r w:rsidRPr="008034CE">
        <w:drawing>
          <wp:inline distT="0" distB="0" distL="0" distR="0" wp14:anchorId="3490D9B6" wp14:editId="33FCF628">
            <wp:extent cx="5813426" cy="3003550"/>
            <wp:effectExtent l="0" t="0" r="0" b="6350"/>
            <wp:docPr id="1375039389" name="Picture 1" descr="A column and dot graph showing the NDIS expenditure on DSW-related supports since January 2022 Relative to total NDIS expenditure.&#10;&#10;The total payments have steadily increased, whilst the percentage relative to the total scheme has remained fairly stable.&#10;&#10;From January to June 2022, the total payments for DSW related supports were $8.9b, which accounted for 57.5% of the total scheme.&#10;&#10;From July to December 2022, the total payments for DSW related supports were $10.3b, which accounted for 61.3% of the total scheme.&#10;&#10;From January to June 2023, the total payments for DSW related supports were $11.8b, which accounted for 64.0% of the total scheme.&#10;&#10;From July to December 2023, the total payments for DSW related supports were $13.0b, which accounted for 63.9% of the total scheme.&#10;&#10;From January to June 2024, the total payments for DSW related supports were $14.0b, which accounted for 65.5% of the total scheme.&#10;I&#10;From July to December 2024, the total payments for DSW related supports were $15.0b, which accounted for 65.5% of the total scheme.&#10;&#10;Source: NDIS internal administrative dat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8">
                      <a:extLst>
                        <a:ext uri="{28A0092B-C50C-407E-A947-70E740481C1C}">
                          <a14:useLocalDpi xmlns:a14="http://schemas.microsoft.com/office/drawing/2010/main" val="0"/>
                        </a:ext>
                      </a:extLst>
                    </a:blip>
                    <a:stretch>
                      <a:fillRect/>
                    </a:stretch>
                  </pic:blipFill>
                  <pic:spPr>
                    <a:xfrm>
                      <a:off x="0" y="0"/>
                      <a:ext cx="5813426" cy="3003550"/>
                    </a:xfrm>
                    <a:prstGeom prst="rect">
                      <a:avLst/>
                    </a:prstGeom>
                  </pic:spPr>
                </pic:pic>
              </a:graphicData>
            </a:graphic>
          </wp:inline>
        </w:drawing>
      </w:r>
      <w:bookmarkStart w:id="189" w:name="_Toc164424392"/>
      <w:bookmarkStart w:id="190" w:name="_Toc164970245"/>
    </w:p>
    <w:p w14:paraId="1C50A2C7" w14:textId="77777777" w:rsidR="006B16A7" w:rsidRPr="008034CE" w:rsidRDefault="006B16A7" w:rsidP="00BF6D97">
      <w:pPr>
        <w:pStyle w:val="Heading4"/>
      </w:pPr>
      <w:bookmarkStart w:id="191" w:name="_Toc200103486"/>
      <w:bookmarkStart w:id="192" w:name="_Toc200271599"/>
      <w:r w:rsidRPr="008034CE">
        <w:t>Participants</w:t>
      </w:r>
      <w:bookmarkEnd w:id="189"/>
      <w:bookmarkEnd w:id="190"/>
      <w:bookmarkEnd w:id="191"/>
      <w:bookmarkEnd w:id="192"/>
    </w:p>
    <w:p w14:paraId="5C815BF2" w14:textId="0E93981D" w:rsidR="006B16A7" w:rsidRPr="008034CE" w:rsidRDefault="006B16A7" w:rsidP="006B16A7">
      <w:r w:rsidRPr="008034CE">
        <w:t xml:space="preserve">The top ten DSW-related support items with the highest total payments between July and December 2024 are shown in </w:t>
      </w:r>
      <w:r w:rsidRPr="008034CE">
        <w:fldChar w:fldCharType="begin"/>
      </w:r>
      <w:r w:rsidRPr="008034CE">
        <w:instrText xml:space="preserve"> REF _Ref195556238 \h  \* MERGEFORMAT </w:instrText>
      </w:r>
      <w:r w:rsidRPr="008034CE">
        <w:fldChar w:fldCharType="separate"/>
      </w:r>
      <w:r w:rsidR="005763F9" w:rsidRPr="008034CE">
        <w:t xml:space="preserve">Table </w:t>
      </w:r>
      <w:r w:rsidR="005763F9">
        <w:t>4</w:t>
      </w:r>
      <w:r w:rsidRPr="008034CE">
        <w:fldChar w:fldCharType="end"/>
      </w:r>
      <w:r w:rsidRPr="008034CE">
        <w:t xml:space="preserve">. </w:t>
      </w:r>
    </w:p>
    <w:p w14:paraId="69B140D5" w14:textId="5B8FA5D4" w:rsidR="006B16A7" w:rsidRPr="008034CE" w:rsidRDefault="006B16A7" w:rsidP="006B16A7">
      <w:r w:rsidRPr="008034CE">
        <w:t xml:space="preserve">Standard supports such as </w:t>
      </w:r>
      <w:r w:rsidRPr="008034CE">
        <w:rPr>
          <w:i/>
          <w:iCs/>
        </w:rPr>
        <w:t xml:space="preserve">Assistance with Self-Care Activities – Standard </w:t>
      </w:r>
      <w:r w:rsidRPr="008034CE">
        <w:t xml:space="preserve">and </w:t>
      </w:r>
      <w:r w:rsidRPr="008034CE">
        <w:rPr>
          <w:i/>
          <w:iCs/>
        </w:rPr>
        <w:t xml:space="preserve">Community, Social and Recreational Activities – Standard </w:t>
      </w:r>
      <w:r w:rsidRPr="008034CE">
        <w:t>had the highest participant volumes and were delivered by 83,610 and 89,138 providers respectively – well above the number of registered providers in the Scheme (</w:t>
      </w:r>
      <w:r w:rsidRPr="008034CE">
        <w:fldChar w:fldCharType="begin"/>
      </w:r>
      <w:r w:rsidRPr="008034CE">
        <w:instrText xml:space="preserve"> REF _Ref195556238 \h  \* MERGEFORMAT </w:instrText>
      </w:r>
      <w:r w:rsidRPr="008034CE">
        <w:fldChar w:fldCharType="separate"/>
      </w:r>
      <w:r w:rsidR="005763F9" w:rsidRPr="008034CE">
        <w:t xml:space="preserve">Table </w:t>
      </w:r>
      <w:r w:rsidR="005763F9">
        <w:t>4</w:t>
      </w:r>
      <w:r w:rsidRPr="008034CE">
        <w:fldChar w:fldCharType="end"/>
      </w:r>
      <w:r w:rsidRPr="008034CE">
        <w:t xml:space="preserve">). </w:t>
      </w:r>
    </w:p>
    <w:p w14:paraId="50111720" w14:textId="7B12DF92" w:rsidR="006B16A7" w:rsidRPr="008034CE" w:rsidRDefault="006B16A7" w:rsidP="006B16A7">
      <w:r w:rsidRPr="008034CE">
        <w:t xml:space="preserve">By contrast, high-intensity supports such as </w:t>
      </w:r>
      <w:r w:rsidRPr="008034CE">
        <w:rPr>
          <w:i/>
          <w:iCs/>
        </w:rPr>
        <w:t xml:space="preserve">SIL – High Intensity </w:t>
      </w:r>
      <w:r w:rsidRPr="008034CE">
        <w:t xml:space="preserve">and </w:t>
      </w:r>
      <w:r w:rsidRPr="008034CE">
        <w:rPr>
          <w:i/>
          <w:iCs/>
        </w:rPr>
        <w:t xml:space="preserve">Assistance with Self-Care Activities – High Intensity </w:t>
      </w:r>
      <w:r w:rsidRPr="008034CE">
        <w:t>were accessed by fewer participants and delivered by 1,478 and 5,223 providers, respectively (</w:t>
      </w:r>
      <w:r w:rsidRPr="008034CE">
        <w:fldChar w:fldCharType="begin"/>
      </w:r>
      <w:r w:rsidRPr="008034CE">
        <w:instrText xml:space="preserve"> REF _Ref195556238 \h  \* MERGEFORMAT </w:instrText>
      </w:r>
      <w:r w:rsidRPr="008034CE">
        <w:fldChar w:fldCharType="separate"/>
      </w:r>
      <w:r w:rsidR="005763F9" w:rsidRPr="008034CE">
        <w:t xml:space="preserve">Table </w:t>
      </w:r>
      <w:r w:rsidR="005763F9">
        <w:t>4</w:t>
      </w:r>
      <w:r w:rsidRPr="008034CE">
        <w:fldChar w:fldCharType="end"/>
      </w:r>
      <w:r w:rsidRPr="008034CE">
        <w:t xml:space="preserve">). </w:t>
      </w:r>
    </w:p>
    <w:p w14:paraId="3AB1081B" w14:textId="3CD467A5" w:rsidR="006B16A7" w:rsidRDefault="006B16A7" w:rsidP="006B16A7">
      <w:r w:rsidRPr="008034CE">
        <w:t>This demonstrates how support characteristics can shape who delivers them. Higher intensity supports are more commonly delivered by registered organisations, while standard supports are more broadly distributed, including through unregistered and smaller scale business models.</w:t>
      </w:r>
    </w:p>
    <w:p w14:paraId="3B98F065" w14:textId="77777777" w:rsidR="006B16A7" w:rsidRDefault="006B16A7">
      <w:pPr>
        <w:spacing w:before="120" w:after="120"/>
      </w:pPr>
      <w:r>
        <w:br w:type="page"/>
      </w:r>
    </w:p>
    <w:p w14:paraId="15A2AEFF" w14:textId="099604D7" w:rsidR="006B16A7" w:rsidRPr="008034CE" w:rsidRDefault="006B16A7" w:rsidP="006B16A7">
      <w:pPr>
        <w:pStyle w:val="Caption"/>
      </w:pPr>
      <w:bookmarkStart w:id="193" w:name="_Ref195556238"/>
      <w:r w:rsidRPr="008034CE">
        <w:lastRenderedPageBreak/>
        <w:t xml:space="preserve">Table </w:t>
      </w:r>
      <w:r w:rsidR="005763F9">
        <w:fldChar w:fldCharType="begin"/>
      </w:r>
      <w:r w:rsidR="005763F9">
        <w:instrText xml:space="preserve"> SEQ Table \* ARABIC </w:instrText>
      </w:r>
      <w:r w:rsidR="005763F9">
        <w:fldChar w:fldCharType="separate"/>
      </w:r>
      <w:r w:rsidR="005763F9">
        <w:rPr>
          <w:noProof/>
        </w:rPr>
        <w:t>4</w:t>
      </w:r>
      <w:r w:rsidR="005763F9">
        <w:rPr>
          <w:noProof/>
        </w:rPr>
        <w:fldChar w:fldCharType="end"/>
      </w:r>
      <w:bookmarkEnd w:id="193"/>
      <w:r w:rsidRPr="008034CE">
        <w:t>: Top 10 largest DSW-related supports (based on payments), July to December 2024</w:t>
      </w:r>
    </w:p>
    <w:tbl>
      <w:tblPr>
        <w:tblStyle w:val="GridTable4-Accent12"/>
        <w:tblW w:w="0" w:type="auto"/>
        <w:tblInd w:w="3" w:type="dxa"/>
        <w:tblLayout w:type="fixed"/>
        <w:tblLook w:val="04A0" w:firstRow="1" w:lastRow="0" w:firstColumn="1" w:lastColumn="0" w:noHBand="0" w:noVBand="1"/>
      </w:tblPr>
      <w:tblGrid>
        <w:gridCol w:w="3719"/>
        <w:gridCol w:w="1893"/>
        <w:gridCol w:w="1691"/>
        <w:gridCol w:w="1691"/>
      </w:tblGrid>
      <w:tr w:rsidR="006B16A7" w:rsidRPr="009E6A8E" w14:paraId="117C2A22" w14:textId="77777777" w:rsidTr="001E519A">
        <w:trPr>
          <w:cnfStyle w:val="100000000000" w:firstRow="1" w:lastRow="0" w:firstColumn="0" w:lastColumn="0" w:oddVBand="0" w:evenVBand="0" w:oddHBand="0" w:evenHBand="0" w:firstRowFirstColumn="0" w:firstRowLastColumn="0" w:lastRowFirstColumn="0" w:lastRowLastColumn="0"/>
          <w:trHeight w:val="627"/>
          <w:tblHeader/>
        </w:trPr>
        <w:tc>
          <w:tcPr>
            <w:cnfStyle w:val="001000000000" w:firstRow="0" w:lastRow="0" w:firstColumn="1" w:lastColumn="0" w:oddVBand="0" w:evenVBand="0" w:oddHBand="0" w:evenHBand="0" w:firstRowFirstColumn="0" w:firstRowLastColumn="0" w:lastRowFirstColumn="0" w:lastRowLastColumn="0"/>
            <w:tcW w:w="3719" w:type="dxa"/>
            <w:hideMark/>
          </w:tcPr>
          <w:p w14:paraId="08A1E083" w14:textId="77777777" w:rsidR="006B16A7" w:rsidRPr="007C1E37" w:rsidRDefault="006B16A7" w:rsidP="001E519A">
            <w:pPr>
              <w:spacing w:before="60" w:after="60"/>
              <w:rPr>
                <w:rFonts w:cs="Arial"/>
                <w:sz w:val="20"/>
                <w:szCs w:val="20"/>
              </w:rPr>
            </w:pPr>
            <w:r w:rsidRPr="007C1E37">
              <w:rPr>
                <w:rFonts w:cs="Arial"/>
                <w:sz w:val="20"/>
                <w:szCs w:val="20"/>
              </w:rPr>
              <w:t>Support Delivered</w:t>
            </w:r>
          </w:p>
        </w:tc>
        <w:tc>
          <w:tcPr>
            <w:tcW w:w="1893" w:type="dxa"/>
            <w:hideMark/>
          </w:tcPr>
          <w:p w14:paraId="452EBFDB" w14:textId="77777777" w:rsidR="006B16A7" w:rsidRPr="007C1E37" w:rsidRDefault="006B16A7" w:rsidP="001E519A">
            <w:pPr>
              <w:spacing w:before="60" w:after="60"/>
              <w:jc w:val="right"/>
              <w:cnfStyle w:val="100000000000" w:firstRow="1" w:lastRow="0" w:firstColumn="0" w:lastColumn="0" w:oddVBand="0" w:evenVBand="0" w:oddHBand="0" w:evenHBand="0" w:firstRowFirstColumn="0" w:firstRowLastColumn="0" w:lastRowFirstColumn="0" w:lastRowLastColumn="0"/>
              <w:rPr>
                <w:rFonts w:cs="Arial"/>
                <w:sz w:val="20"/>
                <w:szCs w:val="20"/>
              </w:rPr>
            </w:pPr>
            <w:r w:rsidRPr="007C1E37">
              <w:rPr>
                <w:rFonts w:cs="Arial"/>
                <w:sz w:val="20"/>
                <w:szCs w:val="20"/>
              </w:rPr>
              <w:t>Total payments ($ million)</w:t>
            </w:r>
          </w:p>
        </w:tc>
        <w:tc>
          <w:tcPr>
            <w:tcW w:w="1691" w:type="dxa"/>
          </w:tcPr>
          <w:p w14:paraId="2D830C3A" w14:textId="77777777" w:rsidR="006B16A7" w:rsidRPr="007C1E37" w:rsidRDefault="006B16A7" w:rsidP="001E519A">
            <w:pPr>
              <w:spacing w:before="60" w:after="60"/>
              <w:jc w:val="right"/>
              <w:cnfStyle w:val="100000000000" w:firstRow="1" w:lastRow="0" w:firstColumn="0" w:lastColumn="0" w:oddVBand="0" w:evenVBand="0" w:oddHBand="0" w:evenHBand="0" w:firstRowFirstColumn="0" w:firstRowLastColumn="0" w:lastRowFirstColumn="0" w:lastRowLastColumn="0"/>
              <w:rPr>
                <w:rFonts w:cs="Arial"/>
                <w:sz w:val="20"/>
                <w:szCs w:val="20"/>
              </w:rPr>
            </w:pPr>
            <w:r w:rsidRPr="007C1E37">
              <w:rPr>
                <w:rFonts w:cs="Arial"/>
                <w:sz w:val="20"/>
                <w:szCs w:val="20"/>
              </w:rPr>
              <w:t>Number of Participants</w:t>
            </w:r>
          </w:p>
        </w:tc>
        <w:tc>
          <w:tcPr>
            <w:tcW w:w="1691" w:type="dxa"/>
            <w:hideMark/>
          </w:tcPr>
          <w:p w14:paraId="1778D47B" w14:textId="77777777" w:rsidR="006B16A7" w:rsidRPr="009E6A8E" w:rsidRDefault="006B16A7" w:rsidP="001E519A">
            <w:pPr>
              <w:spacing w:before="60" w:after="60"/>
              <w:jc w:val="right"/>
              <w:cnfStyle w:val="100000000000" w:firstRow="1" w:lastRow="0" w:firstColumn="0" w:lastColumn="0" w:oddVBand="0" w:evenVBand="0" w:oddHBand="0" w:evenHBand="0" w:firstRowFirstColumn="0" w:firstRowLastColumn="0" w:lastRowFirstColumn="0" w:lastRowLastColumn="0"/>
              <w:rPr>
                <w:rFonts w:cs="Arial"/>
                <w:sz w:val="20"/>
                <w:szCs w:val="20"/>
                <w:highlight w:val="green"/>
              </w:rPr>
            </w:pPr>
            <w:r w:rsidRPr="00904460">
              <w:rPr>
                <w:rFonts w:cs="Arial"/>
                <w:sz w:val="20"/>
                <w:szCs w:val="20"/>
              </w:rPr>
              <w:t>Number of Providers</w:t>
            </w:r>
          </w:p>
        </w:tc>
      </w:tr>
      <w:tr w:rsidR="006B16A7" w:rsidRPr="00BF65C4" w14:paraId="0F5B3F02" w14:textId="77777777" w:rsidTr="001E519A">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3719" w:type="dxa"/>
            <w:vAlign w:val="center"/>
            <w:hideMark/>
          </w:tcPr>
          <w:p w14:paraId="63691DB6" w14:textId="77777777" w:rsidR="006B16A7" w:rsidRPr="007C1E37" w:rsidRDefault="006B16A7" w:rsidP="001E519A">
            <w:pPr>
              <w:spacing w:before="60" w:after="60"/>
              <w:ind w:left="37"/>
              <w:rPr>
                <w:rFonts w:cs="Arial"/>
                <w:bCs w:val="0"/>
                <w:sz w:val="20"/>
                <w:szCs w:val="20"/>
                <w:lang w:eastAsia="en-AU"/>
              </w:rPr>
            </w:pPr>
            <w:r w:rsidRPr="007C1E37">
              <w:rPr>
                <w:rFonts w:cs="Arial"/>
                <w:bCs w:val="0"/>
                <w:sz w:val="20"/>
                <w:szCs w:val="20"/>
                <w:lang w:eastAsia="en-AU"/>
              </w:rPr>
              <w:t>Assistance in Supported Independent Living Standard</w:t>
            </w:r>
          </w:p>
        </w:tc>
        <w:tc>
          <w:tcPr>
            <w:tcW w:w="1893" w:type="dxa"/>
            <w:vAlign w:val="center"/>
            <w:hideMark/>
          </w:tcPr>
          <w:p w14:paraId="52A5B445" w14:textId="77777777" w:rsidR="006B16A7" w:rsidRPr="007C1E37" w:rsidRDefault="006B16A7" w:rsidP="001E519A">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7C1E37">
              <w:rPr>
                <w:rFonts w:cs="Arial"/>
                <w:color w:val="000000"/>
                <w:sz w:val="20"/>
                <w:szCs w:val="20"/>
                <w:lang w:eastAsia="en-AU"/>
              </w:rPr>
              <w:t>$4,838</w:t>
            </w:r>
          </w:p>
        </w:tc>
        <w:tc>
          <w:tcPr>
            <w:tcW w:w="1691" w:type="dxa"/>
            <w:vAlign w:val="center"/>
          </w:tcPr>
          <w:p w14:paraId="3A019D26" w14:textId="77777777" w:rsidR="006B16A7" w:rsidRPr="007C1E37" w:rsidRDefault="006B16A7" w:rsidP="001E519A">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7C1E37">
              <w:rPr>
                <w:rFonts w:cs="Arial"/>
                <w:color w:val="000000"/>
                <w:sz w:val="20"/>
                <w:szCs w:val="20"/>
                <w:lang w:eastAsia="en-AU"/>
              </w:rPr>
              <w:t>36,038</w:t>
            </w:r>
          </w:p>
        </w:tc>
        <w:tc>
          <w:tcPr>
            <w:tcW w:w="1691" w:type="dxa"/>
            <w:vAlign w:val="center"/>
            <w:hideMark/>
          </w:tcPr>
          <w:p w14:paraId="6AF68BBA" w14:textId="77777777" w:rsidR="006B16A7" w:rsidRPr="00BF65C4" w:rsidRDefault="006B16A7" w:rsidP="001E519A">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BF65C4">
              <w:rPr>
                <w:rFonts w:cs="Arial"/>
                <w:color w:val="000000"/>
                <w:sz w:val="20"/>
                <w:szCs w:val="20"/>
                <w:lang w:eastAsia="en-AU"/>
              </w:rPr>
              <w:t>7,426</w:t>
            </w:r>
          </w:p>
        </w:tc>
      </w:tr>
      <w:tr w:rsidR="006B16A7" w:rsidRPr="00BF65C4" w14:paraId="7C622158" w14:textId="77777777" w:rsidTr="001E519A">
        <w:trPr>
          <w:trHeight w:val="22"/>
        </w:trPr>
        <w:tc>
          <w:tcPr>
            <w:cnfStyle w:val="001000000000" w:firstRow="0" w:lastRow="0" w:firstColumn="1" w:lastColumn="0" w:oddVBand="0" w:evenVBand="0" w:oddHBand="0" w:evenHBand="0" w:firstRowFirstColumn="0" w:firstRowLastColumn="0" w:lastRowFirstColumn="0" w:lastRowLastColumn="0"/>
            <w:tcW w:w="3719" w:type="dxa"/>
            <w:vAlign w:val="center"/>
            <w:hideMark/>
          </w:tcPr>
          <w:p w14:paraId="3A8CDA83" w14:textId="77777777" w:rsidR="006B16A7" w:rsidRPr="007C1E37" w:rsidRDefault="006B16A7" w:rsidP="001E519A">
            <w:pPr>
              <w:spacing w:before="60" w:after="60"/>
              <w:ind w:left="37"/>
              <w:rPr>
                <w:rFonts w:cs="Arial"/>
                <w:bCs w:val="0"/>
                <w:sz w:val="20"/>
                <w:szCs w:val="20"/>
                <w:lang w:eastAsia="en-AU"/>
              </w:rPr>
            </w:pPr>
            <w:r w:rsidRPr="007C1E37">
              <w:rPr>
                <w:rFonts w:cs="Arial"/>
                <w:bCs w:val="0"/>
                <w:sz w:val="20"/>
                <w:szCs w:val="20"/>
                <w:lang w:eastAsia="en-AU"/>
              </w:rPr>
              <w:t>Assistance with Self-Care Activities Standard</w:t>
            </w:r>
          </w:p>
        </w:tc>
        <w:tc>
          <w:tcPr>
            <w:tcW w:w="1893" w:type="dxa"/>
            <w:vAlign w:val="center"/>
            <w:hideMark/>
          </w:tcPr>
          <w:p w14:paraId="48A7A290" w14:textId="77777777" w:rsidR="006B16A7" w:rsidRPr="007C1E37" w:rsidRDefault="006B16A7" w:rsidP="001E519A">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7C1E37">
              <w:rPr>
                <w:rFonts w:cs="Arial"/>
                <w:color w:val="000000"/>
                <w:sz w:val="20"/>
                <w:szCs w:val="20"/>
                <w:lang w:eastAsia="en-AU"/>
              </w:rPr>
              <w:t>$3,592</w:t>
            </w:r>
          </w:p>
        </w:tc>
        <w:tc>
          <w:tcPr>
            <w:tcW w:w="1691" w:type="dxa"/>
            <w:vAlign w:val="center"/>
          </w:tcPr>
          <w:p w14:paraId="62145962" w14:textId="77777777" w:rsidR="006B16A7" w:rsidRPr="007C1E37" w:rsidRDefault="006B16A7" w:rsidP="001E519A">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7C1E37">
              <w:rPr>
                <w:rFonts w:cs="Arial"/>
                <w:color w:val="000000"/>
                <w:sz w:val="20"/>
                <w:szCs w:val="20"/>
                <w:lang w:eastAsia="en-AU"/>
              </w:rPr>
              <w:t>147,018</w:t>
            </w:r>
          </w:p>
        </w:tc>
        <w:tc>
          <w:tcPr>
            <w:tcW w:w="1691" w:type="dxa"/>
            <w:vAlign w:val="center"/>
            <w:hideMark/>
          </w:tcPr>
          <w:p w14:paraId="41B5F418" w14:textId="77777777" w:rsidR="006B16A7" w:rsidRPr="00BF65C4" w:rsidRDefault="006B16A7" w:rsidP="001E519A">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BF65C4">
              <w:rPr>
                <w:rFonts w:cs="Arial"/>
                <w:color w:val="000000"/>
                <w:sz w:val="20"/>
                <w:szCs w:val="20"/>
                <w:lang w:eastAsia="en-AU"/>
              </w:rPr>
              <w:t>83,610</w:t>
            </w:r>
          </w:p>
        </w:tc>
      </w:tr>
      <w:tr w:rsidR="006B16A7" w:rsidRPr="00BF65C4" w14:paraId="710C1E52" w14:textId="77777777" w:rsidTr="001E519A">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3719" w:type="dxa"/>
            <w:vAlign w:val="center"/>
            <w:hideMark/>
          </w:tcPr>
          <w:p w14:paraId="5BA62AFF" w14:textId="77777777" w:rsidR="006B16A7" w:rsidRPr="007C1E37" w:rsidRDefault="006B16A7" w:rsidP="001E519A">
            <w:pPr>
              <w:spacing w:before="60" w:after="60"/>
              <w:ind w:left="37"/>
              <w:rPr>
                <w:rFonts w:cs="Arial"/>
                <w:bCs w:val="0"/>
                <w:sz w:val="20"/>
                <w:szCs w:val="20"/>
                <w:lang w:eastAsia="en-AU"/>
              </w:rPr>
            </w:pPr>
            <w:r w:rsidRPr="007C1E37">
              <w:rPr>
                <w:rFonts w:cs="Arial"/>
                <w:bCs w:val="0"/>
                <w:sz w:val="20"/>
                <w:szCs w:val="20"/>
                <w:lang w:eastAsia="en-AU"/>
              </w:rPr>
              <w:t>Access Community Social and Recreational Activities Standard</w:t>
            </w:r>
          </w:p>
        </w:tc>
        <w:tc>
          <w:tcPr>
            <w:tcW w:w="1893" w:type="dxa"/>
            <w:vAlign w:val="center"/>
            <w:hideMark/>
          </w:tcPr>
          <w:p w14:paraId="10CC668F" w14:textId="77777777" w:rsidR="006B16A7" w:rsidRPr="007C1E37" w:rsidRDefault="006B16A7" w:rsidP="001E519A">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7C1E37">
              <w:rPr>
                <w:rFonts w:cs="Arial"/>
                <w:color w:val="000000"/>
                <w:sz w:val="20"/>
                <w:szCs w:val="20"/>
                <w:lang w:eastAsia="en-AU"/>
              </w:rPr>
              <w:t>$3,522</w:t>
            </w:r>
          </w:p>
        </w:tc>
        <w:tc>
          <w:tcPr>
            <w:tcW w:w="1691" w:type="dxa"/>
            <w:vAlign w:val="center"/>
          </w:tcPr>
          <w:p w14:paraId="0C874156" w14:textId="77777777" w:rsidR="006B16A7" w:rsidRPr="007C1E37" w:rsidRDefault="006B16A7" w:rsidP="001E519A">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7C1E37">
              <w:rPr>
                <w:rFonts w:cs="Arial"/>
                <w:color w:val="000000"/>
                <w:sz w:val="20"/>
                <w:szCs w:val="20"/>
                <w:lang w:eastAsia="en-AU"/>
              </w:rPr>
              <w:t>237,206</w:t>
            </w:r>
          </w:p>
        </w:tc>
        <w:tc>
          <w:tcPr>
            <w:tcW w:w="1691" w:type="dxa"/>
            <w:vAlign w:val="center"/>
            <w:hideMark/>
          </w:tcPr>
          <w:p w14:paraId="3BE23B5C" w14:textId="77777777" w:rsidR="006B16A7" w:rsidRPr="00BF65C4" w:rsidRDefault="006B16A7" w:rsidP="001E519A">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BF65C4">
              <w:rPr>
                <w:rFonts w:cs="Arial"/>
                <w:color w:val="000000"/>
                <w:sz w:val="20"/>
                <w:szCs w:val="20"/>
                <w:lang w:eastAsia="en-AU"/>
              </w:rPr>
              <w:t>89,138</w:t>
            </w:r>
          </w:p>
        </w:tc>
      </w:tr>
      <w:tr w:rsidR="006B16A7" w:rsidRPr="00BF65C4" w14:paraId="495EDF10" w14:textId="77777777" w:rsidTr="001E519A">
        <w:trPr>
          <w:trHeight w:val="22"/>
        </w:trPr>
        <w:tc>
          <w:tcPr>
            <w:cnfStyle w:val="001000000000" w:firstRow="0" w:lastRow="0" w:firstColumn="1" w:lastColumn="0" w:oddVBand="0" w:evenVBand="0" w:oddHBand="0" w:evenHBand="0" w:firstRowFirstColumn="0" w:firstRowLastColumn="0" w:lastRowFirstColumn="0" w:lastRowLastColumn="0"/>
            <w:tcW w:w="3719" w:type="dxa"/>
            <w:vAlign w:val="center"/>
            <w:hideMark/>
          </w:tcPr>
          <w:p w14:paraId="78F43130" w14:textId="77777777" w:rsidR="006B16A7" w:rsidRPr="007C1E37" w:rsidRDefault="006B16A7" w:rsidP="001E519A">
            <w:pPr>
              <w:spacing w:before="60" w:after="60"/>
              <w:ind w:left="37"/>
              <w:rPr>
                <w:rFonts w:cs="Arial"/>
                <w:bCs w:val="0"/>
                <w:sz w:val="20"/>
                <w:szCs w:val="20"/>
                <w:lang w:eastAsia="en-AU"/>
              </w:rPr>
            </w:pPr>
            <w:r w:rsidRPr="007C1E37">
              <w:rPr>
                <w:rFonts w:cs="Arial"/>
                <w:bCs w:val="0"/>
                <w:sz w:val="20"/>
                <w:szCs w:val="20"/>
                <w:lang w:eastAsia="en-AU"/>
              </w:rPr>
              <w:t>Group Activities Standard</w:t>
            </w:r>
          </w:p>
        </w:tc>
        <w:tc>
          <w:tcPr>
            <w:tcW w:w="1893" w:type="dxa"/>
            <w:vAlign w:val="center"/>
            <w:hideMark/>
          </w:tcPr>
          <w:p w14:paraId="4B0FF2F3" w14:textId="77777777" w:rsidR="006B16A7" w:rsidRPr="007C1E37" w:rsidRDefault="006B16A7" w:rsidP="001E519A">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7C1E37">
              <w:rPr>
                <w:rFonts w:cs="Arial"/>
                <w:color w:val="000000"/>
                <w:sz w:val="20"/>
                <w:szCs w:val="20"/>
                <w:lang w:eastAsia="en-AU"/>
              </w:rPr>
              <w:t>$585</w:t>
            </w:r>
          </w:p>
        </w:tc>
        <w:tc>
          <w:tcPr>
            <w:tcW w:w="1691" w:type="dxa"/>
            <w:vAlign w:val="center"/>
          </w:tcPr>
          <w:p w14:paraId="3DE83F80" w14:textId="77777777" w:rsidR="006B16A7" w:rsidRPr="007C1E37" w:rsidRDefault="006B16A7" w:rsidP="001E519A">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7C1E37">
              <w:rPr>
                <w:rFonts w:cs="Arial"/>
                <w:color w:val="000000"/>
                <w:sz w:val="20"/>
                <w:szCs w:val="20"/>
                <w:lang w:eastAsia="en-AU"/>
              </w:rPr>
              <w:t>62,686</w:t>
            </w:r>
          </w:p>
        </w:tc>
        <w:tc>
          <w:tcPr>
            <w:tcW w:w="1691" w:type="dxa"/>
            <w:vAlign w:val="center"/>
            <w:hideMark/>
          </w:tcPr>
          <w:p w14:paraId="11D8E892" w14:textId="77777777" w:rsidR="006B16A7" w:rsidRPr="00BF65C4" w:rsidRDefault="006B16A7" w:rsidP="001E519A">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BF65C4">
              <w:rPr>
                <w:rFonts w:cs="Arial"/>
                <w:color w:val="000000"/>
                <w:sz w:val="20"/>
                <w:szCs w:val="20"/>
                <w:lang w:eastAsia="en-AU"/>
              </w:rPr>
              <w:t>8,367</w:t>
            </w:r>
          </w:p>
        </w:tc>
      </w:tr>
      <w:tr w:rsidR="006B16A7" w:rsidRPr="00BF65C4" w14:paraId="776BEE06" w14:textId="77777777" w:rsidTr="001E519A">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3719" w:type="dxa"/>
            <w:vAlign w:val="center"/>
            <w:hideMark/>
          </w:tcPr>
          <w:p w14:paraId="57A0413A" w14:textId="77777777" w:rsidR="006B16A7" w:rsidRPr="007C1E37" w:rsidRDefault="006B16A7" w:rsidP="001E519A">
            <w:pPr>
              <w:spacing w:before="60" w:after="60"/>
              <w:ind w:left="37"/>
              <w:rPr>
                <w:rFonts w:cs="Arial"/>
                <w:bCs w:val="0"/>
                <w:sz w:val="20"/>
                <w:szCs w:val="20"/>
                <w:lang w:eastAsia="en-AU"/>
              </w:rPr>
            </w:pPr>
            <w:r w:rsidRPr="007C1E37">
              <w:rPr>
                <w:rFonts w:cs="Arial"/>
                <w:bCs w:val="0"/>
                <w:sz w:val="20"/>
                <w:szCs w:val="20"/>
                <w:lang w:eastAsia="en-AU"/>
              </w:rPr>
              <w:t>STA and Assistance</w:t>
            </w:r>
          </w:p>
        </w:tc>
        <w:tc>
          <w:tcPr>
            <w:tcW w:w="1893" w:type="dxa"/>
            <w:vAlign w:val="center"/>
            <w:hideMark/>
          </w:tcPr>
          <w:p w14:paraId="39F334CC" w14:textId="77777777" w:rsidR="006B16A7" w:rsidRPr="007C1E37" w:rsidRDefault="006B16A7" w:rsidP="001E519A">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7C1E37">
              <w:rPr>
                <w:rFonts w:cs="Arial"/>
                <w:color w:val="000000"/>
                <w:sz w:val="20"/>
                <w:szCs w:val="20"/>
                <w:lang w:eastAsia="en-AU"/>
              </w:rPr>
              <w:t>$449</w:t>
            </w:r>
          </w:p>
        </w:tc>
        <w:tc>
          <w:tcPr>
            <w:tcW w:w="1691" w:type="dxa"/>
            <w:vAlign w:val="center"/>
          </w:tcPr>
          <w:p w14:paraId="423D5113" w14:textId="77777777" w:rsidR="006B16A7" w:rsidRPr="007C1E37" w:rsidRDefault="006B16A7" w:rsidP="001E519A">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7C1E37">
              <w:rPr>
                <w:rFonts w:cs="Arial"/>
                <w:color w:val="000000"/>
                <w:sz w:val="20"/>
                <w:szCs w:val="20"/>
                <w:lang w:eastAsia="en-AU"/>
              </w:rPr>
              <w:t>33,593</w:t>
            </w:r>
          </w:p>
        </w:tc>
        <w:tc>
          <w:tcPr>
            <w:tcW w:w="1691" w:type="dxa"/>
            <w:vAlign w:val="center"/>
            <w:hideMark/>
          </w:tcPr>
          <w:p w14:paraId="455C0D02" w14:textId="77777777" w:rsidR="006B16A7" w:rsidRPr="00BF65C4" w:rsidRDefault="006B16A7" w:rsidP="001E519A">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BF65C4">
              <w:rPr>
                <w:rFonts w:cs="Arial"/>
                <w:color w:val="000000"/>
                <w:sz w:val="20"/>
                <w:szCs w:val="20"/>
                <w:lang w:eastAsia="en-AU"/>
              </w:rPr>
              <w:t>13,993</w:t>
            </w:r>
          </w:p>
        </w:tc>
      </w:tr>
      <w:tr w:rsidR="006B16A7" w:rsidRPr="00BF65C4" w14:paraId="05CD75D5" w14:textId="77777777" w:rsidTr="001E519A">
        <w:trPr>
          <w:trHeight w:val="22"/>
        </w:trPr>
        <w:tc>
          <w:tcPr>
            <w:cnfStyle w:val="001000000000" w:firstRow="0" w:lastRow="0" w:firstColumn="1" w:lastColumn="0" w:oddVBand="0" w:evenVBand="0" w:oddHBand="0" w:evenHBand="0" w:firstRowFirstColumn="0" w:firstRowLastColumn="0" w:lastRowFirstColumn="0" w:lastRowLastColumn="0"/>
            <w:tcW w:w="3719" w:type="dxa"/>
            <w:vAlign w:val="center"/>
            <w:hideMark/>
          </w:tcPr>
          <w:p w14:paraId="02975664" w14:textId="77777777" w:rsidR="006B16A7" w:rsidRPr="007C1E37" w:rsidRDefault="006B16A7" w:rsidP="001E519A">
            <w:pPr>
              <w:spacing w:before="60" w:after="60"/>
              <w:ind w:left="37"/>
              <w:rPr>
                <w:rFonts w:cs="Arial"/>
                <w:bCs w:val="0"/>
                <w:sz w:val="20"/>
                <w:szCs w:val="20"/>
                <w:lang w:eastAsia="en-AU"/>
              </w:rPr>
            </w:pPr>
            <w:r w:rsidRPr="007C1E37">
              <w:rPr>
                <w:rFonts w:cs="Arial"/>
                <w:bCs w:val="0"/>
                <w:sz w:val="20"/>
                <w:szCs w:val="20"/>
                <w:lang w:eastAsia="en-AU"/>
              </w:rPr>
              <w:t>Assistance in Supported Independent Living High Intensity</w:t>
            </w:r>
          </w:p>
        </w:tc>
        <w:tc>
          <w:tcPr>
            <w:tcW w:w="1893" w:type="dxa"/>
            <w:vAlign w:val="center"/>
            <w:hideMark/>
          </w:tcPr>
          <w:p w14:paraId="02D9F7B3" w14:textId="77777777" w:rsidR="006B16A7" w:rsidRPr="007C1E37" w:rsidRDefault="006B16A7" w:rsidP="001E519A">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7C1E37">
              <w:rPr>
                <w:rFonts w:cs="Arial"/>
                <w:color w:val="000000"/>
                <w:sz w:val="20"/>
                <w:szCs w:val="20"/>
                <w:lang w:eastAsia="en-AU"/>
              </w:rPr>
              <w:t>$445</w:t>
            </w:r>
          </w:p>
        </w:tc>
        <w:tc>
          <w:tcPr>
            <w:tcW w:w="1691" w:type="dxa"/>
            <w:vAlign w:val="center"/>
          </w:tcPr>
          <w:p w14:paraId="7F003870" w14:textId="77777777" w:rsidR="006B16A7" w:rsidRPr="007C1E37" w:rsidRDefault="006B16A7" w:rsidP="001E519A">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7C1E37">
              <w:rPr>
                <w:rFonts w:cs="Arial"/>
                <w:color w:val="000000"/>
                <w:sz w:val="20"/>
                <w:szCs w:val="20"/>
                <w:lang w:eastAsia="en-AU"/>
              </w:rPr>
              <w:t>3,827</w:t>
            </w:r>
          </w:p>
        </w:tc>
        <w:tc>
          <w:tcPr>
            <w:tcW w:w="1691" w:type="dxa"/>
            <w:vAlign w:val="center"/>
            <w:hideMark/>
          </w:tcPr>
          <w:p w14:paraId="46820A2F" w14:textId="77777777" w:rsidR="006B16A7" w:rsidRPr="00BF65C4" w:rsidRDefault="006B16A7" w:rsidP="001E519A">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BF65C4">
              <w:rPr>
                <w:rFonts w:cs="Arial"/>
                <w:color w:val="000000"/>
                <w:sz w:val="20"/>
                <w:szCs w:val="20"/>
                <w:lang w:eastAsia="en-AU"/>
              </w:rPr>
              <w:t>1,478</w:t>
            </w:r>
          </w:p>
        </w:tc>
      </w:tr>
      <w:tr w:rsidR="006B16A7" w:rsidRPr="00BF65C4" w14:paraId="4DAE1CF8" w14:textId="77777777" w:rsidTr="001E519A">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3719" w:type="dxa"/>
            <w:vAlign w:val="center"/>
            <w:hideMark/>
          </w:tcPr>
          <w:p w14:paraId="362E2E2B" w14:textId="77777777" w:rsidR="006B16A7" w:rsidRPr="007C1E37" w:rsidRDefault="006B16A7" w:rsidP="001E519A">
            <w:pPr>
              <w:spacing w:before="60" w:after="60"/>
              <w:ind w:left="37"/>
              <w:rPr>
                <w:rFonts w:cs="Arial"/>
                <w:bCs w:val="0"/>
                <w:sz w:val="20"/>
                <w:szCs w:val="20"/>
                <w:lang w:eastAsia="en-AU"/>
              </w:rPr>
            </w:pPr>
            <w:r w:rsidRPr="007C1E37">
              <w:rPr>
                <w:rFonts w:cs="Arial"/>
                <w:bCs w:val="0"/>
                <w:sz w:val="20"/>
                <w:szCs w:val="20"/>
                <w:lang w:eastAsia="en-AU"/>
              </w:rPr>
              <w:t>Assistance with Self-Care Activities High Intensity</w:t>
            </w:r>
          </w:p>
        </w:tc>
        <w:tc>
          <w:tcPr>
            <w:tcW w:w="1893" w:type="dxa"/>
            <w:vAlign w:val="center"/>
            <w:hideMark/>
          </w:tcPr>
          <w:p w14:paraId="24ADED88" w14:textId="77777777" w:rsidR="006B16A7" w:rsidRPr="007C1E37" w:rsidRDefault="006B16A7" w:rsidP="001E519A">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7C1E37">
              <w:rPr>
                <w:rFonts w:cs="Arial"/>
                <w:color w:val="000000"/>
                <w:sz w:val="20"/>
                <w:szCs w:val="20"/>
                <w:lang w:eastAsia="en-AU"/>
              </w:rPr>
              <w:t>$357</w:t>
            </w:r>
          </w:p>
        </w:tc>
        <w:tc>
          <w:tcPr>
            <w:tcW w:w="1691" w:type="dxa"/>
            <w:vAlign w:val="center"/>
          </w:tcPr>
          <w:p w14:paraId="3F7E3FF1" w14:textId="77777777" w:rsidR="006B16A7" w:rsidRPr="007C1E37" w:rsidRDefault="006B16A7" w:rsidP="001E519A">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7C1E37">
              <w:rPr>
                <w:rFonts w:cs="Arial"/>
                <w:color w:val="000000"/>
                <w:sz w:val="20"/>
                <w:szCs w:val="20"/>
                <w:lang w:eastAsia="en-AU"/>
              </w:rPr>
              <w:t>6,452</w:t>
            </w:r>
          </w:p>
        </w:tc>
        <w:tc>
          <w:tcPr>
            <w:tcW w:w="1691" w:type="dxa"/>
            <w:vAlign w:val="center"/>
            <w:hideMark/>
          </w:tcPr>
          <w:p w14:paraId="6967C99B" w14:textId="77777777" w:rsidR="006B16A7" w:rsidRPr="00BF65C4" w:rsidRDefault="006B16A7" w:rsidP="001E519A">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BF65C4">
              <w:rPr>
                <w:rFonts w:cs="Arial"/>
                <w:color w:val="000000"/>
                <w:sz w:val="20"/>
                <w:szCs w:val="20"/>
                <w:lang w:eastAsia="en-AU"/>
              </w:rPr>
              <w:t>5,223</w:t>
            </w:r>
          </w:p>
        </w:tc>
      </w:tr>
      <w:tr w:rsidR="006B16A7" w:rsidRPr="00BF65C4" w14:paraId="4C34796A" w14:textId="77777777" w:rsidTr="001E519A">
        <w:trPr>
          <w:trHeight w:val="22"/>
        </w:trPr>
        <w:tc>
          <w:tcPr>
            <w:cnfStyle w:val="001000000000" w:firstRow="0" w:lastRow="0" w:firstColumn="1" w:lastColumn="0" w:oddVBand="0" w:evenVBand="0" w:oddHBand="0" w:evenHBand="0" w:firstRowFirstColumn="0" w:firstRowLastColumn="0" w:lastRowFirstColumn="0" w:lastRowLastColumn="0"/>
            <w:tcW w:w="3719" w:type="dxa"/>
            <w:vAlign w:val="center"/>
            <w:hideMark/>
          </w:tcPr>
          <w:p w14:paraId="2B9A31E2" w14:textId="77777777" w:rsidR="006B16A7" w:rsidRPr="007C1E37" w:rsidRDefault="006B16A7" w:rsidP="001E519A">
            <w:pPr>
              <w:spacing w:before="60" w:after="60"/>
              <w:ind w:left="37"/>
              <w:rPr>
                <w:rFonts w:cs="Arial"/>
                <w:bCs w:val="0"/>
                <w:sz w:val="20"/>
                <w:szCs w:val="20"/>
                <w:lang w:eastAsia="en-AU"/>
              </w:rPr>
            </w:pPr>
            <w:r w:rsidRPr="007C1E37">
              <w:rPr>
                <w:rFonts w:cs="Arial"/>
                <w:bCs w:val="0"/>
                <w:sz w:val="20"/>
                <w:szCs w:val="20"/>
                <w:lang w:eastAsia="en-AU"/>
              </w:rPr>
              <w:t>Activity Based Transport</w:t>
            </w:r>
          </w:p>
        </w:tc>
        <w:tc>
          <w:tcPr>
            <w:tcW w:w="1893" w:type="dxa"/>
            <w:vAlign w:val="center"/>
            <w:hideMark/>
          </w:tcPr>
          <w:p w14:paraId="55787222" w14:textId="77777777" w:rsidR="006B16A7" w:rsidRPr="007C1E37" w:rsidRDefault="006B16A7" w:rsidP="001E519A">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7C1E37">
              <w:rPr>
                <w:rFonts w:cs="Arial"/>
                <w:color w:val="000000"/>
                <w:sz w:val="20"/>
                <w:szCs w:val="20"/>
                <w:lang w:eastAsia="en-AU"/>
              </w:rPr>
              <w:t>$219</w:t>
            </w:r>
          </w:p>
        </w:tc>
        <w:tc>
          <w:tcPr>
            <w:tcW w:w="1691" w:type="dxa"/>
            <w:vAlign w:val="center"/>
          </w:tcPr>
          <w:p w14:paraId="08BF63B0" w14:textId="77777777" w:rsidR="006B16A7" w:rsidRPr="007C1E37" w:rsidRDefault="006B16A7" w:rsidP="001E519A">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7C1E37">
              <w:rPr>
                <w:rFonts w:cs="Arial"/>
                <w:color w:val="000000"/>
                <w:sz w:val="20"/>
                <w:szCs w:val="20"/>
                <w:lang w:eastAsia="en-AU"/>
              </w:rPr>
              <w:t>159,676</w:t>
            </w:r>
          </w:p>
        </w:tc>
        <w:tc>
          <w:tcPr>
            <w:tcW w:w="1691" w:type="dxa"/>
            <w:vAlign w:val="center"/>
            <w:hideMark/>
          </w:tcPr>
          <w:p w14:paraId="3160088B" w14:textId="77777777" w:rsidR="006B16A7" w:rsidRPr="00BF65C4" w:rsidRDefault="006B16A7" w:rsidP="001E519A">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BF65C4">
              <w:rPr>
                <w:rFonts w:cs="Arial"/>
                <w:color w:val="000000"/>
                <w:sz w:val="20"/>
                <w:szCs w:val="20"/>
                <w:lang w:eastAsia="en-AU"/>
              </w:rPr>
              <w:t>37,511</w:t>
            </w:r>
          </w:p>
        </w:tc>
      </w:tr>
      <w:tr w:rsidR="006B16A7" w:rsidRPr="00BF65C4" w14:paraId="62B568BC" w14:textId="77777777" w:rsidTr="001E519A">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3719" w:type="dxa"/>
            <w:vAlign w:val="center"/>
            <w:hideMark/>
          </w:tcPr>
          <w:p w14:paraId="1422A4D6" w14:textId="77777777" w:rsidR="006B16A7" w:rsidRPr="007C1E37" w:rsidRDefault="006B16A7" w:rsidP="001E519A">
            <w:pPr>
              <w:spacing w:before="60" w:after="60"/>
              <w:ind w:left="37"/>
              <w:rPr>
                <w:rFonts w:cs="Arial"/>
                <w:bCs w:val="0"/>
                <w:sz w:val="20"/>
                <w:szCs w:val="20"/>
                <w:lang w:eastAsia="en-AU"/>
              </w:rPr>
            </w:pPr>
            <w:r w:rsidRPr="007C1E37">
              <w:rPr>
                <w:rFonts w:cs="Arial"/>
                <w:bCs w:val="0"/>
                <w:sz w:val="20"/>
                <w:szCs w:val="20"/>
                <w:lang w:eastAsia="en-AU"/>
              </w:rPr>
              <w:t>Capacity Building and Training</w:t>
            </w:r>
          </w:p>
        </w:tc>
        <w:tc>
          <w:tcPr>
            <w:tcW w:w="1893" w:type="dxa"/>
            <w:vAlign w:val="center"/>
            <w:hideMark/>
          </w:tcPr>
          <w:p w14:paraId="101A6A9B" w14:textId="77777777" w:rsidR="006B16A7" w:rsidRPr="007C1E37" w:rsidRDefault="006B16A7" w:rsidP="001E519A">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7C1E37">
              <w:rPr>
                <w:rFonts w:cs="Arial"/>
                <w:color w:val="000000"/>
                <w:sz w:val="20"/>
                <w:szCs w:val="20"/>
                <w:lang w:eastAsia="en-AU"/>
              </w:rPr>
              <w:t>$197</w:t>
            </w:r>
          </w:p>
        </w:tc>
        <w:tc>
          <w:tcPr>
            <w:tcW w:w="1691" w:type="dxa"/>
            <w:vAlign w:val="center"/>
          </w:tcPr>
          <w:p w14:paraId="60786D03" w14:textId="77777777" w:rsidR="006B16A7" w:rsidRPr="007C1E37" w:rsidRDefault="006B16A7" w:rsidP="001E519A">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7C1E37">
              <w:rPr>
                <w:rFonts w:cs="Arial"/>
                <w:color w:val="000000"/>
                <w:sz w:val="20"/>
                <w:szCs w:val="20"/>
                <w:lang w:eastAsia="en-AU"/>
              </w:rPr>
              <w:t>60,456</w:t>
            </w:r>
          </w:p>
        </w:tc>
        <w:tc>
          <w:tcPr>
            <w:tcW w:w="1691" w:type="dxa"/>
            <w:vAlign w:val="center"/>
            <w:hideMark/>
          </w:tcPr>
          <w:p w14:paraId="06FAE87B" w14:textId="77777777" w:rsidR="006B16A7" w:rsidRPr="00BF65C4" w:rsidRDefault="006B16A7" w:rsidP="001E519A">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BF65C4">
              <w:rPr>
                <w:rFonts w:cs="Arial"/>
                <w:color w:val="000000"/>
                <w:sz w:val="20"/>
                <w:szCs w:val="20"/>
                <w:lang w:eastAsia="en-AU"/>
              </w:rPr>
              <w:t>26,719</w:t>
            </w:r>
          </w:p>
        </w:tc>
      </w:tr>
      <w:tr w:rsidR="006B16A7" w:rsidRPr="00BF65C4" w14:paraId="2A8C61BE" w14:textId="77777777" w:rsidTr="001E519A">
        <w:trPr>
          <w:trHeight w:val="22"/>
        </w:trPr>
        <w:tc>
          <w:tcPr>
            <w:cnfStyle w:val="001000000000" w:firstRow="0" w:lastRow="0" w:firstColumn="1" w:lastColumn="0" w:oddVBand="0" w:evenVBand="0" w:oddHBand="0" w:evenHBand="0" w:firstRowFirstColumn="0" w:firstRowLastColumn="0" w:lastRowFirstColumn="0" w:lastRowLastColumn="0"/>
            <w:tcW w:w="3719" w:type="dxa"/>
            <w:vAlign w:val="center"/>
          </w:tcPr>
          <w:p w14:paraId="647FDB06" w14:textId="77777777" w:rsidR="006B16A7" w:rsidRPr="007C1E37" w:rsidRDefault="006B16A7" w:rsidP="001E519A">
            <w:pPr>
              <w:spacing w:before="60" w:after="60"/>
              <w:ind w:left="37"/>
              <w:rPr>
                <w:rFonts w:cs="Arial"/>
                <w:bCs w:val="0"/>
                <w:sz w:val="20"/>
                <w:szCs w:val="20"/>
                <w:lang w:eastAsia="en-AU"/>
              </w:rPr>
            </w:pPr>
            <w:r w:rsidRPr="007C1E37">
              <w:rPr>
                <w:rFonts w:cs="Arial"/>
                <w:bCs w:val="0"/>
                <w:sz w:val="20"/>
                <w:szCs w:val="20"/>
                <w:lang w:eastAsia="en-AU"/>
              </w:rPr>
              <w:t>Supports in Employment</w:t>
            </w:r>
          </w:p>
        </w:tc>
        <w:tc>
          <w:tcPr>
            <w:tcW w:w="1893" w:type="dxa"/>
            <w:vAlign w:val="center"/>
          </w:tcPr>
          <w:p w14:paraId="18025025" w14:textId="77777777" w:rsidR="006B16A7" w:rsidRPr="007C1E37" w:rsidRDefault="006B16A7" w:rsidP="001E519A">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7C1E37">
              <w:rPr>
                <w:rFonts w:cs="Arial"/>
                <w:color w:val="000000"/>
                <w:sz w:val="20"/>
                <w:szCs w:val="20"/>
                <w:lang w:eastAsia="en-AU"/>
              </w:rPr>
              <w:t>$163</w:t>
            </w:r>
          </w:p>
        </w:tc>
        <w:tc>
          <w:tcPr>
            <w:tcW w:w="1691" w:type="dxa"/>
            <w:vAlign w:val="center"/>
          </w:tcPr>
          <w:p w14:paraId="2BC9628D" w14:textId="77777777" w:rsidR="006B16A7" w:rsidRPr="007C1E37" w:rsidRDefault="006B16A7" w:rsidP="001E519A">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7C1E37">
              <w:rPr>
                <w:rFonts w:cs="Arial"/>
                <w:color w:val="000000"/>
                <w:sz w:val="20"/>
                <w:szCs w:val="20"/>
                <w:lang w:eastAsia="en-AU"/>
              </w:rPr>
              <w:t>19,851</w:t>
            </w:r>
          </w:p>
        </w:tc>
        <w:tc>
          <w:tcPr>
            <w:tcW w:w="1691" w:type="dxa"/>
            <w:vAlign w:val="center"/>
          </w:tcPr>
          <w:p w14:paraId="67D67D28" w14:textId="77777777" w:rsidR="006B16A7" w:rsidRPr="00BF65C4" w:rsidRDefault="006B16A7" w:rsidP="001E519A">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BF65C4">
              <w:rPr>
                <w:rFonts w:cs="Arial"/>
                <w:color w:val="000000"/>
                <w:sz w:val="20"/>
                <w:szCs w:val="20"/>
                <w:lang w:eastAsia="en-AU"/>
              </w:rPr>
              <w:t>2,714</w:t>
            </w:r>
          </w:p>
        </w:tc>
      </w:tr>
    </w:tbl>
    <w:p w14:paraId="3E013B82" w14:textId="77777777" w:rsidR="006B16A7" w:rsidRPr="008034CE" w:rsidRDefault="006B16A7" w:rsidP="006B16A7">
      <w:pPr>
        <w:pStyle w:val="Sourcefortableorfigure"/>
        <w:spacing w:before="120"/>
        <w:rPr>
          <w:rFonts w:cs="Arial"/>
        </w:rPr>
      </w:pPr>
      <w:r w:rsidRPr="008034CE">
        <w:rPr>
          <w:rFonts w:cs="Arial"/>
        </w:rPr>
        <w:t>Source: NDIS internal administrative data</w:t>
      </w:r>
    </w:p>
    <w:p w14:paraId="5054C5DD" w14:textId="77777777" w:rsidR="006B16A7" w:rsidRPr="008034CE" w:rsidRDefault="006B16A7" w:rsidP="006B16A7">
      <w:pPr>
        <w:pStyle w:val="Notefortableorfigure"/>
        <w:rPr>
          <w:rFonts w:cs="Arial"/>
        </w:rPr>
      </w:pPr>
      <w:r w:rsidRPr="008034CE">
        <w:rPr>
          <w:rFonts w:cs="Arial"/>
        </w:rPr>
        <w:t>Note: payment is on a cash basis.</w:t>
      </w:r>
    </w:p>
    <w:p w14:paraId="7C53A094" w14:textId="77777777" w:rsidR="006B16A7" w:rsidRPr="008034CE" w:rsidRDefault="006B16A7" w:rsidP="0010695B">
      <w:pPr>
        <w:pStyle w:val="Heading4"/>
      </w:pPr>
      <w:bookmarkStart w:id="194" w:name="_Toc200103487"/>
      <w:bookmarkStart w:id="195" w:name="_Toc200271600"/>
      <w:r w:rsidRPr="008034CE">
        <w:t>Providers</w:t>
      </w:r>
      <w:bookmarkEnd w:id="194"/>
      <w:bookmarkEnd w:id="195"/>
      <w:r w:rsidRPr="008034CE">
        <w:t xml:space="preserve"> </w:t>
      </w:r>
    </w:p>
    <w:p w14:paraId="2F4452EB" w14:textId="77777777" w:rsidR="006B16A7" w:rsidRPr="008034CE" w:rsidRDefault="006B16A7" w:rsidP="006B16A7">
      <w:r w:rsidRPr="008034CE">
        <w:t xml:space="preserve">Building on earlier trends in provider growth and support delivery, this section examines the structure of the DSW provider market. </w:t>
      </w:r>
    </w:p>
    <w:p w14:paraId="6B2DC33B" w14:textId="0A9A4F39" w:rsidR="006B16A7" w:rsidRPr="008034CE" w:rsidRDefault="006B16A7" w:rsidP="006B16A7">
      <w:r w:rsidRPr="008034CE">
        <w:t>The share of total DSW-related payments received by the top 10 providers fell from 9.4% in January 2022 to 6.7% in December 2024 (</w:t>
      </w:r>
      <w:r w:rsidRPr="008034CE">
        <w:fldChar w:fldCharType="begin"/>
      </w:r>
      <w:r w:rsidRPr="008034CE">
        <w:instrText xml:space="preserve"> REF _Ref163991024 \h  \* MERGEFORMAT </w:instrText>
      </w:r>
      <w:r w:rsidRPr="008034CE">
        <w:fldChar w:fldCharType="separate"/>
      </w:r>
      <w:r w:rsidR="005763F9" w:rsidRPr="008034CE">
        <w:rPr>
          <w:rFonts w:cs="Arial"/>
        </w:rPr>
        <w:t xml:space="preserve">Figure </w:t>
      </w:r>
      <w:r w:rsidR="005763F9">
        <w:rPr>
          <w:rFonts w:cs="Arial"/>
        </w:rPr>
        <w:t>5</w:t>
      </w:r>
      <w:r w:rsidRPr="008034CE">
        <w:fldChar w:fldCharType="end"/>
      </w:r>
      <w:r w:rsidRPr="008034CE">
        <w:t>), coinciding with an 11% increase in active providers over the past year (</w:t>
      </w:r>
      <w:r w:rsidR="00896E45">
        <w:fldChar w:fldCharType="begin"/>
      </w:r>
      <w:r w:rsidR="00896E45">
        <w:instrText xml:space="preserve"> REF _Ref197339378 \h </w:instrText>
      </w:r>
      <w:r w:rsidR="00896E45">
        <w:fldChar w:fldCharType="separate"/>
      </w:r>
      <w:r w:rsidR="005763F9" w:rsidRPr="008034CE">
        <w:t xml:space="preserve">Table </w:t>
      </w:r>
      <w:r w:rsidR="005763F9">
        <w:rPr>
          <w:noProof/>
        </w:rPr>
        <w:t>1</w:t>
      </w:r>
      <w:r w:rsidR="00896E45">
        <w:fldChar w:fldCharType="end"/>
      </w:r>
      <w:r w:rsidRPr="008034CE">
        <w:t>). This pattern is most pronounced in remote and very remote areas, where the top 10 providers’ market share declined from 43% to 28% and from 36% to 27% for the six months to December 2024, respectively (</w:t>
      </w:r>
      <w:r w:rsidRPr="008034CE">
        <w:fldChar w:fldCharType="begin"/>
      </w:r>
      <w:r w:rsidRPr="008034CE">
        <w:instrText xml:space="preserve"> REF _Ref163991043 \h  \* MERGEFORMAT </w:instrText>
      </w:r>
      <w:r w:rsidRPr="008034CE">
        <w:fldChar w:fldCharType="separate"/>
      </w:r>
      <w:r w:rsidR="005763F9" w:rsidRPr="005763F9">
        <w:t>Figure 6</w:t>
      </w:r>
      <w:r w:rsidRPr="008034CE">
        <w:fldChar w:fldCharType="end"/>
      </w:r>
      <w:r w:rsidRPr="008034CE">
        <w:t>).</w:t>
      </w:r>
    </w:p>
    <w:p w14:paraId="55A7A1AC" w14:textId="19F2C510" w:rsidR="007E4B05" w:rsidRDefault="006B16A7" w:rsidP="006B16A7">
      <w:r w:rsidRPr="008034CE">
        <w:t>While payments increased for both registered and unregistered providers, average claims per provider declined or remained steady. Amongst registered providers, payments rose by 14% while provider numbers grew by 20%, resulting in a 5% decrease in average claims (</w:t>
      </w:r>
      <w:r w:rsidR="00896E45">
        <w:fldChar w:fldCharType="begin"/>
      </w:r>
      <w:r w:rsidR="00896E45">
        <w:instrText xml:space="preserve"> REF _Ref197339389 \h </w:instrText>
      </w:r>
      <w:r w:rsidR="00896E45">
        <w:fldChar w:fldCharType="separate"/>
      </w:r>
      <w:r w:rsidR="005763F9" w:rsidRPr="008034CE">
        <w:t xml:space="preserve">Table </w:t>
      </w:r>
      <w:r w:rsidR="005763F9">
        <w:rPr>
          <w:noProof/>
        </w:rPr>
        <w:t>2</w:t>
      </w:r>
      <w:r w:rsidR="00896E45">
        <w:fldChar w:fldCharType="end"/>
      </w:r>
      <w:r w:rsidRPr="008034CE">
        <w:t>). Amongst unregistered providers, a 17% rise in</w:t>
      </w:r>
      <w:r w:rsidR="007E4B05">
        <w:t> </w:t>
      </w:r>
      <w:r w:rsidRPr="008034CE">
        <w:t>payments accompanied an 11% increase in provider numbers (</w:t>
      </w:r>
      <w:r w:rsidR="00896E45">
        <w:fldChar w:fldCharType="begin"/>
      </w:r>
      <w:r w:rsidR="00896E45">
        <w:instrText xml:space="preserve"> REF _Ref197339404 \h </w:instrText>
      </w:r>
      <w:r w:rsidR="00896E45">
        <w:fldChar w:fldCharType="separate"/>
      </w:r>
      <w:r w:rsidR="005763F9" w:rsidRPr="008034CE">
        <w:t xml:space="preserve">Table </w:t>
      </w:r>
      <w:r w:rsidR="005763F9">
        <w:rPr>
          <w:noProof/>
        </w:rPr>
        <w:t>3</w:t>
      </w:r>
      <w:r w:rsidR="00896E45">
        <w:fldChar w:fldCharType="end"/>
      </w:r>
      <w:r w:rsidRPr="008034CE">
        <w:t>).</w:t>
      </w:r>
    </w:p>
    <w:p w14:paraId="5B132173" w14:textId="77777777" w:rsidR="007E4B05" w:rsidRDefault="007E4B05">
      <w:pPr>
        <w:spacing w:before="120" w:after="120"/>
      </w:pPr>
      <w:r>
        <w:br w:type="page"/>
      </w:r>
    </w:p>
    <w:p w14:paraId="0BC27916" w14:textId="06BE471A" w:rsidR="008B6FF5" w:rsidRPr="008034CE" w:rsidRDefault="006B16A7" w:rsidP="007E4B05">
      <w:pPr>
        <w:spacing w:before="240"/>
      </w:pPr>
      <w:r w:rsidRPr="008034CE">
        <w:lastRenderedPageBreak/>
        <w:t>These trends suggest the market continues to expand but not in terms of scale. Growth appears to be driven more by new entrants, rather than by consolidation or</w:t>
      </w:r>
      <w:r w:rsidR="007E4B05">
        <w:t> </w:t>
      </w:r>
      <w:r w:rsidR="008B6FF5" w:rsidRPr="008034CE">
        <w:t xml:space="preserve">organisational growth. This result suggests that the current price limits may be enabling greater small-scale entry in standard supports while offering limited incentives for providers to scale up or invest in more complex support areas. </w:t>
      </w:r>
    </w:p>
    <w:p w14:paraId="3EABEF39" w14:textId="5A18A58B" w:rsidR="008B6FF5" w:rsidRPr="008034CE" w:rsidRDefault="008B6FF5" w:rsidP="008B6FF5">
      <w:pPr>
        <w:pStyle w:val="Caption"/>
        <w:rPr>
          <w:rFonts w:cs="Arial"/>
        </w:rPr>
      </w:pPr>
      <w:bookmarkStart w:id="196" w:name="_Ref163991024"/>
      <w:r w:rsidRPr="008034CE">
        <w:rPr>
          <w:rFonts w:cs="Arial"/>
        </w:rPr>
        <w:t xml:space="preserve">Figure </w:t>
      </w:r>
      <w:r w:rsidRPr="008034CE">
        <w:rPr>
          <w:rFonts w:cs="Arial"/>
        </w:rPr>
        <w:fldChar w:fldCharType="begin"/>
      </w:r>
      <w:r w:rsidRPr="008034CE">
        <w:rPr>
          <w:rFonts w:cs="Arial"/>
        </w:rPr>
        <w:instrText xml:space="preserve"> SEQ Figure \* ARABIC </w:instrText>
      </w:r>
      <w:r w:rsidRPr="008034CE">
        <w:rPr>
          <w:rFonts w:cs="Arial"/>
        </w:rPr>
        <w:fldChar w:fldCharType="separate"/>
      </w:r>
      <w:r w:rsidR="005763F9">
        <w:rPr>
          <w:rFonts w:cs="Arial"/>
          <w:noProof/>
        </w:rPr>
        <w:t>5</w:t>
      </w:r>
      <w:r w:rsidRPr="008034CE">
        <w:rPr>
          <w:rFonts w:cs="Arial"/>
        </w:rPr>
        <w:fldChar w:fldCharType="end"/>
      </w:r>
      <w:bookmarkEnd w:id="196"/>
      <w:r w:rsidRPr="008034CE">
        <w:rPr>
          <w:rFonts w:cs="Arial"/>
        </w:rPr>
        <w:t>: Top 10 Providers’ Market Share Against Overall Provider Growth on DSW-related Supports, January 2022 to December 2024</w:t>
      </w:r>
    </w:p>
    <w:p w14:paraId="65053A51" w14:textId="77777777" w:rsidR="008B6FF5" w:rsidRPr="008034CE" w:rsidRDefault="008B6FF5" w:rsidP="008B6FF5">
      <w:pPr>
        <w:pStyle w:val="Image"/>
        <w:rPr>
          <w:rFonts w:cs="Arial"/>
          <w:noProof w:val="0"/>
          <w:szCs w:val="20"/>
        </w:rPr>
      </w:pPr>
      <w:r w:rsidRPr="008034CE">
        <w:rPr>
          <w:rFonts w:cs="Arial"/>
          <w:szCs w:val="20"/>
        </w:rPr>
        <w:drawing>
          <wp:inline distT="0" distB="0" distL="0" distR="0" wp14:anchorId="1E90D3C1" wp14:editId="351848D6">
            <wp:extent cx="5817600" cy="3369600"/>
            <wp:effectExtent l="0" t="0" r="0" b="2540"/>
            <wp:docPr id="895751173" name="Picture 1" descr="A column and line graph showing the top 10 providers’ market share against overall provider growth on DSW related supports, from January 2022 to December 2024. The number of providers has steadily increased whilst the top 10 providers’ market share has decreased. &#10;&#10;From January to June 2022, the total number of providers was 89,621 and the top 10 providers’ market share was 9.4%.&#10;&#10;From July to December 2022, the total number of providers was 101,460 and the top 10 providers’ market share was 8.3%.&#10;&#10;From January to June 2023, the total number of providers was 112,678 and the top 10 providers’ market share was 7.8%.&#10;&#10;From July to December 2023, the total number of providers was 122,857 and the top 10 providers’ market share was 7.2%.&#10;&#10;From January to June 2024, the total number of providers was 131,125 and the top 10 providers’ market share was 7.2%.&#10;&#10;From July to December 2024, the total number of providers was 136,864 and the top 10 providers’ market share was 6.7%.&#10;&#10;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751173" name="Picture 1" descr="A column and line graph showing the top 10 providers’ market share against overall provider growth on DSW related supports, from January 2022 to December 2024. The number of providers has steadily increased whilst the top 10 providers’ market share has decreased. &#10;&#10;From January to June 2022, the total number of providers was 89,621 and the top 10 providers’ market share was 9.4%.&#10;&#10;From July to December 2022, the total number of providers was 101,460 and the top 10 providers’ market share was 8.3%.&#10;&#10;From January to June 2023, the total number of providers was 112,678 and the top 10 providers’ market share was 7.8%.&#10;&#10;From July to December 2023, the total number of providers was 122,857 and the top 10 providers’ market share was 7.2%.&#10;&#10;From January to June 2024, the total number of providers was 131,125 and the top 10 providers’ market share was 7.2%.&#10;&#10;From July to December 2024, the total number of providers was 136,864 and the top 10 providers’ market share was 6.7%.&#10;&#10;Source: NDIS internal administrative dat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17600" cy="3369600"/>
                    </a:xfrm>
                    <a:prstGeom prst="rect">
                      <a:avLst/>
                    </a:prstGeom>
                    <a:noFill/>
                  </pic:spPr>
                </pic:pic>
              </a:graphicData>
            </a:graphic>
          </wp:inline>
        </w:drawing>
      </w:r>
      <w:r w:rsidRPr="008034CE">
        <w:rPr>
          <w:rFonts w:cs="Arial"/>
          <w:noProof w:val="0"/>
          <w:szCs w:val="20"/>
        </w:rPr>
        <w:t xml:space="preserve"> </w:t>
      </w:r>
    </w:p>
    <w:p w14:paraId="39405F93" w14:textId="343683DA" w:rsidR="008B6FF5" w:rsidRDefault="008B6FF5">
      <w:pPr>
        <w:spacing w:before="120" w:after="120"/>
      </w:pPr>
      <w:r>
        <w:br w:type="page"/>
      </w:r>
    </w:p>
    <w:p w14:paraId="1F834B01" w14:textId="719A8314" w:rsidR="008B6FF5" w:rsidRPr="008034CE" w:rsidRDefault="008B6FF5" w:rsidP="008B6FF5">
      <w:pPr>
        <w:pStyle w:val="Caption"/>
        <w:rPr>
          <w:rFonts w:cs="Arial"/>
        </w:rPr>
      </w:pPr>
      <w:bookmarkStart w:id="197" w:name="_Ref163991043"/>
      <w:r w:rsidRPr="008034CE">
        <w:rPr>
          <w:rFonts w:cs="Arial"/>
        </w:rPr>
        <w:lastRenderedPageBreak/>
        <w:t xml:space="preserve">Figure </w:t>
      </w:r>
      <w:r w:rsidRPr="008034CE">
        <w:rPr>
          <w:rFonts w:cs="Arial"/>
        </w:rPr>
        <w:fldChar w:fldCharType="begin"/>
      </w:r>
      <w:r w:rsidRPr="008034CE">
        <w:rPr>
          <w:rFonts w:cs="Arial"/>
        </w:rPr>
        <w:instrText>SEQ Figure \* ARABIC</w:instrText>
      </w:r>
      <w:r w:rsidRPr="008034CE">
        <w:rPr>
          <w:rFonts w:cs="Arial"/>
        </w:rPr>
        <w:fldChar w:fldCharType="separate"/>
      </w:r>
      <w:r w:rsidR="005763F9">
        <w:rPr>
          <w:rFonts w:cs="Arial"/>
          <w:noProof/>
        </w:rPr>
        <w:t>6</w:t>
      </w:r>
      <w:r w:rsidRPr="008034CE">
        <w:rPr>
          <w:rFonts w:cs="Arial"/>
        </w:rPr>
        <w:fldChar w:fldCharType="end"/>
      </w:r>
      <w:bookmarkEnd w:id="197"/>
      <w:r w:rsidRPr="008034CE">
        <w:rPr>
          <w:rFonts w:cs="Arial"/>
        </w:rPr>
        <w:t>: Top 10 Providers’ Market Share by Remoteness for DSW-related Supports, January 2022 to December 2024</w:t>
      </w:r>
    </w:p>
    <w:p w14:paraId="0AE11579" w14:textId="77777777" w:rsidR="008B6FF5" w:rsidRPr="008034CE" w:rsidRDefault="008B6FF5" w:rsidP="008B6FF5">
      <w:pPr>
        <w:pStyle w:val="Image"/>
        <w:rPr>
          <w:rFonts w:cs="Arial"/>
          <w:noProof w:val="0"/>
        </w:rPr>
      </w:pPr>
      <w:r w:rsidRPr="008034CE">
        <w:drawing>
          <wp:inline distT="0" distB="0" distL="0" distR="0" wp14:anchorId="7D261541" wp14:editId="290F9088">
            <wp:extent cx="5580000" cy="3267058"/>
            <wp:effectExtent l="0" t="0" r="1905" b="0"/>
            <wp:docPr id="381782448" name="Picture 5" descr="A line graph showing the top 10 providers' market share by remoteness for DSW related supports from January 2022 to December 2024. The graph shows that remote and very remote providers hold majority of the market share.&#10;&#10;From January to June 2022, the market share of non-remote providers was 9.5%, remote providers was 43%, and very remote providers was 36%.&#10;&#10;From July to December 2022, the market share of non-remote providers was 8.3%, remote providers was 39%, and very remote providers was 35%.&#10;&#10;From January to June 2023, the market share of non-remote providers was 7.8%, remote providers was 36%, and very remote providers was 34%.&#10;&#10;From July to December 2023, the market share of non-remote providers was 7.2%, remote providers was 34%, and very remote providers was 31%.&#10;&#10;From January to June 2024, the market share of non-remote providers was 7.2%, remote providers was 26%, and very remote providers was 27%.&#10;&#10;From July to December 2024, the market share of non-remote providers was 6.7%, remote providers was 28%, and very remote providers was 27%.&#10;&#10;Source: NDIS internal administrative dat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782448" name="Picture 5" descr="A line graph showing the top 10 providers' market share by remoteness for DSW related supports from January 2022 to December 2024. The graph shows that remote and very remote providers hold majority of the market share.&#10;&#10;From January to June 2022, the market share of non-remote providers was 9.5%, remote providers was 43%, and very remote providers was 36%.&#10;&#10;From July to December 2022, the market share of non-remote providers was 8.3%, remote providers was 39%, and very remote providers was 35%.&#10;&#10;From January to June 2023, the market share of non-remote providers was 7.8%, remote providers was 36%, and very remote providers was 34%.&#10;&#10;From July to December 2023, the market share of non-remote providers was 7.2%, remote providers was 34%, and very remote providers was 31%.&#10;&#10;From January to June 2024, the market share of non-remote providers was 7.2%, remote providers was 26%, and very remote providers was 27%.&#10;&#10;From July to December 2024, the market share of non-remote providers was 6.7%, remote providers was 28%, and very remote providers was 27%.&#10;&#10;Source: NDIS internal administrative data.&#10;"/>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580000" cy="3267058"/>
                    </a:xfrm>
                    <a:prstGeom prst="rect">
                      <a:avLst/>
                    </a:prstGeom>
                  </pic:spPr>
                </pic:pic>
              </a:graphicData>
            </a:graphic>
          </wp:inline>
        </w:drawing>
      </w:r>
    </w:p>
    <w:p w14:paraId="78016798" w14:textId="77777777" w:rsidR="008B6FF5" w:rsidRPr="008034CE" w:rsidRDefault="008B6FF5" w:rsidP="008B6FF5">
      <w:pPr>
        <w:pStyle w:val="Heading5"/>
      </w:pPr>
      <w:bookmarkStart w:id="198" w:name="_Toc164970248"/>
      <w:bookmarkStart w:id="199" w:name="_Toc200103488"/>
      <w:bookmarkStart w:id="200" w:name="_Toc200271601"/>
      <w:r w:rsidRPr="008034CE">
        <w:t>Provider distribution by geographic areas</w:t>
      </w:r>
      <w:bookmarkEnd w:id="198"/>
      <w:bookmarkEnd w:id="199"/>
      <w:bookmarkEnd w:id="200"/>
    </w:p>
    <w:p w14:paraId="68F02B9A" w14:textId="199D981A" w:rsidR="008B6FF5" w:rsidRPr="008034CE" w:rsidRDefault="008B6FF5" w:rsidP="008B6FF5">
      <w:r w:rsidRPr="008034CE">
        <w:t xml:space="preserve">Patterns in provider growth across geographic areas reflect both increasing market maturity and the rise of new service delivery models. As shown in </w:t>
      </w:r>
      <w:r w:rsidRPr="008034CE">
        <w:fldChar w:fldCharType="begin"/>
      </w:r>
      <w:r w:rsidRPr="008034CE">
        <w:instrText xml:space="preserve"> REF _Ref195556276 \h  \* MERGEFORMAT </w:instrText>
      </w:r>
      <w:r w:rsidRPr="008034CE">
        <w:fldChar w:fldCharType="separate"/>
      </w:r>
      <w:r w:rsidR="005763F9" w:rsidRPr="008034CE">
        <w:t xml:space="preserve">Table </w:t>
      </w:r>
      <w:r w:rsidR="005763F9">
        <w:t>5</w:t>
      </w:r>
      <w:r w:rsidRPr="008034CE">
        <w:fldChar w:fldCharType="end"/>
      </w:r>
      <w:r w:rsidRPr="008034CE">
        <w:t xml:space="preserve"> and </w:t>
      </w:r>
      <w:r w:rsidRPr="008034CE">
        <w:fldChar w:fldCharType="begin"/>
      </w:r>
      <w:r w:rsidRPr="008034CE">
        <w:instrText xml:space="preserve"> REF _Ref195556282 \h  \* MERGEFORMAT </w:instrText>
      </w:r>
      <w:r w:rsidRPr="008034CE">
        <w:fldChar w:fldCharType="separate"/>
      </w:r>
      <w:r w:rsidR="005763F9" w:rsidRPr="008034CE">
        <w:t xml:space="preserve">Table </w:t>
      </w:r>
      <w:r w:rsidR="005763F9">
        <w:t>6</w:t>
      </w:r>
      <w:r w:rsidRPr="008034CE">
        <w:fldChar w:fldCharType="end"/>
      </w:r>
      <w:r w:rsidRPr="008034CE">
        <w:t xml:space="preserve">, provider numbers have increased across all geographical areas between January 2022 and December 2024, with the strongest growth seen in remote and very remote areas – particularly among unregistered providers. </w:t>
      </w:r>
    </w:p>
    <w:p w14:paraId="60C596AC" w14:textId="7C697E31" w:rsidR="008B6FF5" w:rsidRPr="008034CE" w:rsidRDefault="008B6FF5" w:rsidP="008B6FF5">
      <w:r w:rsidRPr="008034CE">
        <w:t>In remote areas, the number unregistered providers nearly doubled over the observation period, while growth in very remote areas reached 62% (</w:t>
      </w:r>
      <w:r w:rsidR="00A17080">
        <w:fldChar w:fldCharType="begin"/>
      </w:r>
      <w:r w:rsidR="00A17080">
        <w:instrText xml:space="preserve"> REF _Ref195556282 \h </w:instrText>
      </w:r>
      <w:r w:rsidR="00A17080">
        <w:fldChar w:fldCharType="separate"/>
      </w:r>
      <w:r w:rsidR="005763F9" w:rsidRPr="008034CE">
        <w:t xml:space="preserve">Table </w:t>
      </w:r>
      <w:r w:rsidR="005763F9">
        <w:rPr>
          <w:noProof/>
        </w:rPr>
        <w:t>6</w:t>
      </w:r>
      <w:r w:rsidR="00A17080">
        <w:fldChar w:fldCharType="end"/>
      </w:r>
      <w:r w:rsidRPr="008034CE">
        <w:t>). This coincided with a sharp decline in market share of the top 10 providers in those areas (</w:t>
      </w:r>
      <w:r w:rsidRPr="008034CE">
        <w:fldChar w:fldCharType="begin"/>
      </w:r>
      <w:r w:rsidRPr="008034CE">
        <w:instrText xml:space="preserve"> REF _Ref163991043 \h  \* MERGEFORMAT </w:instrText>
      </w:r>
      <w:r w:rsidRPr="008034CE">
        <w:fldChar w:fldCharType="separate"/>
      </w:r>
      <w:r w:rsidR="005763F9" w:rsidRPr="008034CE">
        <w:rPr>
          <w:rFonts w:cs="Arial"/>
        </w:rPr>
        <w:t xml:space="preserve">Figure </w:t>
      </w:r>
      <w:r w:rsidR="005763F9">
        <w:rPr>
          <w:rFonts w:cs="Arial"/>
        </w:rPr>
        <w:t>6</w:t>
      </w:r>
      <w:r w:rsidRPr="008034CE">
        <w:fldChar w:fldCharType="end"/>
      </w:r>
      <w:r w:rsidRPr="008034CE">
        <w:t xml:space="preserve">), suggesting that entry of new providers is reshaping market composition, even in thin markets. </w:t>
      </w:r>
    </w:p>
    <w:p w14:paraId="17323BA0" w14:textId="4120E58A" w:rsidR="008B6FF5" w:rsidRPr="008034CE" w:rsidRDefault="008B6FF5" w:rsidP="008B6FF5">
      <w:r w:rsidRPr="008034CE">
        <w:t xml:space="preserve">While this may enhance access and flexibility, it also introduces risks. Many of the active providers are smaller scale providers (see </w:t>
      </w:r>
      <w:r w:rsidRPr="008034CE">
        <w:fldChar w:fldCharType="begin"/>
      </w:r>
      <w:r w:rsidRPr="008034CE">
        <w:instrText xml:space="preserve"> REF _Ref195556328 \h  \* MERGEFORMAT </w:instrText>
      </w:r>
      <w:r w:rsidRPr="008034CE">
        <w:fldChar w:fldCharType="separate"/>
      </w:r>
      <w:r w:rsidR="005763F9" w:rsidRPr="008034CE">
        <w:t xml:space="preserve">Table </w:t>
      </w:r>
      <w:r w:rsidR="005763F9">
        <w:t>7</w:t>
      </w:r>
      <w:r w:rsidRPr="008034CE">
        <w:fldChar w:fldCharType="end"/>
      </w:r>
      <w:r w:rsidRPr="008034CE">
        <w:t>), often operating without the infrastructure, workforce depth or governance frameworks required for sustained service delivery, especially for participants with highly complex conditions. In regions or markets where workforce shortages and service continuity challenges are already common, the viability of small-scale delivery models, particularly under current price limit settings, may warrant further consideration.</w:t>
      </w:r>
    </w:p>
    <w:p w14:paraId="2A6D1A76" w14:textId="07206F81" w:rsidR="00F635C2" w:rsidRDefault="00F635C2">
      <w:pPr>
        <w:spacing w:before="120" w:after="120"/>
      </w:pPr>
      <w:r>
        <w:br w:type="page"/>
      </w:r>
    </w:p>
    <w:p w14:paraId="76C316A7" w14:textId="44DFDA45" w:rsidR="00F635C2" w:rsidRPr="008034CE" w:rsidRDefault="00F635C2" w:rsidP="00F635C2">
      <w:pPr>
        <w:pStyle w:val="Caption"/>
      </w:pPr>
      <w:bookmarkStart w:id="201" w:name="_Ref195556276"/>
      <w:r w:rsidRPr="008034CE">
        <w:lastRenderedPageBreak/>
        <w:t xml:space="preserve">Table </w:t>
      </w:r>
      <w:r w:rsidR="005763F9">
        <w:fldChar w:fldCharType="begin"/>
      </w:r>
      <w:r w:rsidR="005763F9">
        <w:instrText xml:space="preserve"> SEQ Table \* ARABIC </w:instrText>
      </w:r>
      <w:r w:rsidR="005763F9">
        <w:fldChar w:fldCharType="separate"/>
      </w:r>
      <w:r w:rsidR="005763F9">
        <w:rPr>
          <w:noProof/>
        </w:rPr>
        <w:t>5</w:t>
      </w:r>
      <w:r w:rsidR="005763F9">
        <w:rPr>
          <w:noProof/>
        </w:rPr>
        <w:fldChar w:fldCharType="end"/>
      </w:r>
      <w:bookmarkEnd w:id="201"/>
      <w:r w:rsidRPr="008034CE">
        <w:t>: The Count of Registered Providers by Remoteness for DSW-related Supports, January 2022 to December 2024</w:t>
      </w:r>
    </w:p>
    <w:tbl>
      <w:tblPr>
        <w:tblStyle w:val="GridTable4-Accent12"/>
        <w:tblW w:w="0" w:type="auto"/>
        <w:tblInd w:w="-5" w:type="dxa"/>
        <w:tblLayout w:type="fixed"/>
        <w:tblLook w:val="0420" w:firstRow="1" w:lastRow="0" w:firstColumn="0" w:lastColumn="0" w:noHBand="0" w:noVBand="1"/>
      </w:tblPr>
      <w:tblGrid>
        <w:gridCol w:w="1758"/>
        <w:gridCol w:w="1196"/>
        <w:gridCol w:w="1196"/>
        <w:gridCol w:w="1196"/>
        <w:gridCol w:w="1196"/>
        <w:gridCol w:w="1196"/>
        <w:gridCol w:w="1196"/>
      </w:tblGrid>
      <w:tr w:rsidR="00E90BA1" w:rsidRPr="007C1E37" w14:paraId="1E9840E7" w14:textId="77777777" w:rsidTr="001E519A">
        <w:trPr>
          <w:cnfStyle w:val="100000000000" w:firstRow="1" w:lastRow="0" w:firstColumn="0" w:lastColumn="0" w:oddVBand="0" w:evenVBand="0" w:oddHBand="0" w:evenHBand="0" w:firstRowFirstColumn="0" w:firstRowLastColumn="0" w:lastRowFirstColumn="0" w:lastRowLastColumn="0"/>
          <w:trHeight w:val="567"/>
          <w:tblHeader/>
        </w:trPr>
        <w:tc>
          <w:tcPr>
            <w:tcW w:w="1758" w:type="dxa"/>
          </w:tcPr>
          <w:p w14:paraId="717B4841" w14:textId="77777777" w:rsidR="00E90BA1" w:rsidRPr="007C1E37" w:rsidRDefault="00E90BA1" w:rsidP="001E519A">
            <w:pPr>
              <w:spacing w:before="60" w:after="60"/>
              <w:rPr>
                <w:rFonts w:cs="Arial"/>
                <w:sz w:val="20"/>
                <w:szCs w:val="20"/>
                <w:lang w:eastAsia="en-AU"/>
              </w:rPr>
            </w:pPr>
            <w:r w:rsidRPr="007C1E37">
              <w:rPr>
                <w:rFonts w:cs="Arial"/>
                <w:sz w:val="20"/>
                <w:szCs w:val="20"/>
                <w:lang w:eastAsia="en-AU"/>
              </w:rPr>
              <w:t>Remoteness</w:t>
            </w:r>
          </w:p>
        </w:tc>
        <w:tc>
          <w:tcPr>
            <w:tcW w:w="1196" w:type="dxa"/>
          </w:tcPr>
          <w:p w14:paraId="218FEAC3" w14:textId="77777777" w:rsidR="00E90BA1" w:rsidRPr="007C1E37" w:rsidRDefault="00E90BA1" w:rsidP="001E519A">
            <w:pPr>
              <w:spacing w:before="60" w:after="0"/>
              <w:jc w:val="right"/>
              <w:rPr>
                <w:rFonts w:cs="Arial"/>
                <w:sz w:val="20"/>
                <w:szCs w:val="20"/>
              </w:rPr>
            </w:pPr>
            <w:r w:rsidRPr="007C1E37">
              <w:rPr>
                <w:rFonts w:cs="Arial"/>
                <w:sz w:val="20"/>
                <w:szCs w:val="20"/>
              </w:rPr>
              <w:t>January – June</w:t>
            </w:r>
          </w:p>
          <w:p w14:paraId="292E0C24" w14:textId="77777777" w:rsidR="00E90BA1" w:rsidRPr="007C1E37" w:rsidRDefault="00E90BA1" w:rsidP="001E519A">
            <w:pPr>
              <w:spacing w:after="60"/>
              <w:jc w:val="right"/>
              <w:rPr>
                <w:rFonts w:cs="Arial"/>
                <w:sz w:val="20"/>
                <w:szCs w:val="20"/>
                <w:lang w:eastAsia="en-AU"/>
              </w:rPr>
            </w:pPr>
            <w:r w:rsidRPr="007C1E37">
              <w:rPr>
                <w:rFonts w:cs="Arial"/>
                <w:sz w:val="20"/>
                <w:szCs w:val="20"/>
              </w:rPr>
              <w:t>2022</w:t>
            </w:r>
          </w:p>
        </w:tc>
        <w:tc>
          <w:tcPr>
            <w:tcW w:w="1196" w:type="dxa"/>
          </w:tcPr>
          <w:p w14:paraId="669477A0" w14:textId="77777777" w:rsidR="00E90BA1" w:rsidRPr="007C1E37" w:rsidRDefault="00E90BA1" w:rsidP="001E519A">
            <w:pPr>
              <w:spacing w:before="60" w:after="60"/>
              <w:jc w:val="right"/>
              <w:rPr>
                <w:rFonts w:cs="Arial"/>
                <w:sz w:val="20"/>
                <w:szCs w:val="20"/>
                <w:lang w:eastAsia="en-AU"/>
              </w:rPr>
            </w:pPr>
            <w:r w:rsidRPr="007C1E37">
              <w:rPr>
                <w:rFonts w:cs="Arial"/>
                <w:sz w:val="20"/>
                <w:szCs w:val="20"/>
              </w:rPr>
              <w:t>July – December 2022</w:t>
            </w:r>
          </w:p>
        </w:tc>
        <w:tc>
          <w:tcPr>
            <w:tcW w:w="1196" w:type="dxa"/>
          </w:tcPr>
          <w:p w14:paraId="68BE17F4" w14:textId="77777777" w:rsidR="00E90BA1" w:rsidRPr="007C1E37" w:rsidRDefault="00E90BA1" w:rsidP="001E519A">
            <w:pPr>
              <w:spacing w:before="60" w:after="0"/>
              <w:jc w:val="right"/>
              <w:rPr>
                <w:rFonts w:cs="Arial"/>
                <w:sz w:val="20"/>
                <w:szCs w:val="20"/>
              </w:rPr>
            </w:pPr>
            <w:r w:rsidRPr="007C1E37">
              <w:rPr>
                <w:rFonts w:cs="Arial"/>
                <w:sz w:val="20"/>
                <w:szCs w:val="20"/>
              </w:rPr>
              <w:t>January – June</w:t>
            </w:r>
          </w:p>
          <w:p w14:paraId="5FA9DBE2" w14:textId="77777777" w:rsidR="00E90BA1" w:rsidRPr="007C1E37" w:rsidRDefault="00E90BA1" w:rsidP="001E519A">
            <w:pPr>
              <w:spacing w:after="60"/>
              <w:jc w:val="right"/>
              <w:rPr>
                <w:rFonts w:cs="Arial"/>
                <w:sz w:val="20"/>
                <w:szCs w:val="20"/>
                <w:lang w:eastAsia="en-AU"/>
              </w:rPr>
            </w:pPr>
            <w:r w:rsidRPr="007C1E37">
              <w:rPr>
                <w:rFonts w:cs="Arial"/>
                <w:sz w:val="20"/>
                <w:szCs w:val="20"/>
              </w:rPr>
              <w:t>2023</w:t>
            </w:r>
          </w:p>
        </w:tc>
        <w:tc>
          <w:tcPr>
            <w:tcW w:w="1196" w:type="dxa"/>
          </w:tcPr>
          <w:p w14:paraId="12654AB1" w14:textId="77777777" w:rsidR="00E90BA1" w:rsidRPr="007C1E37" w:rsidRDefault="00E90BA1" w:rsidP="001E519A">
            <w:pPr>
              <w:spacing w:before="60" w:after="60"/>
              <w:jc w:val="right"/>
              <w:rPr>
                <w:rFonts w:cs="Arial"/>
                <w:sz w:val="20"/>
                <w:szCs w:val="20"/>
                <w:lang w:eastAsia="en-AU"/>
              </w:rPr>
            </w:pPr>
            <w:r w:rsidRPr="007C1E37">
              <w:rPr>
                <w:rFonts w:cs="Arial"/>
                <w:sz w:val="20"/>
                <w:szCs w:val="20"/>
              </w:rPr>
              <w:t>July – December 2023</w:t>
            </w:r>
          </w:p>
        </w:tc>
        <w:tc>
          <w:tcPr>
            <w:tcW w:w="1196" w:type="dxa"/>
          </w:tcPr>
          <w:p w14:paraId="52EF16C1" w14:textId="77777777" w:rsidR="00E90BA1" w:rsidRPr="007C1E37" w:rsidRDefault="00E90BA1" w:rsidP="001E519A">
            <w:pPr>
              <w:spacing w:before="60" w:after="0"/>
              <w:jc w:val="right"/>
              <w:rPr>
                <w:rFonts w:cs="Arial"/>
                <w:sz w:val="20"/>
                <w:szCs w:val="20"/>
              </w:rPr>
            </w:pPr>
            <w:r w:rsidRPr="007C1E37">
              <w:rPr>
                <w:rFonts w:cs="Arial"/>
                <w:sz w:val="20"/>
                <w:szCs w:val="20"/>
              </w:rPr>
              <w:t>January – June</w:t>
            </w:r>
          </w:p>
          <w:p w14:paraId="3948DBA1" w14:textId="77777777" w:rsidR="00E90BA1" w:rsidRPr="007C1E37" w:rsidRDefault="00E90BA1" w:rsidP="001E519A">
            <w:pPr>
              <w:spacing w:after="60"/>
              <w:jc w:val="right"/>
              <w:rPr>
                <w:rFonts w:cs="Arial"/>
                <w:sz w:val="20"/>
                <w:szCs w:val="20"/>
                <w:lang w:eastAsia="en-AU"/>
              </w:rPr>
            </w:pPr>
            <w:r w:rsidRPr="007C1E37">
              <w:rPr>
                <w:rFonts w:cs="Arial"/>
                <w:sz w:val="20"/>
                <w:szCs w:val="20"/>
              </w:rPr>
              <w:t>2024</w:t>
            </w:r>
          </w:p>
        </w:tc>
        <w:tc>
          <w:tcPr>
            <w:tcW w:w="1196" w:type="dxa"/>
          </w:tcPr>
          <w:p w14:paraId="3B1E9072" w14:textId="77777777" w:rsidR="00E90BA1" w:rsidRPr="007C1E37" w:rsidRDefault="00E90BA1" w:rsidP="001E519A">
            <w:pPr>
              <w:spacing w:before="60" w:after="60"/>
              <w:jc w:val="right"/>
              <w:rPr>
                <w:rFonts w:cs="Arial"/>
                <w:sz w:val="20"/>
                <w:szCs w:val="20"/>
                <w:lang w:eastAsia="en-AU"/>
              </w:rPr>
            </w:pPr>
            <w:r w:rsidRPr="007C1E37">
              <w:rPr>
                <w:rFonts w:cs="Arial"/>
                <w:sz w:val="20"/>
                <w:szCs w:val="20"/>
              </w:rPr>
              <w:t>July – December 2024</w:t>
            </w:r>
          </w:p>
        </w:tc>
      </w:tr>
      <w:tr w:rsidR="00E90BA1" w:rsidRPr="007C1E37" w14:paraId="15BE23DC" w14:textId="77777777" w:rsidTr="001E519A">
        <w:trPr>
          <w:cnfStyle w:val="000000100000" w:firstRow="0" w:lastRow="0" w:firstColumn="0" w:lastColumn="0" w:oddVBand="0" w:evenVBand="0" w:oddHBand="1" w:evenHBand="0" w:firstRowFirstColumn="0" w:firstRowLastColumn="0" w:lastRowFirstColumn="0" w:lastRowLastColumn="0"/>
          <w:trHeight w:val="397"/>
        </w:trPr>
        <w:tc>
          <w:tcPr>
            <w:tcW w:w="1758" w:type="dxa"/>
            <w:vAlign w:val="center"/>
          </w:tcPr>
          <w:p w14:paraId="51FEAF70" w14:textId="77777777" w:rsidR="00E90BA1" w:rsidRPr="007C1E37" w:rsidRDefault="00E90BA1" w:rsidP="001E519A">
            <w:pPr>
              <w:spacing w:before="60" w:after="60"/>
              <w:ind w:left="37"/>
              <w:rPr>
                <w:rFonts w:cs="Arial"/>
                <w:sz w:val="20"/>
                <w:szCs w:val="20"/>
                <w:lang w:eastAsia="en-AU"/>
              </w:rPr>
            </w:pPr>
            <w:r w:rsidRPr="007C1E37">
              <w:rPr>
                <w:rFonts w:cs="Arial"/>
                <w:sz w:val="20"/>
                <w:szCs w:val="20"/>
                <w:lang w:eastAsia="en-AU"/>
              </w:rPr>
              <w:t>Non-</w:t>
            </w:r>
            <w:r>
              <w:rPr>
                <w:rFonts w:cs="Arial"/>
                <w:sz w:val="20"/>
                <w:szCs w:val="20"/>
                <w:lang w:eastAsia="en-AU"/>
              </w:rPr>
              <w:t>r</w:t>
            </w:r>
            <w:r w:rsidRPr="007C1E37">
              <w:rPr>
                <w:rFonts w:cs="Arial"/>
                <w:sz w:val="20"/>
                <w:szCs w:val="20"/>
                <w:lang w:eastAsia="en-AU"/>
              </w:rPr>
              <w:t>emote</w:t>
            </w:r>
          </w:p>
        </w:tc>
        <w:tc>
          <w:tcPr>
            <w:tcW w:w="1196" w:type="dxa"/>
            <w:vAlign w:val="center"/>
          </w:tcPr>
          <w:p w14:paraId="329D4D81" w14:textId="77777777" w:rsidR="00E90BA1" w:rsidRPr="007C1E37" w:rsidRDefault="00E90BA1" w:rsidP="001E519A">
            <w:pPr>
              <w:spacing w:before="60" w:after="60"/>
              <w:jc w:val="right"/>
              <w:rPr>
                <w:rFonts w:cs="Arial"/>
                <w:color w:val="000000"/>
                <w:sz w:val="20"/>
                <w:szCs w:val="20"/>
              </w:rPr>
            </w:pPr>
            <w:r w:rsidRPr="007C1E37">
              <w:rPr>
                <w:rFonts w:cs="Arial"/>
                <w:color w:val="000000"/>
                <w:sz w:val="20"/>
                <w:szCs w:val="20"/>
              </w:rPr>
              <w:t>8,745</w:t>
            </w:r>
          </w:p>
        </w:tc>
        <w:tc>
          <w:tcPr>
            <w:tcW w:w="1196" w:type="dxa"/>
            <w:vAlign w:val="center"/>
          </w:tcPr>
          <w:p w14:paraId="57B32454" w14:textId="77777777" w:rsidR="00E90BA1" w:rsidRPr="007C1E37" w:rsidRDefault="00E90BA1" w:rsidP="001E519A">
            <w:pPr>
              <w:spacing w:before="60" w:after="60"/>
              <w:jc w:val="right"/>
              <w:rPr>
                <w:rFonts w:cs="Arial"/>
                <w:color w:val="000000"/>
                <w:sz w:val="20"/>
                <w:szCs w:val="20"/>
              </w:rPr>
            </w:pPr>
            <w:r w:rsidRPr="007C1E37">
              <w:rPr>
                <w:rFonts w:cs="Arial"/>
                <w:color w:val="000000"/>
                <w:sz w:val="20"/>
                <w:szCs w:val="20"/>
              </w:rPr>
              <w:t>9,196</w:t>
            </w:r>
          </w:p>
        </w:tc>
        <w:tc>
          <w:tcPr>
            <w:tcW w:w="1196" w:type="dxa"/>
            <w:vAlign w:val="center"/>
          </w:tcPr>
          <w:p w14:paraId="0E859BE3" w14:textId="77777777" w:rsidR="00E90BA1" w:rsidRPr="007C1E37" w:rsidRDefault="00E90BA1" w:rsidP="001E519A">
            <w:pPr>
              <w:spacing w:before="60" w:after="60"/>
              <w:jc w:val="right"/>
              <w:rPr>
                <w:rFonts w:cs="Arial"/>
                <w:color w:val="000000"/>
                <w:sz w:val="20"/>
                <w:szCs w:val="20"/>
              </w:rPr>
            </w:pPr>
            <w:r w:rsidRPr="007C1E37">
              <w:rPr>
                <w:rFonts w:cs="Arial"/>
                <w:color w:val="000000"/>
                <w:sz w:val="20"/>
                <w:szCs w:val="20"/>
              </w:rPr>
              <w:t>8,807</w:t>
            </w:r>
          </w:p>
        </w:tc>
        <w:tc>
          <w:tcPr>
            <w:tcW w:w="1196" w:type="dxa"/>
            <w:vAlign w:val="center"/>
          </w:tcPr>
          <w:p w14:paraId="36BA001F" w14:textId="77777777" w:rsidR="00E90BA1" w:rsidRPr="007C1E37" w:rsidRDefault="00E90BA1" w:rsidP="001E519A">
            <w:pPr>
              <w:spacing w:before="60" w:after="60"/>
              <w:jc w:val="right"/>
              <w:rPr>
                <w:rFonts w:cs="Arial"/>
                <w:color w:val="000000"/>
                <w:sz w:val="20"/>
                <w:szCs w:val="20"/>
              </w:rPr>
            </w:pPr>
            <w:r w:rsidRPr="007C1E37">
              <w:rPr>
                <w:rFonts w:cs="Arial"/>
                <w:color w:val="000000"/>
                <w:sz w:val="20"/>
                <w:szCs w:val="20"/>
              </w:rPr>
              <w:t>8,612</w:t>
            </w:r>
          </w:p>
        </w:tc>
        <w:tc>
          <w:tcPr>
            <w:tcW w:w="1196" w:type="dxa"/>
            <w:vAlign w:val="center"/>
          </w:tcPr>
          <w:p w14:paraId="18A388FE" w14:textId="77777777" w:rsidR="00E90BA1" w:rsidRPr="007C1E37" w:rsidRDefault="00E90BA1" w:rsidP="001E519A">
            <w:pPr>
              <w:spacing w:before="60" w:after="60"/>
              <w:jc w:val="right"/>
              <w:rPr>
                <w:rFonts w:cs="Arial"/>
                <w:color w:val="000000"/>
                <w:sz w:val="20"/>
                <w:szCs w:val="20"/>
              </w:rPr>
            </w:pPr>
            <w:r w:rsidRPr="007C1E37">
              <w:rPr>
                <w:rFonts w:cs="Arial"/>
                <w:color w:val="000000"/>
                <w:sz w:val="20"/>
                <w:szCs w:val="20"/>
              </w:rPr>
              <w:t>9,473</w:t>
            </w:r>
          </w:p>
        </w:tc>
        <w:tc>
          <w:tcPr>
            <w:tcW w:w="1196" w:type="dxa"/>
            <w:vAlign w:val="center"/>
          </w:tcPr>
          <w:p w14:paraId="54CB490C" w14:textId="77777777" w:rsidR="00E90BA1" w:rsidRPr="007C1E37" w:rsidRDefault="00E90BA1" w:rsidP="001E519A">
            <w:pPr>
              <w:spacing w:before="60" w:after="60"/>
              <w:jc w:val="right"/>
              <w:rPr>
                <w:rFonts w:cs="Arial"/>
                <w:color w:val="000000"/>
                <w:sz w:val="20"/>
                <w:szCs w:val="20"/>
              </w:rPr>
            </w:pPr>
            <w:r w:rsidRPr="007C1E37">
              <w:rPr>
                <w:rFonts w:cs="Arial"/>
                <w:color w:val="000000"/>
                <w:sz w:val="20"/>
                <w:szCs w:val="20"/>
              </w:rPr>
              <w:t>10,344</w:t>
            </w:r>
          </w:p>
        </w:tc>
      </w:tr>
      <w:tr w:rsidR="00E90BA1" w:rsidRPr="007C1E37" w14:paraId="6D41FF4F" w14:textId="77777777" w:rsidTr="001E519A">
        <w:trPr>
          <w:trHeight w:val="397"/>
        </w:trPr>
        <w:tc>
          <w:tcPr>
            <w:tcW w:w="1758" w:type="dxa"/>
            <w:vAlign w:val="center"/>
          </w:tcPr>
          <w:p w14:paraId="3A7261E0" w14:textId="77777777" w:rsidR="00E90BA1" w:rsidRPr="007C1E37" w:rsidRDefault="00E90BA1" w:rsidP="001E519A">
            <w:pPr>
              <w:spacing w:before="60" w:after="60"/>
              <w:ind w:left="37"/>
              <w:rPr>
                <w:rFonts w:cs="Arial"/>
                <w:sz w:val="20"/>
                <w:szCs w:val="20"/>
                <w:lang w:eastAsia="en-AU"/>
              </w:rPr>
            </w:pPr>
            <w:r w:rsidRPr="007C1E37">
              <w:rPr>
                <w:rFonts w:cs="Arial"/>
                <w:sz w:val="20"/>
                <w:szCs w:val="20"/>
                <w:lang w:eastAsia="en-AU"/>
              </w:rPr>
              <w:t>Remote</w:t>
            </w:r>
          </w:p>
        </w:tc>
        <w:tc>
          <w:tcPr>
            <w:tcW w:w="1196" w:type="dxa"/>
            <w:vAlign w:val="center"/>
          </w:tcPr>
          <w:p w14:paraId="512195A2" w14:textId="77777777" w:rsidR="00E90BA1" w:rsidRPr="007C1E37" w:rsidRDefault="00E90BA1" w:rsidP="001E519A">
            <w:pPr>
              <w:spacing w:before="60" w:after="60"/>
              <w:jc w:val="right"/>
              <w:rPr>
                <w:rFonts w:cs="Arial"/>
                <w:color w:val="000000"/>
                <w:sz w:val="20"/>
                <w:szCs w:val="20"/>
              </w:rPr>
            </w:pPr>
            <w:r w:rsidRPr="007C1E37">
              <w:rPr>
                <w:rFonts w:cs="Arial"/>
                <w:color w:val="000000"/>
                <w:sz w:val="20"/>
                <w:szCs w:val="20"/>
              </w:rPr>
              <w:t>430</w:t>
            </w:r>
          </w:p>
        </w:tc>
        <w:tc>
          <w:tcPr>
            <w:tcW w:w="1196" w:type="dxa"/>
            <w:vAlign w:val="center"/>
          </w:tcPr>
          <w:p w14:paraId="107637BA" w14:textId="77777777" w:rsidR="00E90BA1" w:rsidRPr="007C1E37" w:rsidRDefault="00E90BA1" w:rsidP="001E519A">
            <w:pPr>
              <w:spacing w:before="60" w:after="60"/>
              <w:jc w:val="right"/>
              <w:rPr>
                <w:rFonts w:cs="Arial"/>
                <w:color w:val="000000"/>
                <w:sz w:val="20"/>
                <w:szCs w:val="20"/>
              </w:rPr>
            </w:pPr>
            <w:r w:rsidRPr="007C1E37">
              <w:rPr>
                <w:rFonts w:cs="Arial"/>
                <w:color w:val="000000"/>
                <w:sz w:val="20"/>
                <w:szCs w:val="20"/>
              </w:rPr>
              <w:t>420</w:t>
            </w:r>
          </w:p>
        </w:tc>
        <w:tc>
          <w:tcPr>
            <w:tcW w:w="1196" w:type="dxa"/>
            <w:vAlign w:val="center"/>
          </w:tcPr>
          <w:p w14:paraId="2244A62D" w14:textId="77777777" w:rsidR="00E90BA1" w:rsidRPr="007C1E37" w:rsidRDefault="00E90BA1" w:rsidP="001E519A">
            <w:pPr>
              <w:spacing w:before="60" w:after="60"/>
              <w:jc w:val="right"/>
              <w:rPr>
                <w:rFonts w:cs="Arial"/>
                <w:color w:val="000000"/>
                <w:sz w:val="20"/>
                <w:szCs w:val="20"/>
              </w:rPr>
            </w:pPr>
            <w:r w:rsidRPr="007C1E37">
              <w:rPr>
                <w:rFonts w:cs="Arial"/>
                <w:color w:val="000000"/>
                <w:sz w:val="20"/>
                <w:szCs w:val="20"/>
              </w:rPr>
              <w:t>380</w:t>
            </w:r>
          </w:p>
        </w:tc>
        <w:tc>
          <w:tcPr>
            <w:tcW w:w="1196" w:type="dxa"/>
            <w:vAlign w:val="center"/>
          </w:tcPr>
          <w:p w14:paraId="3EA7CA64" w14:textId="77777777" w:rsidR="00E90BA1" w:rsidRPr="007C1E37" w:rsidRDefault="00E90BA1" w:rsidP="001E519A">
            <w:pPr>
              <w:spacing w:before="60" w:after="60"/>
              <w:jc w:val="right"/>
              <w:rPr>
                <w:rFonts w:cs="Arial"/>
                <w:color w:val="000000"/>
                <w:sz w:val="20"/>
                <w:szCs w:val="20"/>
              </w:rPr>
            </w:pPr>
            <w:r w:rsidRPr="007C1E37">
              <w:rPr>
                <w:rFonts w:cs="Arial"/>
                <w:color w:val="000000"/>
                <w:sz w:val="20"/>
                <w:szCs w:val="20"/>
              </w:rPr>
              <w:t>388</w:t>
            </w:r>
          </w:p>
        </w:tc>
        <w:tc>
          <w:tcPr>
            <w:tcW w:w="1196" w:type="dxa"/>
            <w:vAlign w:val="center"/>
          </w:tcPr>
          <w:p w14:paraId="460C2117" w14:textId="77777777" w:rsidR="00E90BA1" w:rsidRPr="007C1E37" w:rsidRDefault="00E90BA1" w:rsidP="001E519A">
            <w:pPr>
              <w:spacing w:before="60" w:after="60"/>
              <w:jc w:val="right"/>
              <w:rPr>
                <w:rFonts w:cs="Arial"/>
                <w:color w:val="000000"/>
                <w:sz w:val="20"/>
                <w:szCs w:val="20"/>
              </w:rPr>
            </w:pPr>
            <w:r w:rsidRPr="007C1E37">
              <w:rPr>
                <w:rFonts w:cs="Arial"/>
                <w:color w:val="000000"/>
                <w:sz w:val="20"/>
                <w:szCs w:val="20"/>
              </w:rPr>
              <w:t>517</w:t>
            </w:r>
          </w:p>
        </w:tc>
        <w:tc>
          <w:tcPr>
            <w:tcW w:w="1196" w:type="dxa"/>
            <w:vAlign w:val="center"/>
          </w:tcPr>
          <w:p w14:paraId="5A5E4320" w14:textId="77777777" w:rsidR="00E90BA1" w:rsidRPr="007C1E37" w:rsidRDefault="00E90BA1" w:rsidP="001E519A">
            <w:pPr>
              <w:spacing w:before="60" w:after="60"/>
              <w:jc w:val="right"/>
              <w:rPr>
                <w:rFonts w:cs="Arial"/>
                <w:color w:val="000000"/>
                <w:sz w:val="20"/>
                <w:szCs w:val="20"/>
              </w:rPr>
            </w:pPr>
            <w:r w:rsidRPr="007C1E37">
              <w:rPr>
                <w:rFonts w:cs="Arial"/>
                <w:color w:val="000000"/>
                <w:sz w:val="20"/>
                <w:szCs w:val="20"/>
              </w:rPr>
              <w:t>516</w:t>
            </w:r>
          </w:p>
        </w:tc>
      </w:tr>
      <w:tr w:rsidR="00E90BA1" w:rsidRPr="007C1E37" w14:paraId="1DB80F96" w14:textId="77777777" w:rsidTr="001E519A">
        <w:trPr>
          <w:cnfStyle w:val="000000100000" w:firstRow="0" w:lastRow="0" w:firstColumn="0" w:lastColumn="0" w:oddVBand="0" w:evenVBand="0" w:oddHBand="1" w:evenHBand="0" w:firstRowFirstColumn="0" w:firstRowLastColumn="0" w:lastRowFirstColumn="0" w:lastRowLastColumn="0"/>
          <w:trHeight w:val="397"/>
        </w:trPr>
        <w:tc>
          <w:tcPr>
            <w:tcW w:w="1758" w:type="dxa"/>
            <w:vAlign w:val="center"/>
          </w:tcPr>
          <w:p w14:paraId="17EC6DFE" w14:textId="77777777" w:rsidR="00E90BA1" w:rsidRPr="007C1E37" w:rsidRDefault="00E90BA1" w:rsidP="001E519A">
            <w:pPr>
              <w:spacing w:before="60" w:after="60"/>
              <w:ind w:left="37"/>
              <w:rPr>
                <w:rFonts w:cs="Arial"/>
                <w:sz w:val="20"/>
                <w:szCs w:val="20"/>
                <w:lang w:eastAsia="en-AU"/>
              </w:rPr>
            </w:pPr>
            <w:r w:rsidRPr="007C1E37">
              <w:rPr>
                <w:rFonts w:cs="Arial"/>
                <w:sz w:val="20"/>
                <w:szCs w:val="20"/>
                <w:lang w:eastAsia="en-AU"/>
              </w:rPr>
              <w:t xml:space="preserve">Very </w:t>
            </w:r>
            <w:r>
              <w:rPr>
                <w:rFonts w:cs="Arial"/>
                <w:sz w:val="20"/>
                <w:szCs w:val="20"/>
                <w:lang w:eastAsia="en-AU"/>
              </w:rPr>
              <w:t>r</w:t>
            </w:r>
            <w:r w:rsidRPr="007C1E37">
              <w:rPr>
                <w:rFonts w:cs="Arial"/>
                <w:sz w:val="20"/>
                <w:szCs w:val="20"/>
                <w:lang w:eastAsia="en-AU"/>
              </w:rPr>
              <w:t>emote</w:t>
            </w:r>
          </w:p>
        </w:tc>
        <w:tc>
          <w:tcPr>
            <w:tcW w:w="1196" w:type="dxa"/>
            <w:vAlign w:val="center"/>
          </w:tcPr>
          <w:p w14:paraId="64445927" w14:textId="77777777" w:rsidR="00E90BA1" w:rsidRPr="007C1E37" w:rsidRDefault="00E90BA1" w:rsidP="001E519A">
            <w:pPr>
              <w:spacing w:before="60" w:after="60"/>
              <w:jc w:val="right"/>
              <w:rPr>
                <w:rFonts w:cs="Arial"/>
                <w:color w:val="000000"/>
                <w:sz w:val="20"/>
                <w:szCs w:val="20"/>
              </w:rPr>
            </w:pPr>
            <w:r w:rsidRPr="007C1E37">
              <w:rPr>
                <w:rFonts w:cs="Arial"/>
                <w:color w:val="000000"/>
                <w:sz w:val="20"/>
                <w:szCs w:val="20"/>
              </w:rPr>
              <w:t>224</w:t>
            </w:r>
          </w:p>
        </w:tc>
        <w:tc>
          <w:tcPr>
            <w:tcW w:w="1196" w:type="dxa"/>
            <w:vAlign w:val="center"/>
          </w:tcPr>
          <w:p w14:paraId="2D1D09A2" w14:textId="77777777" w:rsidR="00E90BA1" w:rsidRPr="007C1E37" w:rsidRDefault="00E90BA1" w:rsidP="001E519A">
            <w:pPr>
              <w:spacing w:before="60" w:after="60"/>
              <w:jc w:val="right"/>
              <w:rPr>
                <w:rFonts w:cs="Arial"/>
                <w:color w:val="000000"/>
                <w:sz w:val="20"/>
                <w:szCs w:val="20"/>
              </w:rPr>
            </w:pPr>
            <w:r w:rsidRPr="007C1E37">
              <w:rPr>
                <w:rFonts w:cs="Arial"/>
                <w:color w:val="000000"/>
                <w:sz w:val="20"/>
                <w:szCs w:val="20"/>
              </w:rPr>
              <w:t>233</w:t>
            </w:r>
          </w:p>
        </w:tc>
        <w:tc>
          <w:tcPr>
            <w:tcW w:w="1196" w:type="dxa"/>
            <w:vAlign w:val="center"/>
          </w:tcPr>
          <w:p w14:paraId="4E0744DF" w14:textId="77777777" w:rsidR="00E90BA1" w:rsidRPr="007C1E37" w:rsidRDefault="00E90BA1" w:rsidP="001E519A">
            <w:pPr>
              <w:spacing w:before="60" w:after="60"/>
              <w:jc w:val="right"/>
              <w:rPr>
                <w:rFonts w:cs="Arial"/>
                <w:color w:val="000000"/>
                <w:sz w:val="20"/>
                <w:szCs w:val="20"/>
              </w:rPr>
            </w:pPr>
            <w:r w:rsidRPr="007C1E37">
              <w:rPr>
                <w:rFonts w:cs="Arial"/>
                <w:color w:val="000000"/>
                <w:sz w:val="20"/>
                <w:szCs w:val="20"/>
              </w:rPr>
              <w:t>227</w:t>
            </w:r>
          </w:p>
        </w:tc>
        <w:tc>
          <w:tcPr>
            <w:tcW w:w="1196" w:type="dxa"/>
            <w:vAlign w:val="center"/>
          </w:tcPr>
          <w:p w14:paraId="07EA019F" w14:textId="77777777" w:rsidR="00E90BA1" w:rsidRPr="007C1E37" w:rsidRDefault="00E90BA1" w:rsidP="001E519A">
            <w:pPr>
              <w:spacing w:before="60" w:after="60"/>
              <w:jc w:val="right"/>
              <w:rPr>
                <w:rFonts w:cs="Arial"/>
                <w:color w:val="000000"/>
                <w:sz w:val="20"/>
                <w:szCs w:val="20"/>
              </w:rPr>
            </w:pPr>
            <w:r w:rsidRPr="007C1E37">
              <w:rPr>
                <w:rFonts w:cs="Arial"/>
                <w:color w:val="000000"/>
                <w:sz w:val="20"/>
                <w:szCs w:val="20"/>
              </w:rPr>
              <w:t>236</w:t>
            </w:r>
          </w:p>
        </w:tc>
        <w:tc>
          <w:tcPr>
            <w:tcW w:w="1196" w:type="dxa"/>
            <w:vAlign w:val="center"/>
          </w:tcPr>
          <w:p w14:paraId="374CE5BD" w14:textId="77777777" w:rsidR="00E90BA1" w:rsidRPr="007C1E37" w:rsidRDefault="00E90BA1" w:rsidP="001E519A">
            <w:pPr>
              <w:spacing w:before="60" w:after="60"/>
              <w:jc w:val="right"/>
              <w:rPr>
                <w:rFonts w:cs="Arial"/>
                <w:color w:val="000000"/>
                <w:sz w:val="20"/>
                <w:szCs w:val="20"/>
              </w:rPr>
            </w:pPr>
            <w:r w:rsidRPr="007C1E37">
              <w:rPr>
                <w:rFonts w:cs="Arial"/>
                <w:color w:val="000000"/>
                <w:sz w:val="20"/>
                <w:szCs w:val="20"/>
              </w:rPr>
              <w:t>266</w:t>
            </w:r>
          </w:p>
        </w:tc>
        <w:tc>
          <w:tcPr>
            <w:tcW w:w="1196" w:type="dxa"/>
            <w:vAlign w:val="center"/>
          </w:tcPr>
          <w:p w14:paraId="1C16473F" w14:textId="77777777" w:rsidR="00E90BA1" w:rsidRPr="007C1E37" w:rsidRDefault="00E90BA1" w:rsidP="001E519A">
            <w:pPr>
              <w:spacing w:before="60" w:after="60"/>
              <w:jc w:val="right"/>
              <w:rPr>
                <w:rFonts w:cs="Arial"/>
                <w:color w:val="000000"/>
                <w:sz w:val="20"/>
                <w:szCs w:val="20"/>
              </w:rPr>
            </w:pPr>
            <w:r w:rsidRPr="007C1E37">
              <w:rPr>
                <w:rFonts w:cs="Arial"/>
                <w:color w:val="000000"/>
                <w:sz w:val="20"/>
                <w:szCs w:val="20"/>
              </w:rPr>
              <w:t>260</w:t>
            </w:r>
          </w:p>
        </w:tc>
      </w:tr>
      <w:tr w:rsidR="00E90BA1" w:rsidRPr="007C1E37" w14:paraId="370DC2FB" w14:textId="77777777" w:rsidTr="001E519A">
        <w:trPr>
          <w:trHeight w:val="397"/>
        </w:trPr>
        <w:tc>
          <w:tcPr>
            <w:tcW w:w="1758" w:type="dxa"/>
            <w:vAlign w:val="center"/>
          </w:tcPr>
          <w:p w14:paraId="393A9CD9" w14:textId="77777777" w:rsidR="00E90BA1" w:rsidRPr="007C1E37" w:rsidRDefault="00E90BA1" w:rsidP="001E519A">
            <w:pPr>
              <w:spacing w:before="60" w:after="60"/>
              <w:ind w:left="37"/>
              <w:rPr>
                <w:rFonts w:cs="Arial"/>
                <w:b/>
                <w:bCs/>
                <w:sz w:val="20"/>
                <w:szCs w:val="20"/>
                <w:lang w:eastAsia="en-AU"/>
              </w:rPr>
            </w:pPr>
            <w:r w:rsidRPr="007C1E37">
              <w:rPr>
                <w:rFonts w:cs="Arial"/>
                <w:b/>
                <w:bCs/>
                <w:sz w:val="20"/>
                <w:szCs w:val="20"/>
                <w:lang w:eastAsia="en-AU"/>
              </w:rPr>
              <w:t xml:space="preserve">Total for </w:t>
            </w:r>
            <w:r>
              <w:rPr>
                <w:rFonts w:cs="Arial"/>
                <w:b/>
                <w:bCs/>
                <w:sz w:val="20"/>
                <w:szCs w:val="20"/>
                <w:lang w:eastAsia="en-AU"/>
              </w:rPr>
              <w:t>R</w:t>
            </w:r>
            <w:r w:rsidRPr="007C1E37">
              <w:rPr>
                <w:rFonts w:cs="Arial"/>
                <w:b/>
                <w:bCs/>
                <w:sz w:val="20"/>
                <w:szCs w:val="20"/>
                <w:lang w:eastAsia="en-AU"/>
              </w:rPr>
              <w:t>egistered</w:t>
            </w:r>
          </w:p>
        </w:tc>
        <w:tc>
          <w:tcPr>
            <w:tcW w:w="1196" w:type="dxa"/>
            <w:vAlign w:val="center"/>
          </w:tcPr>
          <w:p w14:paraId="18A002E2" w14:textId="77777777" w:rsidR="00E90BA1" w:rsidRPr="007C1E37" w:rsidRDefault="00E90BA1" w:rsidP="001E519A">
            <w:pPr>
              <w:spacing w:before="60" w:after="60"/>
              <w:jc w:val="right"/>
              <w:rPr>
                <w:rFonts w:cs="Arial"/>
                <w:b/>
                <w:bCs/>
                <w:color w:val="000000"/>
                <w:sz w:val="20"/>
                <w:szCs w:val="20"/>
              </w:rPr>
            </w:pPr>
            <w:r w:rsidRPr="007C1E37">
              <w:rPr>
                <w:rFonts w:cs="Arial"/>
                <w:b/>
                <w:bCs/>
                <w:color w:val="000000"/>
                <w:sz w:val="20"/>
                <w:szCs w:val="20"/>
              </w:rPr>
              <w:t>8,814</w:t>
            </w:r>
          </w:p>
        </w:tc>
        <w:tc>
          <w:tcPr>
            <w:tcW w:w="1196" w:type="dxa"/>
            <w:vAlign w:val="center"/>
          </w:tcPr>
          <w:p w14:paraId="4D9B479B" w14:textId="77777777" w:rsidR="00E90BA1" w:rsidRPr="007C1E37" w:rsidRDefault="00E90BA1" w:rsidP="001E519A">
            <w:pPr>
              <w:spacing w:before="60" w:after="60"/>
              <w:jc w:val="right"/>
              <w:rPr>
                <w:rFonts w:cs="Arial"/>
                <w:b/>
                <w:bCs/>
                <w:color w:val="000000"/>
                <w:sz w:val="20"/>
                <w:szCs w:val="20"/>
              </w:rPr>
            </w:pPr>
            <w:r w:rsidRPr="007C1E37">
              <w:rPr>
                <w:rFonts w:cs="Arial"/>
                <w:b/>
                <w:bCs/>
                <w:color w:val="000000"/>
                <w:sz w:val="20"/>
                <w:szCs w:val="20"/>
              </w:rPr>
              <w:t>9,286</w:t>
            </w:r>
          </w:p>
        </w:tc>
        <w:tc>
          <w:tcPr>
            <w:tcW w:w="1196" w:type="dxa"/>
            <w:vAlign w:val="center"/>
          </w:tcPr>
          <w:p w14:paraId="5916E54A" w14:textId="77777777" w:rsidR="00E90BA1" w:rsidRPr="007C1E37" w:rsidRDefault="00E90BA1" w:rsidP="001E519A">
            <w:pPr>
              <w:spacing w:before="60" w:after="60"/>
              <w:jc w:val="right"/>
              <w:rPr>
                <w:rFonts w:cs="Arial"/>
                <w:b/>
                <w:bCs/>
                <w:color w:val="000000"/>
                <w:sz w:val="20"/>
                <w:szCs w:val="20"/>
              </w:rPr>
            </w:pPr>
            <w:r w:rsidRPr="007C1E37">
              <w:rPr>
                <w:rFonts w:cs="Arial"/>
                <w:b/>
                <w:bCs/>
                <w:color w:val="000000"/>
                <w:sz w:val="20"/>
                <w:szCs w:val="20"/>
              </w:rPr>
              <w:t>8,893</w:t>
            </w:r>
          </w:p>
        </w:tc>
        <w:tc>
          <w:tcPr>
            <w:tcW w:w="1196" w:type="dxa"/>
            <w:vAlign w:val="center"/>
          </w:tcPr>
          <w:p w14:paraId="5E673BDF" w14:textId="77777777" w:rsidR="00E90BA1" w:rsidRPr="007C1E37" w:rsidRDefault="00E90BA1" w:rsidP="001E519A">
            <w:pPr>
              <w:spacing w:before="60" w:after="60"/>
              <w:jc w:val="right"/>
              <w:rPr>
                <w:rFonts w:cs="Arial"/>
                <w:b/>
                <w:bCs/>
                <w:color w:val="000000"/>
                <w:sz w:val="20"/>
                <w:szCs w:val="20"/>
              </w:rPr>
            </w:pPr>
            <w:r w:rsidRPr="007C1E37">
              <w:rPr>
                <w:rFonts w:cs="Arial"/>
                <w:b/>
                <w:bCs/>
                <w:color w:val="000000"/>
                <w:sz w:val="20"/>
                <w:szCs w:val="20"/>
              </w:rPr>
              <w:t>8,697</w:t>
            </w:r>
          </w:p>
        </w:tc>
        <w:tc>
          <w:tcPr>
            <w:tcW w:w="1196" w:type="dxa"/>
            <w:vAlign w:val="center"/>
          </w:tcPr>
          <w:p w14:paraId="3970BABF" w14:textId="77777777" w:rsidR="00E90BA1" w:rsidRPr="007C1E37" w:rsidRDefault="00E90BA1" w:rsidP="001E519A">
            <w:pPr>
              <w:spacing w:before="60" w:after="60"/>
              <w:jc w:val="right"/>
              <w:rPr>
                <w:rFonts w:cs="Arial"/>
                <w:b/>
                <w:bCs/>
                <w:color w:val="000000"/>
                <w:sz w:val="20"/>
                <w:szCs w:val="20"/>
              </w:rPr>
            </w:pPr>
            <w:r w:rsidRPr="007C1E37">
              <w:rPr>
                <w:rFonts w:cs="Arial"/>
                <w:b/>
                <w:bCs/>
                <w:color w:val="000000"/>
                <w:sz w:val="20"/>
                <w:szCs w:val="20"/>
              </w:rPr>
              <w:t>9,572</w:t>
            </w:r>
          </w:p>
        </w:tc>
        <w:tc>
          <w:tcPr>
            <w:tcW w:w="1196" w:type="dxa"/>
            <w:vAlign w:val="center"/>
          </w:tcPr>
          <w:p w14:paraId="34B8F7F8" w14:textId="77777777" w:rsidR="00E90BA1" w:rsidRPr="007C1E37" w:rsidRDefault="00E90BA1" w:rsidP="001E519A">
            <w:pPr>
              <w:spacing w:before="60" w:after="60"/>
              <w:jc w:val="right"/>
              <w:rPr>
                <w:rFonts w:cs="Arial"/>
                <w:b/>
                <w:bCs/>
                <w:color w:val="000000"/>
                <w:sz w:val="20"/>
                <w:szCs w:val="20"/>
              </w:rPr>
            </w:pPr>
            <w:r w:rsidRPr="007C1E37">
              <w:rPr>
                <w:rFonts w:cs="Arial"/>
                <w:b/>
                <w:bCs/>
                <w:color w:val="000000"/>
                <w:sz w:val="20"/>
                <w:szCs w:val="20"/>
              </w:rPr>
              <w:t>10,443</w:t>
            </w:r>
          </w:p>
        </w:tc>
      </w:tr>
    </w:tbl>
    <w:p w14:paraId="1F18EACC" w14:textId="77777777" w:rsidR="00F635C2" w:rsidRPr="008034CE" w:rsidRDefault="00F635C2" w:rsidP="00E90BA1">
      <w:pPr>
        <w:pStyle w:val="Sourcefortableorfigure"/>
        <w:spacing w:before="120"/>
        <w:rPr>
          <w:rFonts w:cs="Arial"/>
        </w:rPr>
      </w:pPr>
      <w:bookmarkStart w:id="202" w:name="_Ref163991432"/>
      <w:r w:rsidRPr="008034CE">
        <w:rPr>
          <w:rFonts w:cs="Arial"/>
        </w:rPr>
        <w:t>Source: NDIS internal administrative data</w:t>
      </w:r>
    </w:p>
    <w:p w14:paraId="19F457FF" w14:textId="77777777" w:rsidR="00F635C2" w:rsidRPr="008034CE" w:rsidRDefault="00F635C2" w:rsidP="00F635C2">
      <w:pPr>
        <w:pStyle w:val="Notefortableorfigure"/>
        <w:rPr>
          <w:rFonts w:cs="Arial"/>
        </w:rPr>
      </w:pPr>
      <w:r w:rsidRPr="008034CE">
        <w:rPr>
          <w:rFonts w:cs="Arial"/>
        </w:rPr>
        <w:t xml:space="preserve">Note: Remoteness of providers uses participants’ address as a proxy. Providers may be counted more than once if providers provide support to participants located across varying remoteness levels. </w:t>
      </w:r>
    </w:p>
    <w:p w14:paraId="4DE09AD7" w14:textId="39DEF44D" w:rsidR="00F635C2" w:rsidRPr="008034CE" w:rsidRDefault="00F635C2" w:rsidP="00F635C2">
      <w:pPr>
        <w:pStyle w:val="Caption"/>
      </w:pPr>
      <w:bookmarkStart w:id="203" w:name="_Ref195556282"/>
      <w:bookmarkEnd w:id="202"/>
      <w:r w:rsidRPr="008034CE">
        <w:t xml:space="preserve">Table </w:t>
      </w:r>
      <w:r w:rsidR="005763F9">
        <w:fldChar w:fldCharType="begin"/>
      </w:r>
      <w:r w:rsidR="005763F9">
        <w:instrText xml:space="preserve"> SEQ Table \* ARABIC </w:instrText>
      </w:r>
      <w:r w:rsidR="005763F9">
        <w:fldChar w:fldCharType="separate"/>
      </w:r>
      <w:r w:rsidR="005763F9">
        <w:rPr>
          <w:noProof/>
        </w:rPr>
        <w:t>6</w:t>
      </w:r>
      <w:r w:rsidR="005763F9">
        <w:rPr>
          <w:noProof/>
        </w:rPr>
        <w:fldChar w:fldCharType="end"/>
      </w:r>
      <w:bookmarkEnd w:id="203"/>
      <w:r w:rsidRPr="008034CE">
        <w:t>: The Count of Unregistered Providers by Remoteness for DSW-related Supports, January 2022 to December 2024</w:t>
      </w:r>
    </w:p>
    <w:tbl>
      <w:tblPr>
        <w:tblStyle w:val="GridTable4-Accent12"/>
        <w:tblW w:w="0" w:type="auto"/>
        <w:tblInd w:w="-5" w:type="dxa"/>
        <w:tblLayout w:type="fixed"/>
        <w:tblLook w:val="0420" w:firstRow="1" w:lastRow="0" w:firstColumn="0" w:lastColumn="0" w:noHBand="0" w:noVBand="1"/>
      </w:tblPr>
      <w:tblGrid>
        <w:gridCol w:w="1758"/>
        <w:gridCol w:w="1196"/>
        <w:gridCol w:w="1196"/>
        <w:gridCol w:w="1196"/>
        <w:gridCol w:w="1196"/>
        <w:gridCol w:w="1196"/>
        <w:gridCol w:w="1196"/>
      </w:tblGrid>
      <w:tr w:rsidR="00E90BA1" w:rsidRPr="007C1E37" w14:paraId="05190AF5" w14:textId="77777777" w:rsidTr="001E519A">
        <w:trPr>
          <w:cnfStyle w:val="100000000000" w:firstRow="1" w:lastRow="0" w:firstColumn="0" w:lastColumn="0" w:oddVBand="0" w:evenVBand="0" w:oddHBand="0" w:evenHBand="0" w:firstRowFirstColumn="0" w:firstRowLastColumn="0" w:lastRowFirstColumn="0" w:lastRowLastColumn="0"/>
          <w:trHeight w:val="567"/>
          <w:tblHeader/>
        </w:trPr>
        <w:tc>
          <w:tcPr>
            <w:tcW w:w="1758" w:type="dxa"/>
          </w:tcPr>
          <w:p w14:paraId="4D2AC6B4" w14:textId="77777777" w:rsidR="00E90BA1" w:rsidRPr="007C1E37" w:rsidRDefault="00E90BA1" w:rsidP="001E519A">
            <w:pPr>
              <w:spacing w:before="60" w:after="60"/>
              <w:rPr>
                <w:rFonts w:cs="Arial"/>
                <w:sz w:val="20"/>
                <w:szCs w:val="20"/>
                <w:lang w:eastAsia="en-AU"/>
              </w:rPr>
            </w:pPr>
            <w:r w:rsidRPr="007C1E37">
              <w:rPr>
                <w:rFonts w:cs="Arial"/>
                <w:sz w:val="20"/>
                <w:szCs w:val="20"/>
                <w:lang w:eastAsia="en-AU"/>
              </w:rPr>
              <w:t>Remoteness</w:t>
            </w:r>
          </w:p>
        </w:tc>
        <w:tc>
          <w:tcPr>
            <w:tcW w:w="1196" w:type="dxa"/>
          </w:tcPr>
          <w:p w14:paraId="7D15D3A9" w14:textId="77777777" w:rsidR="00E90BA1" w:rsidRPr="007C1E37" w:rsidRDefault="00E90BA1" w:rsidP="001E519A">
            <w:pPr>
              <w:spacing w:before="60" w:after="0"/>
              <w:jc w:val="right"/>
              <w:rPr>
                <w:rFonts w:cs="Arial"/>
                <w:sz w:val="20"/>
                <w:szCs w:val="20"/>
              </w:rPr>
            </w:pPr>
            <w:r w:rsidRPr="007C1E37">
              <w:rPr>
                <w:rFonts w:cs="Arial"/>
                <w:sz w:val="20"/>
                <w:szCs w:val="20"/>
              </w:rPr>
              <w:t>January – June</w:t>
            </w:r>
          </w:p>
          <w:p w14:paraId="4965E64B" w14:textId="77777777" w:rsidR="00E90BA1" w:rsidRPr="007C1E37" w:rsidRDefault="00E90BA1" w:rsidP="001E519A">
            <w:pPr>
              <w:spacing w:after="60"/>
              <w:jc w:val="right"/>
              <w:rPr>
                <w:rFonts w:cs="Arial"/>
                <w:sz w:val="20"/>
                <w:szCs w:val="20"/>
                <w:lang w:eastAsia="en-AU"/>
              </w:rPr>
            </w:pPr>
            <w:r w:rsidRPr="007C1E37">
              <w:rPr>
                <w:rFonts w:cs="Arial"/>
                <w:sz w:val="20"/>
                <w:szCs w:val="20"/>
              </w:rPr>
              <w:t>2022</w:t>
            </w:r>
          </w:p>
        </w:tc>
        <w:tc>
          <w:tcPr>
            <w:tcW w:w="1196" w:type="dxa"/>
          </w:tcPr>
          <w:p w14:paraId="6540944D" w14:textId="77777777" w:rsidR="00E90BA1" w:rsidRPr="007C1E37" w:rsidRDefault="00E90BA1" w:rsidP="001E519A">
            <w:pPr>
              <w:spacing w:before="60" w:after="60"/>
              <w:jc w:val="right"/>
              <w:rPr>
                <w:rFonts w:cs="Arial"/>
                <w:sz w:val="20"/>
                <w:szCs w:val="20"/>
                <w:lang w:eastAsia="en-AU"/>
              </w:rPr>
            </w:pPr>
            <w:r w:rsidRPr="007C1E37">
              <w:rPr>
                <w:rFonts w:cs="Arial"/>
                <w:sz w:val="20"/>
                <w:szCs w:val="20"/>
              </w:rPr>
              <w:t>July – December 2022</w:t>
            </w:r>
          </w:p>
        </w:tc>
        <w:tc>
          <w:tcPr>
            <w:tcW w:w="1196" w:type="dxa"/>
          </w:tcPr>
          <w:p w14:paraId="79862BA1" w14:textId="77777777" w:rsidR="00E90BA1" w:rsidRPr="007C1E37" w:rsidRDefault="00E90BA1" w:rsidP="001E519A">
            <w:pPr>
              <w:spacing w:before="60" w:after="0"/>
              <w:jc w:val="right"/>
              <w:rPr>
                <w:rFonts w:cs="Arial"/>
                <w:sz w:val="20"/>
                <w:szCs w:val="20"/>
              </w:rPr>
            </w:pPr>
            <w:r w:rsidRPr="007C1E37">
              <w:rPr>
                <w:rFonts w:cs="Arial"/>
                <w:sz w:val="20"/>
                <w:szCs w:val="20"/>
              </w:rPr>
              <w:t>January – June</w:t>
            </w:r>
          </w:p>
          <w:p w14:paraId="2B44C1A4" w14:textId="77777777" w:rsidR="00E90BA1" w:rsidRPr="007C1E37" w:rsidRDefault="00E90BA1" w:rsidP="001E519A">
            <w:pPr>
              <w:spacing w:after="60"/>
              <w:jc w:val="right"/>
              <w:rPr>
                <w:rFonts w:cs="Arial"/>
                <w:sz w:val="20"/>
                <w:szCs w:val="20"/>
                <w:lang w:eastAsia="en-AU"/>
              </w:rPr>
            </w:pPr>
            <w:r w:rsidRPr="007C1E37">
              <w:rPr>
                <w:rFonts w:cs="Arial"/>
                <w:sz w:val="20"/>
                <w:szCs w:val="20"/>
              </w:rPr>
              <w:t>2023</w:t>
            </w:r>
          </w:p>
        </w:tc>
        <w:tc>
          <w:tcPr>
            <w:tcW w:w="1196" w:type="dxa"/>
          </w:tcPr>
          <w:p w14:paraId="07C577B0" w14:textId="77777777" w:rsidR="00E90BA1" w:rsidRPr="007C1E37" w:rsidRDefault="00E90BA1" w:rsidP="001E519A">
            <w:pPr>
              <w:spacing w:before="60" w:after="60"/>
              <w:jc w:val="right"/>
              <w:rPr>
                <w:rFonts w:cs="Arial"/>
                <w:sz w:val="20"/>
                <w:szCs w:val="20"/>
                <w:lang w:eastAsia="en-AU"/>
              </w:rPr>
            </w:pPr>
            <w:r w:rsidRPr="007C1E37">
              <w:rPr>
                <w:rFonts w:cs="Arial"/>
                <w:sz w:val="20"/>
                <w:szCs w:val="20"/>
              </w:rPr>
              <w:t>July – December 2023</w:t>
            </w:r>
          </w:p>
        </w:tc>
        <w:tc>
          <w:tcPr>
            <w:tcW w:w="1196" w:type="dxa"/>
          </w:tcPr>
          <w:p w14:paraId="3D8D5CE0" w14:textId="77777777" w:rsidR="00E90BA1" w:rsidRPr="007C1E37" w:rsidRDefault="00E90BA1" w:rsidP="001E519A">
            <w:pPr>
              <w:spacing w:before="60" w:after="0"/>
              <w:jc w:val="right"/>
              <w:rPr>
                <w:rFonts w:cs="Arial"/>
                <w:sz w:val="20"/>
                <w:szCs w:val="20"/>
              </w:rPr>
            </w:pPr>
            <w:r w:rsidRPr="007C1E37">
              <w:rPr>
                <w:rFonts w:cs="Arial"/>
                <w:sz w:val="20"/>
                <w:szCs w:val="20"/>
              </w:rPr>
              <w:t>January – June</w:t>
            </w:r>
          </w:p>
          <w:p w14:paraId="7330D138" w14:textId="77777777" w:rsidR="00E90BA1" w:rsidRPr="007C1E37" w:rsidRDefault="00E90BA1" w:rsidP="001E519A">
            <w:pPr>
              <w:spacing w:after="60"/>
              <w:jc w:val="right"/>
              <w:rPr>
                <w:rFonts w:cs="Arial"/>
                <w:sz w:val="20"/>
                <w:szCs w:val="20"/>
                <w:lang w:eastAsia="en-AU"/>
              </w:rPr>
            </w:pPr>
            <w:r w:rsidRPr="007C1E37">
              <w:rPr>
                <w:rFonts w:cs="Arial"/>
                <w:sz w:val="20"/>
                <w:szCs w:val="20"/>
              </w:rPr>
              <w:t>2024</w:t>
            </w:r>
          </w:p>
        </w:tc>
        <w:tc>
          <w:tcPr>
            <w:tcW w:w="1196" w:type="dxa"/>
          </w:tcPr>
          <w:p w14:paraId="32D73500" w14:textId="77777777" w:rsidR="00E90BA1" w:rsidRPr="007C1E37" w:rsidRDefault="00E90BA1" w:rsidP="001E519A">
            <w:pPr>
              <w:spacing w:before="60" w:after="60"/>
              <w:jc w:val="right"/>
              <w:rPr>
                <w:rFonts w:cs="Arial"/>
                <w:sz w:val="20"/>
                <w:szCs w:val="20"/>
                <w:lang w:eastAsia="en-AU"/>
              </w:rPr>
            </w:pPr>
            <w:r w:rsidRPr="007C1E37">
              <w:rPr>
                <w:rFonts w:cs="Arial"/>
                <w:sz w:val="20"/>
                <w:szCs w:val="20"/>
              </w:rPr>
              <w:t>July – December 2024</w:t>
            </w:r>
          </w:p>
        </w:tc>
      </w:tr>
      <w:tr w:rsidR="00E90BA1" w:rsidRPr="007C1E37" w14:paraId="024AC081" w14:textId="77777777" w:rsidTr="001E519A">
        <w:trPr>
          <w:cnfStyle w:val="000000100000" w:firstRow="0" w:lastRow="0" w:firstColumn="0" w:lastColumn="0" w:oddVBand="0" w:evenVBand="0" w:oddHBand="1" w:evenHBand="0" w:firstRowFirstColumn="0" w:firstRowLastColumn="0" w:lastRowFirstColumn="0" w:lastRowLastColumn="0"/>
          <w:trHeight w:val="397"/>
        </w:trPr>
        <w:tc>
          <w:tcPr>
            <w:tcW w:w="1758" w:type="dxa"/>
            <w:vAlign w:val="center"/>
          </w:tcPr>
          <w:p w14:paraId="2CC61732" w14:textId="77777777" w:rsidR="00E90BA1" w:rsidRPr="007C1E37" w:rsidRDefault="00E90BA1" w:rsidP="001E519A">
            <w:pPr>
              <w:spacing w:before="60" w:after="60"/>
              <w:ind w:left="37"/>
              <w:rPr>
                <w:rFonts w:cs="Arial"/>
                <w:sz w:val="20"/>
                <w:szCs w:val="20"/>
              </w:rPr>
            </w:pPr>
            <w:r w:rsidRPr="007C1E37">
              <w:rPr>
                <w:rFonts w:cs="Arial"/>
                <w:sz w:val="20"/>
                <w:szCs w:val="20"/>
              </w:rPr>
              <w:t>Non-</w:t>
            </w:r>
            <w:r>
              <w:rPr>
                <w:rFonts w:cs="Arial"/>
                <w:sz w:val="20"/>
                <w:szCs w:val="20"/>
              </w:rPr>
              <w:t>r</w:t>
            </w:r>
            <w:r w:rsidRPr="007C1E37">
              <w:rPr>
                <w:rFonts w:cs="Arial"/>
                <w:sz w:val="20"/>
                <w:szCs w:val="20"/>
              </w:rPr>
              <w:t>emote</w:t>
            </w:r>
          </w:p>
        </w:tc>
        <w:tc>
          <w:tcPr>
            <w:tcW w:w="1196" w:type="dxa"/>
            <w:vAlign w:val="center"/>
          </w:tcPr>
          <w:p w14:paraId="4674A9DD" w14:textId="77777777" w:rsidR="00E90BA1" w:rsidRPr="007C1E37" w:rsidRDefault="00E90BA1" w:rsidP="001E519A">
            <w:pPr>
              <w:spacing w:before="60" w:after="60"/>
              <w:jc w:val="right"/>
              <w:rPr>
                <w:rFonts w:cs="Arial"/>
                <w:color w:val="000000"/>
                <w:sz w:val="20"/>
                <w:szCs w:val="20"/>
              </w:rPr>
            </w:pPr>
            <w:r w:rsidRPr="007C1E37">
              <w:rPr>
                <w:rFonts w:cs="Arial"/>
                <w:color w:val="000000"/>
                <w:sz w:val="20"/>
                <w:szCs w:val="20"/>
              </w:rPr>
              <w:t>80,125</w:t>
            </w:r>
          </w:p>
        </w:tc>
        <w:tc>
          <w:tcPr>
            <w:tcW w:w="1196" w:type="dxa"/>
            <w:vAlign w:val="center"/>
          </w:tcPr>
          <w:p w14:paraId="04A54ED1" w14:textId="77777777" w:rsidR="00E90BA1" w:rsidRPr="007C1E37" w:rsidRDefault="00E90BA1" w:rsidP="001E519A">
            <w:pPr>
              <w:spacing w:before="60" w:after="60"/>
              <w:jc w:val="right"/>
              <w:rPr>
                <w:rFonts w:cs="Arial"/>
                <w:color w:val="000000"/>
                <w:sz w:val="20"/>
                <w:szCs w:val="20"/>
              </w:rPr>
            </w:pPr>
            <w:r w:rsidRPr="007C1E37">
              <w:rPr>
                <w:rFonts w:cs="Arial"/>
                <w:color w:val="000000"/>
                <w:sz w:val="20"/>
                <w:szCs w:val="20"/>
              </w:rPr>
              <w:t>91,418</w:t>
            </w:r>
          </w:p>
        </w:tc>
        <w:tc>
          <w:tcPr>
            <w:tcW w:w="1196" w:type="dxa"/>
            <w:vAlign w:val="center"/>
          </w:tcPr>
          <w:p w14:paraId="54CD5EFF" w14:textId="77777777" w:rsidR="00E90BA1" w:rsidRPr="007C1E37" w:rsidRDefault="00E90BA1" w:rsidP="001E519A">
            <w:pPr>
              <w:spacing w:before="60" w:after="60"/>
              <w:jc w:val="right"/>
              <w:rPr>
                <w:rFonts w:cs="Arial"/>
                <w:color w:val="000000"/>
                <w:sz w:val="20"/>
                <w:szCs w:val="20"/>
              </w:rPr>
            </w:pPr>
            <w:r w:rsidRPr="007C1E37">
              <w:rPr>
                <w:rFonts w:cs="Arial"/>
                <w:color w:val="000000"/>
                <w:sz w:val="20"/>
                <w:szCs w:val="20"/>
              </w:rPr>
              <w:t>103,028</w:t>
            </w:r>
          </w:p>
        </w:tc>
        <w:tc>
          <w:tcPr>
            <w:tcW w:w="1196" w:type="dxa"/>
            <w:vAlign w:val="center"/>
          </w:tcPr>
          <w:p w14:paraId="65C249E1" w14:textId="77777777" w:rsidR="00E90BA1" w:rsidRPr="007C1E37" w:rsidRDefault="00E90BA1" w:rsidP="001E519A">
            <w:pPr>
              <w:spacing w:before="60" w:after="60"/>
              <w:jc w:val="right"/>
              <w:rPr>
                <w:rFonts w:cs="Arial"/>
                <w:color w:val="000000"/>
                <w:sz w:val="20"/>
                <w:szCs w:val="20"/>
              </w:rPr>
            </w:pPr>
            <w:r w:rsidRPr="007C1E37">
              <w:rPr>
                <w:rFonts w:cs="Arial"/>
                <w:color w:val="000000"/>
                <w:sz w:val="20"/>
                <w:szCs w:val="20"/>
              </w:rPr>
              <w:t>113,419</w:t>
            </w:r>
          </w:p>
        </w:tc>
        <w:tc>
          <w:tcPr>
            <w:tcW w:w="1196" w:type="dxa"/>
            <w:vAlign w:val="center"/>
          </w:tcPr>
          <w:p w14:paraId="6999367F" w14:textId="77777777" w:rsidR="00E90BA1" w:rsidRPr="007C1E37" w:rsidRDefault="00E90BA1" w:rsidP="001E519A">
            <w:pPr>
              <w:spacing w:before="60" w:after="60"/>
              <w:jc w:val="right"/>
              <w:rPr>
                <w:rFonts w:cs="Arial"/>
                <w:color w:val="000000"/>
                <w:sz w:val="20"/>
                <w:szCs w:val="20"/>
              </w:rPr>
            </w:pPr>
            <w:r w:rsidRPr="007C1E37">
              <w:rPr>
                <w:rFonts w:cs="Arial"/>
                <w:color w:val="000000"/>
                <w:sz w:val="20"/>
                <w:szCs w:val="20"/>
              </w:rPr>
              <w:t>120,924</w:t>
            </w:r>
          </w:p>
        </w:tc>
        <w:tc>
          <w:tcPr>
            <w:tcW w:w="1196" w:type="dxa"/>
            <w:vAlign w:val="center"/>
          </w:tcPr>
          <w:p w14:paraId="35CC8658" w14:textId="77777777" w:rsidR="00E90BA1" w:rsidRPr="007C1E37" w:rsidRDefault="00E90BA1" w:rsidP="001E519A">
            <w:pPr>
              <w:spacing w:before="60" w:after="60"/>
              <w:jc w:val="right"/>
              <w:rPr>
                <w:rFonts w:cs="Arial"/>
                <w:color w:val="000000"/>
                <w:sz w:val="20"/>
                <w:szCs w:val="20"/>
              </w:rPr>
            </w:pPr>
            <w:r w:rsidRPr="007C1E37">
              <w:rPr>
                <w:rFonts w:cs="Arial"/>
                <w:color w:val="000000"/>
                <w:sz w:val="20"/>
                <w:szCs w:val="20"/>
              </w:rPr>
              <w:t>125,628</w:t>
            </w:r>
          </w:p>
        </w:tc>
      </w:tr>
      <w:tr w:rsidR="00E90BA1" w:rsidRPr="007C1E37" w14:paraId="7D3470E0" w14:textId="77777777" w:rsidTr="001E519A">
        <w:trPr>
          <w:trHeight w:val="397"/>
        </w:trPr>
        <w:tc>
          <w:tcPr>
            <w:tcW w:w="1758" w:type="dxa"/>
            <w:vAlign w:val="center"/>
          </w:tcPr>
          <w:p w14:paraId="08C7C2DF" w14:textId="77777777" w:rsidR="00E90BA1" w:rsidRPr="007C1E37" w:rsidRDefault="00E90BA1" w:rsidP="001E519A">
            <w:pPr>
              <w:spacing w:before="60" w:after="60"/>
              <w:ind w:left="37"/>
              <w:rPr>
                <w:rFonts w:cs="Arial"/>
                <w:sz w:val="20"/>
                <w:szCs w:val="20"/>
              </w:rPr>
            </w:pPr>
            <w:r w:rsidRPr="007C1E37">
              <w:rPr>
                <w:rFonts w:cs="Arial"/>
                <w:sz w:val="20"/>
                <w:szCs w:val="20"/>
              </w:rPr>
              <w:t>Remote</w:t>
            </w:r>
          </w:p>
        </w:tc>
        <w:tc>
          <w:tcPr>
            <w:tcW w:w="1196" w:type="dxa"/>
            <w:vAlign w:val="center"/>
          </w:tcPr>
          <w:p w14:paraId="728BACB8" w14:textId="77777777" w:rsidR="00E90BA1" w:rsidRPr="007C1E37" w:rsidRDefault="00E90BA1" w:rsidP="001E519A">
            <w:pPr>
              <w:spacing w:before="60" w:after="60"/>
              <w:jc w:val="right"/>
              <w:rPr>
                <w:rFonts w:cs="Arial"/>
                <w:color w:val="000000"/>
                <w:sz w:val="20"/>
                <w:szCs w:val="20"/>
              </w:rPr>
            </w:pPr>
            <w:r w:rsidRPr="007C1E37">
              <w:rPr>
                <w:rFonts w:cs="Arial"/>
                <w:color w:val="000000"/>
                <w:sz w:val="20"/>
                <w:szCs w:val="20"/>
              </w:rPr>
              <w:t>1,020</w:t>
            </w:r>
          </w:p>
        </w:tc>
        <w:tc>
          <w:tcPr>
            <w:tcW w:w="1196" w:type="dxa"/>
            <w:vAlign w:val="center"/>
          </w:tcPr>
          <w:p w14:paraId="736DF928" w14:textId="77777777" w:rsidR="00E90BA1" w:rsidRPr="007C1E37" w:rsidRDefault="00E90BA1" w:rsidP="001E519A">
            <w:pPr>
              <w:spacing w:before="60" w:after="60"/>
              <w:jc w:val="right"/>
              <w:rPr>
                <w:rFonts w:cs="Arial"/>
                <w:color w:val="000000"/>
                <w:sz w:val="20"/>
                <w:szCs w:val="20"/>
              </w:rPr>
            </w:pPr>
            <w:r w:rsidRPr="007C1E37">
              <w:rPr>
                <w:rFonts w:cs="Arial"/>
                <w:color w:val="000000"/>
                <w:sz w:val="20"/>
                <w:szCs w:val="20"/>
              </w:rPr>
              <w:t>1,093</w:t>
            </w:r>
          </w:p>
        </w:tc>
        <w:tc>
          <w:tcPr>
            <w:tcW w:w="1196" w:type="dxa"/>
            <w:vAlign w:val="center"/>
          </w:tcPr>
          <w:p w14:paraId="5CFC5ADB" w14:textId="77777777" w:rsidR="00E90BA1" w:rsidRPr="007C1E37" w:rsidRDefault="00E90BA1" w:rsidP="001E519A">
            <w:pPr>
              <w:spacing w:before="60" w:after="60"/>
              <w:jc w:val="right"/>
              <w:rPr>
                <w:rFonts w:cs="Arial"/>
                <w:color w:val="000000"/>
                <w:sz w:val="20"/>
                <w:szCs w:val="20"/>
              </w:rPr>
            </w:pPr>
            <w:r w:rsidRPr="007C1E37">
              <w:rPr>
                <w:rFonts w:cs="Arial"/>
                <w:color w:val="000000"/>
                <w:sz w:val="20"/>
                <w:szCs w:val="20"/>
              </w:rPr>
              <w:t>1,199</w:t>
            </w:r>
          </w:p>
        </w:tc>
        <w:tc>
          <w:tcPr>
            <w:tcW w:w="1196" w:type="dxa"/>
            <w:vAlign w:val="center"/>
          </w:tcPr>
          <w:p w14:paraId="58366FFB" w14:textId="77777777" w:rsidR="00E90BA1" w:rsidRPr="007C1E37" w:rsidRDefault="00E90BA1" w:rsidP="001E519A">
            <w:pPr>
              <w:spacing w:before="60" w:after="60"/>
              <w:jc w:val="right"/>
              <w:rPr>
                <w:rFonts w:cs="Arial"/>
                <w:color w:val="000000"/>
                <w:sz w:val="20"/>
                <w:szCs w:val="20"/>
              </w:rPr>
            </w:pPr>
            <w:r w:rsidRPr="007C1E37">
              <w:rPr>
                <w:rFonts w:cs="Arial"/>
                <w:color w:val="000000"/>
                <w:sz w:val="20"/>
                <w:szCs w:val="20"/>
              </w:rPr>
              <w:t>1,374</w:t>
            </w:r>
          </w:p>
        </w:tc>
        <w:tc>
          <w:tcPr>
            <w:tcW w:w="1196" w:type="dxa"/>
            <w:vAlign w:val="center"/>
          </w:tcPr>
          <w:p w14:paraId="3B72C3A8" w14:textId="77777777" w:rsidR="00E90BA1" w:rsidRPr="007C1E37" w:rsidRDefault="00E90BA1" w:rsidP="001E519A">
            <w:pPr>
              <w:spacing w:before="60" w:after="60"/>
              <w:jc w:val="right"/>
              <w:rPr>
                <w:rFonts w:cs="Arial"/>
                <w:color w:val="000000"/>
                <w:sz w:val="20"/>
                <w:szCs w:val="20"/>
              </w:rPr>
            </w:pPr>
            <w:r w:rsidRPr="007C1E37">
              <w:rPr>
                <w:rFonts w:cs="Arial"/>
                <w:color w:val="000000"/>
                <w:sz w:val="20"/>
                <w:szCs w:val="20"/>
              </w:rPr>
              <w:t>2,117</w:t>
            </w:r>
          </w:p>
        </w:tc>
        <w:tc>
          <w:tcPr>
            <w:tcW w:w="1196" w:type="dxa"/>
            <w:vAlign w:val="center"/>
          </w:tcPr>
          <w:p w14:paraId="3CC8C4D8" w14:textId="77777777" w:rsidR="00E90BA1" w:rsidRPr="007C1E37" w:rsidRDefault="00E90BA1" w:rsidP="001E519A">
            <w:pPr>
              <w:spacing w:before="60" w:after="60"/>
              <w:jc w:val="right"/>
              <w:rPr>
                <w:rFonts w:cs="Arial"/>
                <w:color w:val="000000"/>
                <w:sz w:val="20"/>
                <w:szCs w:val="20"/>
              </w:rPr>
            </w:pPr>
            <w:r w:rsidRPr="007C1E37">
              <w:rPr>
                <w:rFonts w:cs="Arial"/>
                <w:color w:val="000000"/>
                <w:sz w:val="20"/>
                <w:szCs w:val="20"/>
              </w:rPr>
              <w:t>1,991</w:t>
            </w:r>
          </w:p>
        </w:tc>
      </w:tr>
      <w:tr w:rsidR="00E90BA1" w:rsidRPr="007C1E37" w14:paraId="79A20AF1" w14:textId="77777777" w:rsidTr="001E519A">
        <w:trPr>
          <w:cnfStyle w:val="000000100000" w:firstRow="0" w:lastRow="0" w:firstColumn="0" w:lastColumn="0" w:oddVBand="0" w:evenVBand="0" w:oddHBand="1" w:evenHBand="0" w:firstRowFirstColumn="0" w:firstRowLastColumn="0" w:lastRowFirstColumn="0" w:lastRowLastColumn="0"/>
          <w:trHeight w:val="397"/>
        </w:trPr>
        <w:tc>
          <w:tcPr>
            <w:tcW w:w="1758" w:type="dxa"/>
            <w:vAlign w:val="center"/>
          </w:tcPr>
          <w:p w14:paraId="5FDB3C7B" w14:textId="77777777" w:rsidR="00E90BA1" w:rsidRPr="007C1E37" w:rsidRDefault="00E90BA1" w:rsidP="001E519A">
            <w:pPr>
              <w:spacing w:before="60" w:after="60"/>
              <w:ind w:left="37"/>
              <w:rPr>
                <w:rFonts w:cs="Arial"/>
                <w:sz w:val="20"/>
                <w:szCs w:val="20"/>
              </w:rPr>
            </w:pPr>
            <w:r w:rsidRPr="007C1E37">
              <w:rPr>
                <w:rFonts w:cs="Arial"/>
                <w:sz w:val="20"/>
                <w:szCs w:val="20"/>
              </w:rPr>
              <w:t xml:space="preserve">Very </w:t>
            </w:r>
            <w:r>
              <w:rPr>
                <w:rFonts w:cs="Arial"/>
                <w:sz w:val="20"/>
                <w:szCs w:val="20"/>
              </w:rPr>
              <w:t>r</w:t>
            </w:r>
            <w:r w:rsidRPr="007C1E37">
              <w:rPr>
                <w:rFonts w:cs="Arial"/>
                <w:sz w:val="20"/>
                <w:szCs w:val="20"/>
              </w:rPr>
              <w:t>emote</w:t>
            </w:r>
          </w:p>
        </w:tc>
        <w:tc>
          <w:tcPr>
            <w:tcW w:w="1196" w:type="dxa"/>
            <w:vAlign w:val="center"/>
          </w:tcPr>
          <w:p w14:paraId="78AC254E" w14:textId="77777777" w:rsidR="00E90BA1" w:rsidRPr="007C1E37" w:rsidRDefault="00E90BA1" w:rsidP="001E519A">
            <w:pPr>
              <w:spacing w:before="60" w:after="60"/>
              <w:jc w:val="right"/>
              <w:rPr>
                <w:rFonts w:cs="Arial"/>
                <w:color w:val="000000"/>
                <w:sz w:val="20"/>
                <w:szCs w:val="20"/>
              </w:rPr>
            </w:pPr>
            <w:r w:rsidRPr="007C1E37">
              <w:rPr>
                <w:rFonts w:cs="Arial"/>
                <w:color w:val="000000"/>
                <w:sz w:val="20"/>
                <w:szCs w:val="20"/>
              </w:rPr>
              <w:t>473</w:t>
            </w:r>
          </w:p>
        </w:tc>
        <w:tc>
          <w:tcPr>
            <w:tcW w:w="1196" w:type="dxa"/>
            <w:vAlign w:val="center"/>
          </w:tcPr>
          <w:p w14:paraId="7F200D61" w14:textId="77777777" w:rsidR="00E90BA1" w:rsidRPr="007C1E37" w:rsidRDefault="00E90BA1" w:rsidP="001E519A">
            <w:pPr>
              <w:spacing w:before="60" w:after="60"/>
              <w:jc w:val="right"/>
              <w:rPr>
                <w:rFonts w:cs="Arial"/>
                <w:color w:val="000000"/>
                <w:sz w:val="20"/>
                <w:szCs w:val="20"/>
              </w:rPr>
            </w:pPr>
            <w:r w:rsidRPr="007C1E37">
              <w:rPr>
                <w:rFonts w:cs="Arial"/>
                <w:color w:val="000000"/>
                <w:sz w:val="20"/>
                <w:szCs w:val="20"/>
              </w:rPr>
              <w:t>530</w:t>
            </w:r>
          </w:p>
        </w:tc>
        <w:tc>
          <w:tcPr>
            <w:tcW w:w="1196" w:type="dxa"/>
            <w:vAlign w:val="center"/>
          </w:tcPr>
          <w:p w14:paraId="0BAE3FBF" w14:textId="77777777" w:rsidR="00E90BA1" w:rsidRPr="007C1E37" w:rsidRDefault="00E90BA1" w:rsidP="001E519A">
            <w:pPr>
              <w:spacing w:before="60" w:after="60"/>
              <w:jc w:val="right"/>
              <w:rPr>
                <w:rFonts w:cs="Arial"/>
                <w:color w:val="000000"/>
                <w:sz w:val="20"/>
                <w:szCs w:val="20"/>
              </w:rPr>
            </w:pPr>
            <w:r w:rsidRPr="007C1E37">
              <w:rPr>
                <w:rFonts w:cs="Arial"/>
                <w:color w:val="000000"/>
                <w:sz w:val="20"/>
                <w:szCs w:val="20"/>
              </w:rPr>
              <w:t>582</w:t>
            </w:r>
          </w:p>
        </w:tc>
        <w:tc>
          <w:tcPr>
            <w:tcW w:w="1196" w:type="dxa"/>
            <w:vAlign w:val="center"/>
          </w:tcPr>
          <w:p w14:paraId="36D03F74" w14:textId="77777777" w:rsidR="00E90BA1" w:rsidRPr="007C1E37" w:rsidRDefault="00E90BA1" w:rsidP="001E519A">
            <w:pPr>
              <w:spacing w:before="60" w:after="60"/>
              <w:jc w:val="right"/>
              <w:rPr>
                <w:rFonts w:cs="Arial"/>
                <w:color w:val="000000"/>
                <w:sz w:val="20"/>
                <w:szCs w:val="20"/>
              </w:rPr>
            </w:pPr>
            <w:r w:rsidRPr="007C1E37">
              <w:rPr>
                <w:rFonts w:cs="Arial"/>
                <w:color w:val="000000"/>
                <w:sz w:val="20"/>
                <w:szCs w:val="20"/>
              </w:rPr>
              <w:t>622</w:t>
            </w:r>
          </w:p>
        </w:tc>
        <w:tc>
          <w:tcPr>
            <w:tcW w:w="1196" w:type="dxa"/>
            <w:vAlign w:val="center"/>
          </w:tcPr>
          <w:p w14:paraId="6E1F2067" w14:textId="77777777" w:rsidR="00E90BA1" w:rsidRPr="007C1E37" w:rsidRDefault="00E90BA1" w:rsidP="001E519A">
            <w:pPr>
              <w:spacing w:before="60" w:after="60"/>
              <w:jc w:val="right"/>
              <w:rPr>
                <w:rFonts w:cs="Arial"/>
                <w:color w:val="000000"/>
                <w:sz w:val="20"/>
                <w:szCs w:val="20"/>
              </w:rPr>
            </w:pPr>
            <w:r w:rsidRPr="007C1E37">
              <w:rPr>
                <w:rFonts w:cs="Arial"/>
                <w:color w:val="000000"/>
                <w:sz w:val="20"/>
                <w:szCs w:val="20"/>
              </w:rPr>
              <w:t>689</w:t>
            </w:r>
          </w:p>
        </w:tc>
        <w:tc>
          <w:tcPr>
            <w:tcW w:w="1196" w:type="dxa"/>
            <w:vAlign w:val="center"/>
          </w:tcPr>
          <w:p w14:paraId="3B2AF266" w14:textId="77777777" w:rsidR="00E90BA1" w:rsidRPr="007C1E37" w:rsidRDefault="00E90BA1" w:rsidP="001E519A">
            <w:pPr>
              <w:spacing w:before="60" w:after="60"/>
              <w:jc w:val="right"/>
              <w:rPr>
                <w:rFonts w:cs="Arial"/>
                <w:color w:val="000000"/>
                <w:sz w:val="20"/>
                <w:szCs w:val="20"/>
              </w:rPr>
            </w:pPr>
            <w:r w:rsidRPr="007C1E37">
              <w:rPr>
                <w:rFonts w:cs="Arial"/>
                <w:color w:val="000000"/>
                <w:sz w:val="20"/>
                <w:szCs w:val="20"/>
              </w:rPr>
              <w:t>757</w:t>
            </w:r>
          </w:p>
        </w:tc>
      </w:tr>
      <w:tr w:rsidR="00E90BA1" w:rsidRPr="007C1E37" w14:paraId="6503C1B3" w14:textId="77777777" w:rsidTr="001E519A">
        <w:trPr>
          <w:trHeight w:val="397"/>
        </w:trPr>
        <w:tc>
          <w:tcPr>
            <w:tcW w:w="1758" w:type="dxa"/>
            <w:vAlign w:val="center"/>
          </w:tcPr>
          <w:p w14:paraId="588AC239" w14:textId="77777777" w:rsidR="00E90BA1" w:rsidRPr="007C1E37" w:rsidRDefault="00E90BA1" w:rsidP="001E519A">
            <w:pPr>
              <w:spacing w:before="60" w:after="60"/>
              <w:ind w:left="37"/>
              <w:rPr>
                <w:rFonts w:cs="Arial"/>
                <w:b/>
                <w:bCs/>
                <w:sz w:val="20"/>
                <w:szCs w:val="20"/>
              </w:rPr>
            </w:pPr>
            <w:r w:rsidRPr="007C1E37">
              <w:rPr>
                <w:rFonts w:cs="Arial"/>
                <w:b/>
                <w:bCs/>
                <w:sz w:val="20"/>
                <w:szCs w:val="20"/>
              </w:rPr>
              <w:t xml:space="preserve">Total for </w:t>
            </w:r>
            <w:r>
              <w:rPr>
                <w:rFonts w:cs="Arial"/>
                <w:b/>
                <w:bCs/>
                <w:sz w:val="20"/>
                <w:szCs w:val="20"/>
              </w:rPr>
              <w:t>U</w:t>
            </w:r>
            <w:r w:rsidRPr="007C1E37">
              <w:rPr>
                <w:rFonts w:cs="Arial"/>
                <w:b/>
                <w:bCs/>
                <w:sz w:val="20"/>
                <w:szCs w:val="20"/>
              </w:rPr>
              <w:t>nregistered</w:t>
            </w:r>
          </w:p>
        </w:tc>
        <w:tc>
          <w:tcPr>
            <w:tcW w:w="1196" w:type="dxa"/>
            <w:vAlign w:val="center"/>
          </w:tcPr>
          <w:p w14:paraId="5E49FC84" w14:textId="77777777" w:rsidR="00E90BA1" w:rsidRPr="007C1E37" w:rsidRDefault="00E90BA1" w:rsidP="001E519A">
            <w:pPr>
              <w:spacing w:before="60" w:after="60"/>
              <w:jc w:val="right"/>
              <w:rPr>
                <w:rFonts w:cs="Arial"/>
                <w:b/>
                <w:bCs/>
                <w:color w:val="000000"/>
                <w:sz w:val="20"/>
                <w:szCs w:val="20"/>
              </w:rPr>
            </w:pPr>
            <w:r w:rsidRPr="007C1E37">
              <w:rPr>
                <w:rFonts w:cs="Arial"/>
                <w:b/>
                <w:bCs/>
                <w:color w:val="000000"/>
                <w:sz w:val="20"/>
                <w:szCs w:val="20"/>
              </w:rPr>
              <w:t>81,152</w:t>
            </w:r>
          </w:p>
        </w:tc>
        <w:tc>
          <w:tcPr>
            <w:tcW w:w="1196" w:type="dxa"/>
            <w:vAlign w:val="center"/>
          </w:tcPr>
          <w:p w14:paraId="57693ECD" w14:textId="77777777" w:rsidR="00E90BA1" w:rsidRPr="007C1E37" w:rsidRDefault="00E90BA1" w:rsidP="001E519A">
            <w:pPr>
              <w:spacing w:before="60" w:after="60"/>
              <w:jc w:val="right"/>
              <w:rPr>
                <w:rFonts w:cs="Arial"/>
                <w:b/>
                <w:bCs/>
                <w:color w:val="000000"/>
                <w:sz w:val="20"/>
                <w:szCs w:val="20"/>
              </w:rPr>
            </w:pPr>
            <w:r w:rsidRPr="007C1E37">
              <w:rPr>
                <w:rFonts w:cs="Arial"/>
                <w:b/>
                <w:bCs/>
                <w:color w:val="000000"/>
                <w:sz w:val="20"/>
                <w:szCs w:val="20"/>
              </w:rPr>
              <w:t>92,491</w:t>
            </w:r>
          </w:p>
        </w:tc>
        <w:tc>
          <w:tcPr>
            <w:tcW w:w="1196" w:type="dxa"/>
            <w:vAlign w:val="center"/>
          </w:tcPr>
          <w:p w14:paraId="7B9B190F" w14:textId="77777777" w:rsidR="00E90BA1" w:rsidRPr="007C1E37" w:rsidRDefault="00E90BA1" w:rsidP="001E519A">
            <w:pPr>
              <w:spacing w:before="60" w:after="60"/>
              <w:jc w:val="right"/>
              <w:rPr>
                <w:rFonts w:cs="Arial"/>
                <w:b/>
                <w:bCs/>
                <w:color w:val="000000"/>
                <w:sz w:val="20"/>
                <w:szCs w:val="20"/>
              </w:rPr>
            </w:pPr>
            <w:r w:rsidRPr="007C1E37">
              <w:rPr>
                <w:rFonts w:cs="Arial"/>
                <w:b/>
                <w:bCs/>
                <w:color w:val="000000"/>
                <w:sz w:val="20"/>
                <w:szCs w:val="20"/>
              </w:rPr>
              <w:t>104,263</w:t>
            </w:r>
          </w:p>
        </w:tc>
        <w:tc>
          <w:tcPr>
            <w:tcW w:w="1196" w:type="dxa"/>
            <w:vAlign w:val="center"/>
          </w:tcPr>
          <w:p w14:paraId="081D4572" w14:textId="77777777" w:rsidR="00E90BA1" w:rsidRPr="007C1E37" w:rsidRDefault="00E90BA1" w:rsidP="001E519A">
            <w:pPr>
              <w:spacing w:before="60" w:after="60"/>
              <w:jc w:val="right"/>
              <w:rPr>
                <w:rFonts w:cs="Arial"/>
                <w:b/>
                <w:bCs/>
                <w:color w:val="000000"/>
                <w:sz w:val="20"/>
                <w:szCs w:val="20"/>
              </w:rPr>
            </w:pPr>
            <w:r w:rsidRPr="007C1E37">
              <w:rPr>
                <w:rFonts w:cs="Arial"/>
                <w:b/>
                <w:bCs/>
                <w:color w:val="000000"/>
                <w:sz w:val="20"/>
                <w:szCs w:val="20"/>
              </w:rPr>
              <w:t>114,777</w:t>
            </w:r>
          </w:p>
        </w:tc>
        <w:tc>
          <w:tcPr>
            <w:tcW w:w="1196" w:type="dxa"/>
            <w:vAlign w:val="center"/>
          </w:tcPr>
          <w:p w14:paraId="65FDD697" w14:textId="77777777" w:rsidR="00E90BA1" w:rsidRPr="007C1E37" w:rsidRDefault="00E90BA1" w:rsidP="001E519A">
            <w:pPr>
              <w:spacing w:before="60" w:after="60"/>
              <w:jc w:val="right"/>
              <w:rPr>
                <w:rFonts w:cs="Arial"/>
                <w:b/>
                <w:bCs/>
                <w:color w:val="000000"/>
                <w:sz w:val="20"/>
                <w:szCs w:val="20"/>
              </w:rPr>
            </w:pPr>
            <w:r w:rsidRPr="007C1E37">
              <w:rPr>
                <w:rFonts w:cs="Arial"/>
                <w:b/>
                <w:bCs/>
                <w:color w:val="000000"/>
                <w:sz w:val="20"/>
                <w:szCs w:val="20"/>
              </w:rPr>
              <w:t>122,518</w:t>
            </w:r>
          </w:p>
        </w:tc>
        <w:tc>
          <w:tcPr>
            <w:tcW w:w="1196" w:type="dxa"/>
            <w:vAlign w:val="center"/>
          </w:tcPr>
          <w:p w14:paraId="561E5730" w14:textId="77777777" w:rsidR="00E90BA1" w:rsidRPr="007C1E37" w:rsidRDefault="00E90BA1" w:rsidP="001E519A">
            <w:pPr>
              <w:spacing w:before="60" w:after="60"/>
              <w:jc w:val="right"/>
              <w:rPr>
                <w:rFonts w:cs="Arial"/>
                <w:b/>
                <w:bCs/>
                <w:color w:val="000000"/>
                <w:sz w:val="20"/>
                <w:szCs w:val="20"/>
              </w:rPr>
            </w:pPr>
            <w:r w:rsidRPr="007C1E37">
              <w:rPr>
                <w:rFonts w:cs="Arial"/>
                <w:b/>
                <w:bCs/>
                <w:color w:val="000000"/>
                <w:sz w:val="20"/>
                <w:szCs w:val="20"/>
              </w:rPr>
              <w:t>127,217</w:t>
            </w:r>
          </w:p>
        </w:tc>
      </w:tr>
    </w:tbl>
    <w:p w14:paraId="2E6026DE" w14:textId="77777777" w:rsidR="00F635C2" w:rsidRPr="008034CE" w:rsidRDefault="00F635C2" w:rsidP="00E90BA1">
      <w:pPr>
        <w:pStyle w:val="Sourcefortableorfigure"/>
        <w:spacing w:before="120"/>
        <w:rPr>
          <w:rFonts w:cs="Arial"/>
        </w:rPr>
      </w:pPr>
      <w:r w:rsidRPr="008034CE">
        <w:rPr>
          <w:rFonts w:cs="Arial"/>
        </w:rPr>
        <w:t>Source: NDIS internal administrative data</w:t>
      </w:r>
    </w:p>
    <w:p w14:paraId="39BFEE49" w14:textId="77777777" w:rsidR="00F635C2" w:rsidRPr="008034CE" w:rsidRDefault="00F635C2" w:rsidP="00F635C2">
      <w:pPr>
        <w:pStyle w:val="Notefortableorfigure"/>
        <w:rPr>
          <w:rFonts w:cs="Arial"/>
        </w:rPr>
      </w:pPr>
      <w:r w:rsidRPr="008034CE">
        <w:rPr>
          <w:rFonts w:cs="Arial"/>
        </w:rPr>
        <w:t xml:space="preserve">Note: Remoteness of providers uses participants’ address as a proxy. Providers may be counted more than once if providers provide support to participants located across varying remoteness levels. </w:t>
      </w:r>
    </w:p>
    <w:p w14:paraId="132545FB" w14:textId="77777777" w:rsidR="00F635C2" w:rsidRPr="008034CE" w:rsidRDefault="00F635C2" w:rsidP="00F635C2">
      <w:pPr>
        <w:pStyle w:val="Heading5"/>
      </w:pPr>
      <w:bookmarkStart w:id="204" w:name="_Toc200103489"/>
      <w:bookmarkStart w:id="205" w:name="_Toc200271602"/>
      <w:r w:rsidRPr="008034CE">
        <w:t>Legal Entity</w:t>
      </w:r>
      <w:bookmarkEnd w:id="204"/>
      <w:bookmarkEnd w:id="205"/>
      <w:r w:rsidRPr="008034CE">
        <w:t xml:space="preserve"> </w:t>
      </w:r>
    </w:p>
    <w:p w14:paraId="00C1C2AC" w14:textId="2551104D" w:rsidR="00E90BA1" w:rsidRDefault="00F635C2" w:rsidP="00F635C2">
      <w:r w:rsidRPr="008034CE">
        <w:t xml:space="preserve">Companies and sole traders represent opposite ends of the provider spectrum for DSW-related supports. Companies comprise 18% of active providers but deliver </w:t>
      </w:r>
      <w:proofErr w:type="gramStart"/>
      <w:r w:rsidRPr="008034CE">
        <w:t>the majority of</w:t>
      </w:r>
      <w:proofErr w:type="gramEnd"/>
      <w:r w:rsidRPr="008034CE">
        <w:t xml:space="preserve"> supports, claiming $11.6 billion at an average of $480,754 per provider (</w:t>
      </w:r>
      <w:r w:rsidRPr="008034CE">
        <w:fldChar w:fldCharType="begin"/>
      </w:r>
      <w:r w:rsidRPr="008034CE">
        <w:instrText xml:space="preserve"> REF _Ref195556328 \h  \* MERGEFORMAT </w:instrText>
      </w:r>
      <w:r w:rsidRPr="008034CE">
        <w:fldChar w:fldCharType="separate"/>
      </w:r>
      <w:r w:rsidR="005763F9" w:rsidRPr="008034CE">
        <w:t xml:space="preserve">Table </w:t>
      </w:r>
      <w:r w:rsidR="005763F9">
        <w:t>7</w:t>
      </w:r>
      <w:r w:rsidRPr="008034CE">
        <w:fldChar w:fldCharType="end"/>
      </w:r>
      <w:r w:rsidRPr="008034CE">
        <w:t xml:space="preserve">). In contrast, sole traders accounted for 77% of active providers, but operate at much smaller scale, with average claims of $21,214 despite collectively supporting over 110,000 participants. This pattern reflects the broader structure of the market, where </w:t>
      </w:r>
      <w:proofErr w:type="gramStart"/>
      <w:r w:rsidRPr="008034CE">
        <w:t>a large number of</w:t>
      </w:r>
      <w:proofErr w:type="gramEnd"/>
      <w:r w:rsidRPr="008034CE">
        <w:t xml:space="preserve"> small providers coexist alongside a smaller group of higher-volume organisations.</w:t>
      </w:r>
    </w:p>
    <w:p w14:paraId="1989F8E8" w14:textId="77777777" w:rsidR="00E90BA1" w:rsidRDefault="00E90BA1">
      <w:pPr>
        <w:spacing w:before="120" w:after="120"/>
      </w:pPr>
      <w:r>
        <w:br w:type="page"/>
      </w:r>
    </w:p>
    <w:p w14:paraId="062CE3D6" w14:textId="4E5C65EC" w:rsidR="00367918" w:rsidRPr="008034CE" w:rsidRDefault="00367918" w:rsidP="00367918">
      <w:pPr>
        <w:pStyle w:val="Caption"/>
      </w:pPr>
      <w:bookmarkStart w:id="206" w:name="_Ref195556328"/>
      <w:r w:rsidRPr="008034CE">
        <w:lastRenderedPageBreak/>
        <w:t xml:space="preserve">Table </w:t>
      </w:r>
      <w:r w:rsidR="005763F9">
        <w:fldChar w:fldCharType="begin"/>
      </w:r>
      <w:r w:rsidR="005763F9">
        <w:instrText xml:space="preserve"> SEQ Table \* ARABIC </w:instrText>
      </w:r>
      <w:r w:rsidR="005763F9">
        <w:fldChar w:fldCharType="separate"/>
      </w:r>
      <w:r w:rsidR="005763F9">
        <w:rPr>
          <w:noProof/>
        </w:rPr>
        <w:t>7</w:t>
      </w:r>
      <w:r w:rsidR="005763F9">
        <w:rPr>
          <w:noProof/>
        </w:rPr>
        <w:fldChar w:fldCharType="end"/>
      </w:r>
      <w:bookmarkEnd w:id="206"/>
      <w:r w:rsidRPr="008034CE">
        <w:t>: DSW-Related Supports Scheme Statistics by Legal Entity Type, July to December 2024</w:t>
      </w:r>
    </w:p>
    <w:tbl>
      <w:tblPr>
        <w:tblStyle w:val="GridTable4-Accent12"/>
        <w:tblW w:w="9073" w:type="dxa"/>
        <w:tblInd w:w="-5" w:type="dxa"/>
        <w:tblLayout w:type="fixed"/>
        <w:tblLook w:val="0420" w:firstRow="1" w:lastRow="0" w:firstColumn="0" w:lastColumn="0" w:noHBand="0" w:noVBand="1"/>
      </w:tblPr>
      <w:tblGrid>
        <w:gridCol w:w="2835"/>
        <w:gridCol w:w="1134"/>
        <w:gridCol w:w="1418"/>
        <w:gridCol w:w="1418"/>
        <w:gridCol w:w="1134"/>
        <w:gridCol w:w="1134"/>
      </w:tblGrid>
      <w:tr w:rsidR="00367918" w:rsidRPr="007C1E37" w14:paraId="1E248BDB" w14:textId="77777777" w:rsidTr="00367918">
        <w:trPr>
          <w:cnfStyle w:val="100000000000" w:firstRow="1" w:lastRow="0" w:firstColumn="0" w:lastColumn="0" w:oddVBand="0" w:evenVBand="0" w:oddHBand="0" w:evenHBand="0" w:firstRowFirstColumn="0" w:firstRowLastColumn="0" w:lastRowFirstColumn="0" w:lastRowLastColumn="0"/>
          <w:trHeight w:val="567"/>
          <w:tblHeader/>
        </w:trPr>
        <w:tc>
          <w:tcPr>
            <w:tcW w:w="2835" w:type="dxa"/>
            <w:tcBorders>
              <w:top w:val="single" w:sz="4" w:space="0" w:color="501E58" w:themeColor="accent1" w:themeShade="BF"/>
              <w:left w:val="single" w:sz="4" w:space="0" w:color="501E58" w:themeColor="accent1" w:themeShade="BF"/>
              <w:bottom w:val="single" w:sz="4" w:space="0" w:color="501E58" w:themeColor="accent1" w:themeShade="BF"/>
              <w:right w:val="single" w:sz="6" w:space="0" w:color="501E58" w:themeColor="accent1" w:themeShade="BF"/>
            </w:tcBorders>
          </w:tcPr>
          <w:p w14:paraId="54A6F043" w14:textId="77777777" w:rsidR="00367918" w:rsidRPr="007C1E37" w:rsidRDefault="00367918" w:rsidP="001E519A">
            <w:pPr>
              <w:spacing w:before="60" w:after="60"/>
              <w:rPr>
                <w:rFonts w:cs="Arial"/>
                <w:sz w:val="20"/>
                <w:szCs w:val="20"/>
                <w:lang w:eastAsia="en-AU"/>
              </w:rPr>
            </w:pPr>
            <w:r w:rsidRPr="007C1E37">
              <w:rPr>
                <w:sz w:val="20"/>
                <w:szCs w:val="20"/>
              </w:rPr>
              <w:t>Statistics</w:t>
            </w:r>
          </w:p>
        </w:tc>
        <w:tc>
          <w:tcPr>
            <w:tcW w:w="1134"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tcPr>
          <w:p w14:paraId="235C0CC3" w14:textId="77777777" w:rsidR="00367918" w:rsidRPr="007C1E37" w:rsidRDefault="00367918" w:rsidP="001E519A">
            <w:pPr>
              <w:spacing w:before="60" w:after="60"/>
              <w:jc w:val="right"/>
              <w:rPr>
                <w:rFonts w:cs="Arial"/>
                <w:sz w:val="20"/>
                <w:szCs w:val="20"/>
                <w:lang w:eastAsia="en-AU"/>
              </w:rPr>
            </w:pPr>
            <w:r w:rsidRPr="007C1E37">
              <w:rPr>
                <w:sz w:val="20"/>
                <w:szCs w:val="20"/>
              </w:rPr>
              <w:t>Company</w:t>
            </w:r>
          </w:p>
        </w:tc>
        <w:tc>
          <w:tcPr>
            <w:tcW w:w="1418"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tcPr>
          <w:p w14:paraId="1D626730" w14:textId="77777777" w:rsidR="00367918" w:rsidRPr="007C1E37" w:rsidRDefault="00367918" w:rsidP="001E519A">
            <w:pPr>
              <w:spacing w:before="60" w:after="60"/>
              <w:jc w:val="right"/>
              <w:rPr>
                <w:sz w:val="20"/>
                <w:szCs w:val="20"/>
              </w:rPr>
            </w:pPr>
            <w:r w:rsidRPr="007C1E37">
              <w:rPr>
                <w:sz w:val="20"/>
                <w:szCs w:val="20"/>
              </w:rPr>
              <w:t>Government Entity</w:t>
            </w:r>
          </w:p>
        </w:tc>
        <w:tc>
          <w:tcPr>
            <w:tcW w:w="1418"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tcPr>
          <w:p w14:paraId="631D67D0" w14:textId="77777777" w:rsidR="00367918" w:rsidRPr="007C1E37" w:rsidRDefault="00367918" w:rsidP="001E519A">
            <w:pPr>
              <w:spacing w:before="60" w:after="60"/>
              <w:jc w:val="right"/>
              <w:rPr>
                <w:rFonts w:cs="Arial"/>
                <w:sz w:val="20"/>
                <w:szCs w:val="20"/>
                <w:lang w:eastAsia="en-AU"/>
              </w:rPr>
            </w:pPr>
            <w:r w:rsidRPr="007C1E37">
              <w:rPr>
                <w:sz w:val="20"/>
                <w:szCs w:val="20"/>
              </w:rPr>
              <w:t>Partnership (Other)</w:t>
            </w:r>
          </w:p>
        </w:tc>
        <w:tc>
          <w:tcPr>
            <w:tcW w:w="1134"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tcPr>
          <w:p w14:paraId="7A248C6C" w14:textId="77777777" w:rsidR="00367918" w:rsidRPr="007C1E37" w:rsidRDefault="00367918" w:rsidP="001E519A">
            <w:pPr>
              <w:spacing w:before="60" w:after="60"/>
              <w:jc w:val="right"/>
              <w:rPr>
                <w:rFonts w:cs="Arial"/>
                <w:sz w:val="20"/>
                <w:szCs w:val="20"/>
                <w:lang w:eastAsia="en-AU"/>
              </w:rPr>
            </w:pPr>
            <w:r w:rsidRPr="007C1E37">
              <w:rPr>
                <w:sz w:val="20"/>
                <w:szCs w:val="20"/>
              </w:rPr>
              <w:t xml:space="preserve">Trust / Super </w:t>
            </w:r>
          </w:p>
        </w:tc>
        <w:tc>
          <w:tcPr>
            <w:tcW w:w="1134"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tcPr>
          <w:p w14:paraId="672C00B8" w14:textId="77777777" w:rsidR="00367918" w:rsidRPr="007C1E37" w:rsidRDefault="00367918" w:rsidP="001E519A">
            <w:pPr>
              <w:spacing w:before="60" w:after="60"/>
              <w:jc w:val="right"/>
              <w:rPr>
                <w:rFonts w:cs="Arial"/>
                <w:sz w:val="20"/>
                <w:szCs w:val="20"/>
                <w:lang w:eastAsia="en-AU"/>
              </w:rPr>
            </w:pPr>
            <w:r w:rsidRPr="007C1E37">
              <w:rPr>
                <w:sz w:val="20"/>
                <w:szCs w:val="20"/>
              </w:rPr>
              <w:t>Sole trader</w:t>
            </w:r>
          </w:p>
        </w:tc>
      </w:tr>
      <w:tr w:rsidR="00367918" w:rsidRPr="007C1E37" w14:paraId="6F13D002" w14:textId="77777777" w:rsidTr="00367918">
        <w:trPr>
          <w:cnfStyle w:val="000000100000" w:firstRow="0" w:lastRow="0" w:firstColumn="0" w:lastColumn="0" w:oddVBand="0" w:evenVBand="0" w:oddHBand="1" w:evenHBand="0" w:firstRowFirstColumn="0" w:firstRowLastColumn="0" w:lastRowFirstColumn="0" w:lastRowLastColumn="0"/>
          <w:trHeight w:val="397"/>
        </w:trPr>
        <w:tc>
          <w:tcPr>
            <w:tcW w:w="2835" w:type="dxa"/>
            <w:tcBorders>
              <w:top w:val="single" w:sz="4" w:space="0" w:color="501E58" w:themeColor="accent1" w:themeShade="BF"/>
              <w:left w:val="single" w:sz="4" w:space="0" w:color="BA61C9"/>
              <w:bottom w:val="single" w:sz="4" w:space="0" w:color="BA61C9"/>
              <w:right w:val="single" w:sz="4" w:space="0" w:color="BA61C9"/>
            </w:tcBorders>
            <w:vAlign w:val="center"/>
          </w:tcPr>
          <w:p w14:paraId="7B161171" w14:textId="77777777" w:rsidR="00367918" w:rsidRPr="007C1E37" w:rsidRDefault="00367918" w:rsidP="001E519A">
            <w:pPr>
              <w:spacing w:before="60" w:after="60"/>
              <w:ind w:left="37"/>
              <w:rPr>
                <w:rFonts w:cs="Arial"/>
                <w:sz w:val="20"/>
                <w:szCs w:val="20"/>
                <w:lang w:eastAsia="en-AU"/>
              </w:rPr>
            </w:pPr>
            <w:r w:rsidRPr="007C1E37">
              <w:rPr>
                <w:rFonts w:cs="Arial"/>
                <w:sz w:val="20"/>
                <w:szCs w:val="20"/>
                <w:lang w:eastAsia="en-AU"/>
              </w:rPr>
              <w:t>Number of NDIS participants</w:t>
            </w:r>
          </w:p>
        </w:tc>
        <w:tc>
          <w:tcPr>
            <w:tcW w:w="1134" w:type="dxa"/>
            <w:tcBorders>
              <w:top w:val="single" w:sz="4" w:space="0" w:color="501E58" w:themeColor="accent1" w:themeShade="BF"/>
              <w:left w:val="single" w:sz="4" w:space="0" w:color="BA61C9"/>
              <w:bottom w:val="single" w:sz="4" w:space="0" w:color="BA61C9"/>
              <w:right w:val="single" w:sz="4" w:space="0" w:color="BA61C9"/>
            </w:tcBorders>
            <w:vAlign w:val="center"/>
          </w:tcPr>
          <w:p w14:paraId="18A827CB" w14:textId="77777777" w:rsidR="00367918" w:rsidRPr="007C1E37" w:rsidRDefault="00367918" w:rsidP="001E519A">
            <w:pPr>
              <w:spacing w:before="60" w:after="60"/>
              <w:jc w:val="right"/>
              <w:rPr>
                <w:rFonts w:cs="Arial"/>
                <w:color w:val="000000"/>
                <w:sz w:val="20"/>
                <w:szCs w:val="20"/>
              </w:rPr>
            </w:pPr>
            <w:r w:rsidRPr="007C1E37">
              <w:rPr>
                <w:rFonts w:cs="Arial"/>
                <w:color w:val="000000"/>
                <w:sz w:val="20"/>
                <w:szCs w:val="20"/>
              </w:rPr>
              <w:t>245,845</w:t>
            </w:r>
          </w:p>
        </w:tc>
        <w:tc>
          <w:tcPr>
            <w:tcW w:w="1418" w:type="dxa"/>
            <w:tcBorders>
              <w:top w:val="single" w:sz="4" w:space="0" w:color="501E58" w:themeColor="accent1" w:themeShade="BF"/>
              <w:left w:val="single" w:sz="4" w:space="0" w:color="BA61C9"/>
              <w:bottom w:val="single" w:sz="4" w:space="0" w:color="BA61C9"/>
              <w:right w:val="single" w:sz="4" w:space="0" w:color="BA61C9"/>
            </w:tcBorders>
            <w:vAlign w:val="center"/>
          </w:tcPr>
          <w:p w14:paraId="060B6773" w14:textId="77777777" w:rsidR="00367918" w:rsidRPr="007C1E37" w:rsidRDefault="00367918" w:rsidP="001E519A">
            <w:pPr>
              <w:spacing w:before="60" w:after="60"/>
              <w:jc w:val="right"/>
              <w:rPr>
                <w:rFonts w:cs="Arial"/>
                <w:color w:val="000000"/>
                <w:sz w:val="20"/>
                <w:szCs w:val="20"/>
              </w:rPr>
            </w:pPr>
            <w:r w:rsidRPr="007C1E37">
              <w:rPr>
                <w:rFonts w:cs="Arial"/>
                <w:color w:val="000000"/>
                <w:sz w:val="20"/>
                <w:szCs w:val="20"/>
              </w:rPr>
              <w:t>3,058</w:t>
            </w:r>
          </w:p>
        </w:tc>
        <w:tc>
          <w:tcPr>
            <w:tcW w:w="1418" w:type="dxa"/>
            <w:tcBorders>
              <w:top w:val="single" w:sz="4" w:space="0" w:color="501E58" w:themeColor="accent1" w:themeShade="BF"/>
              <w:left w:val="single" w:sz="4" w:space="0" w:color="BA61C9"/>
              <w:bottom w:val="single" w:sz="4" w:space="0" w:color="BA61C9"/>
              <w:right w:val="single" w:sz="4" w:space="0" w:color="BA61C9"/>
            </w:tcBorders>
            <w:vAlign w:val="center"/>
          </w:tcPr>
          <w:p w14:paraId="7E8C4BF0" w14:textId="77777777" w:rsidR="00367918" w:rsidRPr="007C1E37" w:rsidRDefault="00367918" w:rsidP="001E519A">
            <w:pPr>
              <w:spacing w:before="60" w:after="60"/>
              <w:jc w:val="right"/>
              <w:rPr>
                <w:rFonts w:cs="Arial"/>
                <w:color w:val="000000"/>
                <w:sz w:val="20"/>
                <w:szCs w:val="20"/>
              </w:rPr>
            </w:pPr>
            <w:r w:rsidRPr="007C1E37">
              <w:rPr>
                <w:rFonts w:cs="Arial"/>
                <w:color w:val="000000"/>
                <w:sz w:val="20"/>
                <w:szCs w:val="20"/>
              </w:rPr>
              <w:t>10,929</w:t>
            </w:r>
          </w:p>
        </w:tc>
        <w:tc>
          <w:tcPr>
            <w:tcW w:w="1134" w:type="dxa"/>
            <w:tcBorders>
              <w:top w:val="single" w:sz="4" w:space="0" w:color="501E58" w:themeColor="accent1" w:themeShade="BF"/>
              <w:left w:val="single" w:sz="4" w:space="0" w:color="BA61C9"/>
              <w:bottom w:val="single" w:sz="4" w:space="0" w:color="BA61C9"/>
              <w:right w:val="single" w:sz="4" w:space="0" w:color="BA61C9"/>
            </w:tcBorders>
            <w:vAlign w:val="center"/>
          </w:tcPr>
          <w:p w14:paraId="674A39FC" w14:textId="77777777" w:rsidR="00367918" w:rsidRPr="007C1E37" w:rsidRDefault="00367918" w:rsidP="001E519A">
            <w:pPr>
              <w:spacing w:before="60" w:after="60"/>
              <w:jc w:val="right"/>
              <w:rPr>
                <w:rFonts w:cs="Arial"/>
                <w:color w:val="000000"/>
                <w:sz w:val="20"/>
                <w:szCs w:val="20"/>
              </w:rPr>
            </w:pPr>
            <w:r w:rsidRPr="007C1E37">
              <w:rPr>
                <w:rFonts w:cs="Arial"/>
                <w:color w:val="000000"/>
                <w:sz w:val="20"/>
                <w:szCs w:val="20"/>
              </w:rPr>
              <w:t>31,200</w:t>
            </w:r>
          </w:p>
        </w:tc>
        <w:tc>
          <w:tcPr>
            <w:tcW w:w="1134" w:type="dxa"/>
            <w:tcBorders>
              <w:top w:val="single" w:sz="4" w:space="0" w:color="501E58" w:themeColor="accent1" w:themeShade="BF"/>
              <w:left w:val="single" w:sz="4" w:space="0" w:color="BA61C9"/>
              <w:bottom w:val="single" w:sz="4" w:space="0" w:color="BA61C9"/>
              <w:right w:val="single" w:sz="4" w:space="0" w:color="BA61C9"/>
            </w:tcBorders>
            <w:vAlign w:val="center"/>
          </w:tcPr>
          <w:p w14:paraId="259F65DF" w14:textId="77777777" w:rsidR="00367918" w:rsidRPr="007C1E37" w:rsidRDefault="00367918" w:rsidP="001E519A">
            <w:pPr>
              <w:spacing w:before="60" w:after="60"/>
              <w:jc w:val="right"/>
              <w:rPr>
                <w:rFonts w:cs="Arial"/>
                <w:color w:val="000000"/>
                <w:sz w:val="20"/>
                <w:szCs w:val="20"/>
              </w:rPr>
            </w:pPr>
            <w:r w:rsidRPr="007C1E37">
              <w:rPr>
                <w:rFonts w:cs="Arial"/>
                <w:color w:val="000000"/>
                <w:sz w:val="20"/>
                <w:szCs w:val="20"/>
              </w:rPr>
              <w:t>111,785</w:t>
            </w:r>
          </w:p>
        </w:tc>
      </w:tr>
      <w:tr w:rsidR="00367918" w:rsidRPr="007C1E37" w14:paraId="1B322CEC" w14:textId="77777777" w:rsidTr="00367918">
        <w:trPr>
          <w:trHeight w:val="397"/>
        </w:trPr>
        <w:tc>
          <w:tcPr>
            <w:tcW w:w="2835" w:type="dxa"/>
            <w:tcBorders>
              <w:top w:val="single" w:sz="4" w:space="0" w:color="BA61C9"/>
              <w:left w:val="single" w:sz="4" w:space="0" w:color="BA61C9"/>
              <w:bottom w:val="single" w:sz="4" w:space="0" w:color="BA61C9"/>
              <w:right w:val="single" w:sz="4" w:space="0" w:color="BA61C9"/>
            </w:tcBorders>
            <w:vAlign w:val="center"/>
          </w:tcPr>
          <w:p w14:paraId="661FDF2D" w14:textId="77777777" w:rsidR="00367918" w:rsidRPr="007C1E37" w:rsidRDefault="00367918" w:rsidP="001E519A">
            <w:pPr>
              <w:spacing w:before="60" w:after="60"/>
              <w:ind w:left="37"/>
              <w:rPr>
                <w:rFonts w:cs="Arial"/>
                <w:sz w:val="20"/>
                <w:szCs w:val="20"/>
                <w:lang w:eastAsia="en-AU"/>
              </w:rPr>
            </w:pPr>
            <w:r w:rsidRPr="007C1E37">
              <w:rPr>
                <w:rFonts w:cs="Arial"/>
                <w:sz w:val="20"/>
                <w:szCs w:val="20"/>
                <w:lang w:eastAsia="en-AU"/>
              </w:rPr>
              <w:t>Number of active providers</w:t>
            </w:r>
          </w:p>
        </w:tc>
        <w:tc>
          <w:tcPr>
            <w:tcW w:w="1134" w:type="dxa"/>
            <w:tcBorders>
              <w:top w:val="single" w:sz="4" w:space="0" w:color="BA61C9"/>
              <w:left w:val="single" w:sz="4" w:space="0" w:color="BA61C9"/>
              <w:bottom w:val="single" w:sz="4" w:space="0" w:color="BA61C9"/>
              <w:right w:val="single" w:sz="4" w:space="0" w:color="BA61C9"/>
            </w:tcBorders>
            <w:vAlign w:val="center"/>
          </w:tcPr>
          <w:p w14:paraId="6FC1A453" w14:textId="77777777" w:rsidR="00367918" w:rsidRPr="007C1E37" w:rsidRDefault="00367918" w:rsidP="001E519A">
            <w:pPr>
              <w:spacing w:before="60" w:after="60"/>
              <w:jc w:val="right"/>
              <w:rPr>
                <w:rFonts w:cs="Arial"/>
                <w:color w:val="000000"/>
                <w:sz w:val="20"/>
                <w:szCs w:val="20"/>
              </w:rPr>
            </w:pPr>
            <w:r w:rsidRPr="007C1E37">
              <w:rPr>
                <w:rFonts w:cs="Arial"/>
                <w:color w:val="000000"/>
                <w:sz w:val="20"/>
                <w:szCs w:val="20"/>
              </w:rPr>
              <w:t>24,159</w:t>
            </w:r>
          </w:p>
        </w:tc>
        <w:tc>
          <w:tcPr>
            <w:tcW w:w="1418" w:type="dxa"/>
            <w:tcBorders>
              <w:top w:val="single" w:sz="4" w:space="0" w:color="BA61C9"/>
              <w:left w:val="single" w:sz="4" w:space="0" w:color="BA61C9"/>
              <w:bottom w:val="single" w:sz="4" w:space="0" w:color="BA61C9"/>
              <w:right w:val="single" w:sz="4" w:space="0" w:color="BA61C9"/>
            </w:tcBorders>
            <w:vAlign w:val="center"/>
          </w:tcPr>
          <w:p w14:paraId="72CA0254" w14:textId="77777777" w:rsidR="00367918" w:rsidRPr="007C1E37" w:rsidRDefault="00367918" w:rsidP="001E519A">
            <w:pPr>
              <w:spacing w:before="60" w:after="60"/>
              <w:jc w:val="right"/>
              <w:rPr>
                <w:rFonts w:cs="Arial"/>
                <w:color w:val="000000"/>
                <w:sz w:val="20"/>
                <w:szCs w:val="20"/>
              </w:rPr>
            </w:pPr>
            <w:r w:rsidRPr="007C1E37">
              <w:rPr>
                <w:rFonts w:cs="Arial"/>
                <w:color w:val="000000"/>
                <w:sz w:val="20"/>
                <w:szCs w:val="20"/>
              </w:rPr>
              <w:t>269</w:t>
            </w:r>
          </w:p>
        </w:tc>
        <w:tc>
          <w:tcPr>
            <w:tcW w:w="1418" w:type="dxa"/>
            <w:tcBorders>
              <w:top w:val="single" w:sz="4" w:space="0" w:color="BA61C9"/>
              <w:left w:val="single" w:sz="4" w:space="0" w:color="BA61C9"/>
              <w:bottom w:val="single" w:sz="4" w:space="0" w:color="BA61C9"/>
              <w:right w:val="single" w:sz="4" w:space="0" w:color="BA61C9"/>
            </w:tcBorders>
            <w:vAlign w:val="center"/>
          </w:tcPr>
          <w:p w14:paraId="4AC84C39" w14:textId="77777777" w:rsidR="00367918" w:rsidRPr="007C1E37" w:rsidRDefault="00367918" w:rsidP="001E519A">
            <w:pPr>
              <w:spacing w:before="60" w:after="60"/>
              <w:jc w:val="right"/>
              <w:rPr>
                <w:rFonts w:cs="Arial"/>
                <w:color w:val="000000"/>
                <w:sz w:val="20"/>
                <w:szCs w:val="20"/>
              </w:rPr>
            </w:pPr>
            <w:r w:rsidRPr="007C1E37">
              <w:rPr>
                <w:rFonts w:cs="Arial"/>
                <w:color w:val="000000"/>
                <w:sz w:val="20"/>
                <w:szCs w:val="20"/>
              </w:rPr>
              <w:t>2,758</w:t>
            </w:r>
          </w:p>
        </w:tc>
        <w:tc>
          <w:tcPr>
            <w:tcW w:w="1134" w:type="dxa"/>
            <w:tcBorders>
              <w:top w:val="single" w:sz="4" w:space="0" w:color="BA61C9"/>
              <w:left w:val="single" w:sz="4" w:space="0" w:color="BA61C9"/>
              <w:bottom w:val="single" w:sz="4" w:space="0" w:color="BA61C9"/>
              <w:right w:val="single" w:sz="4" w:space="0" w:color="BA61C9"/>
            </w:tcBorders>
            <w:vAlign w:val="center"/>
          </w:tcPr>
          <w:p w14:paraId="0120FC5B" w14:textId="77777777" w:rsidR="00367918" w:rsidRPr="007C1E37" w:rsidRDefault="00367918" w:rsidP="001E519A">
            <w:pPr>
              <w:spacing w:before="60" w:after="60"/>
              <w:jc w:val="right"/>
              <w:rPr>
                <w:rFonts w:cs="Arial"/>
                <w:color w:val="000000"/>
                <w:sz w:val="20"/>
                <w:szCs w:val="20"/>
              </w:rPr>
            </w:pPr>
            <w:r w:rsidRPr="007C1E37">
              <w:rPr>
                <w:rFonts w:cs="Arial"/>
                <w:color w:val="000000"/>
                <w:sz w:val="20"/>
                <w:szCs w:val="20"/>
              </w:rPr>
              <w:t>4,762</w:t>
            </w:r>
          </w:p>
        </w:tc>
        <w:tc>
          <w:tcPr>
            <w:tcW w:w="1134" w:type="dxa"/>
            <w:tcBorders>
              <w:top w:val="single" w:sz="4" w:space="0" w:color="BA61C9"/>
              <w:left w:val="single" w:sz="4" w:space="0" w:color="BA61C9"/>
              <w:bottom w:val="single" w:sz="4" w:space="0" w:color="BA61C9"/>
              <w:right w:val="single" w:sz="4" w:space="0" w:color="BA61C9"/>
            </w:tcBorders>
            <w:vAlign w:val="center"/>
          </w:tcPr>
          <w:p w14:paraId="697DD3C5" w14:textId="77777777" w:rsidR="00367918" w:rsidRPr="007C1E37" w:rsidRDefault="00367918" w:rsidP="001E519A">
            <w:pPr>
              <w:spacing w:before="60" w:after="60"/>
              <w:jc w:val="right"/>
              <w:rPr>
                <w:rFonts w:cs="Arial"/>
                <w:color w:val="000000"/>
                <w:sz w:val="20"/>
                <w:szCs w:val="20"/>
              </w:rPr>
            </w:pPr>
            <w:r w:rsidRPr="007C1E37">
              <w:rPr>
                <w:rFonts w:cs="Arial"/>
                <w:color w:val="000000"/>
                <w:sz w:val="20"/>
                <w:szCs w:val="20"/>
              </w:rPr>
              <w:t>104,818</w:t>
            </w:r>
          </w:p>
        </w:tc>
      </w:tr>
      <w:tr w:rsidR="00367918" w:rsidRPr="007C1E37" w14:paraId="25E7B5EB" w14:textId="77777777" w:rsidTr="00367918">
        <w:trPr>
          <w:cnfStyle w:val="000000100000" w:firstRow="0" w:lastRow="0" w:firstColumn="0" w:lastColumn="0" w:oddVBand="0" w:evenVBand="0" w:oddHBand="1" w:evenHBand="0" w:firstRowFirstColumn="0" w:firstRowLastColumn="0" w:lastRowFirstColumn="0" w:lastRowLastColumn="0"/>
          <w:trHeight w:val="397"/>
        </w:trPr>
        <w:tc>
          <w:tcPr>
            <w:tcW w:w="2835" w:type="dxa"/>
            <w:tcBorders>
              <w:top w:val="single" w:sz="4" w:space="0" w:color="BA61C9"/>
              <w:left w:val="single" w:sz="4" w:space="0" w:color="BA61C9"/>
              <w:bottom w:val="single" w:sz="4" w:space="0" w:color="BA61C9"/>
              <w:right w:val="single" w:sz="4" w:space="0" w:color="BA61C9"/>
            </w:tcBorders>
            <w:vAlign w:val="center"/>
          </w:tcPr>
          <w:p w14:paraId="6EF21E71" w14:textId="77777777" w:rsidR="00367918" w:rsidRPr="007C1E37" w:rsidRDefault="00367918" w:rsidP="001E519A">
            <w:pPr>
              <w:spacing w:before="60" w:after="60"/>
              <w:ind w:left="37"/>
              <w:rPr>
                <w:rFonts w:cs="Arial"/>
                <w:sz w:val="20"/>
                <w:szCs w:val="20"/>
                <w:lang w:eastAsia="en-AU"/>
              </w:rPr>
            </w:pPr>
            <w:r w:rsidRPr="007C1E37">
              <w:rPr>
                <w:rFonts w:cs="Arial"/>
                <w:sz w:val="20"/>
                <w:szCs w:val="20"/>
                <w:lang w:eastAsia="en-AU"/>
              </w:rPr>
              <w:t xml:space="preserve">Total amount claimed by active providers of DSW-related supports </w:t>
            </w:r>
            <w:r w:rsidRPr="007C1E37">
              <w:rPr>
                <w:rFonts w:cs="Arial"/>
                <w:b/>
                <w:bCs/>
                <w:sz w:val="20"/>
                <w:szCs w:val="20"/>
                <w:lang w:eastAsia="en-AU"/>
              </w:rPr>
              <w:t>($ billion)</w:t>
            </w:r>
          </w:p>
        </w:tc>
        <w:tc>
          <w:tcPr>
            <w:tcW w:w="1134" w:type="dxa"/>
            <w:tcBorders>
              <w:top w:val="single" w:sz="4" w:space="0" w:color="BA61C9"/>
              <w:left w:val="single" w:sz="4" w:space="0" w:color="BA61C9"/>
              <w:bottom w:val="single" w:sz="4" w:space="0" w:color="BA61C9"/>
              <w:right w:val="single" w:sz="4" w:space="0" w:color="BA61C9"/>
            </w:tcBorders>
            <w:vAlign w:val="center"/>
          </w:tcPr>
          <w:p w14:paraId="5986C48B" w14:textId="77777777" w:rsidR="00367918" w:rsidRPr="007C1E37" w:rsidRDefault="00367918" w:rsidP="001E519A">
            <w:pPr>
              <w:spacing w:before="60" w:after="60"/>
              <w:jc w:val="right"/>
              <w:rPr>
                <w:rFonts w:cs="Arial"/>
                <w:color w:val="000000"/>
                <w:sz w:val="20"/>
                <w:szCs w:val="20"/>
              </w:rPr>
            </w:pPr>
            <w:r w:rsidRPr="007C1E37">
              <w:rPr>
                <w:rFonts w:cs="Arial"/>
                <w:color w:val="000000"/>
                <w:sz w:val="20"/>
                <w:szCs w:val="20"/>
              </w:rPr>
              <w:t>$11.61</w:t>
            </w:r>
          </w:p>
        </w:tc>
        <w:tc>
          <w:tcPr>
            <w:tcW w:w="1418" w:type="dxa"/>
            <w:tcBorders>
              <w:top w:val="single" w:sz="4" w:space="0" w:color="BA61C9"/>
              <w:left w:val="single" w:sz="4" w:space="0" w:color="BA61C9"/>
              <w:bottom w:val="single" w:sz="4" w:space="0" w:color="BA61C9"/>
              <w:right w:val="single" w:sz="4" w:space="0" w:color="BA61C9"/>
            </w:tcBorders>
            <w:vAlign w:val="center"/>
          </w:tcPr>
          <w:p w14:paraId="222EED20" w14:textId="77777777" w:rsidR="00367918" w:rsidRPr="007C1E37" w:rsidRDefault="00367918" w:rsidP="001E519A">
            <w:pPr>
              <w:spacing w:before="60" w:after="60"/>
              <w:jc w:val="right"/>
              <w:rPr>
                <w:rFonts w:cs="Arial"/>
                <w:color w:val="000000"/>
                <w:sz w:val="20"/>
                <w:szCs w:val="20"/>
              </w:rPr>
            </w:pPr>
            <w:r w:rsidRPr="007C1E37">
              <w:rPr>
                <w:rFonts w:cs="Arial"/>
                <w:color w:val="000000"/>
                <w:sz w:val="20"/>
                <w:szCs w:val="20"/>
              </w:rPr>
              <w:t>$0.15</w:t>
            </w:r>
          </w:p>
        </w:tc>
        <w:tc>
          <w:tcPr>
            <w:tcW w:w="1418" w:type="dxa"/>
            <w:tcBorders>
              <w:top w:val="single" w:sz="4" w:space="0" w:color="BA61C9"/>
              <w:left w:val="single" w:sz="4" w:space="0" w:color="BA61C9"/>
              <w:bottom w:val="single" w:sz="4" w:space="0" w:color="BA61C9"/>
              <w:right w:val="single" w:sz="4" w:space="0" w:color="BA61C9"/>
            </w:tcBorders>
            <w:vAlign w:val="center"/>
          </w:tcPr>
          <w:p w14:paraId="7D4BBC4A" w14:textId="77777777" w:rsidR="00367918" w:rsidRPr="007C1E37" w:rsidRDefault="00367918" w:rsidP="001E519A">
            <w:pPr>
              <w:spacing w:before="60" w:after="60"/>
              <w:jc w:val="right"/>
              <w:rPr>
                <w:rFonts w:cs="Arial"/>
                <w:color w:val="000000"/>
                <w:sz w:val="20"/>
                <w:szCs w:val="20"/>
              </w:rPr>
            </w:pPr>
            <w:r w:rsidRPr="007C1E37">
              <w:rPr>
                <w:rFonts w:cs="Arial"/>
                <w:color w:val="000000"/>
                <w:sz w:val="20"/>
                <w:szCs w:val="20"/>
              </w:rPr>
              <w:t>$0.18</w:t>
            </w:r>
          </w:p>
        </w:tc>
        <w:tc>
          <w:tcPr>
            <w:tcW w:w="1134" w:type="dxa"/>
            <w:tcBorders>
              <w:top w:val="single" w:sz="4" w:space="0" w:color="BA61C9"/>
              <w:left w:val="single" w:sz="4" w:space="0" w:color="BA61C9"/>
              <w:bottom w:val="single" w:sz="4" w:space="0" w:color="BA61C9"/>
              <w:right w:val="single" w:sz="4" w:space="0" w:color="BA61C9"/>
            </w:tcBorders>
            <w:vAlign w:val="center"/>
          </w:tcPr>
          <w:p w14:paraId="5D8350A7" w14:textId="77777777" w:rsidR="00367918" w:rsidRPr="007C1E37" w:rsidRDefault="00367918" w:rsidP="001E519A">
            <w:pPr>
              <w:spacing w:before="60" w:after="60"/>
              <w:jc w:val="right"/>
              <w:rPr>
                <w:rFonts w:cs="Arial"/>
                <w:color w:val="000000"/>
                <w:sz w:val="20"/>
                <w:szCs w:val="20"/>
              </w:rPr>
            </w:pPr>
            <w:r w:rsidRPr="007C1E37">
              <w:rPr>
                <w:rFonts w:cs="Arial"/>
                <w:color w:val="000000"/>
                <w:sz w:val="20"/>
                <w:szCs w:val="20"/>
              </w:rPr>
              <w:t>$0.72</w:t>
            </w:r>
          </w:p>
        </w:tc>
        <w:tc>
          <w:tcPr>
            <w:tcW w:w="1134" w:type="dxa"/>
            <w:tcBorders>
              <w:top w:val="single" w:sz="4" w:space="0" w:color="BA61C9"/>
              <w:left w:val="single" w:sz="4" w:space="0" w:color="BA61C9"/>
              <w:bottom w:val="single" w:sz="4" w:space="0" w:color="BA61C9"/>
              <w:right w:val="single" w:sz="4" w:space="0" w:color="BA61C9"/>
            </w:tcBorders>
            <w:vAlign w:val="center"/>
          </w:tcPr>
          <w:p w14:paraId="11B9F48E" w14:textId="77777777" w:rsidR="00367918" w:rsidRPr="007C1E37" w:rsidRDefault="00367918" w:rsidP="001E519A">
            <w:pPr>
              <w:spacing w:before="60" w:after="60"/>
              <w:jc w:val="right"/>
              <w:rPr>
                <w:rFonts w:cs="Arial"/>
                <w:color w:val="000000"/>
                <w:sz w:val="20"/>
                <w:szCs w:val="20"/>
              </w:rPr>
            </w:pPr>
            <w:r w:rsidRPr="007C1E37">
              <w:rPr>
                <w:rFonts w:cs="Arial"/>
                <w:color w:val="000000"/>
                <w:sz w:val="20"/>
                <w:szCs w:val="20"/>
              </w:rPr>
              <w:t>$2.22</w:t>
            </w:r>
          </w:p>
        </w:tc>
      </w:tr>
      <w:tr w:rsidR="00367918" w:rsidRPr="007C1E37" w14:paraId="78FF7F8A" w14:textId="77777777" w:rsidTr="00367918">
        <w:trPr>
          <w:trHeight w:val="397"/>
        </w:trPr>
        <w:tc>
          <w:tcPr>
            <w:tcW w:w="2835" w:type="dxa"/>
            <w:tcBorders>
              <w:top w:val="single" w:sz="4" w:space="0" w:color="BA61C9"/>
              <w:left w:val="single" w:sz="4" w:space="0" w:color="BA61C9"/>
              <w:bottom w:val="single" w:sz="4" w:space="0" w:color="BA61C9"/>
              <w:right w:val="single" w:sz="4" w:space="0" w:color="BA61C9"/>
            </w:tcBorders>
            <w:vAlign w:val="center"/>
          </w:tcPr>
          <w:p w14:paraId="453AB30A" w14:textId="77777777" w:rsidR="00367918" w:rsidRPr="007C1E37" w:rsidRDefault="00367918" w:rsidP="001E519A">
            <w:pPr>
              <w:spacing w:before="60" w:after="60"/>
              <w:ind w:left="37"/>
              <w:rPr>
                <w:rFonts w:cs="Arial"/>
                <w:bCs/>
                <w:sz w:val="20"/>
                <w:szCs w:val="20"/>
                <w:lang w:eastAsia="en-AU"/>
              </w:rPr>
            </w:pPr>
            <w:r w:rsidRPr="007C1E37">
              <w:rPr>
                <w:rFonts w:cs="Arial"/>
                <w:sz w:val="20"/>
                <w:szCs w:val="20"/>
                <w:lang w:eastAsia="en-AU"/>
              </w:rPr>
              <w:t>Average amount claimed by all active providers of DSW-related supports</w:t>
            </w:r>
          </w:p>
        </w:tc>
        <w:tc>
          <w:tcPr>
            <w:tcW w:w="1134" w:type="dxa"/>
            <w:tcBorders>
              <w:top w:val="single" w:sz="4" w:space="0" w:color="BA61C9"/>
              <w:left w:val="single" w:sz="4" w:space="0" w:color="BA61C9"/>
              <w:bottom w:val="single" w:sz="4" w:space="0" w:color="BA61C9"/>
              <w:right w:val="single" w:sz="4" w:space="0" w:color="BA61C9"/>
            </w:tcBorders>
            <w:vAlign w:val="center"/>
          </w:tcPr>
          <w:p w14:paraId="77F36916" w14:textId="77777777" w:rsidR="00367918" w:rsidRPr="007C1E37" w:rsidRDefault="00367918" w:rsidP="001E519A">
            <w:pPr>
              <w:spacing w:before="60" w:after="60"/>
              <w:jc w:val="right"/>
              <w:rPr>
                <w:rFonts w:cs="Arial"/>
                <w:color w:val="000000"/>
                <w:sz w:val="20"/>
                <w:szCs w:val="20"/>
              </w:rPr>
            </w:pPr>
            <w:r w:rsidRPr="007C1E37">
              <w:rPr>
                <w:rFonts w:cs="Arial"/>
                <w:color w:val="000000"/>
                <w:sz w:val="20"/>
                <w:szCs w:val="20"/>
              </w:rPr>
              <w:t>$480,754</w:t>
            </w:r>
          </w:p>
        </w:tc>
        <w:tc>
          <w:tcPr>
            <w:tcW w:w="1418" w:type="dxa"/>
            <w:tcBorders>
              <w:top w:val="single" w:sz="4" w:space="0" w:color="BA61C9"/>
              <w:left w:val="single" w:sz="4" w:space="0" w:color="BA61C9"/>
              <w:bottom w:val="single" w:sz="4" w:space="0" w:color="BA61C9"/>
              <w:right w:val="single" w:sz="4" w:space="0" w:color="BA61C9"/>
            </w:tcBorders>
            <w:vAlign w:val="center"/>
          </w:tcPr>
          <w:p w14:paraId="501364C1" w14:textId="77777777" w:rsidR="00367918" w:rsidRPr="007C1E37" w:rsidRDefault="00367918" w:rsidP="001E519A">
            <w:pPr>
              <w:spacing w:before="60" w:after="60"/>
              <w:jc w:val="right"/>
              <w:rPr>
                <w:rFonts w:cs="Arial"/>
                <w:color w:val="000000"/>
                <w:sz w:val="20"/>
                <w:szCs w:val="20"/>
              </w:rPr>
            </w:pPr>
            <w:r w:rsidRPr="007C1E37">
              <w:rPr>
                <w:rFonts w:cs="Arial"/>
                <w:color w:val="000000"/>
                <w:sz w:val="20"/>
                <w:szCs w:val="20"/>
              </w:rPr>
              <w:t>$565,001</w:t>
            </w:r>
          </w:p>
        </w:tc>
        <w:tc>
          <w:tcPr>
            <w:tcW w:w="1418" w:type="dxa"/>
            <w:tcBorders>
              <w:top w:val="single" w:sz="4" w:space="0" w:color="BA61C9"/>
              <w:left w:val="single" w:sz="4" w:space="0" w:color="BA61C9"/>
              <w:bottom w:val="single" w:sz="4" w:space="0" w:color="BA61C9"/>
              <w:right w:val="single" w:sz="4" w:space="0" w:color="BA61C9"/>
            </w:tcBorders>
            <w:vAlign w:val="center"/>
          </w:tcPr>
          <w:p w14:paraId="130D3262" w14:textId="77777777" w:rsidR="00367918" w:rsidRPr="007C1E37" w:rsidRDefault="00367918" w:rsidP="001E519A">
            <w:pPr>
              <w:spacing w:before="60" w:after="60"/>
              <w:jc w:val="right"/>
              <w:rPr>
                <w:rFonts w:cs="Arial"/>
                <w:color w:val="000000"/>
                <w:sz w:val="20"/>
                <w:szCs w:val="20"/>
              </w:rPr>
            </w:pPr>
            <w:r w:rsidRPr="007C1E37">
              <w:rPr>
                <w:rFonts w:cs="Arial"/>
                <w:color w:val="000000"/>
                <w:sz w:val="20"/>
                <w:szCs w:val="20"/>
              </w:rPr>
              <w:t>$65,628</w:t>
            </w:r>
          </w:p>
        </w:tc>
        <w:tc>
          <w:tcPr>
            <w:tcW w:w="1134" w:type="dxa"/>
            <w:tcBorders>
              <w:top w:val="single" w:sz="4" w:space="0" w:color="BA61C9"/>
              <w:left w:val="single" w:sz="4" w:space="0" w:color="BA61C9"/>
              <w:bottom w:val="single" w:sz="4" w:space="0" w:color="BA61C9"/>
              <w:right w:val="single" w:sz="4" w:space="0" w:color="BA61C9"/>
            </w:tcBorders>
            <w:vAlign w:val="center"/>
          </w:tcPr>
          <w:p w14:paraId="7C528D26" w14:textId="77777777" w:rsidR="00367918" w:rsidRPr="007C1E37" w:rsidRDefault="00367918" w:rsidP="001E519A">
            <w:pPr>
              <w:spacing w:before="60" w:after="60"/>
              <w:jc w:val="right"/>
              <w:rPr>
                <w:rFonts w:cs="Arial"/>
                <w:color w:val="000000"/>
                <w:sz w:val="20"/>
                <w:szCs w:val="20"/>
              </w:rPr>
            </w:pPr>
            <w:r w:rsidRPr="007C1E37">
              <w:rPr>
                <w:rFonts w:cs="Arial"/>
                <w:color w:val="000000"/>
                <w:sz w:val="20"/>
                <w:szCs w:val="20"/>
              </w:rPr>
              <w:t>$151,013</w:t>
            </w:r>
          </w:p>
        </w:tc>
        <w:tc>
          <w:tcPr>
            <w:tcW w:w="1134" w:type="dxa"/>
            <w:tcBorders>
              <w:top w:val="single" w:sz="4" w:space="0" w:color="BA61C9"/>
              <w:left w:val="single" w:sz="4" w:space="0" w:color="BA61C9"/>
              <w:bottom w:val="single" w:sz="4" w:space="0" w:color="BA61C9"/>
              <w:right w:val="single" w:sz="4" w:space="0" w:color="BA61C9"/>
            </w:tcBorders>
            <w:vAlign w:val="center"/>
          </w:tcPr>
          <w:p w14:paraId="05FDE9D0" w14:textId="77777777" w:rsidR="00367918" w:rsidRPr="007C1E37" w:rsidRDefault="00367918" w:rsidP="001E519A">
            <w:pPr>
              <w:spacing w:before="60" w:after="60"/>
              <w:jc w:val="right"/>
              <w:rPr>
                <w:rFonts w:cs="Arial"/>
                <w:color w:val="000000"/>
                <w:sz w:val="20"/>
                <w:szCs w:val="20"/>
              </w:rPr>
            </w:pPr>
            <w:r w:rsidRPr="007C1E37">
              <w:rPr>
                <w:rFonts w:cs="Arial"/>
                <w:color w:val="000000"/>
                <w:sz w:val="20"/>
                <w:szCs w:val="20"/>
              </w:rPr>
              <w:t>$21,214</w:t>
            </w:r>
          </w:p>
        </w:tc>
      </w:tr>
    </w:tbl>
    <w:p w14:paraId="30256A70" w14:textId="77777777" w:rsidR="00367918" w:rsidRPr="008034CE" w:rsidRDefault="00367918" w:rsidP="008D60AB">
      <w:pPr>
        <w:pStyle w:val="Sourcefortableorfigure"/>
        <w:spacing w:before="240"/>
      </w:pPr>
      <w:r w:rsidRPr="008034CE">
        <w:t>Source: NDIS internal administrative data</w:t>
      </w:r>
    </w:p>
    <w:p w14:paraId="26710F06" w14:textId="77777777" w:rsidR="00367918" w:rsidRPr="008034CE" w:rsidRDefault="00367918" w:rsidP="00367918">
      <w:pPr>
        <w:rPr>
          <w:sz w:val="20"/>
          <w:szCs w:val="20"/>
        </w:rPr>
      </w:pPr>
      <w:r w:rsidRPr="008034CE">
        <w:rPr>
          <w:sz w:val="20"/>
          <w:szCs w:val="20"/>
        </w:rPr>
        <w:t>Note: Providers with a missing Legal Entity Type are excluded.</w:t>
      </w:r>
    </w:p>
    <w:p w14:paraId="5A5A25D4" w14:textId="77777777" w:rsidR="00367918" w:rsidRPr="008034CE" w:rsidRDefault="00367918" w:rsidP="00367918">
      <w:pPr>
        <w:pStyle w:val="Heading5"/>
      </w:pPr>
      <w:bookmarkStart w:id="207" w:name="_Toc200103490"/>
      <w:bookmarkStart w:id="208" w:name="_Toc200271603"/>
      <w:r w:rsidRPr="008034CE">
        <w:t>Claiming Patterns</w:t>
      </w:r>
      <w:bookmarkEnd w:id="207"/>
      <w:bookmarkEnd w:id="208"/>
      <w:r w:rsidRPr="008034CE">
        <w:t xml:space="preserve"> </w:t>
      </w:r>
    </w:p>
    <w:p w14:paraId="4F6A2F40" w14:textId="44D5CB42" w:rsidR="00367918" w:rsidRPr="008034CE" w:rsidRDefault="00367918" w:rsidP="00367918">
      <w:r w:rsidRPr="008034CE">
        <w:t xml:space="preserve">Claiming patterns for DSW-related supports have remained relatively stable over the past three years, with most claims made at or near the maximum allowable price. As shown in </w:t>
      </w:r>
      <w:r w:rsidRPr="008034CE">
        <w:fldChar w:fldCharType="begin"/>
      </w:r>
      <w:r w:rsidRPr="008034CE">
        <w:instrText xml:space="preserve"> REF _Ref195556357 \h  \* MERGEFORMAT </w:instrText>
      </w:r>
      <w:r w:rsidRPr="008034CE">
        <w:fldChar w:fldCharType="separate"/>
      </w:r>
      <w:r w:rsidR="005763F9" w:rsidRPr="008034CE">
        <w:t xml:space="preserve">Table </w:t>
      </w:r>
      <w:r w:rsidR="005763F9">
        <w:t>8</w:t>
      </w:r>
      <w:r w:rsidRPr="008034CE">
        <w:fldChar w:fldCharType="end"/>
      </w:r>
      <w:r w:rsidRPr="008034CE">
        <w:t xml:space="preserve">, the proportion of claims made at the price limit averaged around 63% across all providers in the six months to December 2024. </w:t>
      </w:r>
    </w:p>
    <w:p w14:paraId="37A3800B" w14:textId="77777777" w:rsidR="00367918" w:rsidRPr="008034CE" w:rsidRDefault="00367918" w:rsidP="00367918">
      <w:r w:rsidRPr="008034CE">
        <w:t>Among registered providers, claiming at the price limit has consistently remained above two-thirds of all transactions. This pattern may reflect a range of factors, including the cost of delivering supports, or a broader tendency across the market to claim at the maximum allowable rate.</w:t>
      </w:r>
    </w:p>
    <w:p w14:paraId="1673FF04" w14:textId="4B97A1F4" w:rsidR="00367918" w:rsidRPr="008034CE" w:rsidRDefault="00367918" w:rsidP="00367918">
      <w:r w:rsidRPr="008034CE">
        <w:t>Claiming behaviour among unregistered providers has been more variable. After rising to 59% in the first half of 2024, the proportion of claims at the price limit fell slightly to 55% for the six months to December 2024 (</w:t>
      </w:r>
      <w:r w:rsidRPr="008034CE">
        <w:fldChar w:fldCharType="begin"/>
      </w:r>
      <w:r w:rsidRPr="008034CE">
        <w:instrText xml:space="preserve"> REF _Ref195556357 \h  \* MERGEFORMAT </w:instrText>
      </w:r>
      <w:r w:rsidRPr="008034CE">
        <w:fldChar w:fldCharType="separate"/>
      </w:r>
      <w:r w:rsidR="005763F9" w:rsidRPr="008034CE">
        <w:t xml:space="preserve">Table </w:t>
      </w:r>
      <w:r w:rsidR="005763F9">
        <w:t>8</w:t>
      </w:r>
      <w:r w:rsidRPr="008034CE">
        <w:fldChar w:fldCharType="end"/>
      </w:r>
      <w:r w:rsidRPr="008034CE">
        <w:t xml:space="preserve">). </w:t>
      </w:r>
    </w:p>
    <w:p w14:paraId="7B0AE7D5" w14:textId="5493849D" w:rsidR="00367918" w:rsidRPr="008034CE" w:rsidRDefault="00367918" w:rsidP="00367918">
      <w:pPr>
        <w:pStyle w:val="Caption"/>
      </w:pPr>
      <w:bookmarkStart w:id="209" w:name="_Ref195556357"/>
      <w:r w:rsidRPr="008034CE">
        <w:t xml:space="preserve">Table </w:t>
      </w:r>
      <w:r w:rsidR="005763F9">
        <w:fldChar w:fldCharType="begin"/>
      </w:r>
      <w:r w:rsidR="005763F9">
        <w:instrText xml:space="preserve"> SEQ Table \* ARABIC </w:instrText>
      </w:r>
      <w:r w:rsidR="005763F9">
        <w:fldChar w:fldCharType="separate"/>
      </w:r>
      <w:r w:rsidR="005763F9">
        <w:rPr>
          <w:noProof/>
        </w:rPr>
        <w:t>8</w:t>
      </w:r>
      <w:r w:rsidR="005763F9">
        <w:rPr>
          <w:noProof/>
        </w:rPr>
        <w:fldChar w:fldCharType="end"/>
      </w:r>
      <w:bookmarkEnd w:id="209"/>
      <w:r w:rsidRPr="008034CE">
        <w:t>: Claiming Patterns at Price Limit Analysis for DSW-Related Supports, January 2022 to December 2024</w:t>
      </w:r>
    </w:p>
    <w:tbl>
      <w:tblPr>
        <w:tblStyle w:val="GridTable4-Accent12"/>
        <w:tblW w:w="0" w:type="auto"/>
        <w:tblInd w:w="-5" w:type="dxa"/>
        <w:tblLayout w:type="fixed"/>
        <w:tblLook w:val="0420" w:firstRow="1" w:lastRow="0" w:firstColumn="0" w:lastColumn="0" w:noHBand="0" w:noVBand="1"/>
      </w:tblPr>
      <w:tblGrid>
        <w:gridCol w:w="1985"/>
        <w:gridCol w:w="1196"/>
        <w:gridCol w:w="1196"/>
        <w:gridCol w:w="1196"/>
        <w:gridCol w:w="1196"/>
        <w:gridCol w:w="1196"/>
        <w:gridCol w:w="1196"/>
      </w:tblGrid>
      <w:tr w:rsidR="00367918" w:rsidRPr="007C1E37" w14:paraId="57F77756" w14:textId="77777777" w:rsidTr="001E519A">
        <w:trPr>
          <w:cnfStyle w:val="100000000000" w:firstRow="1" w:lastRow="0" w:firstColumn="0" w:lastColumn="0" w:oddVBand="0" w:evenVBand="0" w:oddHBand="0" w:evenHBand="0" w:firstRowFirstColumn="0" w:firstRowLastColumn="0" w:lastRowFirstColumn="0" w:lastRowLastColumn="0"/>
          <w:trHeight w:val="567"/>
          <w:tblHeader/>
        </w:trPr>
        <w:tc>
          <w:tcPr>
            <w:tcW w:w="1985" w:type="dxa"/>
            <w:tcBorders>
              <w:top w:val="single" w:sz="4" w:space="0" w:color="501E58" w:themeColor="accent5" w:themeShade="BF"/>
              <w:left w:val="single" w:sz="4" w:space="0" w:color="501E58" w:themeColor="accent5" w:themeShade="BF"/>
              <w:bottom w:val="single" w:sz="4" w:space="0" w:color="501E58" w:themeColor="accent5" w:themeShade="BF"/>
              <w:right w:val="single" w:sz="6" w:space="0" w:color="501E58" w:themeColor="accent5" w:themeShade="BF"/>
            </w:tcBorders>
          </w:tcPr>
          <w:p w14:paraId="6FB015EB" w14:textId="77777777" w:rsidR="00367918" w:rsidRPr="007C1E37" w:rsidRDefault="00367918" w:rsidP="001E519A">
            <w:pPr>
              <w:spacing w:before="60" w:after="60"/>
              <w:rPr>
                <w:rFonts w:cs="Arial"/>
                <w:sz w:val="20"/>
                <w:szCs w:val="20"/>
                <w:lang w:eastAsia="en-AU"/>
              </w:rPr>
            </w:pPr>
            <w:r w:rsidRPr="007C1E37">
              <w:rPr>
                <w:rFonts w:cs="Arial"/>
                <w:sz w:val="20"/>
                <w:szCs w:val="20"/>
                <w:lang w:eastAsia="en-AU"/>
              </w:rPr>
              <w:t>Claiming patterns – At price limit</w:t>
            </w:r>
          </w:p>
        </w:tc>
        <w:tc>
          <w:tcPr>
            <w:tcW w:w="1196"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tcPr>
          <w:p w14:paraId="5145D859" w14:textId="77777777" w:rsidR="00367918" w:rsidRPr="007C1E37" w:rsidRDefault="00367918" w:rsidP="001E519A">
            <w:pPr>
              <w:spacing w:before="60" w:after="0"/>
              <w:jc w:val="right"/>
              <w:rPr>
                <w:rFonts w:cs="Arial"/>
                <w:sz w:val="20"/>
                <w:szCs w:val="20"/>
              </w:rPr>
            </w:pPr>
            <w:r w:rsidRPr="007C1E37">
              <w:rPr>
                <w:rFonts w:cs="Arial"/>
                <w:sz w:val="20"/>
                <w:szCs w:val="20"/>
              </w:rPr>
              <w:t>January – June</w:t>
            </w:r>
          </w:p>
          <w:p w14:paraId="7F89B175" w14:textId="77777777" w:rsidR="00367918" w:rsidRPr="007C1E37" w:rsidRDefault="00367918" w:rsidP="001E519A">
            <w:pPr>
              <w:spacing w:after="60"/>
              <w:jc w:val="right"/>
              <w:rPr>
                <w:rFonts w:cs="Arial"/>
                <w:sz w:val="20"/>
                <w:szCs w:val="20"/>
                <w:lang w:eastAsia="en-AU"/>
              </w:rPr>
            </w:pPr>
            <w:r w:rsidRPr="007C1E37">
              <w:rPr>
                <w:rFonts w:cs="Arial"/>
                <w:sz w:val="20"/>
                <w:szCs w:val="20"/>
              </w:rPr>
              <w:t>2022</w:t>
            </w:r>
          </w:p>
        </w:tc>
        <w:tc>
          <w:tcPr>
            <w:tcW w:w="1196"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tcPr>
          <w:p w14:paraId="6069E19E" w14:textId="77777777" w:rsidR="00367918" w:rsidRPr="007C1E37" w:rsidRDefault="00367918" w:rsidP="001E519A">
            <w:pPr>
              <w:spacing w:before="60" w:after="60"/>
              <w:jc w:val="right"/>
              <w:rPr>
                <w:rFonts w:cs="Arial"/>
                <w:sz w:val="20"/>
                <w:szCs w:val="20"/>
                <w:lang w:eastAsia="en-AU"/>
              </w:rPr>
            </w:pPr>
            <w:r w:rsidRPr="007C1E37">
              <w:rPr>
                <w:rFonts w:cs="Arial"/>
                <w:sz w:val="20"/>
                <w:szCs w:val="20"/>
              </w:rPr>
              <w:t>July – December 2022</w:t>
            </w:r>
          </w:p>
        </w:tc>
        <w:tc>
          <w:tcPr>
            <w:tcW w:w="1196"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tcPr>
          <w:p w14:paraId="59015E03" w14:textId="77777777" w:rsidR="00367918" w:rsidRPr="007C1E37" w:rsidRDefault="00367918" w:rsidP="001E519A">
            <w:pPr>
              <w:spacing w:before="60" w:after="0"/>
              <w:jc w:val="right"/>
              <w:rPr>
                <w:rFonts w:cs="Arial"/>
                <w:sz w:val="20"/>
                <w:szCs w:val="20"/>
              </w:rPr>
            </w:pPr>
            <w:r w:rsidRPr="007C1E37">
              <w:rPr>
                <w:rFonts w:cs="Arial"/>
                <w:sz w:val="20"/>
                <w:szCs w:val="20"/>
              </w:rPr>
              <w:t>January – June</w:t>
            </w:r>
          </w:p>
          <w:p w14:paraId="24807D59" w14:textId="77777777" w:rsidR="00367918" w:rsidRPr="007C1E37" w:rsidRDefault="00367918" w:rsidP="001E519A">
            <w:pPr>
              <w:spacing w:after="60"/>
              <w:jc w:val="right"/>
              <w:rPr>
                <w:rFonts w:cs="Arial"/>
                <w:sz w:val="20"/>
                <w:szCs w:val="20"/>
                <w:lang w:eastAsia="en-AU"/>
              </w:rPr>
            </w:pPr>
            <w:r w:rsidRPr="007C1E37">
              <w:rPr>
                <w:rFonts w:cs="Arial"/>
                <w:sz w:val="20"/>
                <w:szCs w:val="20"/>
              </w:rPr>
              <w:t>2023</w:t>
            </w:r>
          </w:p>
        </w:tc>
        <w:tc>
          <w:tcPr>
            <w:tcW w:w="1196"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tcPr>
          <w:p w14:paraId="70557427" w14:textId="77777777" w:rsidR="00367918" w:rsidRPr="007C1E37" w:rsidRDefault="00367918" w:rsidP="001E519A">
            <w:pPr>
              <w:spacing w:before="60" w:after="60"/>
              <w:jc w:val="right"/>
              <w:rPr>
                <w:rFonts w:cs="Arial"/>
                <w:sz w:val="20"/>
                <w:szCs w:val="20"/>
                <w:lang w:eastAsia="en-AU"/>
              </w:rPr>
            </w:pPr>
            <w:r w:rsidRPr="007C1E37">
              <w:rPr>
                <w:rFonts w:cs="Arial"/>
                <w:sz w:val="20"/>
                <w:szCs w:val="20"/>
              </w:rPr>
              <w:t>July – December 2023</w:t>
            </w:r>
          </w:p>
        </w:tc>
        <w:tc>
          <w:tcPr>
            <w:tcW w:w="1196"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tcPr>
          <w:p w14:paraId="1955FE8C" w14:textId="77777777" w:rsidR="00367918" w:rsidRPr="007C1E37" w:rsidRDefault="00367918" w:rsidP="001E519A">
            <w:pPr>
              <w:spacing w:before="60" w:after="0"/>
              <w:jc w:val="right"/>
              <w:rPr>
                <w:rFonts w:cs="Arial"/>
                <w:sz w:val="20"/>
                <w:szCs w:val="20"/>
              </w:rPr>
            </w:pPr>
            <w:r w:rsidRPr="007C1E37">
              <w:rPr>
                <w:rFonts w:cs="Arial"/>
                <w:sz w:val="20"/>
                <w:szCs w:val="20"/>
              </w:rPr>
              <w:t>January – June</w:t>
            </w:r>
          </w:p>
          <w:p w14:paraId="1312F670" w14:textId="77777777" w:rsidR="00367918" w:rsidRPr="007C1E37" w:rsidRDefault="00367918" w:rsidP="001E519A">
            <w:pPr>
              <w:spacing w:after="60"/>
              <w:jc w:val="right"/>
              <w:rPr>
                <w:rFonts w:cs="Arial"/>
                <w:sz w:val="20"/>
                <w:szCs w:val="20"/>
                <w:lang w:eastAsia="en-AU"/>
              </w:rPr>
            </w:pPr>
            <w:r w:rsidRPr="007C1E37">
              <w:rPr>
                <w:rFonts w:cs="Arial"/>
                <w:sz w:val="20"/>
                <w:szCs w:val="20"/>
              </w:rPr>
              <w:t>2024</w:t>
            </w:r>
          </w:p>
        </w:tc>
        <w:tc>
          <w:tcPr>
            <w:tcW w:w="1196" w:type="dxa"/>
            <w:tcBorders>
              <w:top w:val="single" w:sz="4" w:space="0" w:color="501E58" w:themeColor="accent5" w:themeShade="BF"/>
              <w:left w:val="single" w:sz="6" w:space="0" w:color="501E58" w:themeColor="accent5" w:themeShade="BF"/>
              <w:bottom w:val="single" w:sz="4" w:space="0" w:color="501E58" w:themeColor="accent5" w:themeShade="BF"/>
              <w:right w:val="single" w:sz="4" w:space="0" w:color="501E58" w:themeColor="accent5" w:themeShade="BF"/>
            </w:tcBorders>
          </w:tcPr>
          <w:p w14:paraId="5984D54B" w14:textId="77777777" w:rsidR="00367918" w:rsidRPr="007C1E37" w:rsidRDefault="00367918" w:rsidP="001E519A">
            <w:pPr>
              <w:spacing w:before="60" w:after="60"/>
              <w:jc w:val="right"/>
              <w:rPr>
                <w:rFonts w:cs="Arial"/>
                <w:sz w:val="20"/>
                <w:szCs w:val="20"/>
                <w:lang w:eastAsia="en-AU"/>
              </w:rPr>
            </w:pPr>
            <w:r w:rsidRPr="007C1E37">
              <w:rPr>
                <w:rFonts w:cs="Arial"/>
                <w:sz w:val="20"/>
                <w:szCs w:val="20"/>
              </w:rPr>
              <w:t>July – December 2024</w:t>
            </w:r>
          </w:p>
        </w:tc>
      </w:tr>
      <w:tr w:rsidR="00367918" w:rsidRPr="007C1E37" w14:paraId="0404E070" w14:textId="77777777" w:rsidTr="001E519A">
        <w:trPr>
          <w:cnfStyle w:val="000000100000" w:firstRow="0" w:lastRow="0" w:firstColumn="0" w:lastColumn="0" w:oddVBand="0" w:evenVBand="0" w:oddHBand="1" w:evenHBand="0" w:firstRowFirstColumn="0" w:firstRowLastColumn="0" w:lastRowFirstColumn="0" w:lastRowLastColumn="0"/>
          <w:trHeight w:val="397"/>
        </w:trPr>
        <w:tc>
          <w:tcPr>
            <w:tcW w:w="1985"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4BA9F6F5" w14:textId="77777777" w:rsidR="00367918" w:rsidRPr="007C1E37" w:rsidRDefault="00367918" w:rsidP="001E519A">
            <w:pPr>
              <w:spacing w:before="60" w:after="60"/>
              <w:rPr>
                <w:rFonts w:cs="Arial"/>
                <w:sz w:val="20"/>
                <w:szCs w:val="20"/>
                <w:lang w:eastAsia="en-AU"/>
              </w:rPr>
            </w:pPr>
            <w:r w:rsidRPr="007C1E37">
              <w:rPr>
                <w:rFonts w:cs="Arial"/>
                <w:sz w:val="20"/>
                <w:szCs w:val="20"/>
                <w:lang w:eastAsia="en-AU"/>
              </w:rPr>
              <w:t>Registered</w:t>
            </w:r>
          </w:p>
        </w:tc>
        <w:tc>
          <w:tcPr>
            <w:tcW w:w="1196"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5273F13D" w14:textId="77777777" w:rsidR="00367918" w:rsidRPr="007C1E37" w:rsidRDefault="00367918" w:rsidP="001E519A">
            <w:pPr>
              <w:spacing w:before="60" w:after="60"/>
              <w:jc w:val="right"/>
              <w:rPr>
                <w:rFonts w:cs="Arial"/>
                <w:sz w:val="20"/>
                <w:szCs w:val="20"/>
                <w:lang w:eastAsia="en-US"/>
              </w:rPr>
            </w:pPr>
            <w:r w:rsidRPr="007C1E37">
              <w:rPr>
                <w:rFonts w:cs="Arial"/>
                <w:sz w:val="20"/>
                <w:szCs w:val="20"/>
                <w:lang w:eastAsia="en-US"/>
              </w:rPr>
              <w:t>69%</w:t>
            </w:r>
          </w:p>
        </w:tc>
        <w:tc>
          <w:tcPr>
            <w:tcW w:w="1196"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44FAA201" w14:textId="77777777" w:rsidR="00367918" w:rsidRPr="007C1E37" w:rsidRDefault="00367918" w:rsidP="001E519A">
            <w:pPr>
              <w:spacing w:before="60" w:after="60"/>
              <w:jc w:val="right"/>
              <w:rPr>
                <w:rFonts w:cs="Arial"/>
                <w:sz w:val="20"/>
                <w:szCs w:val="20"/>
                <w:lang w:eastAsia="en-US"/>
              </w:rPr>
            </w:pPr>
            <w:r w:rsidRPr="007C1E37">
              <w:rPr>
                <w:rFonts w:cs="Arial"/>
                <w:sz w:val="20"/>
                <w:szCs w:val="20"/>
                <w:lang w:eastAsia="en-US"/>
              </w:rPr>
              <w:t>69%</w:t>
            </w:r>
          </w:p>
        </w:tc>
        <w:tc>
          <w:tcPr>
            <w:tcW w:w="1196"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5E25C8F8" w14:textId="77777777" w:rsidR="00367918" w:rsidRPr="007C1E37" w:rsidRDefault="00367918" w:rsidP="001E519A">
            <w:pPr>
              <w:spacing w:before="60" w:after="60"/>
              <w:jc w:val="right"/>
              <w:rPr>
                <w:rFonts w:cs="Arial"/>
                <w:sz w:val="20"/>
                <w:szCs w:val="20"/>
                <w:lang w:eastAsia="en-US"/>
              </w:rPr>
            </w:pPr>
            <w:r w:rsidRPr="007C1E37">
              <w:rPr>
                <w:rFonts w:cs="Arial"/>
                <w:sz w:val="20"/>
                <w:szCs w:val="20"/>
                <w:lang w:eastAsia="en-US"/>
              </w:rPr>
              <w:t>71%</w:t>
            </w:r>
          </w:p>
        </w:tc>
        <w:tc>
          <w:tcPr>
            <w:tcW w:w="1196"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6A9BAC4E" w14:textId="77777777" w:rsidR="00367918" w:rsidRPr="007C1E37" w:rsidRDefault="00367918" w:rsidP="001E519A">
            <w:pPr>
              <w:spacing w:before="60" w:after="60"/>
              <w:jc w:val="right"/>
              <w:rPr>
                <w:rFonts w:cs="Arial"/>
                <w:sz w:val="20"/>
                <w:szCs w:val="20"/>
                <w:lang w:eastAsia="en-US"/>
              </w:rPr>
            </w:pPr>
            <w:r w:rsidRPr="007C1E37">
              <w:rPr>
                <w:rFonts w:cs="Arial"/>
                <w:sz w:val="20"/>
                <w:szCs w:val="20"/>
                <w:lang w:eastAsia="en-US"/>
              </w:rPr>
              <w:t>70%</w:t>
            </w:r>
          </w:p>
        </w:tc>
        <w:tc>
          <w:tcPr>
            <w:tcW w:w="1196"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712E20D9" w14:textId="77777777" w:rsidR="00367918" w:rsidRPr="007C1E37" w:rsidRDefault="00367918" w:rsidP="001E519A">
            <w:pPr>
              <w:spacing w:before="60" w:after="60"/>
              <w:jc w:val="right"/>
              <w:rPr>
                <w:rFonts w:cs="Arial"/>
                <w:sz w:val="20"/>
                <w:szCs w:val="20"/>
              </w:rPr>
            </w:pPr>
            <w:r w:rsidRPr="007C1E37">
              <w:rPr>
                <w:rFonts w:cs="Arial"/>
                <w:sz w:val="20"/>
                <w:szCs w:val="20"/>
              </w:rPr>
              <w:t>67%</w:t>
            </w:r>
          </w:p>
        </w:tc>
        <w:tc>
          <w:tcPr>
            <w:tcW w:w="1196"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11AF0FFC" w14:textId="77777777" w:rsidR="00367918" w:rsidRPr="007C1E37" w:rsidRDefault="00367918" w:rsidP="001E519A">
            <w:pPr>
              <w:spacing w:before="60" w:after="60"/>
              <w:jc w:val="right"/>
              <w:rPr>
                <w:rFonts w:cs="Arial"/>
                <w:sz w:val="20"/>
                <w:szCs w:val="20"/>
              </w:rPr>
            </w:pPr>
            <w:r w:rsidRPr="007C1E37">
              <w:rPr>
                <w:rFonts w:cs="Arial"/>
                <w:sz w:val="20"/>
                <w:szCs w:val="20"/>
              </w:rPr>
              <w:t>68%</w:t>
            </w:r>
          </w:p>
        </w:tc>
      </w:tr>
      <w:tr w:rsidR="00367918" w:rsidRPr="007C1E37" w14:paraId="023A1C14" w14:textId="77777777" w:rsidTr="001E519A">
        <w:trPr>
          <w:trHeight w:val="397"/>
        </w:trPr>
        <w:tc>
          <w:tcPr>
            <w:tcW w:w="1985"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shd w:val="clear" w:color="auto" w:fill="auto"/>
            <w:vAlign w:val="center"/>
          </w:tcPr>
          <w:p w14:paraId="4A22CA68" w14:textId="77777777" w:rsidR="00367918" w:rsidRPr="007C1E37" w:rsidRDefault="00367918" w:rsidP="001E519A">
            <w:pPr>
              <w:spacing w:before="60" w:after="60"/>
              <w:rPr>
                <w:rFonts w:cs="Arial"/>
                <w:sz w:val="20"/>
                <w:szCs w:val="20"/>
                <w:lang w:eastAsia="en-AU"/>
              </w:rPr>
            </w:pPr>
            <w:r w:rsidRPr="007C1E37">
              <w:rPr>
                <w:rFonts w:cs="Arial"/>
                <w:sz w:val="20"/>
                <w:szCs w:val="20"/>
                <w:lang w:eastAsia="en-AU"/>
              </w:rPr>
              <w:t>Unregistered</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shd w:val="clear" w:color="auto" w:fill="auto"/>
            <w:vAlign w:val="center"/>
          </w:tcPr>
          <w:p w14:paraId="33BBC795" w14:textId="77777777" w:rsidR="00367918" w:rsidRPr="007C1E37" w:rsidRDefault="00367918" w:rsidP="001E519A">
            <w:pPr>
              <w:spacing w:before="60" w:after="60"/>
              <w:jc w:val="right"/>
              <w:rPr>
                <w:rFonts w:cs="Arial"/>
                <w:sz w:val="20"/>
                <w:szCs w:val="20"/>
              </w:rPr>
            </w:pPr>
            <w:r w:rsidRPr="007C1E37">
              <w:rPr>
                <w:rFonts w:cs="Arial"/>
                <w:sz w:val="20"/>
                <w:szCs w:val="20"/>
              </w:rPr>
              <w:t>51%</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shd w:val="clear" w:color="auto" w:fill="auto"/>
            <w:vAlign w:val="center"/>
          </w:tcPr>
          <w:p w14:paraId="45E463C3" w14:textId="77777777" w:rsidR="00367918" w:rsidRPr="007C1E37" w:rsidRDefault="00367918" w:rsidP="001E519A">
            <w:pPr>
              <w:spacing w:before="60" w:after="60"/>
              <w:jc w:val="right"/>
              <w:rPr>
                <w:rFonts w:cs="Arial"/>
                <w:sz w:val="20"/>
                <w:szCs w:val="20"/>
              </w:rPr>
            </w:pPr>
            <w:r w:rsidRPr="007C1E37">
              <w:rPr>
                <w:rFonts w:cs="Arial"/>
                <w:sz w:val="20"/>
                <w:szCs w:val="20"/>
              </w:rPr>
              <w:t>50%</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shd w:val="clear" w:color="auto" w:fill="auto"/>
            <w:vAlign w:val="center"/>
          </w:tcPr>
          <w:p w14:paraId="65D4185D" w14:textId="77777777" w:rsidR="00367918" w:rsidRPr="007C1E37" w:rsidRDefault="00367918" w:rsidP="001E519A">
            <w:pPr>
              <w:spacing w:before="60" w:after="60"/>
              <w:jc w:val="right"/>
              <w:rPr>
                <w:rFonts w:cs="Arial"/>
                <w:sz w:val="20"/>
                <w:szCs w:val="20"/>
              </w:rPr>
            </w:pPr>
            <w:r w:rsidRPr="007C1E37">
              <w:rPr>
                <w:rFonts w:cs="Arial"/>
                <w:sz w:val="20"/>
                <w:szCs w:val="20"/>
              </w:rPr>
              <w:t>58%</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shd w:val="clear" w:color="auto" w:fill="auto"/>
            <w:vAlign w:val="center"/>
          </w:tcPr>
          <w:p w14:paraId="14B7908A" w14:textId="77777777" w:rsidR="00367918" w:rsidRPr="007C1E37" w:rsidRDefault="00367918" w:rsidP="001E519A">
            <w:pPr>
              <w:spacing w:before="60" w:after="60"/>
              <w:jc w:val="right"/>
              <w:rPr>
                <w:rFonts w:cs="Arial"/>
                <w:sz w:val="20"/>
                <w:szCs w:val="20"/>
              </w:rPr>
            </w:pPr>
            <w:r w:rsidRPr="007C1E37">
              <w:rPr>
                <w:rFonts w:cs="Arial"/>
                <w:sz w:val="20"/>
                <w:szCs w:val="20"/>
              </w:rPr>
              <w:t>54%</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shd w:val="clear" w:color="auto" w:fill="auto"/>
            <w:vAlign w:val="center"/>
          </w:tcPr>
          <w:p w14:paraId="6130AF0F" w14:textId="77777777" w:rsidR="00367918" w:rsidRPr="007C1E37" w:rsidRDefault="00367918" w:rsidP="001E519A">
            <w:pPr>
              <w:spacing w:before="60" w:after="60"/>
              <w:jc w:val="right"/>
              <w:rPr>
                <w:rFonts w:cs="Arial"/>
                <w:sz w:val="20"/>
                <w:szCs w:val="20"/>
              </w:rPr>
            </w:pPr>
            <w:r w:rsidRPr="007C1E37">
              <w:rPr>
                <w:rFonts w:cs="Arial"/>
                <w:sz w:val="20"/>
                <w:szCs w:val="20"/>
              </w:rPr>
              <w:t>59%</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shd w:val="clear" w:color="auto" w:fill="auto"/>
            <w:vAlign w:val="center"/>
          </w:tcPr>
          <w:p w14:paraId="23B8C3BE" w14:textId="77777777" w:rsidR="00367918" w:rsidRPr="007C1E37" w:rsidRDefault="00367918" w:rsidP="001E519A">
            <w:pPr>
              <w:spacing w:before="60" w:after="60"/>
              <w:jc w:val="right"/>
              <w:rPr>
                <w:rFonts w:cs="Arial"/>
                <w:sz w:val="20"/>
                <w:szCs w:val="20"/>
              </w:rPr>
            </w:pPr>
            <w:r w:rsidRPr="007C1E37">
              <w:rPr>
                <w:rFonts w:cs="Arial"/>
                <w:sz w:val="20"/>
                <w:szCs w:val="20"/>
              </w:rPr>
              <w:t>55%</w:t>
            </w:r>
          </w:p>
        </w:tc>
      </w:tr>
      <w:tr w:rsidR="00367918" w:rsidRPr="007C1E37" w14:paraId="2B60F2A8" w14:textId="77777777" w:rsidTr="001E519A">
        <w:trPr>
          <w:cnfStyle w:val="000000100000" w:firstRow="0" w:lastRow="0" w:firstColumn="0" w:lastColumn="0" w:oddVBand="0" w:evenVBand="0" w:oddHBand="1" w:evenHBand="0" w:firstRowFirstColumn="0" w:firstRowLastColumn="0" w:lastRowFirstColumn="0" w:lastRowLastColumn="0"/>
          <w:trHeight w:val="397"/>
        </w:trPr>
        <w:tc>
          <w:tcPr>
            <w:tcW w:w="1985"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0A53ECC2" w14:textId="77777777" w:rsidR="00367918" w:rsidRPr="007C1E37" w:rsidRDefault="00367918" w:rsidP="001E519A">
            <w:pPr>
              <w:spacing w:before="60" w:after="60"/>
              <w:rPr>
                <w:rFonts w:cs="Arial"/>
                <w:b/>
                <w:sz w:val="20"/>
                <w:szCs w:val="20"/>
                <w:lang w:eastAsia="en-AU"/>
              </w:rPr>
            </w:pPr>
            <w:r w:rsidRPr="007C1E37">
              <w:rPr>
                <w:rFonts w:cs="Arial"/>
                <w:b/>
                <w:sz w:val="20"/>
                <w:szCs w:val="20"/>
                <w:lang w:eastAsia="en-AU"/>
              </w:rPr>
              <w:t>All Providers</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50AE7883" w14:textId="77777777" w:rsidR="00367918" w:rsidRPr="007C1E37" w:rsidRDefault="00367918" w:rsidP="001E519A">
            <w:pPr>
              <w:spacing w:before="60" w:after="60"/>
              <w:jc w:val="right"/>
              <w:rPr>
                <w:rFonts w:cs="Arial"/>
                <w:b/>
                <w:sz w:val="20"/>
                <w:szCs w:val="20"/>
                <w:lang w:eastAsia="en-US"/>
              </w:rPr>
            </w:pPr>
            <w:r w:rsidRPr="007C1E37">
              <w:rPr>
                <w:rFonts w:cs="Arial"/>
                <w:b/>
                <w:sz w:val="20"/>
                <w:szCs w:val="20"/>
                <w:lang w:eastAsia="en-US"/>
              </w:rPr>
              <w:t>65%</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5052269A" w14:textId="77777777" w:rsidR="00367918" w:rsidRPr="007C1E37" w:rsidRDefault="00367918" w:rsidP="001E519A">
            <w:pPr>
              <w:spacing w:before="60" w:after="60"/>
              <w:jc w:val="right"/>
              <w:rPr>
                <w:rFonts w:cs="Arial"/>
                <w:b/>
                <w:sz w:val="20"/>
                <w:szCs w:val="20"/>
                <w:lang w:eastAsia="en-US"/>
              </w:rPr>
            </w:pPr>
            <w:r w:rsidRPr="007C1E37">
              <w:rPr>
                <w:rFonts w:cs="Arial"/>
                <w:b/>
                <w:sz w:val="20"/>
                <w:szCs w:val="20"/>
                <w:lang w:eastAsia="en-US"/>
              </w:rPr>
              <w:t>64%</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7A9FB783" w14:textId="77777777" w:rsidR="00367918" w:rsidRPr="007C1E37" w:rsidRDefault="00367918" w:rsidP="001E519A">
            <w:pPr>
              <w:spacing w:before="60" w:after="60"/>
              <w:jc w:val="right"/>
              <w:rPr>
                <w:rFonts w:cs="Arial"/>
                <w:b/>
                <w:sz w:val="20"/>
                <w:szCs w:val="20"/>
                <w:lang w:eastAsia="en-US"/>
              </w:rPr>
            </w:pPr>
            <w:r w:rsidRPr="007C1E37">
              <w:rPr>
                <w:rFonts w:cs="Arial"/>
                <w:b/>
                <w:sz w:val="20"/>
                <w:szCs w:val="20"/>
                <w:lang w:eastAsia="en-US"/>
              </w:rPr>
              <w:t>67%</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5C500710" w14:textId="77777777" w:rsidR="00367918" w:rsidRPr="007C1E37" w:rsidRDefault="00367918" w:rsidP="001E519A">
            <w:pPr>
              <w:spacing w:before="60" w:after="60"/>
              <w:jc w:val="right"/>
              <w:rPr>
                <w:rFonts w:cs="Arial"/>
                <w:b/>
                <w:sz w:val="20"/>
                <w:szCs w:val="20"/>
                <w:lang w:eastAsia="en-US"/>
              </w:rPr>
            </w:pPr>
            <w:r w:rsidRPr="007C1E37">
              <w:rPr>
                <w:rFonts w:cs="Arial"/>
                <w:b/>
                <w:sz w:val="20"/>
                <w:szCs w:val="20"/>
                <w:lang w:eastAsia="en-US"/>
              </w:rPr>
              <w:t>64%</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052BCF00" w14:textId="77777777" w:rsidR="00367918" w:rsidRPr="007C1E37" w:rsidRDefault="00367918" w:rsidP="001E519A">
            <w:pPr>
              <w:spacing w:before="60" w:after="60"/>
              <w:jc w:val="right"/>
              <w:rPr>
                <w:rFonts w:cs="Arial"/>
                <w:b/>
                <w:sz w:val="20"/>
                <w:szCs w:val="20"/>
              </w:rPr>
            </w:pPr>
            <w:r w:rsidRPr="007C1E37">
              <w:rPr>
                <w:rFonts w:cs="Arial"/>
                <w:b/>
                <w:sz w:val="20"/>
                <w:szCs w:val="20"/>
              </w:rPr>
              <w:t>64%</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7CB0F2D6" w14:textId="77777777" w:rsidR="00367918" w:rsidRPr="007C1E37" w:rsidRDefault="00367918" w:rsidP="001E519A">
            <w:pPr>
              <w:spacing w:before="60" w:after="60"/>
              <w:jc w:val="right"/>
              <w:rPr>
                <w:rFonts w:cs="Arial"/>
                <w:b/>
                <w:sz w:val="20"/>
                <w:szCs w:val="20"/>
              </w:rPr>
            </w:pPr>
            <w:r w:rsidRPr="007C1E37">
              <w:rPr>
                <w:rFonts w:cs="Arial"/>
                <w:b/>
                <w:sz w:val="20"/>
                <w:szCs w:val="20"/>
              </w:rPr>
              <w:t>63%</w:t>
            </w:r>
          </w:p>
        </w:tc>
      </w:tr>
    </w:tbl>
    <w:p w14:paraId="0B21F224" w14:textId="77777777" w:rsidR="00367918" w:rsidRPr="008034CE" w:rsidRDefault="00367918" w:rsidP="008D60AB">
      <w:pPr>
        <w:pStyle w:val="Sourcefortableorfigure"/>
        <w:spacing w:before="240"/>
      </w:pPr>
      <w:r w:rsidRPr="008034CE">
        <w:t>Source: NDIS internal administrative data</w:t>
      </w:r>
    </w:p>
    <w:p w14:paraId="305315BD" w14:textId="77777777" w:rsidR="00367918" w:rsidRPr="008034CE" w:rsidRDefault="00367918" w:rsidP="00367918">
      <w:pPr>
        <w:pStyle w:val="Heading5"/>
      </w:pPr>
      <w:bookmarkStart w:id="210" w:name="_Toc200103491"/>
      <w:bookmarkStart w:id="211" w:name="_Toc200271604"/>
      <w:r w:rsidRPr="008034CE">
        <w:lastRenderedPageBreak/>
        <w:t>Payment activity for registered providers</w:t>
      </w:r>
      <w:bookmarkEnd w:id="210"/>
      <w:bookmarkEnd w:id="211"/>
    </w:p>
    <w:p w14:paraId="7E75B226" w14:textId="66C9303B" w:rsidR="00367918" w:rsidRPr="008034CE" w:rsidRDefault="00367918" w:rsidP="00367918">
      <w:r w:rsidRPr="008034CE">
        <w:t>An analysis of payment activity for registered providers from January 2022 to December 2024 (</w:t>
      </w:r>
      <w:r w:rsidRPr="008034CE">
        <w:fldChar w:fldCharType="begin"/>
      </w:r>
      <w:r w:rsidRPr="008034CE">
        <w:instrText xml:space="preserve"> REF _Ref195556178 \h  \* MERGEFORMAT </w:instrText>
      </w:r>
      <w:r w:rsidRPr="008034CE">
        <w:fldChar w:fldCharType="separate"/>
      </w:r>
      <w:r w:rsidR="005763F9" w:rsidRPr="008034CE">
        <w:t xml:space="preserve">Figure </w:t>
      </w:r>
      <w:r w:rsidR="005763F9">
        <w:t>7</w:t>
      </w:r>
      <w:r w:rsidRPr="008034CE">
        <w:fldChar w:fldCharType="end"/>
      </w:r>
      <w:r w:rsidRPr="008034CE">
        <w:t xml:space="preserve">) shows an evolving provider market. </w:t>
      </w:r>
      <w:r w:rsidRPr="008034CE">
        <w:fldChar w:fldCharType="begin"/>
      </w:r>
      <w:r w:rsidRPr="008034CE">
        <w:instrText xml:space="preserve"> REF _Ref195556178 \h  \* MERGEFORMAT </w:instrText>
      </w:r>
      <w:r w:rsidRPr="008034CE">
        <w:fldChar w:fldCharType="separate"/>
      </w:r>
      <w:r w:rsidR="005763F9" w:rsidRPr="008034CE">
        <w:t xml:space="preserve">Figure </w:t>
      </w:r>
      <w:r w:rsidR="005763F9">
        <w:t>7</w:t>
      </w:r>
      <w:r w:rsidRPr="008034CE">
        <w:fldChar w:fldCharType="end"/>
      </w:r>
      <w:r w:rsidRPr="008034CE">
        <w:t xml:space="preserve"> shows that inactive registered providers account for a small proportion (0.3% or less) of the total payments in any six-month period. In comparison, newly active registered providers peaked at 0.9% of total payments between January to June 2024.</w:t>
      </w:r>
    </w:p>
    <w:p w14:paraId="04404861" w14:textId="4591D20D" w:rsidR="00367918" w:rsidRPr="008034CE" w:rsidRDefault="00367918" w:rsidP="00367918">
      <w:pPr>
        <w:pStyle w:val="Caption"/>
      </w:pPr>
      <w:bookmarkStart w:id="212" w:name="_Ref195556178"/>
      <w:r w:rsidRPr="008034CE">
        <w:t xml:space="preserve">Figure </w:t>
      </w:r>
      <w:r w:rsidR="005763F9">
        <w:fldChar w:fldCharType="begin"/>
      </w:r>
      <w:r w:rsidR="005763F9">
        <w:instrText xml:space="preserve"> SEQ Figure \* ARABIC </w:instrText>
      </w:r>
      <w:r w:rsidR="005763F9">
        <w:fldChar w:fldCharType="separate"/>
      </w:r>
      <w:r w:rsidR="005763F9">
        <w:rPr>
          <w:noProof/>
        </w:rPr>
        <w:t>7</w:t>
      </w:r>
      <w:r w:rsidR="005763F9">
        <w:rPr>
          <w:noProof/>
        </w:rPr>
        <w:fldChar w:fldCharType="end"/>
      </w:r>
      <w:bookmarkEnd w:id="212"/>
      <w:r w:rsidRPr="008034CE">
        <w:t>: DSW-related Registered Provider Activity Movements, January 2022 to December 2024</w:t>
      </w:r>
    </w:p>
    <w:p w14:paraId="31256C5C" w14:textId="77777777" w:rsidR="00367918" w:rsidRPr="008034CE" w:rsidRDefault="00367918" w:rsidP="00367918">
      <w:r w:rsidRPr="008034CE">
        <w:rPr>
          <w:rFonts w:cs="Arial"/>
          <w:noProof/>
        </w:rPr>
        <w:drawing>
          <wp:inline distT="0" distB="0" distL="0" distR="0" wp14:anchorId="17113EE2" wp14:editId="0BA61DE0">
            <wp:extent cx="5731510" cy="3319659"/>
            <wp:effectExtent l="0" t="0" r="2540" b="0"/>
            <wp:docPr id="1321827236" name="Picture 11" descr="A column graph showing the activity movements of DSW related registered providers from January 2022 to December 2024. New activity is measured as percent of total half-year payments and inactivity is measured as percent of prior total half-year payments.  &#10;&#10;From January to June 2022, new activity was at 0.6% and inactivity was at 0.3%.&#10;&#10;From July to December 2022, new activity was at 0.5% and inactivity was at 0.2%.&#10;&#10;From January to June 2023, new activity was at 0.6% and inactivity was at 0.1%.&#10;&#10;From July to December 2023, new activity was at 0.7% and inactivity was at 0.1%.&#10;&#10;From January to June 2024, new activity was at 0.9% and inactivity was at 0.2%.&#10;&#10;From July to December 2024, new activity was at 0.6% and inactivity was at 0.1%.&#10;&#10;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827236" name="Picture 11" descr="A column graph showing the activity movements of DSW related registered providers from January 2022 to December 2024. New activity is measured as percent of total half-year payments and inactivity is measured as percent of prior total half-year payments.  &#10;&#10;From January to June 2022, new activity was at 0.6% and inactivity was at 0.3%.&#10;&#10;From July to December 2022, new activity was at 0.5% and inactivity was at 0.2%.&#10;&#10;From January to June 2023, new activity was at 0.6% and inactivity was at 0.1%.&#10;&#10;From July to December 2023, new activity was at 0.7% and inactivity was at 0.1%.&#10;&#10;From January to June 2024, new activity was at 0.9% and inactivity was at 0.2%.&#10;&#10;From July to December 2024, new activity was at 0.6% and inactivity was at 0.1%.&#10;&#10;Source: NDIS internal administrative data."/>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3319659"/>
                    </a:xfrm>
                    <a:prstGeom prst="rect">
                      <a:avLst/>
                    </a:prstGeom>
                    <a:noFill/>
                  </pic:spPr>
                </pic:pic>
              </a:graphicData>
            </a:graphic>
          </wp:inline>
        </w:drawing>
      </w:r>
    </w:p>
    <w:p w14:paraId="03BAC4F7" w14:textId="12057499" w:rsidR="00367918" w:rsidRPr="008034CE" w:rsidRDefault="00367918" w:rsidP="00367918">
      <w:pPr>
        <w:rPr>
          <w:rFonts w:cs="Arial"/>
          <w:sz w:val="20"/>
          <w:szCs w:val="20"/>
        </w:rPr>
      </w:pPr>
      <w:r w:rsidRPr="008034CE">
        <w:rPr>
          <w:rFonts w:cs="Arial"/>
          <w:sz w:val="20"/>
          <w:szCs w:val="20"/>
        </w:rPr>
        <w:t xml:space="preserve">Note: </w:t>
      </w:r>
      <w:r w:rsidRPr="008034CE">
        <w:rPr>
          <w:sz w:val="20"/>
          <w:szCs w:val="20"/>
        </w:rPr>
        <w:t>‘New Activity’ within a half-year period is identified when providers who were inactive in the previous half-year begin to receive payments. Conversely, ‘Inactivity’ is noted when providers that received payments in one half-year do not in the subsequent one. These fluctuations are measured as a percentage of the total payments made within that half-year, or the previous one, in the case of</w:t>
      </w:r>
      <w:r w:rsidR="008D60AB">
        <w:rPr>
          <w:sz w:val="20"/>
          <w:szCs w:val="20"/>
        </w:rPr>
        <w:t> </w:t>
      </w:r>
      <w:r w:rsidRPr="008034CE">
        <w:rPr>
          <w:sz w:val="20"/>
          <w:szCs w:val="20"/>
        </w:rPr>
        <w:t>inactivity.</w:t>
      </w:r>
    </w:p>
    <w:p w14:paraId="7B1A5360" w14:textId="77777777" w:rsidR="008D60AB" w:rsidRDefault="008D60AB">
      <w:pPr>
        <w:spacing w:before="120" w:after="120"/>
        <w:rPr>
          <w:b/>
          <w:color w:val="6B2976"/>
          <w:sz w:val="30"/>
          <w:szCs w:val="30"/>
        </w:rPr>
      </w:pPr>
      <w:bookmarkStart w:id="213" w:name="_Toc197344305"/>
      <w:bookmarkStart w:id="214" w:name="_Toc195553328"/>
      <w:bookmarkStart w:id="215" w:name="_Toc195553387"/>
      <w:bookmarkStart w:id="216" w:name="_Toc195553408"/>
      <w:bookmarkStart w:id="217" w:name="_Toc196754627"/>
      <w:bookmarkStart w:id="218" w:name="_Toc196758229"/>
      <w:r>
        <w:br w:type="page"/>
      </w:r>
    </w:p>
    <w:p w14:paraId="2F22EC68" w14:textId="7656CD99" w:rsidR="00367918" w:rsidRPr="008034CE" w:rsidRDefault="00367918" w:rsidP="00367918">
      <w:pPr>
        <w:pStyle w:val="Heading3"/>
      </w:pPr>
      <w:bookmarkStart w:id="219" w:name="_Toc200271605"/>
      <w:r w:rsidRPr="008034CE">
        <w:lastRenderedPageBreak/>
        <w:t>Discussion</w:t>
      </w:r>
      <w:bookmarkEnd w:id="213"/>
      <w:bookmarkEnd w:id="219"/>
      <w:r w:rsidRPr="008034CE">
        <w:t xml:space="preserve"> </w:t>
      </w:r>
    </w:p>
    <w:p w14:paraId="69D41FDB" w14:textId="77777777" w:rsidR="00367918" w:rsidRPr="008034CE" w:rsidRDefault="00367918" w:rsidP="00367918">
      <w:pPr>
        <w:pStyle w:val="Heading4"/>
        <w:numPr>
          <w:ilvl w:val="2"/>
          <w:numId w:val="1"/>
        </w:numPr>
      </w:pPr>
      <w:bookmarkStart w:id="220" w:name="_Toc195553329"/>
      <w:bookmarkStart w:id="221" w:name="_Toc200103493"/>
      <w:bookmarkStart w:id="222" w:name="_Toc200271606"/>
      <w:bookmarkEnd w:id="214"/>
      <w:bookmarkEnd w:id="215"/>
      <w:bookmarkEnd w:id="216"/>
      <w:bookmarkEnd w:id="217"/>
      <w:bookmarkEnd w:id="218"/>
      <w:r w:rsidRPr="008034CE">
        <w:t xml:space="preserve">Price Limits and </w:t>
      </w:r>
      <w:bookmarkEnd w:id="220"/>
      <w:r w:rsidRPr="008034CE">
        <w:t>Market Structures</w:t>
      </w:r>
      <w:bookmarkEnd w:id="221"/>
      <w:bookmarkEnd w:id="222"/>
    </w:p>
    <w:p w14:paraId="5FE35706" w14:textId="09D6F8BE" w:rsidR="00F635C2" w:rsidRDefault="00367918" w:rsidP="00367918">
      <w:r w:rsidRPr="008034CE">
        <w:t>The current DSW pricing approach incorporates some differentiation for high intensity, remote and after hours supports but remain largely anchored to flat hourly price limits. This structure has contributed to shaping provider behaviour and market</w:t>
      </w:r>
    </w:p>
    <w:p w14:paraId="590252F9" w14:textId="77777777" w:rsidR="00975847" w:rsidRPr="008034CE" w:rsidRDefault="00975847" w:rsidP="00975847">
      <w:r w:rsidRPr="008034CE">
        <w:t xml:space="preserve">composition, favouring lower-cost, standardised service models – that is, the ways providers organise their workforce, structure service delivery, and invest in delivering NDIS supports. Providers are increasingly designing their services around financial viability within price limits rather than around the complexity of participant needs. </w:t>
      </w:r>
    </w:p>
    <w:p w14:paraId="4935FBA4" w14:textId="77777777" w:rsidR="00975847" w:rsidRPr="008034CE" w:rsidRDefault="00975847" w:rsidP="00975847">
      <w:r w:rsidRPr="008034CE">
        <w:t xml:space="preserve">These dynamics have encouraged rapid growth among lower-overhead providers delivering standard supports, while services requiring higher workforce capability, clinical oversight, or quality investment face greater sustainability pressures. As a result, market diversity risks narrowing over time, particularly for participants with more complex or intensive support needs. Without adjustment, NDIS pricing arrangements, rather than participant choice or regional factors, may dominate how services are delivered across the Scheme. </w:t>
      </w:r>
    </w:p>
    <w:p w14:paraId="37038C9C" w14:textId="77777777" w:rsidR="00975847" w:rsidRPr="008034CE" w:rsidRDefault="00975847" w:rsidP="002961BF">
      <w:pPr>
        <w:pStyle w:val="Heading4"/>
      </w:pPr>
      <w:bookmarkStart w:id="223" w:name="_Toc195553330"/>
      <w:bookmarkStart w:id="224" w:name="_Toc200103494"/>
      <w:bookmarkStart w:id="225" w:name="_Toc200271607"/>
      <w:r w:rsidRPr="008034CE">
        <w:t>Need for more differentiated pricing</w:t>
      </w:r>
      <w:bookmarkEnd w:id="223"/>
      <w:bookmarkEnd w:id="224"/>
      <w:bookmarkEnd w:id="225"/>
      <w:r w:rsidRPr="008034CE">
        <w:t xml:space="preserve"> </w:t>
      </w:r>
    </w:p>
    <w:p w14:paraId="1E3601D5" w14:textId="77777777" w:rsidR="00975847" w:rsidRPr="008034CE" w:rsidRDefault="00975847" w:rsidP="00975847">
      <w:r w:rsidRPr="008034CE">
        <w:t xml:space="preserve">Strengthening price differentiation offers a pathway to better align pricing with the diversity of service delivery modes and operational contexts across the sector. Current reliance on uniform pricing does not adequately recognise the organisational capability, workforce investment, or governance structures required to deliver mode complex or risk-appropriate supports. </w:t>
      </w:r>
    </w:p>
    <w:p w14:paraId="18F114F5" w14:textId="77777777" w:rsidR="00975847" w:rsidRPr="008034CE" w:rsidRDefault="00975847" w:rsidP="00975847">
      <w:r w:rsidRPr="008034CE">
        <w:t xml:space="preserve">A more deliberate approach to differentiation would help preserve a balanced provider market, supporting both low-complexity and high-complexity service offerings. It would ensure that supports requiring greater investment in quality and participant outcomes remain financially viable and safeguard access across a range of participant needs. </w:t>
      </w:r>
    </w:p>
    <w:p w14:paraId="73BDC6E7" w14:textId="77777777" w:rsidR="00975847" w:rsidRPr="008034CE" w:rsidRDefault="00975847" w:rsidP="00975847">
      <w:r w:rsidRPr="008034CE">
        <w:t xml:space="preserve">Additionally, maintaining flexibility within the NDIS pricing approach will be important to support innovation and development. Standardised pricing can limit the ability of providers to adapt to evolving participant expectations or develop new models of service delivery. As the DSW market continues to mature, ensuring NDIS pricing support both administrative efficiency and the capacity of service evolution will be critical to long-term market sustainability. </w:t>
      </w:r>
    </w:p>
    <w:p w14:paraId="52848C32" w14:textId="77777777" w:rsidR="00975847" w:rsidRPr="008034CE" w:rsidRDefault="00975847" w:rsidP="00975847">
      <w:pPr>
        <w:pStyle w:val="Heading3"/>
        <w:numPr>
          <w:ilvl w:val="1"/>
          <w:numId w:val="1"/>
        </w:numPr>
      </w:pPr>
      <w:bookmarkStart w:id="226" w:name="_Toc195553332"/>
      <w:bookmarkStart w:id="227" w:name="_Toc195553388"/>
      <w:bookmarkStart w:id="228" w:name="_Toc195553409"/>
      <w:bookmarkStart w:id="229" w:name="_Toc196754628"/>
      <w:bookmarkStart w:id="230" w:name="_Toc196758230"/>
      <w:bookmarkStart w:id="231" w:name="_Toc197344306"/>
      <w:bookmarkStart w:id="232" w:name="_Toc200271608"/>
      <w:r w:rsidRPr="008034CE">
        <w:lastRenderedPageBreak/>
        <w:t>Recommendations</w:t>
      </w:r>
      <w:bookmarkEnd w:id="226"/>
      <w:bookmarkEnd w:id="227"/>
      <w:bookmarkEnd w:id="228"/>
      <w:bookmarkEnd w:id="229"/>
      <w:bookmarkEnd w:id="230"/>
      <w:bookmarkEnd w:id="231"/>
      <w:bookmarkEnd w:id="232"/>
    </w:p>
    <w:p w14:paraId="420332CE" w14:textId="77777777" w:rsidR="00975847" w:rsidRPr="008034CE" w:rsidRDefault="00975847" w:rsidP="00975847">
      <w:r w:rsidRPr="008034CE">
        <w:t>Supports priced under the DSW Cost Model are directly linked to wage decisions under the Fair Work Commission’s SCHADS Award and National Employment Standards. While structured indexation provides certainty for providers to meet minimum legal entitlements for their employees, the NDIA should retain flexibility to respond to changes that impact the NDIS and the disability sector. When making pricing decisions, the NDIA also considers:</w:t>
      </w:r>
    </w:p>
    <w:p w14:paraId="6EFD820A" w14:textId="77777777" w:rsidR="00975847" w:rsidRPr="008034CE" w:rsidRDefault="00975847" w:rsidP="0010695B">
      <w:pPr>
        <w:pStyle w:val="ListParagraph"/>
        <w:numPr>
          <w:ilvl w:val="0"/>
          <w:numId w:val="24"/>
        </w:numPr>
        <w:spacing w:line="288" w:lineRule="auto"/>
      </w:pPr>
      <w:r w:rsidRPr="008034CE">
        <w:t xml:space="preserve">movements in adjacent sectors, such as Aged Care Award decisions, </w:t>
      </w:r>
    </w:p>
    <w:p w14:paraId="0E72BBF0" w14:textId="77777777" w:rsidR="00975847" w:rsidRPr="008034CE" w:rsidRDefault="00975847" w:rsidP="0010695B">
      <w:pPr>
        <w:pStyle w:val="ListParagraph"/>
        <w:numPr>
          <w:ilvl w:val="0"/>
          <w:numId w:val="24"/>
        </w:numPr>
        <w:spacing w:line="288" w:lineRule="auto"/>
      </w:pPr>
      <w:r w:rsidRPr="008034CE">
        <w:t xml:space="preserve">changes to applicable Awards, such as the current Gender Undervaluation Priority Awards Review, and </w:t>
      </w:r>
    </w:p>
    <w:p w14:paraId="62A094DE" w14:textId="77777777" w:rsidR="00975847" w:rsidRPr="008034CE" w:rsidRDefault="00975847" w:rsidP="0010695B">
      <w:pPr>
        <w:pStyle w:val="ListParagraph"/>
        <w:numPr>
          <w:ilvl w:val="0"/>
          <w:numId w:val="24"/>
        </w:numPr>
        <w:spacing w:line="288" w:lineRule="auto"/>
      </w:pPr>
      <w:r w:rsidRPr="008034CE">
        <w:t xml:space="preserve">changes to National Employment Standards, such as the superannuation guarantee (12% from 1 July 2025). </w:t>
      </w:r>
    </w:p>
    <w:p w14:paraId="457BE8B5" w14:textId="77777777" w:rsidR="00975847" w:rsidRPr="008034CE" w:rsidRDefault="00975847" w:rsidP="00975847">
      <w:r w:rsidRPr="008034CE">
        <w:t xml:space="preserve">Where appropriate, further review of pricing decisions may be undertaken to assess implications for provider sustainability and Scheme outcomes. </w:t>
      </w:r>
    </w:p>
    <w:p w14:paraId="3D9B3C59" w14:textId="77777777" w:rsidR="00975847" w:rsidRPr="008034CE" w:rsidRDefault="00975847" w:rsidP="00975847">
      <w:pPr>
        <w:pStyle w:val="Recommendationheading"/>
      </w:pPr>
      <w:r w:rsidRPr="008034CE">
        <w:t xml:space="preserve">Recommendation 4: </w:t>
      </w:r>
    </w:p>
    <w:p w14:paraId="0766FEF2" w14:textId="77777777" w:rsidR="00975847" w:rsidRPr="008034CE" w:rsidRDefault="00975847" w:rsidP="00975847">
      <w:pPr>
        <w:pStyle w:val="Normalrecommendationtext"/>
      </w:pPr>
      <w:r w:rsidRPr="008034CE">
        <w:t xml:space="preserve">The NDIA should adjust the price limits for supports determined by the NDIS Disability Support Worker Cost Model, effective 1 July 2025. This adjustment should reflect changes in the minimum wage specified in the </w:t>
      </w:r>
      <w:r w:rsidRPr="008034CE">
        <w:rPr>
          <w:i/>
        </w:rPr>
        <w:t>Social, Community, Home Care, and Disability Services Industry Award</w:t>
      </w:r>
      <w:r w:rsidRPr="008034CE">
        <w:rPr>
          <w:i/>
          <w:iCs/>
        </w:rPr>
        <w:t xml:space="preserve"> 2010</w:t>
      </w:r>
      <w:r w:rsidRPr="008034CE">
        <w:t>, as determined by the Fair Work Commission’s Annual Wage Review, along with any increase in the Superannuation Guarantee.</w:t>
      </w:r>
    </w:p>
    <w:p w14:paraId="1E2E6D18" w14:textId="7A13C10E" w:rsidR="00975847" w:rsidRDefault="00975847">
      <w:pPr>
        <w:spacing w:before="120" w:after="120"/>
      </w:pPr>
      <w:r>
        <w:br w:type="page"/>
      </w:r>
    </w:p>
    <w:p w14:paraId="19FE065C" w14:textId="77777777" w:rsidR="003F6945" w:rsidRPr="008034CE" w:rsidRDefault="003F6945" w:rsidP="003F6945">
      <w:pPr>
        <w:pStyle w:val="Heading2"/>
      </w:pPr>
      <w:bookmarkStart w:id="233" w:name="_Toc196754629"/>
      <w:bookmarkStart w:id="234" w:name="_Toc196758231"/>
      <w:bookmarkStart w:id="235" w:name="_Toc197344307"/>
      <w:bookmarkStart w:id="236" w:name="_Toc200271609"/>
      <w:r w:rsidRPr="008034CE">
        <w:lastRenderedPageBreak/>
        <w:t>Therapy Supports</w:t>
      </w:r>
      <w:bookmarkEnd w:id="233"/>
      <w:bookmarkEnd w:id="234"/>
      <w:bookmarkEnd w:id="235"/>
      <w:bookmarkEnd w:id="236"/>
    </w:p>
    <w:p w14:paraId="4146B05E" w14:textId="77777777" w:rsidR="003F6945" w:rsidRPr="008034CE" w:rsidRDefault="003F6945" w:rsidP="003F6945">
      <w:pPr>
        <w:pStyle w:val="Heading3"/>
      </w:pPr>
      <w:bookmarkStart w:id="237" w:name="_Toc164424405"/>
      <w:bookmarkStart w:id="238" w:name="_Toc164970261"/>
      <w:bookmarkStart w:id="239" w:name="_Toc1547742371"/>
      <w:bookmarkStart w:id="240" w:name="_Toc195538917"/>
      <w:bookmarkStart w:id="241" w:name="_Toc195538986"/>
      <w:bookmarkStart w:id="242" w:name="_Toc196754630"/>
      <w:bookmarkStart w:id="243" w:name="_Toc196758232"/>
      <w:bookmarkStart w:id="244" w:name="_Toc197344308"/>
      <w:bookmarkStart w:id="245" w:name="_Toc200271610"/>
      <w:r w:rsidRPr="008034CE">
        <w:t>Context</w:t>
      </w:r>
      <w:bookmarkEnd w:id="237"/>
      <w:bookmarkEnd w:id="238"/>
      <w:bookmarkEnd w:id="239"/>
      <w:bookmarkEnd w:id="240"/>
      <w:bookmarkEnd w:id="241"/>
      <w:bookmarkEnd w:id="242"/>
      <w:bookmarkEnd w:id="243"/>
      <w:bookmarkEnd w:id="244"/>
      <w:bookmarkEnd w:id="245"/>
      <w:r w:rsidRPr="008034CE">
        <w:t xml:space="preserve"> </w:t>
      </w:r>
    </w:p>
    <w:p w14:paraId="4FE8E1C9" w14:textId="2D0A032D" w:rsidR="003F6945" w:rsidRPr="008034CE" w:rsidRDefault="003F6945" w:rsidP="003F6945">
      <w:r w:rsidRPr="008034CE">
        <w:t>Therapy supports play an important role in assisting NDIS participants to achieve their personal goals. Early therapeutic interventions enhance participant outcomes and reduce long-term cost by building capacity and independence. These supports are delivered by a diverse range of professionals, such as Occupational Therapists, Speech Pathologists, Psychologists, Physiotherapists, and many others, including therapy assistants who operate under the supervision of therapists. This ensures</w:t>
      </w:r>
      <w:r w:rsidR="00543925" w:rsidRPr="00543925">
        <w:rPr>
          <w:highlight w:val="yellow"/>
        </w:rPr>
        <w:t xml:space="preserve"> </w:t>
      </w:r>
      <w:r w:rsidR="00543925" w:rsidRPr="00543925">
        <w:t>access to therapeutic supports that can best meet participant needs.</w:t>
      </w:r>
    </w:p>
    <w:p w14:paraId="342ABB7B" w14:textId="77777777" w:rsidR="003F6945" w:rsidRPr="008034CE" w:rsidRDefault="003F6945" w:rsidP="003F6945">
      <w:r w:rsidRPr="008034CE">
        <w:t xml:space="preserve">Therapy supports are organised into several registration groups, with most therapy supports delivered under three main categories: Therapeutic Supports for improving functional skills (0128), Early Intervention Supports for Early Childhood for children with developmental delays (0118), and Exercise Physiology &amp; Personal Wellbeing Activities for physical health (0126). There are other categories which provide supports for specific needs like behaviour management and hearing services. </w:t>
      </w:r>
    </w:p>
    <w:p w14:paraId="7CF9AE5C" w14:textId="77777777" w:rsidR="00543925" w:rsidRDefault="00543925" w:rsidP="00543925">
      <w:r w:rsidRPr="00543925">
        <w:t>NDIS therapy pricing reflects a range of delivery models and participant needs. Price limits vary depending on the support type, whether the supports are delivered individually or in groups, and the location of delivery.</w:t>
      </w:r>
      <w:r w:rsidR="003F6945" w:rsidRPr="008034CE">
        <w:t xml:space="preserve"> </w:t>
      </w:r>
      <w:r w:rsidRPr="00543925">
        <w:t xml:space="preserve">The NDIS also allows for claiming of non-face-to-face supports, travel and cancellations. This allows for supports to be delivered flexibility and </w:t>
      </w:r>
      <w:proofErr w:type="gramStart"/>
      <w:r w:rsidRPr="00543925">
        <w:t>person centred</w:t>
      </w:r>
      <w:proofErr w:type="gramEnd"/>
      <w:r w:rsidRPr="00543925">
        <w:t xml:space="preserve"> service delivery. Additional information on the Pricing Arrangements and Price Limits for therapy supports can be found on the </w:t>
      </w:r>
      <w:hyperlink r:id="rId22" w:history="1">
        <w:r w:rsidRPr="00543925">
          <w:rPr>
            <w:rStyle w:val="Hyperlink"/>
          </w:rPr>
          <w:t>NDIS website</w:t>
        </w:r>
      </w:hyperlink>
      <w:bookmarkStart w:id="246" w:name="_Ref134303170"/>
      <w:r w:rsidRPr="00543925">
        <w:t>.</w:t>
      </w:r>
      <w:bookmarkEnd w:id="246"/>
    </w:p>
    <w:p w14:paraId="152C4404" w14:textId="77777777" w:rsidR="00543925" w:rsidRPr="00543925" w:rsidRDefault="00543925" w:rsidP="00543925">
      <w:bookmarkStart w:id="247" w:name="_Ref195540070"/>
      <w:r w:rsidRPr="00543925">
        <w:t xml:space="preserve">This year’s APR marks the start </w:t>
      </w:r>
      <w:proofErr w:type="gramStart"/>
      <w:r w:rsidRPr="00543925">
        <w:t>of  broader</w:t>
      </w:r>
      <w:proofErr w:type="gramEnd"/>
      <w:r w:rsidRPr="00543925">
        <w:t xml:space="preserve"> reforms to strengthen therapy pricing. Informed by the IPC’s framework, the NDIA has taken early steps to transition from a uniform hourly pricing approach to more differentiated therapy pricing. These aim to better reflect differences across therapy types, market structures, and delivery contexts. </w:t>
      </w:r>
    </w:p>
    <w:p w14:paraId="5E3A02F3" w14:textId="10D36954" w:rsidR="00543925" w:rsidRPr="00543925" w:rsidRDefault="00543925" w:rsidP="00543925">
      <w:r w:rsidRPr="00543925">
        <w:t>The NDIA has used benchmarking data, including relative comparison to 75</w:t>
      </w:r>
      <w:r w:rsidRPr="00543925">
        <w:rPr>
          <w:vertAlign w:val="superscript"/>
        </w:rPr>
        <w:t>th</w:t>
      </w:r>
      <w:r w:rsidRPr="00543925">
        <w:t xml:space="preserve"> percentile rates from the Medicare Benefits Schedule (MBS) and Private Health Insurance (P</w:t>
      </w:r>
      <w:r w:rsidRPr="00543925">
        <w:rPr>
          <w:spacing w:val="-60"/>
        </w:rPr>
        <w:t xml:space="preserve"> </w:t>
      </w:r>
      <w:r w:rsidRPr="00543925">
        <w:t>H</w:t>
      </w:r>
      <w:r w:rsidRPr="00543925">
        <w:rPr>
          <w:spacing w:val="-60"/>
        </w:rPr>
        <w:t xml:space="preserve"> </w:t>
      </w:r>
      <w:r w:rsidRPr="00543925">
        <w:t xml:space="preserve">I), to assess whether current price limits remain appropriate. These benchmarks were used as reference points, not pricing targets. Where there is strong evidence suggesting a misalignment of price limits with prevailing market rates, an </w:t>
      </w:r>
      <w:proofErr w:type="gramStart"/>
      <w:r w:rsidRPr="00543925">
        <w:t>incremental adjustments</w:t>
      </w:r>
      <w:proofErr w:type="gramEnd"/>
      <w:r w:rsidRPr="00543925">
        <w:t xml:space="preserve"> has been made–. Where data was less conclusive, current price limits have been maintained pending further analysis and</w:t>
      </w:r>
      <w:r>
        <w:t> </w:t>
      </w:r>
      <w:r w:rsidRPr="00543925">
        <w:t>review.</w:t>
      </w:r>
    </w:p>
    <w:p w14:paraId="525E3AF1" w14:textId="3A6808EC" w:rsidR="004625E4" w:rsidRPr="008034CE" w:rsidRDefault="004625E4" w:rsidP="008D60AB">
      <w:pPr>
        <w:pStyle w:val="Caption"/>
        <w:spacing w:before="600"/>
      </w:pPr>
      <w:r w:rsidRPr="008034CE">
        <w:lastRenderedPageBreak/>
        <w:t xml:space="preserve">Table </w:t>
      </w:r>
      <w:r w:rsidR="005763F9">
        <w:fldChar w:fldCharType="begin"/>
      </w:r>
      <w:r w:rsidR="005763F9">
        <w:instrText xml:space="preserve"> SEQ Table \* ARABIC </w:instrText>
      </w:r>
      <w:r w:rsidR="005763F9">
        <w:fldChar w:fldCharType="separate"/>
      </w:r>
      <w:r w:rsidR="005763F9">
        <w:rPr>
          <w:noProof/>
        </w:rPr>
        <w:t>9</w:t>
      </w:r>
      <w:r w:rsidR="005763F9">
        <w:rPr>
          <w:noProof/>
        </w:rPr>
        <w:fldChar w:fldCharType="end"/>
      </w:r>
      <w:bookmarkEnd w:id="247"/>
      <w:r w:rsidRPr="008034CE">
        <w:t xml:space="preserve">: Price Limits for Therapy Supports as </w:t>
      </w:r>
      <w:proofErr w:type="gramStart"/>
      <w:r w:rsidRPr="008034CE">
        <w:t>at</w:t>
      </w:r>
      <w:proofErr w:type="gramEnd"/>
      <w:r w:rsidRPr="008034CE">
        <w:t xml:space="preserve"> 1 January 2025</w:t>
      </w:r>
    </w:p>
    <w:tbl>
      <w:tblPr>
        <w:tblStyle w:val="GridTable4-Accent12"/>
        <w:tblW w:w="9016" w:type="dxa"/>
        <w:tblInd w:w="0" w:type="dxa"/>
        <w:tblLook w:val="0420" w:firstRow="1" w:lastRow="0" w:firstColumn="0" w:lastColumn="0" w:noHBand="0" w:noVBand="1"/>
      </w:tblPr>
      <w:tblGrid>
        <w:gridCol w:w="4260"/>
        <w:gridCol w:w="1335"/>
        <w:gridCol w:w="1155"/>
        <w:gridCol w:w="1141"/>
        <w:gridCol w:w="1125"/>
      </w:tblGrid>
      <w:tr w:rsidR="004625E4" w:rsidRPr="007C1E37" w:rsidDel="00524FBD" w14:paraId="135F7E8D" w14:textId="77777777" w:rsidTr="001E519A">
        <w:trPr>
          <w:cnfStyle w:val="100000000000" w:firstRow="1" w:lastRow="0" w:firstColumn="0" w:lastColumn="0" w:oddVBand="0" w:evenVBand="0" w:oddHBand="0" w:evenHBand="0" w:firstRowFirstColumn="0" w:firstRowLastColumn="0" w:lastRowFirstColumn="0" w:lastRowLastColumn="0"/>
          <w:trHeight w:val="304"/>
          <w:tblHeader/>
        </w:trPr>
        <w:tc>
          <w:tcPr>
            <w:tcW w:w="4260" w:type="dxa"/>
          </w:tcPr>
          <w:p w14:paraId="54945015" w14:textId="77777777" w:rsidR="004625E4" w:rsidRPr="007C1E37" w:rsidDel="00524FBD" w:rsidRDefault="004625E4" w:rsidP="001E519A">
            <w:pPr>
              <w:rPr>
                <w:sz w:val="20"/>
                <w:szCs w:val="20"/>
              </w:rPr>
            </w:pPr>
            <w:r w:rsidRPr="007C1E37" w:rsidDel="00524FBD">
              <w:rPr>
                <w:sz w:val="20"/>
                <w:szCs w:val="20"/>
              </w:rPr>
              <w:t>Type of Therapist</w:t>
            </w:r>
          </w:p>
        </w:tc>
        <w:tc>
          <w:tcPr>
            <w:tcW w:w="1335" w:type="dxa"/>
          </w:tcPr>
          <w:p w14:paraId="58D1293E" w14:textId="1FF83C63" w:rsidR="004625E4" w:rsidRPr="007C1E37" w:rsidDel="00524FBD" w:rsidRDefault="004625E4" w:rsidP="001E519A">
            <w:pPr>
              <w:spacing w:before="60" w:after="60"/>
              <w:jc w:val="center"/>
              <w:rPr>
                <w:sz w:val="20"/>
                <w:szCs w:val="20"/>
              </w:rPr>
            </w:pPr>
            <w:r w:rsidRPr="007C1E37" w:rsidDel="00524FBD">
              <w:rPr>
                <w:sz w:val="20"/>
                <w:szCs w:val="20"/>
              </w:rPr>
              <w:t>NSW/VIC/ QLD/ACT</w:t>
            </w:r>
          </w:p>
        </w:tc>
        <w:tc>
          <w:tcPr>
            <w:tcW w:w="1155" w:type="dxa"/>
          </w:tcPr>
          <w:p w14:paraId="6B2813C6" w14:textId="2C055794" w:rsidR="004625E4" w:rsidRPr="007C1E37" w:rsidDel="00524FBD" w:rsidRDefault="004625E4" w:rsidP="001E519A">
            <w:pPr>
              <w:spacing w:before="60" w:after="60"/>
              <w:jc w:val="center"/>
              <w:rPr>
                <w:sz w:val="20"/>
                <w:szCs w:val="20"/>
              </w:rPr>
            </w:pPr>
            <w:r w:rsidRPr="007C1E37" w:rsidDel="00524FBD">
              <w:rPr>
                <w:sz w:val="20"/>
                <w:szCs w:val="20"/>
              </w:rPr>
              <w:t>SA/WA/ TAS/NT</w:t>
            </w:r>
          </w:p>
        </w:tc>
        <w:tc>
          <w:tcPr>
            <w:tcW w:w="1141" w:type="dxa"/>
          </w:tcPr>
          <w:p w14:paraId="7B8B947A" w14:textId="77777777" w:rsidR="004625E4" w:rsidRPr="007C1E37" w:rsidDel="00524FBD" w:rsidRDefault="004625E4" w:rsidP="001E519A">
            <w:pPr>
              <w:spacing w:before="60" w:after="60"/>
              <w:jc w:val="center"/>
              <w:rPr>
                <w:sz w:val="20"/>
                <w:szCs w:val="20"/>
              </w:rPr>
            </w:pPr>
            <w:r w:rsidRPr="007C1E37" w:rsidDel="00524FBD">
              <w:rPr>
                <w:sz w:val="20"/>
                <w:szCs w:val="20"/>
              </w:rPr>
              <w:t>Remote</w:t>
            </w:r>
          </w:p>
        </w:tc>
        <w:tc>
          <w:tcPr>
            <w:tcW w:w="1125" w:type="dxa"/>
          </w:tcPr>
          <w:p w14:paraId="34CC0EC5" w14:textId="77777777" w:rsidR="004625E4" w:rsidRPr="007C1E37" w:rsidDel="00524FBD" w:rsidRDefault="004625E4" w:rsidP="001E519A">
            <w:pPr>
              <w:spacing w:before="60" w:after="60"/>
              <w:jc w:val="center"/>
              <w:rPr>
                <w:sz w:val="20"/>
                <w:szCs w:val="20"/>
              </w:rPr>
            </w:pPr>
            <w:r w:rsidRPr="007C1E37" w:rsidDel="00524FBD">
              <w:rPr>
                <w:sz w:val="20"/>
                <w:szCs w:val="20"/>
              </w:rPr>
              <w:t>Very Remote</w:t>
            </w:r>
          </w:p>
        </w:tc>
      </w:tr>
      <w:tr w:rsidR="004625E4" w:rsidRPr="007C1E37" w:rsidDel="00524FBD" w14:paraId="2675A940" w14:textId="77777777" w:rsidTr="001E519A">
        <w:trPr>
          <w:cnfStyle w:val="000000100000" w:firstRow="0" w:lastRow="0" w:firstColumn="0" w:lastColumn="0" w:oddVBand="0" w:evenVBand="0" w:oddHBand="1" w:evenHBand="0" w:firstRowFirstColumn="0" w:firstRowLastColumn="0" w:lastRowFirstColumn="0" w:lastRowLastColumn="0"/>
          <w:trHeight w:val="344"/>
        </w:trPr>
        <w:tc>
          <w:tcPr>
            <w:tcW w:w="4260" w:type="dxa"/>
            <w:vAlign w:val="center"/>
          </w:tcPr>
          <w:p w14:paraId="518698AD" w14:textId="77777777" w:rsidR="004625E4" w:rsidRPr="007C1E37" w:rsidDel="00524FBD" w:rsidRDefault="004625E4" w:rsidP="001E519A">
            <w:pPr>
              <w:spacing w:before="60" w:after="60"/>
              <w:rPr>
                <w:sz w:val="20"/>
                <w:szCs w:val="20"/>
              </w:rPr>
            </w:pPr>
            <w:r w:rsidRPr="007C1E37" w:rsidDel="00524FBD">
              <w:rPr>
                <w:sz w:val="20"/>
                <w:szCs w:val="20"/>
              </w:rPr>
              <w:t>Art Therapist, Audiologist, Developmental Educator, Dietitian, Music Therapist, Occupational Therapist, Orthoptist, Podiatrist, Rehabilitation Counsellor, Social Worker, Speech Pathologist, and Other Professional</w:t>
            </w:r>
          </w:p>
        </w:tc>
        <w:tc>
          <w:tcPr>
            <w:tcW w:w="1335" w:type="dxa"/>
            <w:vAlign w:val="center"/>
          </w:tcPr>
          <w:p w14:paraId="339BFA31" w14:textId="77777777" w:rsidR="004625E4" w:rsidRPr="007C1E37" w:rsidDel="00524FBD" w:rsidRDefault="004625E4" w:rsidP="001E519A">
            <w:pPr>
              <w:spacing w:before="60" w:after="60"/>
              <w:ind w:right="113"/>
              <w:jc w:val="right"/>
              <w:rPr>
                <w:sz w:val="20"/>
                <w:szCs w:val="20"/>
              </w:rPr>
            </w:pPr>
            <w:r w:rsidRPr="007C1E37" w:rsidDel="00524FBD">
              <w:rPr>
                <w:sz w:val="20"/>
                <w:szCs w:val="20"/>
              </w:rPr>
              <w:t>$193.99</w:t>
            </w:r>
          </w:p>
        </w:tc>
        <w:tc>
          <w:tcPr>
            <w:tcW w:w="1155" w:type="dxa"/>
            <w:vAlign w:val="center"/>
          </w:tcPr>
          <w:p w14:paraId="01D9FF5F" w14:textId="77777777" w:rsidR="004625E4" w:rsidRPr="007C1E37" w:rsidDel="00524FBD" w:rsidRDefault="004625E4" w:rsidP="001E519A">
            <w:pPr>
              <w:spacing w:before="60" w:after="60"/>
              <w:ind w:right="113"/>
              <w:jc w:val="right"/>
              <w:rPr>
                <w:sz w:val="20"/>
                <w:szCs w:val="20"/>
              </w:rPr>
            </w:pPr>
            <w:r w:rsidRPr="007C1E37" w:rsidDel="00524FBD">
              <w:rPr>
                <w:sz w:val="20"/>
                <w:szCs w:val="20"/>
              </w:rPr>
              <w:t>$193.99</w:t>
            </w:r>
          </w:p>
        </w:tc>
        <w:tc>
          <w:tcPr>
            <w:tcW w:w="1141" w:type="dxa"/>
            <w:vAlign w:val="center"/>
          </w:tcPr>
          <w:p w14:paraId="2326A3A0" w14:textId="77777777" w:rsidR="004625E4" w:rsidRPr="007C1E37" w:rsidDel="00524FBD" w:rsidRDefault="004625E4" w:rsidP="001E519A">
            <w:pPr>
              <w:spacing w:before="60" w:after="60"/>
              <w:ind w:right="113"/>
              <w:jc w:val="right"/>
              <w:rPr>
                <w:sz w:val="20"/>
                <w:szCs w:val="20"/>
              </w:rPr>
            </w:pPr>
            <w:r w:rsidRPr="007C1E37" w:rsidDel="00524FBD">
              <w:rPr>
                <w:sz w:val="20"/>
                <w:szCs w:val="20"/>
              </w:rPr>
              <w:t>$271.59</w:t>
            </w:r>
          </w:p>
        </w:tc>
        <w:tc>
          <w:tcPr>
            <w:tcW w:w="1125" w:type="dxa"/>
            <w:vAlign w:val="center"/>
          </w:tcPr>
          <w:p w14:paraId="1C5FE8E0" w14:textId="77777777" w:rsidR="004625E4" w:rsidRPr="007C1E37" w:rsidDel="00524FBD" w:rsidRDefault="004625E4" w:rsidP="001E519A">
            <w:pPr>
              <w:spacing w:before="60" w:after="60"/>
              <w:ind w:right="113"/>
              <w:jc w:val="right"/>
              <w:rPr>
                <w:sz w:val="20"/>
                <w:szCs w:val="20"/>
              </w:rPr>
            </w:pPr>
            <w:r w:rsidRPr="007C1E37" w:rsidDel="00524FBD">
              <w:rPr>
                <w:sz w:val="20"/>
                <w:szCs w:val="20"/>
              </w:rPr>
              <w:t>$290.99</w:t>
            </w:r>
          </w:p>
        </w:tc>
      </w:tr>
      <w:tr w:rsidR="004625E4" w:rsidRPr="007C1E37" w:rsidDel="00524FBD" w14:paraId="7AFFCDF6" w14:textId="77777777" w:rsidTr="001E519A">
        <w:trPr>
          <w:trHeight w:val="344"/>
        </w:trPr>
        <w:tc>
          <w:tcPr>
            <w:tcW w:w="4260" w:type="dxa"/>
            <w:vAlign w:val="center"/>
          </w:tcPr>
          <w:p w14:paraId="0AEAC7DB" w14:textId="77777777" w:rsidR="004625E4" w:rsidRPr="007C1E37" w:rsidDel="00524FBD" w:rsidRDefault="004625E4" w:rsidP="001E519A">
            <w:pPr>
              <w:spacing w:before="60" w:after="60"/>
              <w:rPr>
                <w:sz w:val="20"/>
                <w:szCs w:val="20"/>
              </w:rPr>
            </w:pPr>
            <w:r w:rsidRPr="007C1E37" w:rsidDel="00524FBD">
              <w:rPr>
                <w:sz w:val="20"/>
                <w:szCs w:val="20"/>
              </w:rPr>
              <w:t>Counsellor</w:t>
            </w:r>
          </w:p>
        </w:tc>
        <w:tc>
          <w:tcPr>
            <w:tcW w:w="1335" w:type="dxa"/>
            <w:vAlign w:val="center"/>
          </w:tcPr>
          <w:p w14:paraId="6C01DA99" w14:textId="77777777" w:rsidR="004625E4" w:rsidRPr="007C1E37" w:rsidDel="00524FBD" w:rsidRDefault="004625E4" w:rsidP="001E519A">
            <w:pPr>
              <w:spacing w:before="60" w:after="60"/>
              <w:ind w:right="113"/>
              <w:jc w:val="right"/>
              <w:rPr>
                <w:sz w:val="20"/>
                <w:szCs w:val="20"/>
              </w:rPr>
            </w:pPr>
            <w:r w:rsidRPr="007C1E37" w:rsidDel="00524FBD">
              <w:rPr>
                <w:sz w:val="20"/>
                <w:szCs w:val="20"/>
              </w:rPr>
              <w:t>$156.16</w:t>
            </w:r>
          </w:p>
        </w:tc>
        <w:tc>
          <w:tcPr>
            <w:tcW w:w="1155" w:type="dxa"/>
            <w:vAlign w:val="center"/>
          </w:tcPr>
          <w:p w14:paraId="1E2C08B5" w14:textId="77777777" w:rsidR="004625E4" w:rsidRPr="007C1E37" w:rsidDel="00524FBD" w:rsidRDefault="004625E4" w:rsidP="001E519A">
            <w:pPr>
              <w:spacing w:before="60" w:after="60"/>
              <w:ind w:right="113"/>
              <w:jc w:val="right"/>
              <w:rPr>
                <w:sz w:val="20"/>
                <w:szCs w:val="20"/>
              </w:rPr>
            </w:pPr>
            <w:r w:rsidRPr="007C1E37" w:rsidDel="00524FBD">
              <w:rPr>
                <w:sz w:val="20"/>
                <w:szCs w:val="20"/>
              </w:rPr>
              <w:t>$156.16</w:t>
            </w:r>
          </w:p>
        </w:tc>
        <w:tc>
          <w:tcPr>
            <w:tcW w:w="1141" w:type="dxa"/>
            <w:vAlign w:val="center"/>
          </w:tcPr>
          <w:p w14:paraId="1A56DB9A" w14:textId="77777777" w:rsidR="004625E4" w:rsidRPr="007C1E37" w:rsidDel="00524FBD" w:rsidRDefault="004625E4" w:rsidP="001E519A">
            <w:pPr>
              <w:spacing w:before="60" w:after="60"/>
              <w:ind w:right="113"/>
              <w:jc w:val="right"/>
              <w:rPr>
                <w:sz w:val="20"/>
                <w:szCs w:val="20"/>
              </w:rPr>
            </w:pPr>
            <w:r w:rsidRPr="007C1E37" w:rsidDel="00524FBD">
              <w:rPr>
                <w:sz w:val="20"/>
                <w:szCs w:val="20"/>
              </w:rPr>
              <w:t>$218.62</w:t>
            </w:r>
          </w:p>
        </w:tc>
        <w:tc>
          <w:tcPr>
            <w:tcW w:w="1125" w:type="dxa"/>
            <w:vAlign w:val="center"/>
          </w:tcPr>
          <w:p w14:paraId="1133603D" w14:textId="77777777" w:rsidR="004625E4" w:rsidRPr="007C1E37" w:rsidDel="00524FBD" w:rsidRDefault="004625E4" w:rsidP="001E519A">
            <w:pPr>
              <w:spacing w:before="60" w:after="60"/>
              <w:ind w:right="113"/>
              <w:jc w:val="right"/>
              <w:rPr>
                <w:sz w:val="20"/>
                <w:szCs w:val="20"/>
              </w:rPr>
            </w:pPr>
            <w:r w:rsidRPr="007C1E37" w:rsidDel="00524FBD">
              <w:rPr>
                <w:sz w:val="20"/>
                <w:szCs w:val="20"/>
              </w:rPr>
              <w:t>$234.24</w:t>
            </w:r>
          </w:p>
        </w:tc>
      </w:tr>
      <w:tr w:rsidR="004625E4" w:rsidRPr="007C1E37" w:rsidDel="00524FBD" w14:paraId="05D71532" w14:textId="77777777" w:rsidTr="001E519A">
        <w:trPr>
          <w:cnfStyle w:val="000000100000" w:firstRow="0" w:lastRow="0" w:firstColumn="0" w:lastColumn="0" w:oddVBand="0" w:evenVBand="0" w:oddHBand="1" w:evenHBand="0" w:firstRowFirstColumn="0" w:firstRowLastColumn="0" w:lastRowFirstColumn="0" w:lastRowLastColumn="0"/>
          <w:trHeight w:val="344"/>
        </w:trPr>
        <w:tc>
          <w:tcPr>
            <w:tcW w:w="4260" w:type="dxa"/>
            <w:vAlign w:val="center"/>
          </w:tcPr>
          <w:p w14:paraId="428D5359" w14:textId="77777777" w:rsidR="004625E4" w:rsidRPr="007C1E37" w:rsidDel="00524FBD" w:rsidRDefault="004625E4" w:rsidP="001E519A">
            <w:pPr>
              <w:spacing w:before="60" w:after="60"/>
              <w:rPr>
                <w:sz w:val="20"/>
                <w:szCs w:val="20"/>
              </w:rPr>
            </w:pPr>
            <w:r w:rsidRPr="007C1E37" w:rsidDel="00524FBD">
              <w:rPr>
                <w:sz w:val="20"/>
                <w:szCs w:val="20"/>
              </w:rPr>
              <w:t>Exercise Physiologist</w:t>
            </w:r>
          </w:p>
        </w:tc>
        <w:tc>
          <w:tcPr>
            <w:tcW w:w="1335" w:type="dxa"/>
            <w:vAlign w:val="center"/>
          </w:tcPr>
          <w:p w14:paraId="42C35646" w14:textId="77777777" w:rsidR="004625E4" w:rsidRPr="007C1E37" w:rsidDel="00524FBD" w:rsidRDefault="004625E4" w:rsidP="001E519A">
            <w:pPr>
              <w:spacing w:before="60" w:after="60"/>
              <w:ind w:right="113"/>
              <w:jc w:val="right"/>
              <w:rPr>
                <w:sz w:val="20"/>
                <w:szCs w:val="20"/>
              </w:rPr>
            </w:pPr>
            <w:r w:rsidRPr="007C1E37" w:rsidDel="00524FBD">
              <w:rPr>
                <w:sz w:val="20"/>
                <w:szCs w:val="20"/>
              </w:rPr>
              <w:t>$166.99</w:t>
            </w:r>
          </w:p>
        </w:tc>
        <w:tc>
          <w:tcPr>
            <w:tcW w:w="1155" w:type="dxa"/>
            <w:vAlign w:val="center"/>
          </w:tcPr>
          <w:p w14:paraId="5AD18635" w14:textId="77777777" w:rsidR="004625E4" w:rsidRPr="007C1E37" w:rsidDel="00524FBD" w:rsidRDefault="004625E4" w:rsidP="001E519A">
            <w:pPr>
              <w:spacing w:before="60" w:after="60"/>
              <w:ind w:right="113"/>
              <w:jc w:val="right"/>
              <w:rPr>
                <w:sz w:val="20"/>
                <w:szCs w:val="20"/>
              </w:rPr>
            </w:pPr>
            <w:r w:rsidRPr="007C1E37" w:rsidDel="00524FBD">
              <w:rPr>
                <w:sz w:val="20"/>
                <w:szCs w:val="20"/>
              </w:rPr>
              <w:t>$166.99</w:t>
            </w:r>
          </w:p>
        </w:tc>
        <w:tc>
          <w:tcPr>
            <w:tcW w:w="1141" w:type="dxa"/>
            <w:vAlign w:val="center"/>
          </w:tcPr>
          <w:p w14:paraId="331683BC" w14:textId="77777777" w:rsidR="004625E4" w:rsidRPr="007C1E37" w:rsidDel="00524FBD" w:rsidRDefault="004625E4" w:rsidP="001E519A">
            <w:pPr>
              <w:spacing w:before="60" w:after="60"/>
              <w:ind w:right="113"/>
              <w:jc w:val="right"/>
              <w:rPr>
                <w:sz w:val="20"/>
                <w:szCs w:val="20"/>
              </w:rPr>
            </w:pPr>
            <w:r w:rsidRPr="007C1E37" w:rsidDel="00524FBD">
              <w:rPr>
                <w:sz w:val="20"/>
                <w:szCs w:val="20"/>
              </w:rPr>
              <w:t>$233.79</w:t>
            </w:r>
          </w:p>
        </w:tc>
        <w:tc>
          <w:tcPr>
            <w:tcW w:w="1125" w:type="dxa"/>
            <w:vAlign w:val="center"/>
          </w:tcPr>
          <w:p w14:paraId="01C88D08" w14:textId="77777777" w:rsidR="004625E4" w:rsidRPr="007C1E37" w:rsidDel="00524FBD" w:rsidRDefault="004625E4" w:rsidP="001E519A">
            <w:pPr>
              <w:spacing w:before="60" w:after="60"/>
              <w:ind w:right="113"/>
              <w:jc w:val="right"/>
              <w:rPr>
                <w:sz w:val="20"/>
                <w:szCs w:val="20"/>
              </w:rPr>
            </w:pPr>
            <w:r w:rsidRPr="007C1E37" w:rsidDel="00524FBD">
              <w:rPr>
                <w:sz w:val="20"/>
                <w:szCs w:val="20"/>
              </w:rPr>
              <w:t>$250.49</w:t>
            </w:r>
          </w:p>
        </w:tc>
      </w:tr>
      <w:tr w:rsidR="004625E4" w:rsidRPr="007C1E37" w:rsidDel="00524FBD" w14:paraId="23D38E25" w14:textId="77777777" w:rsidTr="001E519A">
        <w:trPr>
          <w:trHeight w:val="344"/>
        </w:trPr>
        <w:tc>
          <w:tcPr>
            <w:tcW w:w="4260" w:type="dxa"/>
            <w:vAlign w:val="center"/>
          </w:tcPr>
          <w:p w14:paraId="2754D5DE" w14:textId="77777777" w:rsidR="004625E4" w:rsidRPr="007C1E37" w:rsidDel="00524FBD" w:rsidRDefault="004625E4" w:rsidP="001E519A">
            <w:pPr>
              <w:spacing w:before="60" w:after="60"/>
              <w:rPr>
                <w:sz w:val="20"/>
                <w:szCs w:val="20"/>
              </w:rPr>
            </w:pPr>
            <w:r w:rsidRPr="007C1E37" w:rsidDel="00524FBD">
              <w:rPr>
                <w:sz w:val="20"/>
                <w:szCs w:val="20"/>
              </w:rPr>
              <w:t>Physiotherapist</w:t>
            </w:r>
          </w:p>
        </w:tc>
        <w:tc>
          <w:tcPr>
            <w:tcW w:w="1335" w:type="dxa"/>
            <w:vAlign w:val="center"/>
          </w:tcPr>
          <w:p w14:paraId="7C9D60AE" w14:textId="77777777" w:rsidR="004625E4" w:rsidRPr="007C1E37" w:rsidDel="00524FBD" w:rsidRDefault="004625E4" w:rsidP="001E519A">
            <w:pPr>
              <w:spacing w:before="60" w:after="60"/>
              <w:ind w:right="113"/>
              <w:jc w:val="right"/>
              <w:rPr>
                <w:sz w:val="20"/>
                <w:szCs w:val="20"/>
              </w:rPr>
            </w:pPr>
            <w:r w:rsidRPr="007C1E37" w:rsidDel="00524FBD">
              <w:rPr>
                <w:sz w:val="20"/>
                <w:szCs w:val="20"/>
              </w:rPr>
              <w:t>$193.99</w:t>
            </w:r>
          </w:p>
        </w:tc>
        <w:tc>
          <w:tcPr>
            <w:tcW w:w="1155" w:type="dxa"/>
            <w:vAlign w:val="center"/>
          </w:tcPr>
          <w:p w14:paraId="3C92E943" w14:textId="77777777" w:rsidR="004625E4" w:rsidRPr="007C1E37" w:rsidDel="00524FBD" w:rsidRDefault="004625E4" w:rsidP="001E519A">
            <w:pPr>
              <w:spacing w:before="60" w:after="60"/>
              <w:ind w:right="113"/>
              <w:jc w:val="right"/>
              <w:rPr>
                <w:sz w:val="20"/>
                <w:szCs w:val="20"/>
              </w:rPr>
            </w:pPr>
            <w:r w:rsidRPr="007C1E37" w:rsidDel="00524FBD">
              <w:rPr>
                <w:sz w:val="20"/>
                <w:szCs w:val="20"/>
              </w:rPr>
              <w:t>$224.62</w:t>
            </w:r>
          </w:p>
        </w:tc>
        <w:tc>
          <w:tcPr>
            <w:tcW w:w="1141" w:type="dxa"/>
            <w:vAlign w:val="center"/>
          </w:tcPr>
          <w:p w14:paraId="6B0B7CBD" w14:textId="77777777" w:rsidR="004625E4" w:rsidRPr="007C1E37" w:rsidDel="00524FBD" w:rsidRDefault="004625E4" w:rsidP="001E519A">
            <w:pPr>
              <w:spacing w:before="60" w:after="60"/>
              <w:ind w:right="113"/>
              <w:jc w:val="right"/>
              <w:rPr>
                <w:sz w:val="20"/>
                <w:szCs w:val="20"/>
              </w:rPr>
            </w:pPr>
            <w:r w:rsidRPr="007C1E37" w:rsidDel="00524FBD">
              <w:rPr>
                <w:sz w:val="20"/>
                <w:szCs w:val="20"/>
              </w:rPr>
              <w:t>$314.47</w:t>
            </w:r>
          </w:p>
        </w:tc>
        <w:tc>
          <w:tcPr>
            <w:tcW w:w="1125" w:type="dxa"/>
            <w:vAlign w:val="center"/>
          </w:tcPr>
          <w:p w14:paraId="32BD50DA" w14:textId="77777777" w:rsidR="004625E4" w:rsidRPr="007C1E37" w:rsidDel="00524FBD" w:rsidRDefault="004625E4" w:rsidP="001E519A">
            <w:pPr>
              <w:spacing w:before="60" w:after="60"/>
              <w:ind w:right="113"/>
              <w:jc w:val="right"/>
              <w:rPr>
                <w:sz w:val="20"/>
                <w:szCs w:val="20"/>
              </w:rPr>
            </w:pPr>
            <w:r w:rsidRPr="007C1E37" w:rsidDel="00524FBD">
              <w:rPr>
                <w:sz w:val="20"/>
                <w:szCs w:val="20"/>
              </w:rPr>
              <w:t>$336.93</w:t>
            </w:r>
          </w:p>
        </w:tc>
      </w:tr>
      <w:tr w:rsidR="004625E4" w:rsidRPr="007C1E37" w:rsidDel="00524FBD" w14:paraId="72CBD7E9" w14:textId="77777777" w:rsidTr="001E519A">
        <w:trPr>
          <w:cnfStyle w:val="000000100000" w:firstRow="0" w:lastRow="0" w:firstColumn="0" w:lastColumn="0" w:oddVBand="0" w:evenVBand="0" w:oddHBand="1" w:evenHBand="0" w:firstRowFirstColumn="0" w:firstRowLastColumn="0" w:lastRowFirstColumn="0" w:lastRowLastColumn="0"/>
          <w:trHeight w:val="344"/>
        </w:trPr>
        <w:tc>
          <w:tcPr>
            <w:tcW w:w="4260" w:type="dxa"/>
            <w:vAlign w:val="center"/>
          </w:tcPr>
          <w:p w14:paraId="0600D7D8" w14:textId="77777777" w:rsidR="004625E4" w:rsidRPr="007C1E37" w:rsidDel="00524FBD" w:rsidRDefault="004625E4" w:rsidP="001E519A">
            <w:pPr>
              <w:spacing w:before="60" w:after="60"/>
              <w:rPr>
                <w:sz w:val="20"/>
                <w:szCs w:val="20"/>
              </w:rPr>
            </w:pPr>
            <w:r w:rsidRPr="007C1E37" w:rsidDel="00524FBD">
              <w:rPr>
                <w:sz w:val="20"/>
                <w:szCs w:val="20"/>
              </w:rPr>
              <w:t>Psychologist</w:t>
            </w:r>
          </w:p>
        </w:tc>
        <w:tc>
          <w:tcPr>
            <w:tcW w:w="1335" w:type="dxa"/>
            <w:vAlign w:val="center"/>
          </w:tcPr>
          <w:p w14:paraId="696527FF" w14:textId="77777777" w:rsidR="004625E4" w:rsidRPr="007C1E37" w:rsidDel="00524FBD" w:rsidRDefault="004625E4" w:rsidP="001E519A">
            <w:pPr>
              <w:spacing w:before="60" w:after="60"/>
              <w:ind w:right="113"/>
              <w:jc w:val="right"/>
              <w:rPr>
                <w:sz w:val="20"/>
                <w:szCs w:val="20"/>
              </w:rPr>
            </w:pPr>
            <w:r w:rsidRPr="007C1E37">
              <w:rPr>
                <w:sz w:val="20"/>
                <w:szCs w:val="20"/>
              </w:rPr>
              <w:t>$222.99</w:t>
            </w:r>
          </w:p>
        </w:tc>
        <w:tc>
          <w:tcPr>
            <w:tcW w:w="1155" w:type="dxa"/>
            <w:vAlign w:val="center"/>
          </w:tcPr>
          <w:p w14:paraId="68BC5A1F" w14:textId="77777777" w:rsidR="004625E4" w:rsidRPr="007C1E37" w:rsidDel="00524FBD" w:rsidRDefault="004625E4" w:rsidP="001E519A">
            <w:pPr>
              <w:spacing w:before="60" w:after="60"/>
              <w:ind w:right="113"/>
              <w:jc w:val="right"/>
              <w:rPr>
                <w:sz w:val="20"/>
                <w:szCs w:val="20"/>
              </w:rPr>
            </w:pPr>
            <w:r w:rsidRPr="007C1E37">
              <w:rPr>
                <w:sz w:val="20"/>
                <w:szCs w:val="20"/>
              </w:rPr>
              <w:t>$244.22</w:t>
            </w:r>
          </w:p>
        </w:tc>
        <w:tc>
          <w:tcPr>
            <w:tcW w:w="1141" w:type="dxa"/>
            <w:vAlign w:val="center"/>
          </w:tcPr>
          <w:p w14:paraId="1CDA341A" w14:textId="77777777" w:rsidR="004625E4" w:rsidRPr="007C1E37" w:rsidDel="00524FBD" w:rsidRDefault="004625E4" w:rsidP="001E519A">
            <w:pPr>
              <w:spacing w:before="60" w:after="60"/>
              <w:ind w:right="113"/>
              <w:jc w:val="right"/>
              <w:rPr>
                <w:sz w:val="20"/>
                <w:szCs w:val="20"/>
              </w:rPr>
            </w:pPr>
            <w:r w:rsidRPr="007C1E37" w:rsidDel="00524FBD">
              <w:rPr>
                <w:sz w:val="20"/>
                <w:szCs w:val="20"/>
              </w:rPr>
              <w:t>$328.76</w:t>
            </w:r>
          </w:p>
        </w:tc>
        <w:tc>
          <w:tcPr>
            <w:tcW w:w="1125" w:type="dxa"/>
            <w:vAlign w:val="center"/>
          </w:tcPr>
          <w:p w14:paraId="7A0D7EF1" w14:textId="77777777" w:rsidR="004625E4" w:rsidRPr="007C1E37" w:rsidDel="00524FBD" w:rsidRDefault="004625E4" w:rsidP="001E519A">
            <w:pPr>
              <w:spacing w:before="60" w:after="60"/>
              <w:ind w:right="113"/>
              <w:jc w:val="right"/>
              <w:rPr>
                <w:sz w:val="20"/>
                <w:szCs w:val="20"/>
              </w:rPr>
            </w:pPr>
            <w:r w:rsidRPr="007C1E37" w:rsidDel="00524FBD">
              <w:rPr>
                <w:sz w:val="20"/>
                <w:szCs w:val="20"/>
              </w:rPr>
              <w:t>$352.25</w:t>
            </w:r>
          </w:p>
        </w:tc>
      </w:tr>
      <w:tr w:rsidR="004625E4" w:rsidRPr="007C1E37" w:rsidDel="00524FBD" w14:paraId="024697F8" w14:textId="77777777" w:rsidTr="001E519A">
        <w:trPr>
          <w:trHeight w:val="344"/>
        </w:trPr>
        <w:tc>
          <w:tcPr>
            <w:tcW w:w="4260" w:type="dxa"/>
            <w:vAlign w:val="center"/>
          </w:tcPr>
          <w:p w14:paraId="1127094C" w14:textId="77777777" w:rsidR="004625E4" w:rsidRPr="007C1E37" w:rsidDel="00524FBD" w:rsidRDefault="004625E4" w:rsidP="001E519A">
            <w:pPr>
              <w:spacing w:before="60" w:after="60"/>
              <w:rPr>
                <w:sz w:val="20"/>
                <w:szCs w:val="20"/>
              </w:rPr>
            </w:pPr>
            <w:r w:rsidRPr="007C1E37" w:rsidDel="00524FBD">
              <w:rPr>
                <w:sz w:val="20"/>
                <w:szCs w:val="20"/>
              </w:rPr>
              <w:t>Therapy Assistant - Level 1</w:t>
            </w:r>
          </w:p>
        </w:tc>
        <w:tc>
          <w:tcPr>
            <w:tcW w:w="1335" w:type="dxa"/>
            <w:vAlign w:val="center"/>
          </w:tcPr>
          <w:p w14:paraId="219C61A2" w14:textId="77777777" w:rsidR="004625E4" w:rsidRPr="007C1E37" w:rsidDel="00524FBD" w:rsidRDefault="004625E4" w:rsidP="001E519A">
            <w:pPr>
              <w:spacing w:before="60" w:after="60"/>
              <w:ind w:right="113"/>
              <w:jc w:val="right"/>
              <w:rPr>
                <w:sz w:val="20"/>
                <w:szCs w:val="20"/>
              </w:rPr>
            </w:pPr>
            <w:r w:rsidRPr="007C1E37" w:rsidDel="00524FBD">
              <w:rPr>
                <w:sz w:val="20"/>
                <w:szCs w:val="20"/>
              </w:rPr>
              <w:t>$56.16</w:t>
            </w:r>
          </w:p>
        </w:tc>
        <w:tc>
          <w:tcPr>
            <w:tcW w:w="1155" w:type="dxa"/>
            <w:vAlign w:val="center"/>
          </w:tcPr>
          <w:p w14:paraId="075A4019" w14:textId="77777777" w:rsidR="004625E4" w:rsidRPr="007C1E37" w:rsidDel="00524FBD" w:rsidRDefault="004625E4" w:rsidP="001E519A">
            <w:pPr>
              <w:spacing w:before="60" w:after="60"/>
              <w:ind w:right="113"/>
              <w:jc w:val="right"/>
              <w:rPr>
                <w:sz w:val="20"/>
                <w:szCs w:val="20"/>
              </w:rPr>
            </w:pPr>
            <w:r w:rsidRPr="007C1E37" w:rsidDel="00524FBD">
              <w:rPr>
                <w:sz w:val="20"/>
                <w:szCs w:val="20"/>
              </w:rPr>
              <w:t>$56.16</w:t>
            </w:r>
          </w:p>
        </w:tc>
        <w:tc>
          <w:tcPr>
            <w:tcW w:w="1141" w:type="dxa"/>
            <w:vAlign w:val="center"/>
          </w:tcPr>
          <w:p w14:paraId="2C59B40F" w14:textId="77777777" w:rsidR="004625E4" w:rsidRPr="007C1E37" w:rsidDel="00524FBD" w:rsidRDefault="004625E4" w:rsidP="001E519A">
            <w:pPr>
              <w:spacing w:before="60" w:after="60"/>
              <w:ind w:right="113"/>
              <w:jc w:val="right"/>
              <w:rPr>
                <w:sz w:val="20"/>
                <w:szCs w:val="20"/>
              </w:rPr>
            </w:pPr>
            <w:r w:rsidRPr="007C1E37" w:rsidDel="00524FBD">
              <w:rPr>
                <w:sz w:val="20"/>
                <w:szCs w:val="20"/>
              </w:rPr>
              <w:t>$78.62</w:t>
            </w:r>
          </w:p>
        </w:tc>
        <w:tc>
          <w:tcPr>
            <w:tcW w:w="1125" w:type="dxa"/>
            <w:vAlign w:val="center"/>
          </w:tcPr>
          <w:p w14:paraId="085D670A" w14:textId="77777777" w:rsidR="004625E4" w:rsidRPr="007C1E37" w:rsidDel="00524FBD" w:rsidRDefault="004625E4" w:rsidP="001E519A">
            <w:pPr>
              <w:spacing w:before="60" w:after="60"/>
              <w:ind w:right="113"/>
              <w:jc w:val="right"/>
              <w:rPr>
                <w:sz w:val="20"/>
                <w:szCs w:val="20"/>
              </w:rPr>
            </w:pPr>
            <w:r w:rsidRPr="007C1E37" w:rsidDel="00524FBD">
              <w:rPr>
                <w:sz w:val="20"/>
                <w:szCs w:val="20"/>
              </w:rPr>
              <w:t>$84.24</w:t>
            </w:r>
          </w:p>
        </w:tc>
      </w:tr>
      <w:tr w:rsidR="004625E4" w:rsidRPr="007C1E37" w:rsidDel="00524FBD" w14:paraId="2FE04475" w14:textId="77777777" w:rsidTr="001E519A">
        <w:trPr>
          <w:cnfStyle w:val="000000100000" w:firstRow="0" w:lastRow="0" w:firstColumn="0" w:lastColumn="0" w:oddVBand="0" w:evenVBand="0" w:oddHBand="1" w:evenHBand="0" w:firstRowFirstColumn="0" w:firstRowLastColumn="0" w:lastRowFirstColumn="0" w:lastRowLastColumn="0"/>
          <w:trHeight w:val="344"/>
        </w:trPr>
        <w:tc>
          <w:tcPr>
            <w:tcW w:w="4260" w:type="dxa"/>
            <w:vAlign w:val="center"/>
          </w:tcPr>
          <w:p w14:paraId="6940B472" w14:textId="77777777" w:rsidR="004625E4" w:rsidRPr="007C1E37" w:rsidDel="00524FBD" w:rsidRDefault="004625E4" w:rsidP="001E519A">
            <w:pPr>
              <w:spacing w:before="60" w:after="60"/>
              <w:rPr>
                <w:sz w:val="20"/>
                <w:szCs w:val="20"/>
              </w:rPr>
            </w:pPr>
            <w:r w:rsidRPr="007C1E37" w:rsidDel="00524FBD">
              <w:rPr>
                <w:sz w:val="20"/>
                <w:szCs w:val="20"/>
              </w:rPr>
              <w:t>Therapy Assistant - Level 2</w:t>
            </w:r>
          </w:p>
        </w:tc>
        <w:tc>
          <w:tcPr>
            <w:tcW w:w="1335" w:type="dxa"/>
            <w:vAlign w:val="center"/>
          </w:tcPr>
          <w:p w14:paraId="725771D3" w14:textId="77777777" w:rsidR="004625E4" w:rsidRPr="007C1E37" w:rsidDel="00524FBD" w:rsidRDefault="004625E4" w:rsidP="001E519A">
            <w:pPr>
              <w:spacing w:before="60" w:after="60"/>
              <w:ind w:right="113"/>
              <w:jc w:val="right"/>
              <w:rPr>
                <w:sz w:val="20"/>
                <w:szCs w:val="20"/>
              </w:rPr>
            </w:pPr>
            <w:r w:rsidRPr="007C1E37" w:rsidDel="00524FBD">
              <w:rPr>
                <w:sz w:val="20"/>
                <w:szCs w:val="20"/>
              </w:rPr>
              <w:t>$86.79</w:t>
            </w:r>
          </w:p>
        </w:tc>
        <w:tc>
          <w:tcPr>
            <w:tcW w:w="1155" w:type="dxa"/>
            <w:vAlign w:val="center"/>
          </w:tcPr>
          <w:p w14:paraId="1FB69887" w14:textId="77777777" w:rsidR="004625E4" w:rsidRPr="007C1E37" w:rsidDel="00524FBD" w:rsidRDefault="004625E4" w:rsidP="001E519A">
            <w:pPr>
              <w:spacing w:before="60" w:after="60"/>
              <w:ind w:right="113"/>
              <w:jc w:val="right"/>
              <w:rPr>
                <w:sz w:val="20"/>
                <w:szCs w:val="20"/>
              </w:rPr>
            </w:pPr>
            <w:r w:rsidRPr="007C1E37" w:rsidDel="00524FBD">
              <w:rPr>
                <w:sz w:val="20"/>
                <w:szCs w:val="20"/>
              </w:rPr>
              <w:t>$86.79</w:t>
            </w:r>
          </w:p>
        </w:tc>
        <w:tc>
          <w:tcPr>
            <w:tcW w:w="1141" w:type="dxa"/>
            <w:vAlign w:val="center"/>
          </w:tcPr>
          <w:p w14:paraId="3B0623AC" w14:textId="77777777" w:rsidR="004625E4" w:rsidRPr="007C1E37" w:rsidDel="00524FBD" w:rsidRDefault="004625E4" w:rsidP="001E519A">
            <w:pPr>
              <w:spacing w:before="60" w:after="60"/>
              <w:ind w:right="113"/>
              <w:jc w:val="right"/>
              <w:rPr>
                <w:sz w:val="20"/>
                <w:szCs w:val="20"/>
              </w:rPr>
            </w:pPr>
            <w:r w:rsidRPr="007C1E37" w:rsidDel="00524FBD">
              <w:rPr>
                <w:sz w:val="20"/>
                <w:szCs w:val="20"/>
              </w:rPr>
              <w:t>$121.51</w:t>
            </w:r>
          </w:p>
        </w:tc>
        <w:tc>
          <w:tcPr>
            <w:tcW w:w="1125" w:type="dxa"/>
            <w:vAlign w:val="center"/>
          </w:tcPr>
          <w:p w14:paraId="759352E6" w14:textId="77777777" w:rsidR="004625E4" w:rsidRPr="007C1E37" w:rsidDel="00524FBD" w:rsidRDefault="004625E4" w:rsidP="001E519A">
            <w:pPr>
              <w:spacing w:before="60" w:after="60"/>
              <w:ind w:right="113"/>
              <w:jc w:val="right"/>
              <w:rPr>
                <w:sz w:val="20"/>
                <w:szCs w:val="20"/>
              </w:rPr>
            </w:pPr>
            <w:r w:rsidRPr="007C1E37" w:rsidDel="00524FBD">
              <w:rPr>
                <w:sz w:val="20"/>
                <w:szCs w:val="20"/>
              </w:rPr>
              <w:t>$130.19</w:t>
            </w:r>
          </w:p>
        </w:tc>
      </w:tr>
    </w:tbl>
    <w:p w14:paraId="7AA6CC3F" w14:textId="77777777" w:rsidR="004625E4" w:rsidRPr="008034CE" w:rsidDel="00524FBD" w:rsidRDefault="004625E4" w:rsidP="004625E4">
      <w:pPr>
        <w:pStyle w:val="Sourcefortableorfigure"/>
        <w:spacing w:before="120"/>
      </w:pPr>
      <w:r w:rsidRPr="008034CE">
        <w:t>Source: NDIS Pricing Arrangements and Price Limits 2024-25</w:t>
      </w:r>
    </w:p>
    <w:p w14:paraId="41231E8B" w14:textId="77777777" w:rsidR="004625E4" w:rsidRPr="008034CE" w:rsidRDefault="004625E4" w:rsidP="004625E4">
      <w:pPr>
        <w:pStyle w:val="Heading3"/>
      </w:pPr>
      <w:bookmarkStart w:id="248" w:name="_Toc195538918"/>
      <w:bookmarkStart w:id="249" w:name="_Toc195538987"/>
      <w:bookmarkStart w:id="250" w:name="_Toc196754631"/>
      <w:bookmarkStart w:id="251" w:name="_Toc196758233"/>
      <w:bookmarkStart w:id="252" w:name="_Toc197344309"/>
      <w:bookmarkStart w:id="253" w:name="_Toc200271611"/>
      <w:r w:rsidRPr="008034CE">
        <w:t>Scheme Statistics</w:t>
      </w:r>
      <w:bookmarkEnd w:id="248"/>
      <w:bookmarkEnd w:id="249"/>
      <w:bookmarkEnd w:id="250"/>
      <w:bookmarkEnd w:id="251"/>
      <w:bookmarkEnd w:id="252"/>
      <w:bookmarkEnd w:id="253"/>
      <w:r w:rsidRPr="008034CE">
        <w:t xml:space="preserve"> </w:t>
      </w:r>
    </w:p>
    <w:p w14:paraId="7B578126" w14:textId="77777777" w:rsidR="004625E4" w:rsidRPr="008034CE" w:rsidRDefault="004625E4" w:rsidP="004625E4">
      <w:pPr>
        <w:pStyle w:val="Heading4"/>
      </w:pPr>
      <w:bookmarkStart w:id="254" w:name="_Toc195538919"/>
      <w:bookmarkStart w:id="255" w:name="_Toc200103499"/>
      <w:bookmarkStart w:id="256" w:name="_Toc200271612"/>
      <w:r w:rsidRPr="008034CE">
        <w:t>Market Overview</w:t>
      </w:r>
      <w:bookmarkEnd w:id="254"/>
      <w:bookmarkEnd w:id="255"/>
      <w:bookmarkEnd w:id="256"/>
      <w:r w:rsidRPr="008034CE">
        <w:t xml:space="preserve"> </w:t>
      </w:r>
    </w:p>
    <w:p w14:paraId="67029A05" w14:textId="068EFA21" w:rsidR="004625E4" w:rsidRPr="008034CE" w:rsidRDefault="004625E4" w:rsidP="004625E4">
      <w:r w:rsidRPr="008034CE">
        <w:t>In the six months to December 2024, 412,945 participants received at least one therapy support, around 60% of all active participants, a 9% increase from the same period the previous year (</w:t>
      </w:r>
      <w:r w:rsidRPr="008034CE">
        <w:fldChar w:fldCharType="begin"/>
      </w:r>
      <w:r w:rsidRPr="008034CE">
        <w:instrText xml:space="preserve"> REF _Ref195540114 \h  \* MERGEFORMAT </w:instrText>
      </w:r>
      <w:r w:rsidRPr="008034CE">
        <w:fldChar w:fldCharType="separate"/>
      </w:r>
      <w:r w:rsidR="005763F9" w:rsidRPr="008034CE">
        <w:t xml:space="preserve">Table </w:t>
      </w:r>
      <w:r w:rsidR="005763F9">
        <w:t>10</w:t>
      </w:r>
      <w:r w:rsidRPr="008034CE">
        <w:fldChar w:fldCharType="end"/>
      </w:r>
      <w:r w:rsidRPr="008034CE">
        <w:t xml:space="preserve">). Over the same observation period, the number of active therapy providers rose by 5% to 55,370 providers. </w:t>
      </w:r>
    </w:p>
    <w:p w14:paraId="69DB9E89" w14:textId="77777777" w:rsidR="004625E4" w:rsidRPr="008034CE" w:rsidRDefault="004625E4" w:rsidP="004625E4">
      <w:r w:rsidRPr="008034CE">
        <w:t xml:space="preserve">Total therapy payments reached $2.4 billion, a 17% increase from the $2.1 billion for the same period in the previous year. The average amount claimed per provider rose by 11% from $39,257 to $43,656 across these time periods. </w:t>
      </w:r>
    </w:p>
    <w:p w14:paraId="295DDD1D" w14:textId="25D1F08C" w:rsidR="004625E4" w:rsidRPr="008034CE" w:rsidRDefault="004625E4" w:rsidP="004625E4">
      <w:r w:rsidRPr="008034CE">
        <w:t>These payments accounted for approximately 11% of total scheme expenditure between July and December 2024, up from 8.7% of scheme expenditure in the half year period from January to June 2022 (</w:t>
      </w:r>
      <w:r w:rsidRPr="008034CE">
        <w:fldChar w:fldCharType="begin"/>
      </w:r>
      <w:r w:rsidRPr="008034CE">
        <w:instrText xml:space="preserve"> REF _Ref195540672 \h  \* MERGEFORMAT </w:instrText>
      </w:r>
      <w:r w:rsidRPr="008034CE">
        <w:fldChar w:fldCharType="separate"/>
      </w:r>
      <w:r w:rsidR="005763F9" w:rsidRPr="008034CE">
        <w:t xml:space="preserve">Figure </w:t>
      </w:r>
      <w:r w:rsidR="005763F9">
        <w:t>8</w:t>
      </w:r>
      <w:r w:rsidRPr="008034CE">
        <w:fldChar w:fldCharType="end"/>
      </w:r>
      <w:r w:rsidRPr="008034CE">
        <w:t xml:space="preserve">). </w:t>
      </w:r>
    </w:p>
    <w:p w14:paraId="748DD5E5" w14:textId="5812D753" w:rsidR="004625E4" w:rsidRDefault="004625E4">
      <w:pPr>
        <w:spacing w:before="120" w:after="120"/>
      </w:pPr>
      <w:r>
        <w:br w:type="page"/>
      </w:r>
    </w:p>
    <w:p w14:paraId="7D3FC3CA" w14:textId="21027420" w:rsidR="00AF455C" w:rsidRPr="008034CE" w:rsidRDefault="00AF455C" w:rsidP="00AF455C">
      <w:pPr>
        <w:pStyle w:val="Caption"/>
      </w:pPr>
      <w:bookmarkStart w:id="257" w:name="_Ref195540114"/>
      <w:r w:rsidRPr="008034CE">
        <w:lastRenderedPageBreak/>
        <w:t xml:space="preserve">Table </w:t>
      </w:r>
      <w:r w:rsidR="005763F9">
        <w:fldChar w:fldCharType="begin"/>
      </w:r>
      <w:r w:rsidR="005763F9">
        <w:instrText xml:space="preserve"> SEQ Table \* ARABIC </w:instrText>
      </w:r>
      <w:r w:rsidR="005763F9">
        <w:fldChar w:fldCharType="separate"/>
      </w:r>
      <w:r w:rsidR="005763F9">
        <w:rPr>
          <w:noProof/>
        </w:rPr>
        <w:t>10</w:t>
      </w:r>
      <w:r w:rsidR="005763F9">
        <w:rPr>
          <w:noProof/>
        </w:rPr>
        <w:fldChar w:fldCharType="end"/>
      </w:r>
      <w:bookmarkEnd w:id="257"/>
      <w:r w:rsidRPr="008034CE">
        <w:t>: Therapy Supports Schemes Statistics – All Providers</w:t>
      </w:r>
    </w:p>
    <w:tbl>
      <w:tblPr>
        <w:tblStyle w:val="GridTable4-Accent12"/>
        <w:tblW w:w="9074" w:type="dxa"/>
        <w:tblInd w:w="0" w:type="dxa"/>
        <w:tblLayout w:type="fixed"/>
        <w:tblLook w:val="04A0" w:firstRow="1" w:lastRow="0" w:firstColumn="1" w:lastColumn="0" w:noHBand="0" w:noVBand="1"/>
      </w:tblPr>
      <w:tblGrid>
        <w:gridCol w:w="3686"/>
        <w:gridCol w:w="1985"/>
        <w:gridCol w:w="1985"/>
        <w:gridCol w:w="1418"/>
      </w:tblGrid>
      <w:tr w:rsidR="00AF455C" w:rsidRPr="007C1E37" w14:paraId="241CA76A" w14:textId="77777777" w:rsidTr="001E519A">
        <w:trPr>
          <w:cnfStyle w:val="100000000000" w:firstRow="1" w:lastRow="0" w:firstColumn="0" w:lastColumn="0" w:oddVBand="0" w:evenVBand="0" w:oddHBand="0" w:evenHBand="0" w:firstRowFirstColumn="0" w:firstRowLastColumn="0" w:lastRowFirstColumn="0" w:lastRowLastColumn="0"/>
          <w:trHeight w:val="680"/>
          <w:tblHeader/>
        </w:trPr>
        <w:tc>
          <w:tcPr>
            <w:cnfStyle w:val="001000000000" w:firstRow="0" w:lastRow="0" w:firstColumn="1" w:lastColumn="0" w:oddVBand="0" w:evenVBand="0" w:oddHBand="0" w:evenHBand="0" w:firstRowFirstColumn="0" w:firstRowLastColumn="0" w:lastRowFirstColumn="0" w:lastRowLastColumn="0"/>
            <w:tcW w:w="3686" w:type="dxa"/>
            <w:hideMark/>
          </w:tcPr>
          <w:p w14:paraId="274D2AB7" w14:textId="77777777" w:rsidR="00AF455C" w:rsidRPr="007C1E37" w:rsidRDefault="00AF455C" w:rsidP="001E519A">
            <w:pPr>
              <w:rPr>
                <w:sz w:val="20"/>
                <w:szCs w:val="20"/>
              </w:rPr>
            </w:pPr>
            <w:r w:rsidRPr="007C1E37">
              <w:rPr>
                <w:sz w:val="20"/>
                <w:szCs w:val="20"/>
              </w:rPr>
              <w:t>Statistics</w:t>
            </w:r>
          </w:p>
        </w:tc>
        <w:tc>
          <w:tcPr>
            <w:tcW w:w="1985" w:type="dxa"/>
          </w:tcPr>
          <w:p w14:paraId="566C8339" w14:textId="77777777" w:rsidR="00AF455C" w:rsidRPr="007C1E37" w:rsidRDefault="00AF455C" w:rsidP="001E519A">
            <w:pPr>
              <w:spacing w:before="60" w:after="60"/>
              <w:jc w:val="center"/>
              <w:cnfStyle w:val="100000000000" w:firstRow="1" w:lastRow="0" w:firstColumn="0" w:lastColumn="0" w:oddVBand="0" w:evenVBand="0" w:oddHBand="0" w:evenHBand="0" w:firstRowFirstColumn="0" w:firstRowLastColumn="0" w:lastRowFirstColumn="0" w:lastRowLastColumn="0"/>
              <w:rPr>
                <w:sz w:val="20"/>
                <w:szCs w:val="20"/>
              </w:rPr>
            </w:pPr>
            <w:r w:rsidRPr="007C1E37">
              <w:rPr>
                <w:sz w:val="20"/>
                <w:szCs w:val="20"/>
              </w:rPr>
              <w:t>July – December 2023</w:t>
            </w:r>
          </w:p>
        </w:tc>
        <w:tc>
          <w:tcPr>
            <w:tcW w:w="1985" w:type="dxa"/>
          </w:tcPr>
          <w:p w14:paraId="1BF30C42" w14:textId="77777777" w:rsidR="00AF455C" w:rsidRPr="007C1E37" w:rsidRDefault="00AF455C" w:rsidP="001E519A">
            <w:pPr>
              <w:spacing w:before="60" w:after="60"/>
              <w:jc w:val="center"/>
              <w:cnfStyle w:val="100000000000" w:firstRow="1" w:lastRow="0" w:firstColumn="0" w:lastColumn="0" w:oddVBand="0" w:evenVBand="0" w:oddHBand="0" w:evenHBand="0" w:firstRowFirstColumn="0" w:firstRowLastColumn="0" w:lastRowFirstColumn="0" w:lastRowLastColumn="0"/>
              <w:rPr>
                <w:sz w:val="20"/>
                <w:szCs w:val="20"/>
              </w:rPr>
            </w:pPr>
            <w:r w:rsidRPr="007C1E37">
              <w:rPr>
                <w:sz w:val="20"/>
                <w:szCs w:val="20"/>
              </w:rPr>
              <w:t>July – December 2024</w:t>
            </w:r>
          </w:p>
        </w:tc>
        <w:tc>
          <w:tcPr>
            <w:tcW w:w="1418" w:type="dxa"/>
          </w:tcPr>
          <w:p w14:paraId="5629FEB1" w14:textId="77777777" w:rsidR="00AF455C" w:rsidRPr="007C1E37" w:rsidRDefault="00AF455C" w:rsidP="001E519A">
            <w:pPr>
              <w:spacing w:before="60" w:after="60"/>
              <w:jc w:val="center"/>
              <w:cnfStyle w:val="100000000000" w:firstRow="1" w:lastRow="0" w:firstColumn="0" w:lastColumn="0" w:oddVBand="0" w:evenVBand="0" w:oddHBand="0" w:evenHBand="0" w:firstRowFirstColumn="0" w:firstRowLastColumn="0" w:lastRowFirstColumn="0" w:lastRowLastColumn="0"/>
              <w:rPr>
                <w:sz w:val="20"/>
                <w:szCs w:val="20"/>
              </w:rPr>
            </w:pPr>
            <w:r w:rsidRPr="007C1E37">
              <w:rPr>
                <w:sz w:val="20"/>
                <w:szCs w:val="20"/>
              </w:rPr>
              <w:t>Percentage Change </w:t>
            </w:r>
          </w:p>
        </w:tc>
      </w:tr>
      <w:tr w:rsidR="00AF455C" w:rsidRPr="007C1E37" w14:paraId="11B37987" w14:textId="77777777" w:rsidTr="001E519A">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7A4F628C" w14:textId="77777777" w:rsidR="00AF455C" w:rsidRPr="007C1E37" w:rsidRDefault="00AF455C" w:rsidP="001E519A">
            <w:pPr>
              <w:spacing w:before="60" w:after="60"/>
              <w:rPr>
                <w:sz w:val="20"/>
                <w:szCs w:val="20"/>
              </w:rPr>
            </w:pPr>
            <w:r w:rsidRPr="007C1E37">
              <w:rPr>
                <w:sz w:val="20"/>
                <w:szCs w:val="20"/>
              </w:rPr>
              <w:t>Total number of NDIS participants</w:t>
            </w:r>
          </w:p>
        </w:tc>
        <w:tc>
          <w:tcPr>
            <w:tcW w:w="1985" w:type="dxa"/>
            <w:noWrap/>
            <w:vAlign w:val="center"/>
          </w:tcPr>
          <w:p w14:paraId="52849B48" w14:textId="77777777" w:rsidR="00AF455C" w:rsidRPr="007C1E37" w:rsidRDefault="00AF455C" w:rsidP="001E519A">
            <w:pPr>
              <w:spacing w:before="60" w:after="60"/>
              <w:ind w:right="397"/>
              <w:jc w:val="right"/>
              <w:cnfStyle w:val="000000100000" w:firstRow="0" w:lastRow="0" w:firstColumn="0" w:lastColumn="0" w:oddVBand="0" w:evenVBand="0" w:oddHBand="1" w:evenHBand="0" w:firstRowFirstColumn="0" w:firstRowLastColumn="0" w:lastRowFirstColumn="0" w:lastRowLastColumn="0"/>
              <w:rPr>
                <w:sz w:val="20"/>
                <w:szCs w:val="20"/>
              </w:rPr>
            </w:pPr>
            <w:r w:rsidRPr="007C1E37">
              <w:rPr>
                <w:sz w:val="20"/>
                <w:szCs w:val="20"/>
              </w:rPr>
              <w:t>379,296</w:t>
            </w:r>
          </w:p>
        </w:tc>
        <w:tc>
          <w:tcPr>
            <w:tcW w:w="1985" w:type="dxa"/>
            <w:vAlign w:val="center"/>
          </w:tcPr>
          <w:p w14:paraId="4445EDE6" w14:textId="77777777" w:rsidR="00AF455C" w:rsidRPr="007C1E37" w:rsidRDefault="00AF455C" w:rsidP="001E519A">
            <w:pPr>
              <w:spacing w:before="60" w:after="60"/>
              <w:ind w:right="397"/>
              <w:jc w:val="right"/>
              <w:cnfStyle w:val="000000100000" w:firstRow="0" w:lastRow="0" w:firstColumn="0" w:lastColumn="0" w:oddVBand="0" w:evenVBand="0" w:oddHBand="1" w:evenHBand="0" w:firstRowFirstColumn="0" w:firstRowLastColumn="0" w:lastRowFirstColumn="0" w:lastRowLastColumn="0"/>
              <w:rPr>
                <w:sz w:val="20"/>
                <w:szCs w:val="20"/>
              </w:rPr>
            </w:pPr>
            <w:r w:rsidRPr="007C1E37">
              <w:rPr>
                <w:sz w:val="20"/>
                <w:szCs w:val="20"/>
              </w:rPr>
              <w:t>412,945</w:t>
            </w:r>
          </w:p>
        </w:tc>
        <w:tc>
          <w:tcPr>
            <w:tcW w:w="1418" w:type="dxa"/>
            <w:vAlign w:val="center"/>
          </w:tcPr>
          <w:p w14:paraId="49C47B1A" w14:textId="77777777" w:rsidR="00AF455C" w:rsidRPr="007C1E37" w:rsidRDefault="00AF455C" w:rsidP="001E519A">
            <w:pPr>
              <w:spacing w:before="60" w:after="60"/>
              <w:ind w:right="397"/>
              <w:jc w:val="right"/>
              <w:cnfStyle w:val="000000100000" w:firstRow="0" w:lastRow="0" w:firstColumn="0" w:lastColumn="0" w:oddVBand="0" w:evenVBand="0" w:oddHBand="1" w:evenHBand="0" w:firstRowFirstColumn="0" w:firstRowLastColumn="0" w:lastRowFirstColumn="0" w:lastRowLastColumn="0"/>
              <w:rPr>
                <w:sz w:val="20"/>
                <w:szCs w:val="20"/>
              </w:rPr>
            </w:pPr>
            <w:r w:rsidRPr="007C1E37">
              <w:rPr>
                <w:sz w:val="20"/>
                <w:szCs w:val="20"/>
              </w:rPr>
              <w:t>+9%</w:t>
            </w:r>
          </w:p>
        </w:tc>
      </w:tr>
      <w:tr w:rsidR="00AF455C" w:rsidRPr="007C1E37" w14:paraId="6FFFDE8D" w14:textId="77777777" w:rsidTr="001E519A">
        <w:trPr>
          <w:trHeight w:val="441"/>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2D49E4CB" w14:textId="77777777" w:rsidR="00AF455C" w:rsidRPr="007C1E37" w:rsidRDefault="00AF455C" w:rsidP="001E519A">
            <w:pPr>
              <w:spacing w:before="60" w:after="60"/>
              <w:rPr>
                <w:sz w:val="20"/>
                <w:szCs w:val="20"/>
              </w:rPr>
            </w:pPr>
            <w:r w:rsidRPr="007C1E37">
              <w:rPr>
                <w:sz w:val="20"/>
                <w:szCs w:val="20"/>
              </w:rPr>
              <w:t>Total number of active providers</w:t>
            </w:r>
          </w:p>
        </w:tc>
        <w:tc>
          <w:tcPr>
            <w:tcW w:w="1985" w:type="dxa"/>
            <w:noWrap/>
            <w:vAlign w:val="center"/>
          </w:tcPr>
          <w:p w14:paraId="06DB14CB" w14:textId="77777777" w:rsidR="00AF455C" w:rsidRPr="007C1E37" w:rsidRDefault="00AF455C" w:rsidP="001E519A">
            <w:pPr>
              <w:spacing w:before="60" w:after="60"/>
              <w:ind w:right="397"/>
              <w:jc w:val="right"/>
              <w:cnfStyle w:val="000000000000" w:firstRow="0" w:lastRow="0" w:firstColumn="0" w:lastColumn="0" w:oddVBand="0" w:evenVBand="0" w:oddHBand="0" w:evenHBand="0" w:firstRowFirstColumn="0" w:firstRowLastColumn="0" w:lastRowFirstColumn="0" w:lastRowLastColumn="0"/>
              <w:rPr>
                <w:sz w:val="20"/>
                <w:szCs w:val="20"/>
              </w:rPr>
            </w:pPr>
            <w:r w:rsidRPr="007C1E37">
              <w:rPr>
                <w:sz w:val="20"/>
                <w:szCs w:val="20"/>
              </w:rPr>
              <w:t>52,736</w:t>
            </w:r>
          </w:p>
        </w:tc>
        <w:tc>
          <w:tcPr>
            <w:tcW w:w="1985" w:type="dxa"/>
            <w:vAlign w:val="center"/>
          </w:tcPr>
          <w:p w14:paraId="1DB96971" w14:textId="77777777" w:rsidR="00AF455C" w:rsidRPr="007C1E37" w:rsidRDefault="00AF455C" w:rsidP="001E519A">
            <w:pPr>
              <w:spacing w:before="60" w:after="60"/>
              <w:ind w:right="397"/>
              <w:jc w:val="right"/>
              <w:cnfStyle w:val="000000000000" w:firstRow="0" w:lastRow="0" w:firstColumn="0" w:lastColumn="0" w:oddVBand="0" w:evenVBand="0" w:oddHBand="0" w:evenHBand="0" w:firstRowFirstColumn="0" w:firstRowLastColumn="0" w:lastRowFirstColumn="0" w:lastRowLastColumn="0"/>
              <w:rPr>
                <w:sz w:val="20"/>
                <w:szCs w:val="20"/>
              </w:rPr>
            </w:pPr>
            <w:r w:rsidRPr="007C1E37">
              <w:rPr>
                <w:sz w:val="20"/>
                <w:szCs w:val="20"/>
              </w:rPr>
              <w:t>55,370</w:t>
            </w:r>
          </w:p>
        </w:tc>
        <w:tc>
          <w:tcPr>
            <w:tcW w:w="1418" w:type="dxa"/>
            <w:vAlign w:val="center"/>
          </w:tcPr>
          <w:p w14:paraId="6D0EE8A4" w14:textId="77777777" w:rsidR="00AF455C" w:rsidRPr="007C1E37" w:rsidRDefault="00AF455C" w:rsidP="001E519A">
            <w:pPr>
              <w:spacing w:before="60" w:after="60"/>
              <w:ind w:right="397"/>
              <w:jc w:val="right"/>
              <w:cnfStyle w:val="000000000000" w:firstRow="0" w:lastRow="0" w:firstColumn="0" w:lastColumn="0" w:oddVBand="0" w:evenVBand="0" w:oddHBand="0" w:evenHBand="0" w:firstRowFirstColumn="0" w:firstRowLastColumn="0" w:lastRowFirstColumn="0" w:lastRowLastColumn="0"/>
              <w:rPr>
                <w:sz w:val="20"/>
                <w:szCs w:val="20"/>
              </w:rPr>
            </w:pPr>
            <w:r w:rsidRPr="007C1E37">
              <w:rPr>
                <w:sz w:val="20"/>
                <w:szCs w:val="20"/>
              </w:rPr>
              <w:t>+5%</w:t>
            </w:r>
          </w:p>
        </w:tc>
      </w:tr>
      <w:tr w:rsidR="00AF455C" w:rsidRPr="007C1E37" w14:paraId="16AB08A5" w14:textId="77777777" w:rsidTr="001E519A">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4609B48B" w14:textId="77777777" w:rsidR="00AF455C" w:rsidRPr="007C1E37" w:rsidRDefault="00AF455C" w:rsidP="001E519A">
            <w:pPr>
              <w:spacing w:before="60" w:after="60"/>
              <w:rPr>
                <w:sz w:val="20"/>
                <w:szCs w:val="20"/>
              </w:rPr>
            </w:pPr>
            <w:r w:rsidRPr="007C1E37">
              <w:rPr>
                <w:sz w:val="20"/>
                <w:szCs w:val="20"/>
              </w:rPr>
              <w:t>Total amount claimed by active providers of Therapy supports</w:t>
            </w:r>
          </w:p>
        </w:tc>
        <w:tc>
          <w:tcPr>
            <w:tcW w:w="1985" w:type="dxa"/>
            <w:noWrap/>
            <w:vAlign w:val="center"/>
          </w:tcPr>
          <w:p w14:paraId="7D6012EE" w14:textId="77777777" w:rsidR="00AF455C" w:rsidRPr="007C1E37" w:rsidRDefault="00AF455C" w:rsidP="001E519A">
            <w:pPr>
              <w:spacing w:before="60" w:after="60"/>
              <w:ind w:right="397"/>
              <w:jc w:val="right"/>
              <w:cnfStyle w:val="000000100000" w:firstRow="0" w:lastRow="0" w:firstColumn="0" w:lastColumn="0" w:oddVBand="0" w:evenVBand="0" w:oddHBand="1" w:evenHBand="0" w:firstRowFirstColumn="0" w:firstRowLastColumn="0" w:lastRowFirstColumn="0" w:lastRowLastColumn="0"/>
              <w:rPr>
                <w:sz w:val="20"/>
                <w:szCs w:val="20"/>
              </w:rPr>
            </w:pPr>
            <w:r w:rsidRPr="007C1E37">
              <w:rPr>
                <w:sz w:val="20"/>
                <w:szCs w:val="20"/>
              </w:rPr>
              <w:t>$2.1 billion</w:t>
            </w:r>
          </w:p>
        </w:tc>
        <w:tc>
          <w:tcPr>
            <w:tcW w:w="1985" w:type="dxa"/>
            <w:vAlign w:val="center"/>
          </w:tcPr>
          <w:p w14:paraId="69C33DE1" w14:textId="77777777" w:rsidR="00AF455C" w:rsidRPr="007C1E37" w:rsidRDefault="00AF455C" w:rsidP="001E519A">
            <w:pPr>
              <w:spacing w:before="60" w:after="60"/>
              <w:ind w:right="397"/>
              <w:jc w:val="right"/>
              <w:cnfStyle w:val="000000100000" w:firstRow="0" w:lastRow="0" w:firstColumn="0" w:lastColumn="0" w:oddVBand="0" w:evenVBand="0" w:oddHBand="1" w:evenHBand="0" w:firstRowFirstColumn="0" w:firstRowLastColumn="0" w:lastRowFirstColumn="0" w:lastRowLastColumn="0"/>
              <w:rPr>
                <w:sz w:val="20"/>
                <w:szCs w:val="20"/>
              </w:rPr>
            </w:pPr>
            <w:r w:rsidRPr="007C1E37">
              <w:rPr>
                <w:sz w:val="20"/>
                <w:szCs w:val="20"/>
              </w:rPr>
              <w:t>$2.4 billion</w:t>
            </w:r>
          </w:p>
        </w:tc>
        <w:tc>
          <w:tcPr>
            <w:tcW w:w="1418" w:type="dxa"/>
            <w:vAlign w:val="center"/>
          </w:tcPr>
          <w:p w14:paraId="0229BFAD" w14:textId="77777777" w:rsidR="00AF455C" w:rsidRPr="007C1E37" w:rsidRDefault="00AF455C" w:rsidP="001E519A">
            <w:pPr>
              <w:spacing w:before="60" w:after="60"/>
              <w:ind w:right="397"/>
              <w:jc w:val="right"/>
              <w:cnfStyle w:val="000000100000" w:firstRow="0" w:lastRow="0" w:firstColumn="0" w:lastColumn="0" w:oddVBand="0" w:evenVBand="0" w:oddHBand="1" w:evenHBand="0" w:firstRowFirstColumn="0" w:firstRowLastColumn="0" w:lastRowFirstColumn="0" w:lastRowLastColumn="0"/>
              <w:rPr>
                <w:sz w:val="20"/>
                <w:szCs w:val="20"/>
              </w:rPr>
            </w:pPr>
            <w:r w:rsidRPr="007C1E37">
              <w:rPr>
                <w:sz w:val="20"/>
                <w:szCs w:val="20"/>
              </w:rPr>
              <w:t>+17%</w:t>
            </w:r>
          </w:p>
        </w:tc>
      </w:tr>
      <w:tr w:rsidR="00AF455C" w:rsidRPr="007C1E37" w14:paraId="4E69B987" w14:textId="77777777" w:rsidTr="001E519A">
        <w:trPr>
          <w:trHeight w:val="441"/>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3A776FA5" w14:textId="77777777" w:rsidR="00AF455C" w:rsidRPr="007C1E37" w:rsidRDefault="00AF455C" w:rsidP="001E519A">
            <w:pPr>
              <w:spacing w:before="60" w:after="60"/>
              <w:rPr>
                <w:sz w:val="20"/>
                <w:szCs w:val="20"/>
              </w:rPr>
            </w:pPr>
            <w:r w:rsidRPr="007C1E37">
              <w:rPr>
                <w:sz w:val="20"/>
                <w:szCs w:val="20"/>
              </w:rPr>
              <w:t>Average amount claimed by all active providers of Therapy supports</w:t>
            </w:r>
          </w:p>
        </w:tc>
        <w:tc>
          <w:tcPr>
            <w:tcW w:w="1985" w:type="dxa"/>
            <w:noWrap/>
            <w:vAlign w:val="center"/>
          </w:tcPr>
          <w:p w14:paraId="1302E549" w14:textId="77777777" w:rsidR="00AF455C" w:rsidRPr="007C1E37" w:rsidRDefault="00AF455C" w:rsidP="001E519A">
            <w:pPr>
              <w:spacing w:before="60" w:after="60"/>
              <w:ind w:right="397"/>
              <w:jc w:val="right"/>
              <w:cnfStyle w:val="000000000000" w:firstRow="0" w:lastRow="0" w:firstColumn="0" w:lastColumn="0" w:oddVBand="0" w:evenVBand="0" w:oddHBand="0" w:evenHBand="0" w:firstRowFirstColumn="0" w:firstRowLastColumn="0" w:lastRowFirstColumn="0" w:lastRowLastColumn="0"/>
              <w:rPr>
                <w:sz w:val="20"/>
                <w:szCs w:val="20"/>
              </w:rPr>
            </w:pPr>
            <w:r w:rsidRPr="007C1E37">
              <w:rPr>
                <w:sz w:val="20"/>
                <w:szCs w:val="20"/>
              </w:rPr>
              <w:t>$39,257</w:t>
            </w:r>
          </w:p>
        </w:tc>
        <w:tc>
          <w:tcPr>
            <w:tcW w:w="1985" w:type="dxa"/>
            <w:vAlign w:val="center"/>
          </w:tcPr>
          <w:p w14:paraId="7122DAE9" w14:textId="77777777" w:rsidR="00AF455C" w:rsidRPr="007C1E37" w:rsidRDefault="00AF455C" w:rsidP="001E519A">
            <w:pPr>
              <w:spacing w:before="60" w:after="60"/>
              <w:ind w:right="397"/>
              <w:jc w:val="right"/>
              <w:cnfStyle w:val="000000000000" w:firstRow="0" w:lastRow="0" w:firstColumn="0" w:lastColumn="0" w:oddVBand="0" w:evenVBand="0" w:oddHBand="0" w:evenHBand="0" w:firstRowFirstColumn="0" w:firstRowLastColumn="0" w:lastRowFirstColumn="0" w:lastRowLastColumn="0"/>
              <w:rPr>
                <w:sz w:val="20"/>
                <w:szCs w:val="20"/>
              </w:rPr>
            </w:pPr>
            <w:r w:rsidRPr="007C1E37">
              <w:rPr>
                <w:sz w:val="20"/>
                <w:szCs w:val="20"/>
              </w:rPr>
              <w:t>$43,656</w:t>
            </w:r>
          </w:p>
        </w:tc>
        <w:tc>
          <w:tcPr>
            <w:tcW w:w="1418" w:type="dxa"/>
            <w:vAlign w:val="center"/>
          </w:tcPr>
          <w:p w14:paraId="61352217" w14:textId="77777777" w:rsidR="00AF455C" w:rsidRPr="007C1E37" w:rsidRDefault="00AF455C" w:rsidP="001E519A">
            <w:pPr>
              <w:spacing w:before="60" w:after="60"/>
              <w:ind w:right="397"/>
              <w:jc w:val="right"/>
              <w:cnfStyle w:val="000000000000" w:firstRow="0" w:lastRow="0" w:firstColumn="0" w:lastColumn="0" w:oddVBand="0" w:evenVBand="0" w:oddHBand="0" w:evenHBand="0" w:firstRowFirstColumn="0" w:firstRowLastColumn="0" w:lastRowFirstColumn="0" w:lastRowLastColumn="0"/>
              <w:rPr>
                <w:sz w:val="20"/>
                <w:szCs w:val="20"/>
              </w:rPr>
            </w:pPr>
            <w:r w:rsidRPr="007C1E37">
              <w:rPr>
                <w:sz w:val="20"/>
                <w:szCs w:val="20"/>
              </w:rPr>
              <w:t>+11%</w:t>
            </w:r>
          </w:p>
        </w:tc>
      </w:tr>
    </w:tbl>
    <w:p w14:paraId="493C8F95" w14:textId="77777777" w:rsidR="00AF455C" w:rsidRPr="008034CE" w:rsidRDefault="00AF455C" w:rsidP="00AF455C">
      <w:pPr>
        <w:pStyle w:val="Sourcefortableorfigure"/>
        <w:spacing w:before="120"/>
      </w:pPr>
      <w:r w:rsidRPr="008034CE">
        <w:t>Source: NDIS internal administrative data</w:t>
      </w:r>
    </w:p>
    <w:p w14:paraId="4D653420" w14:textId="7198B69E" w:rsidR="00A408FB" w:rsidRPr="008034CE" w:rsidRDefault="00AF455C" w:rsidP="00A408FB">
      <w:pPr>
        <w:pStyle w:val="Caption"/>
      </w:pPr>
      <w:bookmarkStart w:id="258" w:name="_Ref195540672"/>
      <w:r w:rsidRPr="008034CE">
        <w:t xml:space="preserve">Figure </w:t>
      </w:r>
      <w:r w:rsidR="005763F9">
        <w:fldChar w:fldCharType="begin"/>
      </w:r>
      <w:r w:rsidR="005763F9">
        <w:instrText xml:space="preserve"> SEQ Figure \* ARABIC </w:instrText>
      </w:r>
      <w:r w:rsidR="005763F9">
        <w:fldChar w:fldCharType="separate"/>
      </w:r>
      <w:r w:rsidR="005763F9">
        <w:rPr>
          <w:noProof/>
        </w:rPr>
        <w:t>8</w:t>
      </w:r>
      <w:r w:rsidR="005763F9">
        <w:rPr>
          <w:noProof/>
        </w:rPr>
        <w:fldChar w:fldCharType="end"/>
      </w:r>
      <w:bookmarkEnd w:id="258"/>
      <w:r w:rsidRPr="008034CE">
        <w:t>: NDIS Expenditure on Therapy Supports Since January 2022 Relative to Total NDIS Expenditure</w:t>
      </w:r>
    </w:p>
    <w:p w14:paraId="3E8D9FA5" w14:textId="77777777" w:rsidR="00A408FB" w:rsidRPr="008034CE" w:rsidRDefault="00A408FB" w:rsidP="00A408FB">
      <w:pPr>
        <w:pStyle w:val="Notefortableorfigure"/>
      </w:pPr>
      <w:r w:rsidRPr="008034CE">
        <w:rPr>
          <w:noProof/>
        </w:rPr>
        <w:drawing>
          <wp:inline distT="0" distB="0" distL="0" distR="0" wp14:anchorId="60896F12" wp14:editId="1376F87B">
            <wp:extent cx="5817600" cy="3369600"/>
            <wp:effectExtent l="0" t="0" r="0" b="2540"/>
            <wp:docPr id="1346154181" name="Picture 2" descr="A column and dot graph showing the NDIS expenditure on therapy supports since January 2022 Relative to total NDIS expenditure. The total payments have steadily increased. The percentage relative to the total scheme has also slightly increased over time.&#10;&#10;From January to June 2022, the total payments for DSW related supports were $1.3b, which accounted for 8.7% of the total scheme.&#10;&#10;From July to December 2022, the total payments for DSW related supports were $1.6b, which accounted for 9.7% of the total scheme.&#10;&#10;From January to June 2023, the total payments for DSW related supports were $1.8b, which accounted for 9.5% of the total scheme.&#10;&#10;From July to December 2023, the total payments for DSW related supports were $2.1b, which accounted for 10.1% of the total scheme.&#10;&#10;From January to June 2024, the total payments for DSW related supports were $2.1b, which accounted for 2.1% of the total scheme.&#10;&#10;From July to December 2024, the total payments for DSW related supports were $2.4b, which accounted for 10.6% of the total scheme.&#10;&#10;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3">
                      <a:extLst>
                        <a:ext uri="{28A0092B-C50C-407E-A947-70E740481C1C}">
                          <a14:useLocalDpi xmlns:a14="http://schemas.microsoft.com/office/drawing/2010/main" val="0"/>
                        </a:ext>
                      </a:extLst>
                    </a:blip>
                    <a:stretch>
                      <a:fillRect/>
                    </a:stretch>
                  </pic:blipFill>
                  <pic:spPr>
                    <a:xfrm>
                      <a:off x="0" y="0"/>
                      <a:ext cx="5817600" cy="3369600"/>
                    </a:xfrm>
                    <a:prstGeom prst="rect">
                      <a:avLst/>
                    </a:prstGeom>
                  </pic:spPr>
                </pic:pic>
              </a:graphicData>
            </a:graphic>
          </wp:inline>
        </w:drawing>
      </w:r>
    </w:p>
    <w:p w14:paraId="5A32459F" w14:textId="77777777" w:rsidR="00A408FB" w:rsidRPr="008034CE" w:rsidRDefault="00A408FB" w:rsidP="008D60AB">
      <w:pPr>
        <w:pStyle w:val="Heading4"/>
      </w:pPr>
      <w:bookmarkStart w:id="259" w:name="_Toc195538920"/>
      <w:bookmarkStart w:id="260" w:name="_Toc200103500"/>
      <w:bookmarkStart w:id="261" w:name="_Toc200271613"/>
      <w:r w:rsidRPr="008034CE">
        <w:t>Participants</w:t>
      </w:r>
      <w:bookmarkEnd w:id="259"/>
      <w:bookmarkEnd w:id="260"/>
      <w:bookmarkEnd w:id="261"/>
    </w:p>
    <w:p w14:paraId="55A5C5F1" w14:textId="420A8340" w:rsidR="00A408FB" w:rsidRPr="008034CE" w:rsidRDefault="00A408FB" w:rsidP="00A408FB">
      <w:r w:rsidRPr="008034CE">
        <w:t>In the six months to December 2024, five therapies accounted for over three-quarters of all therapy payments: occupational therapists ($511.8 million), early childhood intervention therapists ($449.9 million), behaviour support professionals ($393.0 million), speech pathologists ($232.7 million), and physiotherapists ($222.7 million) (</w:t>
      </w:r>
      <w:r w:rsidRPr="008034CE">
        <w:fldChar w:fldCharType="begin"/>
      </w:r>
      <w:r w:rsidRPr="008034CE">
        <w:instrText xml:space="preserve"> REF _Ref195540123 \h  \* MERGEFORMAT </w:instrText>
      </w:r>
      <w:r w:rsidRPr="008034CE">
        <w:fldChar w:fldCharType="separate"/>
      </w:r>
      <w:r w:rsidR="005763F9" w:rsidRPr="008034CE">
        <w:t xml:space="preserve">Table </w:t>
      </w:r>
      <w:r w:rsidR="005763F9">
        <w:t>11</w:t>
      </w:r>
      <w:r w:rsidRPr="008034CE">
        <w:fldChar w:fldCharType="end"/>
      </w:r>
      <w:r w:rsidRPr="008034CE">
        <w:t xml:space="preserve">, </w:t>
      </w:r>
      <w:r w:rsidRPr="008034CE">
        <w:fldChar w:fldCharType="begin"/>
      </w:r>
      <w:r w:rsidRPr="008034CE">
        <w:instrText xml:space="preserve"> REF _Ref195540685 \h  \* MERGEFORMAT </w:instrText>
      </w:r>
      <w:r w:rsidRPr="008034CE">
        <w:fldChar w:fldCharType="separate"/>
      </w:r>
      <w:r w:rsidR="005763F9" w:rsidRPr="008034CE">
        <w:t xml:space="preserve">Figure </w:t>
      </w:r>
      <w:r w:rsidR="005763F9">
        <w:t>9</w:t>
      </w:r>
      <w:r w:rsidRPr="008034CE">
        <w:fldChar w:fldCharType="end"/>
      </w:r>
      <w:r w:rsidRPr="008034CE">
        <w:t xml:space="preserve">). Together, these categories represented $1.8 billion in claims, accounting for approximately 75% of the NDIA’s $2.4 billion therapy expenditure during the reporting period as detailed in </w:t>
      </w:r>
      <w:r w:rsidRPr="008034CE">
        <w:fldChar w:fldCharType="begin"/>
      </w:r>
      <w:r w:rsidRPr="008034CE">
        <w:instrText xml:space="preserve"> REF _Ref195540694 \h  \* MERGEFORMAT </w:instrText>
      </w:r>
      <w:r w:rsidRPr="008034CE">
        <w:fldChar w:fldCharType="separate"/>
      </w:r>
      <w:r w:rsidR="005763F9" w:rsidRPr="008034CE">
        <w:t xml:space="preserve">Figure </w:t>
      </w:r>
      <w:r w:rsidR="005763F9">
        <w:t>10</w:t>
      </w:r>
      <w:r w:rsidRPr="008034CE">
        <w:fldChar w:fldCharType="end"/>
      </w:r>
      <w:r w:rsidRPr="008034CE">
        <w:t>.</w:t>
      </w:r>
    </w:p>
    <w:p w14:paraId="3DF8128D" w14:textId="0557AFD4" w:rsidR="008B5BA4" w:rsidRPr="008034CE" w:rsidRDefault="008B5BA4" w:rsidP="008B5BA4">
      <w:pPr>
        <w:pStyle w:val="Caption"/>
      </w:pPr>
      <w:bookmarkStart w:id="262" w:name="_Ref195540123"/>
      <w:r w:rsidRPr="008034CE">
        <w:lastRenderedPageBreak/>
        <w:t xml:space="preserve">Table </w:t>
      </w:r>
      <w:r w:rsidR="005763F9">
        <w:fldChar w:fldCharType="begin"/>
      </w:r>
      <w:r w:rsidR="005763F9">
        <w:instrText xml:space="preserve"> SEQ Table \* ARABIC </w:instrText>
      </w:r>
      <w:r w:rsidR="005763F9">
        <w:fldChar w:fldCharType="separate"/>
      </w:r>
      <w:r w:rsidR="005763F9">
        <w:rPr>
          <w:noProof/>
        </w:rPr>
        <w:t>11</w:t>
      </w:r>
      <w:r w:rsidR="005763F9">
        <w:rPr>
          <w:noProof/>
        </w:rPr>
        <w:fldChar w:fldCharType="end"/>
      </w:r>
      <w:bookmarkEnd w:id="262"/>
      <w:r w:rsidRPr="008034CE">
        <w:t>: Scheme Expenditure by Type of Therapist, July to December 2024</w:t>
      </w:r>
    </w:p>
    <w:tbl>
      <w:tblPr>
        <w:tblStyle w:val="GridTable4-Accent12"/>
        <w:tblW w:w="0" w:type="auto"/>
        <w:tblInd w:w="0" w:type="dxa"/>
        <w:tblLook w:val="04A0" w:firstRow="1" w:lastRow="0" w:firstColumn="1" w:lastColumn="0" w:noHBand="0" w:noVBand="1"/>
      </w:tblPr>
      <w:tblGrid>
        <w:gridCol w:w="2703"/>
        <w:gridCol w:w="1985"/>
        <w:gridCol w:w="1985"/>
        <w:gridCol w:w="1985"/>
      </w:tblGrid>
      <w:tr w:rsidR="008B5BA4" w:rsidRPr="007C1E37" w14:paraId="3C16CD95" w14:textId="77777777" w:rsidTr="001E519A">
        <w:trPr>
          <w:cnfStyle w:val="100000000000" w:firstRow="1" w:lastRow="0" w:firstColumn="0" w:lastColumn="0" w:oddVBand="0" w:evenVBand="0" w:oddHBand="0" w:evenHBand="0" w:firstRowFirstColumn="0" w:firstRowLastColumn="0" w:lastRowFirstColumn="0" w:lastRowLastColumn="0"/>
          <w:trHeight w:val="573"/>
          <w:tblHeader/>
        </w:trPr>
        <w:tc>
          <w:tcPr>
            <w:cnfStyle w:val="001000000000" w:firstRow="0" w:lastRow="0" w:firstColumn="1" w:lastColumn="0" w:oddVBand="0" w:evenVBand="0" w:oddHBand="0" w:evenHBand="0" w:firstRowFirstColumn="0" w:firstRowLastColumn="0" w:lastRowFirstColumn="0" w:lastRowLastColumn="0"/>
            <w:tcW w:w="2703" w:type="dxa"/>
            <w:hideMark/>
          </w:tcPr>
          <w:p w14:paraId="59A7DE00" w14:textId="77777777" w:rsidR="008B5BA4" w:rsidRPr="007C1E37" w:rsidRDefault="008B5BA4" w:rsidP="001E519A">
            <w:pPr>
              <w:spacing w:before="60" w:after="60" w:line="240" w:lineRule="auto"/>
              <w:rPr>
                <w:rFonts w:cs="Arial"/>
                <w:b w:val="0"/>
                <w:sz w:val="20"/>
                <w:szCs w:val="20"/>
                <w:lang w:eastAsia="zh-CN" w:bidi="th-TH"/>
              </w:rPr>
            </w:pPr>
            <w:r w:rsidRPr="007C1E37">
              <w:rPr>
                <w:rFonts w:cs="Arial"/>
                <w:sz w:val="20"/>
                <w:szCs w:val="20"/>
                <w:lang w:eastAsia="zh-CN" w:bidi="th-TH"/>
              </w:rPr>
              <w:t>Type of Therapist</w:t>
            </w:r>
          </w:p>
        </w:tc>
        <w:tc>
          <w:tcPr>
            <w:tcW w:w="1985" w:type="dxa"/>
            <w:hideMark/>
          </w:tcPr>
          <w:p w14:paraId="17FC8FA7" w14:textId="77777777" w:rsidR="008B5BA4" w:rsidRPr="007C1E37" w:rsidRDefault="008B5BA4" w:rsidP="001E519A">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cs="Arial"/>
                <w:b w:val="0"/>
                <w:sz w:val="20"/>
                <w:szCs w:val="20"/>
                <w:lang w:eastAsia="zh-CN" w:bidi="th-TH"/>
              </w:rPr>
            </w:pPr>
            <w:r w:rsidRPr="007C1E37">
              <w:rPr>
                <w:rFonts w:cs="Arial"/>
                <w:sz w:val="20"/>
                <w:szCs w:val="20"/>
                <w:lang w:eastAsia="zh-CN" w:bidi="th-TH"/>
              </w:rPr>
              <w:t>Total Payments ($ million)</w:t>
            </w:r>
          </w:p>
        </w:tc>
        <w:tc>
          <w:tcPr>
            <w:tcW w:w="1985" w:type="dxa"/>
          </w:tcPr>
          <w:p w14:paraId="4F1FB17D" w14:textId="77777777" w:rsidR="008B5BA4" w:rsidRPr="007C1E37" w:rsidRDefault="008B5BA4" w:rsidP="001E519A">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cs="Arial"/>
                <w:b w:val="0"/>
                <w:sz w:val="20"/>
                <w:szCs w:val="20"/>
                <w:lang w:eastAsia="zh-CN" w:bidi="th-TH"/>
              </w:rPr>
            </w:pPr>
            <w:r w:rsidRPr="007C1E37">
              <w:rPr>
                <w:rFonts w:cs="Arial"/>
                <w:sz w:val="20"/>
                <w:szCs w:val="20"/>
                <w:lang w:eastAsia="zh-CN" w:bidi="th-TH"/>
              </w:rPr>
              <w:t>Number of Participants</w:t>
            </w:r>
          </w:p>
        </w:tc>
        <w:tc>
          <w:tcPr>
            <w:tcW w:w="1985" w:type="dxa"/>
          </w:tcPr>
          <w:p w14:paraId="0DE8EE9E" w14:textId="77777777" w:rsidR="008B5BA4" w:rsidRPr="007C1E37" w:rsidRDefault="008B5BA4" w:rsidP="001E519A">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cs="Arial"/>
                <w:b w:val="0"/>
                <w:sz w:val="20"/>
                <w:szCs w:val="20"/>
                <w:lang w:eastAsia="zh-CN" w:bidi="th-TH"/>
              </w:rPr>
            </w:pPr>
            <w:r w:rsidRPr="007C1E37">
              <w:rPr>
                <w:rFonts w:cs="Arial"/>
                <w:sz w:val="20"/>
                <w:szCs w:val="20"/>
                <w:lang w:eastAsia="zh-CN" w:bidi="th-TH"/>
              </w:rPr>
              <w:t>Number of Providers</w:t>
            </w:r>
          </w:p>
        </w:tc>
      </w:tr>
      <w:tr w:rsidR="008B5BA4" w:rsidRPr="007C1E37" w14:paraId="1F04F9FC" w14:textId="77777777" w:rsidTr="001E519A">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703" w:type="dxa"/>
            <w:noWrap/>
            <w:vAlign w:val="center"/>
          </w:tcPr>
          <w:p w14:paraId="51D9B115" w14:textId="77777777" w:rsidR="008B5BA4" w:rsidRPr="007C1E37" w:rsidRDefault="008B5BA4" w:rsidP="001E519A">
            <w:pPr>
              <w:spacing w:before="60" w:after="60" w:line="240" w:lineRule="auto"/>
              <w:rPr>
                <w:rFonts w:cs="Arial"/>
                <w:color w:val="000000"/>
                <w:sz w:val="20"/>
                <w:szCs w:val="20"/>
                <w:lang w:eastAsia="zh-CN" w:bidi="th-TH"/>
              </w:rPr>
            </w:pPr>
            <w:r w:rsidRPr="007C1E37">
              <w:rPr>
                <w:rFonts w:cs="Arial"/>
                <w:sz w:val="20"/>
                <w:szCs w:val="20"/>
              </w:rPr>
              <w:t>Occupational Therapist</w:t>
            </w:r>
          </w:p>
        </w:tc>
        <w:tc>
          <w:tcPr>
            <w:tcW w:w="1985" w:type="dxa"/>
            <w:noWrap/>
            <w:vAlign w:val="center"/>
          </w:tcPr>
          <w:p w14:paraId="276B584F" w14:textId="77777777" w:rsidR="008B5BA4" w:rsidRPr="007C1E37" w:rsidRDefault="008B5BA4" w:rsidP="001E519A">
            <w:pPr>
              <w:spacing w:before="60" w:after="60" w:line="240" w:lineRule="auto"/>
              <w:ind w:right="567"/>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7C1E37">
              <w:rPr>
                <w:rFonts w:cs="Arial"/>
                <w:sz w:val="20"/>
                <w:szCs w:val="20"/>
              </w:rPr>
              <w:t>$511.8</w:t>
            </w:r>
          </w:p>
        </w:tc>
        <w:tc>
          <w:tcPr>
            <w:tcW w:w="1985" w:type="dxa"/>
            <w:noWrap/>
            <w:vAlign w:val="center"/>
          </w:tcPr>
          <w:p w14:paraId="5C2794D5" w14:textId="77777777" w:rsidR="008B5BA4" w:rsidRPr="003C1F19" w:rsidRDefault="008B5BA4" w:rsidP="001E519A">
            <w:pPr>
              <w:spacing w:before="60" w:after="60" w:line="240" w:lineRule="auto"/>
              <w:ind w:right="567"/>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3C1F19">
              <w:rPr>
                <w:rFonts w:cs="Arial"/>
                <w:sz w:val="20"/>
                <w:szCs w:val="20"/>
              </w:rPr>
              <w:t>235,928</w:t>
            </w:r>
          </w:p>
        </w:tc>
        <w:tc>
          <w:tcPr>
            <w:tcW w:w="1985" w:type="dxa"/>
            <w:vAlign w:val="center"/>
          </w:tcPr>
          <w:p w14:paraId="758589D0" w14:textId="77777777" w:rsidR="008B5BA4" w:rsidRPr="007C1E37" w:rsidRDefault="008B5BA4" w:rsidP="001E519A">
            <w:pPr>
              <w:spacing w:before="60" w:after="60" w:line="240" w:lineRule="auto"/>
              <w:ind w:right="567"/>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7C1E37">
              <w:rPr>
                <w:rFonts w:cs="Arial"/>
                <w:sz w:val="20"/>
                <w:szCs w:val="20"/>
              </w:rPr>
              <w:t>9,054</w:t>
            </w:r>
          </w:p>
        </w:tc>
      </w:tr>
      <w:tr w:rsidR="008B5BA4" w:rsidRPr="007C1E37" w14:paraId="755A9EAF" w14:textId="77777777" w:rsidTr="001E519A">
        <w:trPr>
          <w:trHeight w:val="287"/>
        </w:trPr>
        <w:tc>
          <w:tcPr>
            <w:cnfStyle w:val="001000000000" w:firstRow="0" w:lastRow="0" w:firstColumn="1" w:lastColumn="0" w:oddVBand="0" w:evenVBand="0" w:oddHBand="0" w:evenHBand="0" w:firstRowFirstColumn="0" w:firstRowLastColumn="0" w:lastRowFirstColumn="0" w:lastRowLastColumn="0"/>
            <w:tcW w:w="2703" w:type="dxa"/>
            <w:noWrap/>
            <w:vAlign w:val="center"/>
          </w:tcPr>
          <w:p w14:paraId="1CF6F11F" w14:textId="77777777" w:rsidR="008B5BA4" w:rsidRPr="007C1E37" w:rsidRDefault="008B5BA4" w:rsidP="001E519A">
            <w:pPr>
              <w:spacing w:before="60" w:after="60" w:line="240" w:lineRule="auto"/>
              <w:rPr>
                <w:rFonts w:cs="Arial"/>
                <w:color w:val="000000"/>
                <w:sz w:val="20"/>
                <w:szCs w:val="20"/>
                <w:lang w:eastAsia="zh-CN" w:bidi="th-TH"/>
              </w:rPr>
            </w:pPr>
            <w:r w:rsidRPr="007C1E37">
              <w:rPr>
                <w:rFonts w:cs="Arial"/>
                <w:sz w:val="20"/>
                <w:szCs w:val="20"/>
              </w:rPr>
              <w:t>Early Childhood</w:t>
            </w:r>
          </w:p>
        </w:tc>
        <w:tc>
          <w:tcPr>
            <w:tcW w:w="1985" w:type="dxa"/>
            <w:noWrap/>
            <w:vAlign w:val="center"/>
          </w:tcPr>
          <w:p w14:paraId="488CEB0F" w14:textId="77777777" w:rsidR="008B5BA4" w:rsidRPr="007C1E37" w:rsidRDefault="008B5BA4" w:rsidP="001E519A">
            <w:pPr>
              <w:spacing w:before="60" w:after="60" w:line="240" w:lineRule="auto"/>
              <w:ind w:right="567"/>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zh-CN" w:bidi="th-TH"/>
              </w:rPr>
            </w:pPr>
            <w:r w:rsidRPr="007C1E37">
              <w:rPr>
                <w:rFonts w:cs="Arial"/>
                <w:sz w:val="20"/>
                <w:szCs w:val="20"/>
              </w:rPr>
              <w:t>$449.9</w:t>
            </w:r>
          </w:p>
        </w:tc>
        <w:tc>
          <w:tcPr>
            <w:tcW w:w="1985" w:type="dxa"/>
            <w:noWrap/>
            <w:vAlign w:val="center"/>
          </w:tcPr>
          <w:p w14:paraId="61226C26" w14:textId="77777777" w:rsidR="008B5BA4" w:rsidRPr="003C1F19" w:rsidRDefault="008B5BA4" w:rsidP="001E519A">
            <w:pPr>
              <w:spacing w:before="60" w:after="60" w:line="240" w:lineRule="auto"/>
              <w:ind w:right="567"/>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3C1F19">
              <w:rPr>
                <w:rFonts w:cs="Arial"/>
                <w:sz w:val="20"/>
                <w:szCs w:val="20"/>
              </w:rPr>
              <w:t>106,254</w:t>
            </w:r>
          </w:p>
        </w:tc>
        <w:tc>
          <w:tcPr>
            <w:tcW w:w="1985" w:type="dxa"/>
            <w:vAlign w:val="center"/>
          </w:tcPr>
          <w:p w14:paraId="009BD582" w14:textId="77777777" w:rsidR="008B5BA4" w:rsidRPr="007C1E37" w:rsidRDefault="008B5BA4" w:rsidP="001E519A">
            <w:pPr>
              <w:spacing w:before="60" w:after="60" w:line="240" w:lineRule="auto"/>
              <w:ind w:right="567"/>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7C1E37">
              <w:rPr>
                <w:rFonts w:cs="Arial"/>
                <w:sz w:val="20"/>
                <w:szCs w:val="20"/>
              </w:rPr>
              <w:t>15,103</w:t>
            </w:r>
          </w:p>
        </w:tc>
      </w:tr>
      <w:tr w:rsidR="008B5BA4" w:rsidRPr="007C1E37" w14:paraId="6FDFB328" w14:textId="77777777" w:rsidTr="001E519A">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703" w:type="dxa"/>
            <w:noWrap/>
            <w:vAlign w:val="center"/>
          </w:tcPr>
          <w:p w14:paraId="3086A433" w14:textId="77777777" w:rsidR="008B5BA4" w:rsidRPr="007C1E37" w:rsidRDefault="008B5BA4" w:rsidP="001E519A">
            <w:pPr>
              <w:spacing w:before="60" w:after="60" w:line="240" w:lineRule="auto"/>
              <w:rPr>
                <w:rFonts w:cs="Arial"/>
                <w:color w:val="000000"/>
                <w:sz w:val="20"/>
                <w:szCs w:val="20"/>
                <w:lang w:eastAsia="zh-CN" w:bidi="th-TH"/>
              </w:rPr>
            </w:pPr>
            <w:r w:rsidRPr="007C1E37">
              <w:rPr>
                <w:rFonts w:cs="Arial"/>
                <w:sz w:val="20"/>
                <w:szCs w:val="20"/>
              </w:rPr>
              <w:t>Behavioural Therapist</w:t>
            </w:r>
          </w:p>
        </w:tc>
        <w:tc>
          <w:tcPr>
            <w:tcW w:w="1985" w:type="dxa"/>
            <w:noWrap/>
            <w:vAlign w:val="center"/>
          </w:tcPr>
          <w:p w14:paraId="38560AE0" w14:textId="77777777" w:rsidR="008B5BA4" w:rsidRPr="007C1E37" w:rsidRDefault="008B5BA4" w:rsidP="001E519A">
            <w:pPr>
              <w:spacing w:before="60" w:after="60" w:line="240" w:lineRule="auto"/>
              <w:ind w:right="567"/>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7C1E37">
              <w:rPr>
                <w:rFonts w:cs="Arial"/>
                <w:sz w:val="20"/>
                <w:szCs w:val="20"/>
              </w:rPr>
              <w:t>$393.0</w:t>
            </w:r>
          </w:p>
        </w:tc>
        <w:tc>
          <w:tcPr>
            <w:tcW w:w="1985" w:type="dxa"/>
            <w:noWrap/>
            <w:vAlign w:val="center"/>
          </w:tcPr>
          <w:p w14:paraId="57EBFEC0" w14:textId="77777777" w:rsidR="008B5BA4" w:rsidRPr="003C1F19" w:rsidRDefault="008B5BA4" w:rsidP="001E519A">
            <w:pPr>
              <w:spacing w:before="60" w:after="60" w:line="240" w:lineRule="auto"/>
              <w:ind w:right="567"/>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3C1F19">
              <w:rPr>
                <w:rFonts w:cs="Arial"/>
                <w:sz w:val="20"/>
                <w:szCs w:val="20"/>
              </w:rPr>
              <w:t>62,649</w:t>
            </w:r>
          </w:p>
        </w:tc>
        <w:tc>
          <w:tcPr>
            <w:tcW w:w="1985" w:type="dxa"/>
            <w:vAlign w:val="center"/>
          </w:tcPr>
          <w:p w14:paraId="1399019E" w14:textId="77777777" w:rsidR="008B5BA4" w:rsidRPr="007C1E37" w:rsidRDefault="008B5BA4" w:rsidP="001E519A">
            <w:pPr>
              <w:spacing w:before="60" w:after="60" w:line="240" w:lineRule="auto"/>
              <w:ind w:right="567"/>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7C1E37">
              <w:rPr>
                <w:rFonts w:cs="Arial"/>
                <w:sz w:val="20"/>
                <w:szCs w:val="20"/>
              </w:rPr>
              <w:t>1,660</w:t>
            </w:r>
          </w:p>
        </w:tc>
      </w:tr>
      <w:tr w:rsidR="008B5BA4" w:rsidRPr="007C1E37" w14:paraId="2DA29801" w14:textId="77777777" w:rsidTr="001E519A">
        <w:trPr>
          <w:trHeight w:val="287"/>
        </w:trPr>
        <w:tc>
          <w:tcPr>
            <w:cnfStyle w:val="001000000000" w:firstRow="0" w:lastRow="0" w:firstColumn="1" w:lastColumn="0" w:oddVBand="0" w:evenVBand="0" w:oddHBand="0" w:evenHBand="0" w:firstRowFirstColumn="0" w:firstRowLastColumn="0" w:lastRowFirstColumn="0" w:lastRowLastColumn="0"/>
            <w:tcW w:w="2703" w:type="dxa"/>
            <w:noWrap/>
            <w:vAlign w:val="center"/>
          </w:tcPr>
          <w:p w14:paraId="73E8FE8A" w14:textId="77777777" w:rsidR="008B5BA4" w:rsidRPr="007C1E37" w:rsidRDefault="008B5BA4" w:rsidP="001E519A">
            <w:pPr>
              <w:spacing w:before="60" w:after="60" w:line="240" w:lineRule="auto"/>
              <w:rPr>
                <w:rFonts w:cs="Arial"/>
                <w:color w:val="000000"/>
                <w:sz w:val="20"/>
                <w:szCs w:val="20"/>
                <w:lang w:eastAsia="zh-CN" w:bidi="th-TH"/>
              </w:rPr>
            </w:pPr>
            <w:r w:rsidRPr="007C1E37">
              <w:rPr>
                <w:rFonts w:cs="Arial"/>
                <w:sz w:val="20"/>
                <w:szCs w:val="20"/>
              </w:rPr>
              <w:t>Speech Pathologist</w:t>
            </w:r>
          </w:p>
        </w:tc>
        <w:tc>
          <w:tcPr>
            <w:tcW w:w="1985" w:type="dxa"/>
            <w:noWrap/>
            <w:vAlign w:val="center"/>
          </w:tcPr>
          <w:p w14:paraId="4C79DB75" w14:textId="77777777" w:rsidR="008B5BA4" w:rsidRPr="007C1E37" w:rsidRDefault="008B5BA4" w:rsidP="001E519A">
            <w:pPr>
              <w:spacing w:before="60" w:after="60" w:line="240" w:lineRule="auto"/>
              <w:ind w:right="567"/>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zh-CN" w:bidi="th-TH"/>
              </w:rPr>
            </w:pPr>
            <w:r w:rsidRPr="007C1E37">
              <w:rPr>
                <w:rFonts w:cs="Arial"/>
                <w:sz w:val="20"/>
                <w:szCs w:val="20"/>
              </w:rPr>
              <w:t>$232.7</w:t>
            </w:r>
          </w:p>
        </w:tc>
        <w:tc>
          <w:tcPr>
            <w:tcW w:w="1985" w:type="dxa"/>
            <w:noWrap/>
            <w:vAlign w:val="center"/>
          </w:tcPr>
          <w:p w14:paraId="79E503EC" w14:textId="77777777" w:rsidR="008B5BA4" w:rsidRPr="003C1F19" w:rsidRDefault="008B5BA4" w:rsidP="001E519A">
            <w:pPr>
              <w:spacing w:before="60" w:after="60" w:line="240" w:lineRule="auto"/>
              <w:ind w:right="567"/>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3C1F19">
              <w:rPr>
                <w:rFonts w:cs="Arial"/>
                <w:sz w:val="20"/>
                <w:szCs w:val="20"/>
              </w:rPr>
              <w:t>121,124</w:t>
            </w:r>
          </w:p>
        </w:tc>
        <w:tc>
          <w:tcPr>
            <w:tcW w:w="1985" w:type="dxa"/>
            <w:vAlign w:val="center"/>
          </w:tcPr>
          <w:p w14:paraId="61D46E91" w14:textId="77777777" w:rsidR="008B5BA4" w:rsidRPr="007C1E37" w:rsidRDefault="008B5BA4" w:rsidP="001E519A">
            <w:pPr>
              <w:spacing w:before="60" w:after="60" w:line="240" w:lineRule="auto"/>
              <w:ind w:right="567"/>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7C1E37">
              <w:rPr>
                <w:rFonts w:cs="Arial"/>
                <w:sz w:val="20"/>
                <w:szCs w:val="20"/>
              </w:rPr>
              <w:t>5,815</w:t>
            </w:r>
          </w:p>
        </w:tc>
      </w:tr>
      <w:tr w:rsidR="008B5BA4" w:rsidRPr="007C1E37" w14:paraId="0C2E2C5F" w14:textId="77777777" w:rsidTr="001E519A">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703" w:type="dxa"/>
            <w:noWrap/>
            <w:vAlign w:val="center"/>
          </w:tcPr>
          <w:p w14:paraId="51AE2458" w14:textId="77777777" w:rsidR="008B5BA4" w:rsidRPr="007C1E37" w:rsidRDefault="008B5BA4" w:rsidP="001E519A">
            <w:pPr>
              <w:spacing w:before="60" w:after="60" w:line="240" w:lineRule="auto"/>
              <w:rPr>
                <w:rFonts w:cs="Arial"/>
                <w:color w:val="000000"/>
                <w:sz w:val="20"/>
                <w:szCs w:val="20"/>
                <w:lang w:eastAsia="zh-CN" w:bidi="th-TH"/>
              </w:rPr>
            </w:pPr>
            <w:r w:rsidRPr="007C1E37">
              <w:rPr>
                <w:rFonts w:cs="Arial"/>
                <w:sz w:val="20"/>
                <w:szCs w:val="20"/>
              </w:rPr>
              <w:t>Physiotherapist</w:t>
            </w:r>
          </w:p>
        </w:tc>
        <w:tc>
          <w:tcPr>
            <w:tcW w:w="1985" w:type="dxa"/>
            <w:noWrap/>
            <w:vAlign w:val="center"/>
          </w:tcPr>
          <w:p w14:paraId="20B536D6" w14:textId="77777777" w:rsidR="008B5BA4" w:rsidRPr="007C1E37" w:rsidRDefault="008B5BA4" w:rsidP="001E519A">
            <w:pPr>
              <w:spacing w:before="60" w:after="60" w:line="240" w:lineRule="auto"/>
              <w:ind w:right="567"/>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7C1E37">
              <w:rPr>
                <w:rFonts w:cs="Arial"/>
                <w:sz w:val="20"/>
                <w:szCs w:val="20"/>
              </w:rPr>
              <w:t>$222.7</w:t>
            </w:r>
          </w:p>
        </w:tc>
        <w:tc>
          <w:tcPr>
            <w:tcW w:w="1985" w:type="dxa"/>
            <w:noWrap/>
            <w:vAlign w:val="center"/>
          </w:tcPr>
          <w:p w14:paraId="630574AD" w14:textId="77777777" w:rsidR="008B5BA4" w:rsidRPr="003C1F19" w:rsidRDefault="008B5BA4" w:rsidP="001E519A">
            <w:pPr>
              <w:spacing w:before="60" w:after="60" w:line="240" w:lineRule="auto"/>
              <w:ind w:right="567"/>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3C1F19">
              <w:rPr>
                <w:rFonts w:cs="Arial"/>
                <w:sz w:val="20"/>
                <w:szCs w:val="20"/>
              </w:rPr>
              <w:t>99,208</w:t>
            </w:r>
          </w:p>
        </w:tc>
        <w:tc>
          <w:tcPr>
            <w:tcW w:w="1985" w:type="dxa"/>
            <w:vAlign w:val="center"/>
          </w:tcPr>
          <w:p w14:paraId="6359EEE1" w14:textId="77777777" w:rsidR="008B5BA4" w:rsidRPr="007C1E37" w:rsidRDefault="008B5BA4" w:rsidP="001E519A">
            <w:pPr>
              <w:spacing w:before="60" w:after="60" w:line="240" w:lineRule="auto"/>
              <w:ind w:right="567"/>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7C1E37">
              <w:rPr>
                <w:rFonts w:cs="Arial"/>
                <w:sz w:val="20"/>
                <w:szCs w:val="20"/>
              </w:rPr>
              <w:t>10,087</w:t>
            </w:r>
          </w:p>
        </w:tc>
      </w:tr>
      <w:tr w:rsidR="008B5BA4" w:rsidRPr="007C1E37" w14:paraId="0846DBF5" w14:textId="77777777" w:rsidTr="001E519A">
        <w:trPr>
          <w:trHeight w:val="287"/>
        </w:trPr>
        <w:tc>
          <w:tcPr>
            <w:cnfStyle w:val="001000000000" w:firstRow="0" w:lastRow="0" w:firstColumn="1" w:lastColumn="0" w:oddVBand="0" w:evenVBand="0" w:oddHBand="0" w:evenHBand="0" w:firstRowFirstColumn="0" w:firstRowLastColumn="0" w:lastRowFirstColumn="0" w:lastRowLastColumn="0"/>
            <w:tcW w:w="2703" w:type="dxa"/>
            <w:noWrap/>
            <w:vAlign w:val="center"/>
          </w:tcPr>
          <w:p w14:paraId="6268EAF0" w14:textId="77777777" w:rsidR="008B5BA4" w:rsidRPr="007C1E37" w:rsidRDefault="008B5BA4" w:rsidP="001E519A">
            <w:pPr>
              <w:spacing w:before="60" w:after="60" w:line="240" w:lineRule="auto"/>
              <w:rPr>
                <w:rFonts w:cs="Arial"/>
                <w:color w:val="000000"/>
                <w:sz w:val="20"/>
                <w:szCs w:val="20"/>
                <w:lang w:eastAsia="zh-CN" w:bidi="th-TH"/>
              </w:rPr>
            </w:pPr>
            <w:r w:rsidRPr="007C1E37">
              <w:rPr>
                <w:rFonts w:cs="Arial"/>
                <w:sz w:val="20"/>
                <w:szCs w:val="20"/>
              </w:rPr>
              <w:t>Psychologist</w:t>
            </w:r>
          </w:p>
        </w:tc>
        <w:tc>
          <w:tcPr>
            <w:tcW w:w="1985" w:type="dxa"/>
            <w:noWrap/>
            <w:vAlign w:val="center"/>
          </w:tcPr>
          <w:p w14:paraId="6E09DC64" w14:textId="77777777" w:rsidR="008B5BA4" w:rsidRPr="007C1E37" w:rsidRDefault="008B5BA4" w:rsidP="001E519A">
            <w:pPr>
              <w:spacing w:before="60" w:after="60" w:line="240" w:lineRule="auto"/>
              <w:ind w:right="567"/>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zh-CN" w:bidi="th-TH"/>
              </w:rPr>
            </w:pPr>
            <w:r w:rsidRPr="007C1E37">
              <w:rPr>
                <w:rFonts w:cs="Arial"/>
                <w:sz w:val="20"/>
                <w:szCs w:val="20"/>
              </w:rPr>
              <w:t>$193.6</w:t>
            </w:r>
          </w:p>
        </w:tc>
        <w:tc>
          <w:tcPr>
            <w:tcW w:w="1985" w:type="dxa"/>
            <w:noWrap/>
            <w:vAlign w:val="center"/>
          </w:tcPr>
          <w:p w14:paraId="0B58D50D" w14:textId="77777777" w:rsidR="008B5BA4" w:rsidRPr="003C1F19" w:rsidRDefault="008B5BA4" w:rsidP="001E519A">
            <w:pPr>
              <w:spacing w:before="60" w:after="60" w:line="240" w:lineRule="auto"/>
              <w:ind w:right="567"/>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zh-CN" w:bidi="th-TH"/>
              </w:rPr>
            </w:pPr>
            <w:r w:rsidRPr="003C1F19">
              <w:rPr>
                <w:rFonts w:cs="Arial"/>
                <w:sz w:val="20"/>
                <w:szCs w:val="20"/>
              </w:rPr>
              <w:t>105,852</w:t>
            </w:r>
          </w:p>
        </w:tc>
        <w:tc>
          <w:tcPr>
            <w:tcW w:w="1985" w:type="dxa"/>
            <w:vAlign w:val="center"/>
          </w:tcPr>
          <w:p w14:paraId="69F21CC7" w14:textId="77777777" w:rsidR="008B5BA4" w:rsidRPr="007C1E37" w:rsidRDefault="008B5BA4" w:rsidP="001E519A">
            <w:pPr>
              <w:spacing w:before="60" w:after="60" w:line="240" w:lineRule="auto"/>
              <w:ind w:right="567"/>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7C1E37">
              <w:rPr>
                <w:rFonts w:cs="Arial"/>
                <w:sz w:val="20"/>
                <w:szCs w:val="20"/>
              </w:rPr>
              <w:t>13,298</w:t>
            </w:r>
          </w:p>
        </w:tc>
      </w:tr>
      <w:tr w:rsidR="008B5BA4" w:rsidRPr="007C1E37" w14:paraId="032658B7" w14:textId="77777777" w:rsidTr="001E519A">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703" w:type="dxa"/>
            <w:noWrap/>
            <w:vAlign w:val="center"/>
          </w:tcPr>
          <w:p w14:paraId="2170FB6E" w14:textId="77777777" w:rsidR="008B5BA4" w:rsidRPr="007C1E37" w:rsidRDefault="008B5BA4" w:rsidP="001E519A">
            <w:pPr>
              <w:spacing w:before="60" w:after="60" w:line="240" w:lineRule="auto"/>
              <w:rPr>
                <w:rFonts w:cs="Arial"/>
                <w:color w:val="000000"/>
                <w:sz w:val="20"/>
                <w:szCs w:val="20"/>
                <w:lang w:eastAsia="zh-CN" w:bidi="th-TH"/>
              </w:rPr>
            </w:pPr>
            <w:r w:rsidRPr="007C1E37">
              <w:rPr>
                <w:rFonts w:cs="Arial"/>
                <w:sz w:val="20"/>
                <w:szCs w:val="20"/>
              </w:rPr>
              <w:t>Other Professional</w:t>
            </w:r>
          </w:p>
        </w:tc>
        <w:tc>
          <w:tcPr>
            <w:tcW w:w="1985" w:type="dxa"/>
            <w:noWrap/>
            <w:vAlign w:val="center"/>
          </w:tcPr>
          <w:p w14:paraId="066A71FF" w14:textId="77777777" w:rsidR="008B5BA4" w:rsidRPr="007C1E37" w:rsidRDefault="008B5BA4" w:rsidP="001E519A">
            <w:pPr>
              <w:spacing w:before="60" w:after="60" w:line="240" w:lineRule="auto"/>
              <w:ind w:right="567"/>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7C1E37">
              <w:rPr>
                <w:rFonts w:cs="Arial"/>
                <w:sz w:val="20"/>
                <w:szCs w:val="20"/>
              </w:rPr>
              <w:t>$130.6</w:t>
            </w:r>
          </w:p>
        </w:tc>
        <w:tc>
          <w:tcPr>
            <w:tcW w:w="1985" w:type="dxa"/>
            <w:noWrap/>
            <w:vAlign w:val="center"/>
          </w:tcPr>
          <w:p w14:paraId="3CA3FE9B" w14:textId="77777777" w:rsidR="008B5BA4" w:rsidRPr="003C1F19" w:rsidRDefault="008B5BA4" w:rsidP="001E519A">
            <w:pPr>
              <w:spacing w:before="60" w:after="60" w:line="240" w:lineRule="auto"/>
              <w:ind w:right="567"/>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3C1F19">
              <w:rPr>
                <w:rFonts w:cs="Arial"/>
                <w:sz w:val="20"/>
                <w:szCs w:val="20"/>
              </w:rPr>
              <w:t>84,647</w:t>
            </w:r>
          </w:p>
        </w:tc>
        <w:tc>
          <w:tcPr>
            <w:tcW w:w="1985" w:type="dxa"/>
            <w:vAlign w:val="center"/>
          </w:tcPr>
          <w:p w14:paraId="7A6B5845" w14:textId="77777777" w:rsidR="008B5BA4" w:rsidRPr="007C1E37" w:rsidRDefault="008B5BA4" w:rsidP="001E519A">
            <w:pPr>
              <w:spacing w:before="60" w:after="60" w:line="240" w:lineRule="auto"/>
              <w:ind w:right="567"/>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7C1E37">
              <w:rPr>
                <w:rFonts w:cs="Arial"/>
                <w:sz w:val="20"/>
                <w:szCs w:val="20"/>
              </w:rPr>
              <w:t>20,681</w:t>
            </w:r>
          </w:p>
        </w:tc>
      </w:tr>
      <w:tr w:rsidR="008B5BA4" w:rsidRPr="007C1E37" w14:paraId="259D2FF1" w14:textId="77777777" w:rsidTr="001E519A">
        <w:trPr>
          <w:trHeight w:val="287"/>
        </w:trPr>
        <w:tc>
          <w:tcPr>
            <w:cnfStyle w:val="001000000000" w:firstRow="0" w:lastRow="0" w:firstColumn="1" w:lastColumn="0" w:oddVBand="0" w:evenVBand="0" w:oddHBand="0" w:evenHBand="0" w:firstRowFirstColumn="0" w:firstRowLastColumn="0" w:lastRowFirstColumn="0" w:lastRowLastColumn="0"/>
            <w:tcW w:w="2703" w:type="dxa"/>
            <w:noWrap/>
            <w:vAlign w:val="center"/>
          </w:tcPr>
          <w:p w14:paraId="71260B84" w14:textId="77777777" w:rsidR="008B5BA4" w:rsidRPr="007C1E37" w:rsidRDefault="008B5BA4" w:rsidP="001E519A">
            <w:pPr>
              <w:spacing w:before="60" w:after="60" w:line="240" w:lineRule="auto"/>
              <w:rPr>
                <w:rFonts w:cs="Arial"/>
                <w:color w:val="000000"/>
                <w:sz w:val="20"/>
                <w:szCs w:val="20"/>
                <w:lang w:eastAsia="zh-CN" w:bidi="th-TH"/>
              </w:rPr>
            </w:pPr>
            <w:r w:rsidRPr="007C1E37">
              <w:rPr>
                <w:rFonts w:cs="Arial"/>
                <w:sz w:val="20"/>
                <w:szCs w:val="20"/>
              </w:rPr>
              <w:t>Exercise Physiologist</w:t>
            </w:r>
          </w:p>
        </w:tc>
        <w:tc>
          <w:tcPr>
            <w:tcW w:w="1985" w:type="dxa"/>
            <w:noWrap/>
            <w:vAlign w:val="center"/>
          </w:tcPr>
          <w:p w14:paraId="5B94B925" w14:textId="77777777" w:rsidR="008B5BA4" w:rsidRPr="007C1E37" w:rsidRDefault="008B5BA4" w:rsidP="001E519A">
            <w:pPr>
              <w:spacing w:before="60" w:after="60" w:line="240" w:lineRule="auto"/>
              <w:ind w:right="567"/>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zh-CN" w:bidi="th-TH"/>
              </w:rPr>
            </w:pPr>
            <w:r w:rsidRPr="007C1E37">
              <w:rPr>
                <w:rFonts w:cs="Arial"/>
                <w:sz w:val="20"/>
                <w:szCs w:val="20"/>
              </w:rPr>
              <w:t>$84.5</w:t>
            </w:r>
          </w:p>
        </w:tc>
        <w:tc>
          <w:tcPr>
            <w:tcW w:w="1985" w:type="dxa"/>
            <w:noWrap/>
            <w:vAlign w:val="center"/>
          </w:tcPr>
          <w:p w14:paraId="738FAA76" w14:textId="77777777" w:rsidR="008B5BA4" w:rsidRPr="003C1F19" w:rsidRDefault="008B5BA4" w:rsidP="001E519A">
            <w:pPr>
              <w:spacing w:before="60" w:after="60" w:line="240" w:lineRule="auto"/>
              <w:ind w:right="567"/>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zh-CN" w:bidi="th-TH"/>
              </w:rPr>
            </w:pPr>
            <w:r w:rsidRPr="003C1F19">
              <w:rPr>
                <w:rFonts w:cs="Arial"/>
                <w:sz w:val="20"/>
                <w:szCs w:val="20"/>
              </w:rPr>
              <w:t>43,503</w:t>
            </w:r>
          </w:p>
        </w:tc>
        <w:tc>
          <w:tcPr>
            <w:tcW w:w="1985" w:type="dxa"/>
            <w:vAlign w:val="center"/>
          </w:tcPr>
          <w:p w14:paraId="698B71E4" w14:textId="77777777" w:rsidR="008B5BA4" w:rsidRPr="007C1E37" w:rsidRDefault="008B5BA4" w:rsidP="001E519A">
            <w:pPr>
              <w:spacing w:before="60" w:after="60" w:line="240" w:lineRule="auto"/>
              <w:ind w:right="567"/>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7C1E37">
              <w:rPr>
                <w:rFonts w:cs="Arial"/>
                <w:sz w:val="20"/>
                <w:szCs w:val="20"/>
              </w:rPr>
              <w:t>4,554</w:t>
            </w:r>
          </w:p>
        </w:tc>
      </w:tr>
      <w:tr w:rsidR="008B5BA4" w:rsidRPr="007C1E37" w14:paraId="375A7A84" w14:textId="77777777" w:rsidTr="001E519A">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703" w:type="dxa"/>
            <w:noWrap/>
            <w:vAlign w:val="center"/>
          </w:tcPr>
          <w:p w14:paraId="1A44EA8C" w14:textId="77777777" w:rsidR="008B5BA4" w:rsidRPr="007C1E37" w:rsidRDefault="008B5BA4" w:rsidP="001E519A">
            <w:pPr>
              <w:spacing w:before="60" w:after="60" w:line="240" w:lineRule="auto"/>
              <w:rPr>
                <w:rFonts w:cs="Arial"/>
                <w:color w:val="000000"/>
                <w:sz w:val="20"/>
                <w:szCs w:val="20"/>
                <w:lang w:eastAsia="zh-CN" w:bidi="th-TH"/>
              </w:rPr>
            </w:pPr>
            <w:r w:rsidRPr="007C1E37">
              <w:rPr>
                <w:rFonts w:cs="Arial"/>
                <w:sz w:val="20"/>
                <w:szCs w:val="20"/>
              </w:rPr>
              <w:t>Therapy Assistant</w:t>
            </w:r>
          </w:p>
        </w:tc>
        <w:tc>
          <w:tcPr>
            <w:tcW w:w="1985" w:type="dxa"/>
            <w:noWrap/>
            <w:vAlign w:val="center"/>
          </w:tcPr>
          <w:p w14:paraId="60E6C6F6" w14:textId="77777777" w:rsidR="008B5BA4" w:rsidRPr="007C1E37" w:rsidRDefault="008B5BA4" w:rsidP="001E519A">
            <w:pPr>
              <w:spacing w:before="60" w:after="60" w:line="240" w:lineRule="auto"/>
              <w:ind w:right="567"/>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7C1E37">
              <w:rPr>
                <w:rFonts w:cs="Arial"/>
                <w:sz w:val="20"/>
                <w:szCs w:val="20"/>
              </w:rPr>
              <w:t>$45.2</w:t>
            </w:r>
          </w:p>
        </w:tc>
        <w:tc>
          <w:tcPr>
            <w:tcW w:w="1985" w:type="dxa"/>
            <w:noWrap/>
            <w:vAlign w:val="center"/>
          </w:tcPr>
          <w:p w14:paraId="106BBDDC" w14:textId="77777777" w:rsidR="008B5BA4" w:rsidRPr="003C1F19" w:rsidRDefault="008B5BA4" w:rsidP="001E519A">
            <w:pPr>
              <w:spacing w:before="60" w:after="60" w:line="240" w:lineRule="auto"/>
              <w:ind w:right="567"/>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3C1F19">
              <w:rPr>
                <w:rFonts w:cs="Arial"/>
                <w:sz w:val="20"/>
                <w:szCs w:val="20"/>
              </w:rPr>
              <w:t>43,032</w:t>
            </w:r>
          </w:p>
        </w:tc>
        <w:tc>
          <w:tcPr>
            <w:tcW w:w="1985" w:type="dxa"/>
            <w:vAlign w:val="center"/>
          </w:tcPr>
          <w:p w14:paraId="105F6961" w14:textId="77777777" w:rsidR="008B5BA4" w:rsidRPr="007C1E37" w:rsidRDefault="008B5BA4" w:rsidP="001E519A">
            <w:pPr>
              <w:spacing w:before="60" w:after="60" w:line="240" w:lineRule="auto"/>
              <w:ind w:right="567"/>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7C1E37">
              <w:rPr>
                <w:rFonts w:cs="Arial"/>
                <w:sz w:val="20"/>
                <w:szCs w:val="20"/>
              </w:rPr>
              <w:t>4,267</w:t>
            </w:r>
          </w:p>
        </w:tc>
      </w:tr>
      <w:tr w:rsidR="008B5BA4" w:rsidRPr="007C1E37" w14:paraId="79655174" w14:textId="77777777" w:rsidTr="001E519A">
        <w:trPr>
          <w:trHeight w:val="287"/>
        </w:trPr>
        <w:tc>
          <w:tcPr>
            <w:cnfStyle w:val="001000000000" w:firstRow="0" w:lastRow="0" w:firstColumn="1" w:lastColumn="0" w:oddVBand="0" w:evenVBand="0" w:oddHBand="0" w:evenHBand="0" w:firstRowFirstColumn="0" w:firstRowLastColumn="0" w:lastRowFirstColumn="0" w:lastRowLastColumn="0"/>
            <w:tcW w:w="2703" w:type="dxa"/>
            <w:noWrap/>
            <w:vAlign w:val="center"/>
          </w:tcPr>
          <w:p w14:paraId="251AF059" w14:textId="77777777" w:rsidR="008B5BA4" w:rsidRPr="007C1E37" w:rsidRDefault="008B5BA4" w:rsidP="001E519A">
            <w:pPr>
              <w:spacing w:before="60" w:after="60" w:line="240" w:lineRule="auto"/>
              <w:rPr>
                <w:rFonts w:cs="Arial"/>
                <w:color w:val="000000"/>
                <w:sz w:val="20"/>
                <w:szCs w:val="20"/>
                <w:lang w:eastAsia="zh-CN" w:bidi="th-TH"/>
              </w:rPr>
            </w:pPr>
            <w:r w:rsidRPr="007C1E37">
              <w:rPr>
                <w:rFonts w:cs="Arial"/>
                <w:sz w:val="20"/>
                <w:szCs w:val="20"/>
              </w:rPr>
              <w:t>Social Worker</w:t>
            </w:r>
          </w:p>
        </w:tc>
        <w:tc>
          <w:tcPr>
            <w:tcW w:w="1985" w:type="dxa"/>
            <w:noWrap/>
            <w:vAlign w:val="center"/>
          </w:tcPr>
          <w:p w14:paraId="15834A5F" w14:textId="77777777" w:rsidR="008B5BA4" w:rsidRPr="007C1E37" w:rsidRDefault="008B5BA4" w:rsidP="001E519A">
            <w:pPr>
              <w:spacing w:before="60" w:after="60" w:line="240" w:lineRule="auto"/>
              <w:ind w:right="567"/>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zh-CN" w:bidi="th-TH"/>
              </w:rPr>
            </w:pPr>
            <w:r w:rsidRPr="007C1E37">
              <w:rPr>
                <w:rFonts w:cs="Arial"/>
                <w:sz w:val="20"/>
                <w:szCs w:val="20"/>
              </w:rPr>
              <w:t>$27.7</w:t>
            </w:r>
          </w:p>
        </w:tc>
        <w:tc>
          <w:tcPr>
            <w:tcW w:w="1985" w:type="dxa"/>
            <w:noWrap/>
            <w:vAlign w:val="center"/>
          </w:tcPr>
          <w:p w14:paraId="68C8CF4A" w14:textId="77777777" w:rsidR="008B5BA4" w:rsidRPr="003C1F19" w:rsidRDefault="008B5BA4" w:rsidP="001E519A">
            <w:pPr>
              <w:spacing w:before="60" w:after="60" w:line="240" w:lineRule="auto"/>
              <w:ind w:right="567"/>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zh-CN" w:bidi="th-TH"/>
              </w:rPr>
            </w:pPr>
            <w:r w:rsidRPr="003C1F19">
              <w:rPr>
                <w:rFonts w:cs="Arial"/>
                <w:sz w:val="20"/>
                <w:szCs w:val="20"/>
              </w:rPr>
              <w:t>16,181</w:t>
            </w:r>
          </w:p>
        </w:tc>
        <w:tc>
          <w:tcPr>
            <w:tcW w:w="1985" w:type="dxa"/>
            <w:vAlign w:val="center"/>
          </w:tcPr>
          <w:p w14:paraId="7AC52D3C" w14:textId="77777777" w:rsidR="008B5BA4" w:rsidRPr="007C1E37" w:rsidRDefault="008B5BA4" w:rsidP="001E519A">
            <w:pPr>
              <w:spacing w:before="60" w:after="60" w:line="240" w:lineRule="auto"/>
              <w:ind w:right="567"/>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7C1E37">
              <w:rPr>
                <w:rFonts w:cs="Arial"/>
                <w:sz w:val="20"/>
                <w:szCs w:val="20"/>
              </w:rPr>
              <w:t>2,464</w:t>
            </w:r>
          </w:p>
        </w:tc>
      </w:tr>
      <w:tr w:rsidR="008B5BA4" w:rsidRPr="007C1E37" w14:paraId="6A6F5EDD" w14:textId="77777777" w:rsidTr="001E519A">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703" w:type="dxa"/>
            <w:noWrap/>
            <w:vAlign w:val="center"/>
          </w:tcPr>
          <w:p w14:paraId="3EF2B651" w14:textId="77777777" w:rsidR="008B5BA4" w:rsidRPr="007C1E37" w:rsidRDefault="008B5BA4" w:rsidP="001E519A">
            <w:pPr>
              <w:spacing w:before="60" w:after="60" w:line="240" w:lineRule="auto"/>
              <w:rPr>
                <w:rFonts w:cs="Arial"/>
                <w:color w:val="000000"/>
                <w:sz w:val="20"/>
                <w:szCs w:val="20"/>
                <w:lang w:eastAsia="zh-CN" w:bidi="th-TH"/>
              </w:rPr>
            </w:pPr>
            <w:r w:rsidRPr="007C1E37">
              <w:rPr>
                <w:rFonts w:cs="Arial"/>
                <w:sz w:val="20"/>
                <w:szCs w:val="20"/>
              </w:rPr>
              <w:t>Counsellor</w:t>
            </w:r>
          </w:p>
        </w:tc>
        <w:tc>
          <w:tcPr>
            <w:tcW w:w="1985" w:type="dxa"/>
            <w:noWrap/>
            <w:vAlign w:val="center"/>
          </w:tcPr>
          <w:p w14:paraId="00491FEA" w14:textId="77777777" w:rsidR="008B5BA4" w:rsidRPr="007C1E37" w:rsidRDefault="008B5BA4" w:rsidP="001E519A">
            <w:pPr>
              <w:spacing w:before="60" w:after="60" w:line="240" w:lineRule="auto"/>
              <w:ind w:right="567"/>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7C1E37">
              <w:rPr>
                <w:rFonts w:cs="Arial"/>
                <w:sz w:val="20"/>
                <w:szCs w:val="20"/>
              </w:rPr>
              <w:t>$27.5</w:t>
            </w:r>
          </w:p>
        </w:tc>
        <w:tc>
          <w:tcPr>
            <w:tcW w:w="1985" w:type="dxa"/>
            <w:noWrap/>
            <w:vAlign w:val="center"/>
          </w:tcPr>
          <w:p w14:paraId="105A095C" w14:textId="77777777" w:rsidR="008B5BA4" w:rsidRPr="003C1F19" w:rsidRDefault="008B5BA4" w:rsidP="001E519A">
            <w:pPr>
              <w:spacing w:before="60" w:after="60" w:line="240" w:lineRule="auto"/>
              <w:ind w:right="567"/>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3C1F19">
              <w:rPr>
                <w:rFonts w:cs="Arial"/>
                <w:sz w:val="20"/>
                <w:szCs w:val="20"/>
              </w:rPr>
              <w:t>20,393</w:t>
            </w:r>
          </w:p>
        </w:tc>
        <w:tc>
          <w:tcPr>
            <w:tcW w:w="1985" w:type="dxa"/>
            <w:vAlign w:val="center"/>
          </w:tcPr>
          <w:p w14:paraId="6925CE7C" w14:textId="77777777" w:rsidR="008B5BA4" w:rsidRPr="007C1E37" w:rsidRDefault="008B5BA4" w:rsidP="001E519A">
            <w:pPr>
              <w:spacing w:before="60" w:after="60" w:line="240" w:lineRule="auto"/>
              <w:ind w:right="567"/>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7C1E37">
              <w:rPr>
                <w:rFonts w:cs="Arial"/>
                <w:sz w:val="20"/>
                <w:szCs w:val="20"/>
              </w:rPr>
              <w:t>4,428</w:t>
            </w:r>
          </w:p>
        </w:tc>
      </w:tr>
      <w:tr w:rsidR="008B5BA4" w:rsidRPr="007C1E37" w14:paraId="246AC4CF" w14:textId="77777777" w:rsidTr="001E519A">
        <w:trPr>
          <w:trHeight w:val="287"/>
        </w:trPr>
        <w:tc>
          <w:tcPr>
            <w:cnfStyle w:val="001000000000" w:firstRow="0" w:lastRow="0" w:firstColumn="1" w:lastColumn="0" w:oddVBand="0" w:evenVBand="0" w:oddHBand="0" w:evenHBand="0" w:firstRowFirstColumn="0" w:firstRowLastColumn="0" w:lastRowFirstColumn="0" w:lastRowLastColumn="0"/>
            <w:tcW w:w="2703" w:type="dxa"/>
            <w:noWrap/>
            <w:vAlign w:val="center"/>
          </w:tcPr>
          <w:p w14:paraId="4D974550" w14:textId="77777777" w:rsidR="008B5BA4" w:rsidRPr="007C1E37" w:rsidRDefault="008B5BA4" w:rsidP="001E519A">
            <w:pPr>
              <w:spacing w:before="60" w:after="60" w:line="240" w:lineRule="auto"/>
              <w:rPr>
                <w:rFonts w:cs="Arial"/>
                <w:color w:val="000000"/>
                <w:sz w:val="20"/>
                <w:szCs w:val="20"/>
                <w:lang w:eastAsia="zh-CN" w:bidi="th-TH"/>
              </w:rPr>
            </w:pPr>
            <w:r w:rsidRPr="007C1E37">
              <w:rPr>
                <w:rFonts w:cs="Arial"/>
                <w:sz w:val="20"/>
                <w:szCs w:val="20"/>
              </w:rPr>
              <w:t>Dietitian</w:t>
            </w:r>
          </w:p>
        </w:tc>
        <w:tc>
          <w:tcPr>
            <w:tcW w:w="1985" w:type="dxa"/>
            <w:noWrap/>
            <w:vAlign w:val="center"/>
          </w:tcPr>
          <w:p w14:paraId="3F4ADFA9" w14:textId="77777777" w:rsidR="008B5BA4" w:rsidRPr="007C1E37" w:rsidRDefault="008B5BA4" w:rsidP="001E519A">
            <w:pPr>
              <w:spacing w:before="60" w:after="60" w:line="240" w:lineRule="auto"/>
              <w:ind w:right="567"/>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zh-CN" w:bidi="th-TH"/>
              </w:rPr>
            </w:pPr>
            <w:r w:rsidRPr="007C1E37">
              <w:rPr>
                <w:rFonts w:cs="Arial"/>
                <w:sz w:val="20"/>
                <w:szCs w:val="20"/>
              </w:rPr>
              <w:t>$22.9</w:t>
            </w:r>
          </w:p>
        </w:tc>
        <w:tc>
          <w:tcPr>
            <w:tcW w:w="1985" w:type="dxa"/>
            <w:noWrap/>
            <w:vAlign w:val="center"/>
          </w:tcPr>
          <w:p w14:paraId="367328D1" w14:textId="77777777" w:rsidR="008B5BA4" w:rsidRPr="003C1F19" w:rsidRDefault="008B5BA4" w:rsidP="001E519A">
            <w:pPr>
              <w:spacing w:before="60" w:after="60" w:line="240" w:lineRule="auto"/>
              <w:ind w:right="567"/>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zh-CN" w:bidi="th-TH"/>
              </w:rPr>
            </w:pPr>
            <w:r w:rsidRPr="003C1F19">
              <w:rPr>
                <w:rFonts w:cs="Arial"/>
                <w:sz w:val="20"/>
                <w:szCs w:val="20"/>
              </w:rPr>
              <w:t>25,462</w:t>
            </w:r>
          </w:p>
        </w:tc>
        <w:tc>
          <w:tcPr>
            <w:tcW w:w="1985" w:type="dxa"/>
            <w:vAlign w:val="center"/>
          </w:tcPr>
          <w:p w14:paraId="7AF1AC45" w14:textId="77777777" w:rsidR="008B5BA4" w:rsidRPr="007C1E37" w:rsidRDefault="008B5BA4" w:rsidP="001E519A">
            <w:pPr>
              <w:spacing w:before="60" w:after="60" w:line="240" w:lineRule="auto"/>
              <w:ind w:right="567"/>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7C1E37">
              <w:rPr>
                <w:rFonts w:cs="Arial"/>
                <w:sz w:val="20"/>
                <w:szCs w:val="20"/>
              </w:rPr>
              <w:t>2,116</w:t>
            </w:r>
          </w:p>
        </w:tc>
      </w:tr>
      <w:tr w:rsidR="008B5BA4" w:rsidRPr="007C1E37" w14:paraId="1D7775AE" w14:textId="77777777" w:rsidTr="001E519A">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703" w:type="dxa"/>
            <w:noWrap/>
            <w:vAlign w:val="center"/>
          </w:tcPr>
          <w:p w14:paraId="2F0D08D9" w14:textId="77777777" w:rsidR="008B5BA4" w:rsidRPr="007C1E37" w:rsidRDefault="008B5BA4" w:rsidP="001E519A">
            <w:pPr>
              <w:spacing w:before="60" w:after="60" w:line="240" w:lineRule="auto"/>
              <w:rPr>
                <w:rFonts w:cs="Arial"/>
                <w:color w:val="000000"/>
                <w:sz w:val="20"/>
                <w:szCs w:val="20"/>
                <w:lang w:eastAsia="zh-CN" w:bidi="th-TH"/>
              </w:rPr>
            </w:pPr>
            <w:r w:rsidRPr="007C1E37">
              <w:rPr>
                <w:rFonts w:cs="Arial"/>
                <w:sz w:val="20"/>
                <w:szCs w:val="20"/>
              </w:rPr>
              <w:t>Podiatrist</w:t>
            </w:r>
          </w:p>
        </w:tc>
        <w:tc>
          <w:tcPr>
            <w:tcW w:w="1985" w:type="dxa"/>
            <w:noWrap/>
            <w:vAlign w:val="center"/>
          </w:tcPr>
          <w:p w14:paraId="221949E5" w14:textId="77777777" w:rsidR="008B5BA4" w:rsidRPr="007C1E37" w:rsidRDefault="008B5BA4" w:rsidP="001E519A">
            <w:pPr>
              <w:spacing w:before="60" w:after="60" w:line="240" w:lineRule="auto"/>
              <w:ind w:right="567"/>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7C1E37">
              <w:rPr>
                <w:rFonts w:cs="Arial"/>
                <w:sz w:val="20"/>
                <w:szCs w:val="20"/>
              </w:rPr>
              <w:t>$13.0</w:t>
            </w:r>
          </w:p>
        </w:tc>
        <w:tc>
          <w:tcPr>
            <w:tcW w:w="1985" w:type="dxa"/>
            <w:noWrap/>
            <w:vAlign w:val="center"/>
          </w:tcPr>
          <w:p w14:paraId="3F34A098" w14:textId="77777777" w:rsidR="008B5BA4" w:rsidRPr="003C1F19" w:rsidRDefault="008B5BA4" w:rsidP="001E519A">
            <w:pPr>
              <w:spacing w:before="60" w:after="60" w:line="240" w:lineRule="auto"/>
              <w:ind w:right="567"/>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3C1F19">
              <w:rPr>
                <w:rFonts w:cs="Arial"/>
                <w:sz w:val="20"/>
                <w:szCs w:val="20"/>
              </w:rPr>
              <w:t>32,545</w:t>
            </w:r>
          </w:p>
        </w:tc>
        <w:tc>
          <w:tcPr>
            <w:tcW w:w="1985" w:type="dxa"/>
            <w:vAlign w:val="center"/>
          </w:tcPr>
          <w:p w14:paraId="6101CF38" w14:textId="77777777" w:rsidR="008B5BA4" w:rsidRPr="007C1E37" w:rsidRDefault="008B5BA4" w:rsidP="001E519A">
            <w:pPr>
              <w:spacing w:before="60" w:after="60" w:line="240" w:lineRule="auto"/>
              <w:ind w:right="567"/>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7C1E37">
              <w:rPr>
                <w:rFonts w:cs="Arial"/>
                <w:sz w:val="20"/>
                <w:szCs w:val="20"/>
              </w:rPr>
              <w:t>2,833</w:t>
            </w:r>
          </w:p>
        </w:tc>
      </w:tr>
      <w:tr w:rsidR="008B5BA4" w:rsidRPr="007C1E37" w14:paraId="30F7EFFB" w14:textId="77777777" w:rsidTr="001E519A">
        <w:trPr>
          <w:trHeight w:val="287"/>
        </w:trPr>
        <w:tc>
          <w:tcPr>
            <w:cnfStyle w:val="001000000000" w:firstRow="0" w:lastRow="0" w:firstColumn="1" w:lastColumn="0" w:oddVBand="0" w:evenVBand="0" w:oddHBand="0" w:evenHBand="0" w:firstRowFirstColumn="0" w:firstRowLastColumn="0" w:lastRowFirstColumn="0" w:lastRowLastColumn="0"/>
            <w:tcW w:w="2703" w:type="dxa"/>
            <w:noWrap/>
            <w:vAlign w:val="center"/>
          </w:tcPr>
          <w:p w14:paraId="0AEA61FD" w14:textId="77777777" w:rsidR="008B5BA4" w:rsidRPr="007C1E37" w:rsidRDefault="008B5BA4" w:rsidP="001E519A">
            <w:pPr>
              <w:spacing w:before="60" w:after="60" w:line="240" w:lineRule="auto"/>
              <w:rPr>
                <w:rFonts w:cs="Arial"/>
                <w:color w:val="000000"/>
                <w:sz w:val="20"/>
                <w:szCs w:val="20"/>
                <w:lang w:eastAsia="zh-CN" w:bidi="th-TH"/>
              </w:rPr>
            </w:pPr>
            <w:r w:rsidRPr="007C1E37">
              <w:rPr>
                <w:rFonts w:cs="Arial"/>
                <w:sz w:val="20"/>
                <w:szCs w:val="20"/>
              </w:rPr>
              <w:t>Music Therapist</w:t>
            </w:r>
          </w:p>
        </w:tc>
        <w:tc>
          <w:tcPr>
            <w:tcW w:w="1985" w:type="dxa"/>
            <w:noWrap/>
            <w:vAlign w:val="center"/>
          </w:tcPr>
          <w:p w14:paraId="5CBDEF37" w14:textId="77777777" w:rsidR="008B5BA4" w:rsidRPr="007C1E37" w:rsidRDefault="008B5BA4" w:rsidP="001E519A">
            <w:pPr>
              <w:spacing w:before="60" w:after="60" w:line="240" w:lineRule="auto"/>
              <w:ind w:right="567"/>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zh-CN" w:bidi="th-TH"/>
              </w:rPr>
            </w:pPr>
            <w:r w:rsidRPr="007C1E37">
              <w:rPr>
                <w:rFonts w:cs="Arial"/>
                <w:sz w:val="20"/>
                <w:szCs w:val="20"/>
              </w:rPr>
              <w:t>$10.0</w:t>
            </w:r>
          </w:p>
        </w:tc>
        <w:tc>
          <w:tcPr>
            <w:tcW w:w="1985" w:type="dxa"/>
            <w:noWrap/>
            <w:vAlign w:val="center"/>
          </w:tcPr>
          <w:p w14:paraId="7D8EF5AE" w14:textId="77777777" w:rsidR="008B5BA4" w:rsidRPr="003C1F19" w:rsidRDefault="008B5BA4" w:rsidP="001E519A">
            <w:pPr>
              <w:spacing w:before="60" w:after="60" w:line="240" w:lineRule="auto"/>
              <w:ind w:right="567"/>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zh-CN" w:bidi="th-TH"/>
              </w:rPr>
            </w:pPr>
            <w:r w:rsidRPr="003C1F19">
              <w:rPr>
                <w:rFonts w:cs="Arial"/>
                <w:sz w:val="20"/>
                <w:szCs w:val="20"/>
              </w:rPr>
              <w:t>5,762</w:t>
            </w:r>
          </w:p>
        </w:tc>
        <w:tc>
          <w:tcPr>
            <w:tcW w:w="1985" w:type="dxa"/>
            <w:vAlign w:val="center"/>
          </w:tcPr>
          <w:p w14:paraId="70741935" w14:textId="77777777" w:rsidR="008B5BA4" w:rsidRPr="007C1E37" w:rsidRDefault="008B5BA4" w:rsidP="001E519A">
            <w:pPr>
              <w:spacing w:before="60" w:after="60" w:line="240" w:lineRule="auto"/>
              <w:ind w:right="567"/>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7C1E37">
              <w:rPr>
                <w:rFonts w:cs="Arial"/>
                <w:sz w:val="20"/>
                <w:szCs w:val="20"/>
              </w:rPr>
              <w:t>1,062</w:t>
            </w:r>
          </w:p>
        </w:tc>
      </w:tr>
      <w:tr w:rsidR="008B5BA4" w:rsidRPr="007C1E37" w14:paraId="1F084AC3" w14:textId="77777777" w:rsidTr="001E519A">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703" w:type="dxa"/>
            <w:noWrap/>
            <w:vAlign w:val="center"/>
          </w:tcPr>
          <w:p w14:paraId="32BE2F0D" w14:textId="77777777" w:rsidR="008B5BA4" w:rsidRPr="007C1E37" w:rsidRDefault="008B5BA4" w:rsidP="001E519A">
            <w:pPr>
              <w:spacing w:before="60" w:after="60" w:line="240" w:lineRule="auto"/>
              <w:rPr>
                <w:rFonts w:cs="Arial"/>
                <w:color w:val="000000"/>
                <w:sz w:val="20"/>
                <w:szCs w:val="20"/>
                <w:lang w:eastAsia="zh-CN" w:bidi="th-TH"/>
              </w:rPr>
            </w:pPr>
            <w:r w:rsidRPr="007C1E37">
              <w:rPr>
                <w:rFonts w:cs="Arial"/>
                <w:sz w:val="20"/>
                <w:szCs w:val="20"/>
              </w:rPr>
              <w:t>Miscellaneous</w:t>
            </w:r>
          </w:p>
        </w:tc>
        <w:tc>
          <w:tcPr>
            <w:tcW w:w="1985" w:type="dxa"/>
            <w:noWrap/>
            <w:vAlign w:val="center"/>
          </w:tcPr>
          <w:p w14:paraId="451FC869" w14:textId="77777777" w:rsidR="008B5BA4" w:rsidRPr="007C1E37" w:rsidRDefault="008B5BA4" w:rsidP="001E519A">
            <w:pPr>
              <w:spacing w:before="60" w:after="60" w:line="240" w:lineRule="auto"/>
              <w:ind w:right="567"/>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7C1E37">
              <w:rPr>
                <w:rFonts w:cs="Arial"/>
                <w:sz w:val="20"/>
                <w:szCs w:val="20"/>
              </w:rPr>
              <w:t>$9.6</w:t>
            </w:r>
          </w:p>
        </w:tc>
        <w:tc>
          <w:tcPr>
            <w:tcW w:w="1985" w:type="dxa"/>
            <w:noWrap/>
            <w:vAlign w:val="center"/>
          </w:tcPr>
          <w:p w14:paraId="6F5830F2" w14:textId="77777777" w:rsidR="008B5BA4" w:rsidRPr="003C1F19" w:rsidRDefault="008B5BA4" w:rsidP="001E519A">
            <w:pPr>
              <w:spacing w:before="60" w:after="60" w:line="240" w:lineRule="auto"/>
              <w:ind w:right="567"/>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3C1F19">
              <w:rPr>
                <w:rFonts w:cs="Arial"/>
                <w:sz w:val="20"/>
                <w:szCs w:val="20"/>
              </w:rPr>
              <w:t>4,588</w:t>
            </w:r>
          </w:p>
        </w:tc>
        <w:tc>
          <w:tcPr>
            <w:tcW w:w="1985" w:type="dxa"/>
            <w:vAlign w:val="center"/>
          </w:tcPr>
          <w:p w14:paraId="255A94B9" w14:textId="77777777" w:rsidR="008B5BA4" w:rsidRPr="007C1E37" w:rsidRDefault="008B5BA4" w:rsidP="001E519A">
            <w:pPr>
              <w:spacing w:before="60" w:after="60" w:line="240" w:lineRule="auto"/>
              <w:ind w:right="567"/>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7C1E37">
              <w:rPr>
                <w:rFonts w:cs="Arial"/>
                <w:sz w:val="20"/>
                <w:szCs w:val="20"/>
              </w:rPr>
              <w:t>2,760</w:t>
            </w:r>
          </w:p>
        </w:tc>
      </w:tr>
      <w:tr w:rsidR="008B5BA4" w:rsidRPr="007C1E37" w14:paraId="0CA67E76" w14:textId="77777777" w:rsidTr="001E519A">
        <w:trPr>
          <w:trHeight w:val="287"/>
        </w:trPr>
        <w:tc>
          <w:tcPr>
            <w:cnfStyle w:val="001000000000" w:firstRow="0" w:lastRow="0" w:firstColumn="1" w:lastColumn="0" w:oddVBand="0" w:evenVBand="0" w:oddHBand="0" w:evenHBand="0" w:firstRowFirstColumn="0" w:firstRowLastColumn="0" w:lastRowFirstColumn="0" w:lastRowLastColumn="0"/>
            <w:tcW w:w="2703" w:type="dxa"/>
            <w:noWrap/>
            <w:vAlign w:val="center"/>
          </w:tcPr>
          <w:p w14:paraId="1C28CE3E" w14:textId="77777777" w:rsidR="008B5BA4" w:rsidRPr="007C1E37" w:rsidRDefault="008B5BA4" w:rsidP="001E519A">
            <w:pPr>
              <w:spacing w:before="60" w:after="60" w:line="240" w:lineRule="auto"/>
              <w:rPr>
                <w:rFonts w:cs="Arial"/>
                <w:color w:val="000000"/>
                <w:sz w:val="20"/>
                <w:szCs w:val="20"/>
                <w:lang w:eastAsia="zh-CN" w:bidi="th-TH"/>
              </w:rPr>
            </w:pPr>
            <w:r w:rsidRPr="007C1E37">
              <w:rPr>
                <w:rFonts w:cs="Arial"/>
                <w:sz w:val="20"/>
                <w:szCs w:val="20"/>
              </w:rPr>
              <w:t>Art Therapist</w:t>
            </w:r>
          </w:p>
        </w:tc>
        <w:tc>
          <w:tcPr>
            <w:tcW w:w="1985" w:type="dxa"/>
            <w:noWrap/>
            <w:vAlign w:val="center"/>
          </w:tcPr>
          <w:p w14:paraId="647CEB3A" w14:textId="77777777" w:rsidR="008B5BA4" w:rsidRPr="007C1E37" w:rsidRDefault="008B5BA4" w:rsidP="001E519A">
            <w:pPr>
              <w:spacing w:before="60" w:after="60" w:line="240" w:lineRule="auto"/>
              <w:ind w:right="567"/>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zh-CN" w:bidi="th-TH"/>
              </w:rPr>
            </w:pPr>
            <w:r w:rsidRPr="007C1E37">
              <w:rPr>
                <w:rFonts w:cs="Arial"/>
                <w:sz w:val="20"/>
                <w:szCs w:val="20"/>
              </w:rPr>
              <w:t>$7.4</w:t>
            </w:r>
          </w:p>
        </w:tc>
        <w:tc>
          <w:tcPr>
            <w:tcW w:w="1985" w:type="dxa"/>
            <w:noWrap/>
            <w:vAlign w:val="center"/>
          </w:tcPr>
          <w:p w14:paraId="2758ED95" w14:textId="77777777" w:rsidR="008B5BA4" w:rsidRPr="003C1F19" w:rsidRDefault="008B5BA4" w:rsidP="001E519A">
            <w:pPr>
              <w:spacing w:before="60" w:after="60" w:line="240" w:lineRule="auto"/>
              <w:ind w:right="567"/>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zh-CN" w:bidi="th-TH"/>
              </w:rPr>
            </w:pPr>
            <w:r w:rsidRPr="003C1F19">
              <w:rPr>
                <w:rFonts w:cs="Arial"/>
                <w:sz w:val="20"/>
                <w:szCs w:val="20"/>
              </w:rPr>
              <w:t>4,783</w:t>
            </w:r>
          </w:p>
        </w:tc>
        <w:tc>
          <w:tcPr>
            <w:tcW w:w="1985" w:type="dxa"/>
            <w:vAlign w:val="center"/>
          </w:tcPr>
          <w:p w14:paraId="199F3AFB" w14:textId="77777777" w:rsidR="008B5BA4" w:rsidRPr="007C1E37" w:rsidRDefault="008B5BA4" w:rsidP="001E519A">
            <w:pPr>
              <w:spacing w:before="60" w:after="60" w:line="240" w:lineRule="auto"/>
              <w:ind w:right="567"/>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7C1E37">
              <w:rPr>
                <w:rFonts w:cs="Arial"/>
                <w:sz w:val="20"/>
                <w:szCs w:val="20"/>
              </w:rPr>
              <w:t>1,206</w:t>
            </w:r>
          </w:p>
        </w:tc>
      </w:tr>
      <w:tr w:rsidR="008B5BA4" w:rsidRPr="007C1E37" w14:paraId="27EA5DC1" w14:textId="77777777" w:rsidTr="001E519A">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703" w:type="dxa"/>
            <w:noWrap/>
            <w:vAlign w:val="center"/>
          </w:tcPr>
          <w:p w14:paraId="6A4E2F16" w14:textId="77777777" w:rsidR="008B5BA4" w:rsidRPr="007C1E37" w:rsidRDefault="008B5BA4" w:rsidP="001E519A">
            <w:pPr>
              <w:spacing w:before="60" w:after="60" w:line="240" w:lineRule="auto"/>
              <w:rPr>
                <w:rFonts w:cs="Arial"/>
                <w:color w:val="000000"/>
                <w:sz w:val="20"/>
                <w:szCs w:val="20"/>
                <w:lang w:eastAsia="zh-CN" w:bidi="th-TH"/>
              </w:rPr>
            </w:pPr>
            <w:r w:rsidRPr="007C1E37">
              <w:rPr>
                <w:rFonts w:cs="Arial"/>
                <w:sz w:val="20"/>
                <w:szCs w:val="20"/>
              </w:rPr>
              <w:t>Development Educator</w:t>
            </w:r>
          </w:p>
        </w:tc>
        <w:tc>
          <w:tcPr>
            <w:tcW w:w="1985" w:type="dxa"/>
            <w:noWrap/>
            <w:vAlign w:val="center"/>
          </w:tcPr>
          <w:p w14:paraId="54713E00" w14:textId="77777777" w:rsidR="008B5BA4" w:rsidRPr="007C1E37" w:rsidRDefault="008B5BA4" w:rsidP="001E519A">
            <w:pPr>
              <w:spacing w:before="60" w:after="60" w:line="240" w:lineRule="auto"/>
              <w:ind w:right="567"/>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7C1E37">
              <w:rPr>
                <w:rFonts w:cs="Arial"/>
                <w:sz w:val="20"/>
                <w:szCs w:val="20"/>
              </w:rPr>
              <w:t>$7.0</w:t>
            </w:r>
          </w:p>
        </w:tc>
        <w:tc>
          <w:tcPr>
            <w:tcW w:w="1985" w:type="dxa"/>
            <w:noWrap/>
            <w:vAlign w:val="center"/>
          </w:tcPr>
          <w:p w14:paraId="17646C21" w14:textId="77777777" w:rsidR="008B5BA4" w:rsidRPr="003C1F19" w:rsidRDefault="008B5BA4" w:rsidP="001E519A">
            <w:pPr>
              <w:spacing w:before="60" w:after="60" w:line="240" w:lineRule="auto"/>
              <w:ind w:right="567"/>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3C1F19">
              <w:rPr>
                <w:rFonts w:cs="Arial"/>
                <w:sz w:val="20"/>
                <w:szCs w:val="20"/>
              </w:rPr>
              <w:t>3,639</w:t>
            </w:r>
          </w:p>
        </w:tc>
        <w:tc>
          <w:tcPr>
            <w:tcW w:w="1985" w:type="dxa"/>
            <w:vAlign w:val="center"/>
          </w:tcPr>
          <w:p w14:paraId="0294F792" w14:textId="77777777" w:rsidR="008B5BA4" w:rsidRPr="007C1E37" w:rsidRDefault="008B5BA4" w:rsidP="001E519A">
            <w:pPr>
              <w:spacing w:before="60" w:after="60" w:line="240" w:lineRule="auto"/>
              <w:ind w:right="567"/>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7C1E37">
              <w:rPr>
                <w:rFonts w:cs="Arial"/>
                <w:sz w:val="20"/>
                <w:szCs w:val="20"/>
              </w:rPr>
              <w:t>481</w:t>
            </w:r>
          </w:p>
        </w:tc>
      </w:tr>
      <w:tr w:rsidR="008B5BA4" w:rsidRPr="007C1E37" w14:paraId="23CE58AF" w14:textId="77777777" w:rsidTr="001E519A">
        <w:trPr>
          <w:trHeight w:val="287"/>
        </w:trPr>
        <w:tc>
          <w:tcPr>
            <w:cnfStyle w:val="001000000000" w:firstRow="0" w:lastRow="0" w:firstColumn="1" w:lastColumn="0" w:oddVBand="0" w:evenVBand="0" w:oddHBand="0" w:evenHBand="0" w:firstRowFirstColumn="0" w:firstRowLastColumn="0" w:lastRowFirstColumn="0" w:lastRowLastColumn="0"/>
            <w:tcW w:w="2703" w:type="dxa"/>
            <w:noWrap/>
            <w:vAlign w:val="center"/>
          </w:tcPr>
          <w:p w14:paraId="651B740E" w14:textId="77777777" w:rsidR="008B5BA4" w:rsidRPr="007C1E37" w:rsidRDefault="008B5BA4" w:rsidP="001E519A">
            <w:pPr>
              <w:spacing w:before="60" w:after="60" w:line="240" w:lineRule="auto"/>
              <w:rPr>
                <w:rFonts w:cs="Arial"/>
                <w:color w:val="000000"/>
                <w:sz w:val="20"/>
                <w:szCs w:val="20"/>
                <w:lang w:eastAsia="zh-CN" w:bidi="th-TH"/>
              </w:rPr>
            </w:pPr>
            <w:r w:rsidRPr="007C1E37">
              <w:rPr>
                <w:rFonts w:cs="Arial"/>
                <w:sz w:val="20"/>
                <w:szCs w:val="20"/>
              </w:rPr>
              <w:t>Rehabilitation Counsellor</w:t>
            </w:r>
          </w:p>
        </w:tc>
        <w:tc>
          <w:tcPr>
            <w:tcW w:w="1985" w:type="dxa"/>
            <w:noWrap/>
            <w:vAlign w:val="center"/>
          </w:tcPr>
          <w:p w14:paraId="69401DBE" w14:textId="77777777" w:rsidR="008B5BA4" w:rsidRPr="007C1E37" w:rsidRDefault="008B5BA4" w:rsidP="001E519A">
            <w:pPr>
              <w:spacing w:before="60" w:after="60" w:line="240" w:lineRule="auto"/>
              <w:ind w:right="567"/>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zh-CN" w:bidi="th-TH"/>
              </w:rPr>
            </w:pPr>
            <w:r w:rsidRPr="007C1E37">
              <w:rPr>
                <w:rFonts w:cs="Arial"/>
                <w:sz w:val="20"/>
                <w:szCs w:val="20"/>
              </w:rPr>
              <w:t>$0.8</w:t>
            </w:r>
          </w:p>
        </w:tc>
        <w:tc>
          <w:tcPr>
            <w:tcW w:w="1985" w:type="dxa"/>
            <w:noWrap/>
            <w:vAlign w:val="center"/>
          </w:tcPr>
          <w:p w14:paraId="5BC1E800" w14:textId="77777777" w:rsidR="008B5BA4" w:rsidRPr="003C1F19" w:rsidRDefault="008B5BA4" w:rsidP="001E519A">
            <w:pPr>
              <w:spacing w:before="60" w:after="60" w:line="240" w:lineRule="auto"/>
              <w:ind w:right="567"/>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zh-CN" w:bidi="th-TH"/>
              </w:rPr>
            </w:pPr>
            <w:r w:rsidRPr="003C1F19">
              <w:rPr>
                <w:rFonts w:cs="Arial"/>
                <w:sz w:val="20"/>
                <w:szCs w:val="20"/>
              </w:rPr>
              <w:t>758</w:t>
            </w:r>
          </w:p>
        </w:tc>
        <w:tc>
          <w:tcPr>
            <w:tcW w:w="1985" w:type="dxa"/>
            <w:vAlign w:val="center"/>
          </w:tcPr>
          <w:p w14:paraId="38EE2A02" w14:textId="77777777" w:rsidR="008B5BA4" w:rsidRPr="007C1E37" w:rsidRDefault="008B5BA4" w:rsidP="001E519A">
            <w:pPr>
              <w:spacing w:before="60" w:after="60" w:line="240" w:lineRule="auto"/>
              <w:ind w:right="567"/>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7C1E37">
              <w:rPr>
                <w:rFonts w:cs="Arial"/>
                <w:sz w:val="20"/>
                <w:szCs w:val="20"/>
              </w:rPr>
              <w:t>295</w:t>
            </w:r>
          </w:p>
        </w:tc>
      </w:tr>
      <w:tr w:rsidR="008B5BA4" w:rsidRPr="007C1E37" w14:paraId="071BD715" w14:textId="77777777" w:rsidTr="001E519A">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703" w:type="dxa"/>
            <w:noWrap/>
            <w:vAlign w:val="center"/>
          </w:tcPr>
          <w:p w14:paraId="3E2CEFC4" w14:textId="77777777" w:rsidR="008B5BA4" w:rsidRPr="007C1E37" w:rsidRDefault="008B5BA4" w:rsidP="001E519A">
            <w:pPr>
              <w:spacing w:before="60" w:after="60" w:line="240" w:lineRule="auto"/>
              <w:rPr>
                <w:rFonts w:cs="Arial"/>
                <w:color w:val="000000"/>
                <w:sz w:val="20"/>
                <w:szCs w:val="20"/>
                <w:lang w:eastAsia="zh-CN" w:bidi="th-TH"/>
              </w:rPr>
            </w:pPr>
            <w:r w:rsidRPr="007C1E37">
              <w:rPr>
                <w:rFonts w:cs="Arial"/>
                <w:sz w:val="20"/>
                <w:szCs w:val="20"/>
              </w:rPr>
              <w:t>Orthoptist</w:t>
            </w:r>
          </w:p>
        </w:tc>
        <w:tc>
          <w:tcPr>
            <w:tcW w:w="1985" w:type="dxa"/>
            <w:noWrap/>
            <w:vAlign w:val="center"/>
          </w:tcPr>
          <w:p w14:paraId="5CF702E6" w14:textId="77777777" w:rsidR="008B5BA4" w:rsidRPr="007C1E37" w:rsidRDefault="008B5BA4" w:rsidP="001E519A">
            <w:pPr>
              <w:spacing w:before="60" w:after="60" w:line="240" w:lineRule="auto"/>
              <w:ind w:right="567"/>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7C1E37">
              <w:rPr>
                <w:rFonts w:cs="Arial"/>
                <w:sz w:val="20"/>
                <w:szCs w:val="20"/>
              </w:rPr>
              <w:t>$0.7</w:t>
            </w:r>
          </w:p>
        </w:tc>
        <w:tc>
          <w:tcPr>
            <w:tcW w:w="1985" w:type="dxa"/>
            <w:noWrap/>
            <w:vAlign w:val="center"/>
          </w:tcPr>
          <w:p w14:paraId="0B372373" w14:textId="77777777" w:rsidR="008B5BA4" w:rsidRPr="003C1F19" w:rsidRDefault="008B5BA4" w:rsidP="001E519A">
            <w:pPr>
              <w:spacing w:before="60" w:after="60" w:line="240" w:lineRule="auto"/>
              <w:ind w:right="567"/>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3C1F19">
              <w:rPr>
                <w:rFonts w:cs="Arial"/>
                <w:sz w:val="20"/>
                <w:szCs w:val="20"/>
              </w:rPr>
              <w:t>1,234</w:t>
            </w:r>
          </w:p>
        </w:tc>
        <w:tc>
          <w:tcPr>
            <w:tcW w:w="1985" w:type="dxa"/>
            <w:vAlign w:val="center"/>
          </w:tcPr>
          <w:p w14:paraId="5D57A9D9" w14:textId="77777777" w:rsidR="008B5BA4" w:rsidRPr="007C1E37" w:rsidRDefault="008B5BA4" w:rsidP="001E519A">
            <w:pPr>
              <w:spacing w:before="60" w:after="60" w:line="240" w:lineRule="auto"/>
              <w:ind w:right="567"/>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7C1E37">
              <w:rPr>
                <w:rFonts w:cs="Arial"/>
                <w:sz w:val="20"/>
                <w:szCs w:val="20"/>
              </w:rPr>
              <w:t>222</w:t>
            </w:r>
          </w:p>
        </w:tc>
      </w:tr>
      <w:tr w:rsidR="008B5BA4" w:rsidRPr="007C1E37" w14:paraId="40201C02" w14:textId="77777777" w:rsidTr="001E519A">
        <w:trPr>
          <w:trHeight w:val="287"/>
        </w:trPr>
        <w:tc>
          <w:tcPr>
            <w:cnfStyle w:val="001000000000" w:firstRow="0" w:lastRow="0" w:firstColumn="1" w:lastColumn="0" w:oddVBand="0" w:evenVBand="0" w:oddHBand="0" w:evenHBand="0" w:firstRowFirstColumn="0" w:firstRowLastColumn="0" w:lastRowFirstColumn="0" w:lastRowLastColumn="0"/>
            <w:tcW w:w="2703" w:type="dxa"/>
            <w:noWrap/>
            <w:vAlign w:val="center"/>
          </w:tcPr>
          <w:p w14:paraId="5216EDA9" w14:textId="77777777" w:rsidR="008B5BA4" w:rsidRPr="007C1E37" w:rsidRDefault="008B5BA4" w:rsidP="001E519A">
            <w:pPr>
              <w:spacing w:before="60" w:after="60" w:line="240" w:lineRule="auto"/>
              <w:rPr>
                <w:rFonts w:cs="Arial"/>
                <w:color w:val="000000"/>
                <w:sz w:val="20"/>
                <w:szCs w:val="20"/>
                <w:lang w:eastAsia="zh-CN" w:bidi="th-TH"/>
              </w:rPr>
            </w:pPr>
            <w:r w:rsidRPr="007C1E37">
              <w:rPr>
                <w:rFonts w:cs="Arial"/>
                <w:sz w:val="20"/>
                <w:szCs w:val="20"/>
              </w:rPr>
              <w:t>Audiologist</w:t>
            </w:r>
          </w:p>
        </w:tc>
        <w:tc>
          <w:tcPr>
            <w:tcW w:w="1985" w:type="dxa"/>
            <w:noWrap/>
            <w:vAlign w:val="center"/>
          </w:tcPr>
          <w:p w14:paraId="54A84C9A" w14:textId="77777777" w:rsidR="008B5BA4" w:rsidRPr="007C1E37" w:rsidRDefault="008B5BA4" w:rsidP="001E519A">
            <w:pPr>
              <w:spacing w:before="60" w:after="60" w:line="240" w:lineRule="auto"/>
              <w:ind w:right="567"/>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zh-CN" w:bidi="th-TH"/>
              </w:rPr>
            </w:pPr>
            <w:r w:rsidRPr="007C1E37">
              <w:rPr>
                <w:rFonts w:cs="Arial"/>
                <w:sz w:val="20"/>
                <w:szCs w:val="20"/>
              </w:rPr>
              <w:t>$0.4</w:t>
            </w:r>
          </w:p>
        </w:tc>
        <w:tc>
          <w:tcPr>
            <w:tcW w:w="1985" w:type="dxa"/>
            <w:noWrap/>
            <w:vAlign w:val="center"/>
          </w:tcPr>
          <w:p w14:paraId="578F927A" w14:textId="77777777" w:rsidR="008B5BA4" w:rsidRPr="003C1F19" w:rsidRDefault="008B5BA4" w:rsidP="001E519A">
            <w:pPr>
              <w:spacing w:before="60" w:after="60" w:line="240" w:lineRule="auto"/>
              <w:ind w:right="567"/>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zh-CN" w:bidi="th-TH"/>
              </w:rPr>
            </w:pPr>
            <w:r w:rsidRPr="003C1F19">
              <w:rPr>
                <w:rFonts w:cs="Arial"/>
                <w:sz w:val="20"/>
                <w:szCs w:val="20"/>
              </w:rPr>
              <w:t>1,061</w:t>
            </w:r>
          </w:p>
        </w:tc>
        <w:tc>
          <w:tcPr>
            <w:tcW w:w="1985" w:type="dxa"/>
            <w:vAlign w:val="center"/>
          </w:tcPr>
          <w:p w14:paraId="39F326B1" w14:textId="77777777" w:rsidR="008B5BA4" w:rsidRPr="007C1E37" w:rsidRDefault="008B5BA4" w:rsidP="001E519A">
            <w:pPr>
              <w:spacing w:before="60" w:after="60" w:line="240" w:lineRule="auto"/>
              <w:ind w:right="567"/>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7C1E37">
              <w:rPr>
                <w:rFonts w:cs="Arial"/>
                <w:sz w:val="20"/>
                <w:szCs w:val="20"/>
              </w:rPr>
              <w:t>152</w:t>
            </w:r>
          </w:p>
        </w:tc>
      </w:tr>
      <w:tr w:rsidR="008B5BA4" w:rsidRPr="007C1E37" w14:paraId="6CD5DCF9" w14:textId="77777777" w:rsidTr="001E519A">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703" w:type="dxa"/>
            <w:noWrap/>
            <w:vAlign w:val="center"/>
          </w:tcPr>
          <w:p w14:paraId="2ADF4C0C" w14:textId="77777777" w:rsidR="008B5BA4" w:rsidRPr="007C1E37" w:rsidRDefault="008B5BA4" w:rsidP="001E519A">
            <w:pPr>
              <w:spacing w:before="60" w:after="60" w:line="240" w:lineRule="auto"/>
              <w:rPr>
                <w:rFonts w:cs="Arial"/>
                <w:color w:val="000000"/>
                <w:sz w:val="20"/>
                <w:szCs w:val="20"/>
                <w:lang w:eastAsia="zh-CN" w:bidi="th-TH"/>
              </w:rPr>
            </w:pPr>
            <w:r w:rsidRPr="007C1E37">
              <w:rPr>
                <w:rFonts w:cs="Arial"/>
                <w:b/>
                <w:bCs w:val="0"/>
                <w:sz w:val="20"/>
                <w:szCs w:val="20"/>
              </w:rPr>
              <w:t>Total</w:t>
            </w:r>
          </w:p>
        </w:tc>
        <w:tc>
          <w:tcPr>
            <w:tcW w:w="1985" w:type="dxa"/>
            <w:noWrap/>
            <w:vAlign w:val="center"/>
          </w:tcPr>
          <w:p w14:paraId="53754199" w14:textId="77777777" w:rsidR="008B5BA4" w:rsidRPr="007C1E37" w:rsidRDefault="008B5BA4" w:rsidP="001E519A">
            <w:pPr>
              <w:spacing w:before="60" w:after="60" w:line="240" w:lineRule="auto"/>
              <w:ind w:right="567"/>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7C1E37">
              <w:rPr>
                <w:rFonts w:cs="Arial"/>
                <w:b/>
                <w:bCs/>
                <w:sz w:val="20"/>
                <w:szCs w:val="20"/>
              </w:rPr>
              <w:t>$2,417.2</w:t>
            </w:r>
          </w:p>
        </w:tc>
        <w:tc>
          <w:tcPr>
            <w:tcW w:w="1985" w:type="dxa"/>
            <w:noWrap/>
            <w:vAlign w:val="center"/>
          </w:tcPr>
          <w:p w14:paraId="5462713C" w14:textId="77777777" w:rsidR="008B5BA4" w:rsidRPr="003C1F19" w:rsidRDefault="008B5BA4" w:rsidP="001E519A">
            <w:pPr>
              <w:spacing w:before="60" w:after="60" w:line="240" w:lineRule="auto"/>
              <w:ind w:right="567"/>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3C1F19">
              <w:rPr>
                <w:rFonts w:cs="Arial"/>
                <w:b/>
                <w:sz w:val="20"/>
                <w:szCs w:val="20"/>
              </w:rPr>
              <w:t>412,945</w:t>
            </w:r>
          </w:p>
        </w:tc>
        <w:tc>
          <w:tcPr>
            <w:tcW w:w="1985" w:type="dxa"/>
            <w:vAlign w:val="center"/>
          </w:tcPr>
          <w:p w14:paraId="5F9EDECA" w14:textId="77777777" w:rsidR="008B5BA4" w:rsidRPr="007C1E37" w:rsidRDefault="008B5BA4" w:rsidP="001E519A">
            <w:pPr>
              <w:spacing w:before="60" w:after="60" w:line="240" w:lineRule="auto"/>
              <w:ind w:right="567"/>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7C1E37">
              <w:rPr>
                <w:rFonts w:cs="Arial"/>
                <w:b/>
                <w:sz w:val="20"/>
                <w:szCs w:val="20"/>
              </w:rPr>
              <w:t>55,370</w:t>
            </w:r>
          </w:p>
        </w:tc>
      </w:tr>
    </w:tbl>
    <w:p w14:paraId="51FFC604" w14:textId="77777777" w:rsidR="008B5BA4" w:rsidRPr="008034CE" w:rsidRDefault="008B5BA4" w:rsidP="008B5BA4">
      <w:pPr>
        <w:pStyle w:val="Sourcefortableorfigure"/>
        <w:spacing w:before="240"/>
      </w:pPr>
      <w:r w:rsidRPr="008034CE">
        <w:t>Source: NDIS internal administrative data</w:t>
      </w:r>
    </w:p>
    <w:p w14:paraId="5C5C6DBB" w14:textId="77777777" w:rsidR="008B5BA4" w:rsidRPr="008034CE" w:rsidRDefault="008B5BA4" w:rsidP="008B5BA4">
      <w:pPr>
        <w:pStyle w:val="Notefortableorfigure"/>
      </w:pPr>
      <w:r w:rsidRPr="008034CE">
        <w:t>Note: The total for both the number of participants and providers represents unique counts with the July to December 2024 period. ‘Other Professional’ refers to a diverse group of therapy providers offering services such as assessments, recommendations, and group therapies, which may encompass a variety of therapy disciplines not individually listed. Total payments also included therapy related travel payment, which was $26.1 million, claimed by 11,779 providers from 136,627 participants.</w:t>
      </w:r>
    </w:p>
    <w:p w14:paraId="60EA7673" w14:textId="77777777" w:rsidR="008B5BA4" w:rsidRPr="008034CE" w:rsidRDefault="008B5BA4" w:rsidP="008B5BA4">
      <w:pPr>
        <w:spacing w:after="0" w:line="240" w:lineRule="auto"/>
        <w:rPr>
          <w:rFonts w:eastAsiaTheme="minorEastAsia" w:cs="Calibri"/>
          <w:szCs w:val="22"/>
        </w:rPr>
      </w:pPr>
      <w:r w:rsidRPr="008034CE">
        <w:rPr>
          <w:szCs w:val="22"/>
        </w:rPr>
        <w:br w:type="page"/>
      </w:r>
    </w:p>
    <w:p w14:paraId="5006F80E" w14:textId="69F12409" w:rsidR="00214A99" w:rsidRPr="008034CE" w:rsidRDefault="00214A99" w:rsidP="00214A99">
      <w:pPr>
        <w:pStyle w:val="Caption"/>
      </w:pPr>
      <w:bookmarkStart w:id="263" w:name="_Ref195540685"/>
      <w:r w:rsidRPr="008034CE">
        <w:lastRenderedPageBreak/>
        <w:t xml:space="preserve">Figure </w:t>
      </w:r>
      <w:r w:rsidR="005763F9">
        <w:fldChar w:fldCharType="begin"/>
      </w:r>
      <w:r w:rsidR="005763F9">
        <w:instrText xml:space="preserve"> SEQ Figure \* ARABIC </w:instrText>
      </w:r>
      <w:r w:rsidR="005763F9">
        <w:fldChar w:fldCharType="separate"/>
      </w:r>
      <w:r w:rsidR="005763F9">
        <w:rPr>
          <w:noProof/>
        </w:rPr>
        <w:t>9</w:t>
      </w:r>
      <w:r w:rsidR="005763F9">
        <w:rPr>
          <w:noProof/>
        </w:rPr>
        <w:fldChar w:fldCharType="end"/>
      </w:r>
      <w:bookmarkEnd w:id="263"/>
      <w:r w:rsidRPr="008034CE">
        <w:t>: Largest Ten Therapy Types Based on Total NDIS Payments, January 2022 to December 2024</w:t>
      </w:r>
    </w:p>
    <w:p w14:paraId="3667024F" w14:textId="77777777" w:rsidR="00214A99" w:rsidRPr="008034CE" w:rsidRDefault="00214A99" w:rsidP="00214A99">
      <w:pPr>
        <w:pStyle w:val="Notefortableorfigure"/>
      </w:pPr>
    </w:p>
    <w:p w14:paraId="28D066A5" w14:textId="77777777" w:rsidR="00214A99" w:rsidRPr="008034CE" w:rsidRDefault="00214A99" w:rsidP="00214A99">
      <w:pPr>
        <w:pStyle w:val="Notefortableorfigure"/>
      </w:pPr>
      <w:r w:rsidRPr="008034CE">
        <w:rPr>
          <w:noProof/>
        </w:rPr>
        <w:drawing>
          <wp:inline distT="0" distB="0" distL="0" distR="0" wp14:anchorId="23C0208B" wp14:editId="1CAD3B61">
            <wp:extent cx="5821200" cy="3384000"/>
            <wp:effectExtent l="0" t="0" r="8255" b="6985"/>
            <wp:docPr id="1253219395" name="Picture 1" descr="A column graph showing the ten largest therapy types based on total NDIS payments from January 2022 to December 2024. The graph shows that Occupational Therapist is the most prevalent therapy type. This is followed by Early Childhood, Behavioural Therapist, Speech Pathologist, Physiotherapist, Psychologist, other professional, Exercise Physiologist, Therapy Assistant, and Social Worker.&#10;&#10;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4">
                      <a:extLst>
                        <a:ext uri="{28A0092B-C50C-407E-A947-70E740481C1C}">
                          <a14:useLocalDpi xmlns:a14="http://schemas.microsoft.com/office/drawing/2010/main" val="0"/>
                        </a:ext>
                      </a:extLst>
                    </a:blip>
                    <a:stretch>
                      <a:fillRect/>
                    </a:stretch>
                  </pic:blipFill>
                  <pic:spPr>
                    <a:xfrm>
                      <a:off x="0" y="0"/>
                      <a:ext cx="5821200" cy="3384000"/>
                    </a:xfrm>
                    <a:prstGeom prst="rect">
                      <a:avLst/>
                    </a:prstGeom>
                  </pic:spPr>
                </pic:pic>
              </a:graphicData>
            </a:graphic>
          </wp:inline>
        </w:drawing>
      </w:r>
    </w:p>
    <w:p w14:paraId="5DFE8887" w14:textId="77777777" w:rsidR="00214A99" w:rsidRPr="008034CE" w:rsidRDefault="00214A99" w:rsidP="00214A99">
      <w:pPr>
        <w:pStyle w:val="Notefortableorfigure"/>
      </w:pPr>
      <w:r w:rsidRPr="008034CE">
        <w:t>Note: Before July 2022, the NDIA grouped various therapies under ‘Other Therapy’ support. Post-categorisation changes, expenditure on specific support delivered by therapists such as Occupational Therapists and Speech Pathologists are now more distinctly tracked.</w:t>
      </w:r>
    </w:p>
    <w:p w14:paraId="08C892EA" w14:textId="77777777" w:rsidR="00214A99" w:rsidRPr="008034CE" w:rsidRDefault="00214A99" w:rsidP="002961BF">
      <w:pPr>
        <w:pStyle w:val="Heading4"/>
      </w:pPr>
      <w:bookmarkStart w:id="264" w:name="_Toc195538921"/>
      <w:bookmarkStart w:id="265" w:name="_Toc200103501"/>
      <w:bookmarkStart w:id="266" w:name="_Toc200271614"/>
      <w:r w:rsidRPr="008034CE">
        <w:t>Providers</w:t>
      </w:r>
      <w:bookmarkEnd w:id="264"/>
      <w:bookmarkEnd w:id="265"/>
      <w:bookmarkEnd w:id="266"/>
    </w:p>
    <w:p w14:paraId="11B8D5C1" w14:textId="77777777" w:rsidR="00214A99" w:rsidRPr="008034CE" w:rsidRDefault="00214A99" w:rsidP="00214A99">
      <w:pPr>
        <w:pStyle w:val="Heading5"/>
      </w:pPr>
      <w:bookmarkStart w:id="267" w:name="_Toc195538922"/>
      <w:bookmarkStart w:id="268" w:name="_Toc200103502"/>
      <w:bookmarkStart w:id="269" w:name="_Toc200271615"/>
      <w:r w:rsidRPr="008034CE">
        <w:t>Provider Growth and Registration Trends</w:t>
      </w:r>
      <w:bookmarkEnd w:id="267"/>
      <w:bookmarkEnd w:id="268"/>
      <w:bookmarkEnd w:id="269"/>
    </w:p>
    <w:p w14:paraId="7AED102C" w14:textId="3281863D" w:rsidR="00214A99" w:rsidRPr="008034CE" w:rsidRDefault="00214A99" w:rsidP="00214A99">
      <w:r w:rsidRPr="008034CE">
        <w:t>The number of providers of therapy support grew to 55,370 in the six months to December 2024, a 5% increase from the same period in the previous year (</w:t>
      </w:r>
      <w:r w:rsidRPr="008034CE">
        <w:fldChar w:fldCharType="begin"/>
      </w:r>
      <w:r w:rsidRPr="008034CE">
        <w:instrText xml:space="preserve"> REF _Ref195540114 \h  \* MERGEFORMAT </w:instrText>
      </w:r>
      <w:r w:rsidRPr="008034CE">
        <w:fldChar w:fldCharType="separate"/>
      </w:r>
      <w:r w:rsidR="005763F9" w:rsidRPr="008034CE">
        <w:t xml:space="preserve">Table </w:t>
      </w:r>
      <w:r w:rsidR="005763F9">
        <w:t>10</w:t>
      </w:r>
      <w:r w:rsidRPr="008034CE">
        <w:fldChar w:fldCharType="end"/>
      </w:r>
      <w:r w:rsidRPr="008034CE">
        <w:t>). This growth was driven by an increase in the number of unregistered providers, rising by 6% to 48,709 providers. In contrast, the number of registered providers declined slightly by 2% over the same period (</w:t>
      </w:r>
      <w:r w:rsidR="00A17080">
        <w:fldChar w:fldCharType="begin"/>
      </w:r>
      <w:r w:rsidR="00A17080">
        <w:instrText xml:space="preserve"> REF _Ref197343995 \h </w:instrText>
      </w:r>
      <w:r w:rsidR="00A17080">
        <w:fldChar w:fldCharType="separate"/>
      </w:r>
      <w:r w:rsidR="005763F9" w:rsidRPr="008034CE">
        <w:t xml:space="preserve">Table </w:t>
      </w:r>
      <w:r w:rsidR="005763F9">
        <w:rPr>
          <w:noProof/>
        </w:rPr>
        <w:t>12</w:t>
      </w:r>
      <w:r w:rsidR="00A17080">
        <w:fldChar w:fldCharType="end"/>
      </w:r>
      <w:r w:rsidRPr="008034CE">
        <w:t xml:space="preserve"> and </w:t>
      </w:r>
      <w:r w:rsidRPr="008034CE">
        <w:fldChar w:fldCharType="begin"/>
      </w:r>
      <w:r w:rsidRPr="008034CE">
        <w:instrText xml:space="preserve"> REF _Ref195540159 \h  \* MERGEFORMAT </w:instrText>
      </w:r>
      <w:r w:rsidRPr="008034CE">
        <w:fldChar w:fldCharType="separate"/>
      </w:r>
      <w:r w:rsidR="005763F9" w:rsidRPr="008034CE">
        <w:t xml:space="preserve">Table </w:t>
      </w:r>
      <w:r w:rsidR="005763F9">
        <w:t>13</w:t>
      </w:r>
      <w:r w:rsidRPr="008034CE">
        <w:fldChar w:fldCharType="end"/>
      </w:r>
      <w:r w:rsidRPr="008034CE">
        <w:t xml:space="preserve">). </w:t>
      </w:r>
    </w:p>
    <w:p w14:paraId="739257A0" w14:textId="7FD4F7E6" w:rsidR="00214A99" w:rsidRPr="008034CE" w:rsidRDefault="00214A99" w:rsidP="00214A99">
      <w:r w:rsidRPr="008034CE">
        <w:t>Unregistered providers now account for nearly 90% of all therapy providers, but just 38% of total payments (</w:t>
      </w:r>
      <w:r w:rsidRPr="008034CE">
        <w:fldChar w:fldCharType="begin"/>
      </w:r>
      <w:r w:rsidRPr="008034CE">
        <w:instrText xml:space="preserve"> REF _Ref195540694 \h  \* MERGEFORMAT </w:instrText>
      </w:r>
      <w:r w:rsidRPr="008034CE">
        <w:fldChar w:fldCharType="separate"/>
      </w:r>
      <w:r w:rsidR="005763F9" w:rsidRPr="008034CE">
        <w:t xml:space="preserve">Figure </w:t>
      </w:r>
      <w:r w:rsidR="005763F9">
        <w:t>10</w:t>
      </w:r>
      <w:r w:rsidRPr="008034CE">
        <w:fldChar w:fldCharType="end"/>
      </w:r>
      <w:r w:rsidRPr="008034CE">
        <w:t xml:space="preserve">). Registered providers, while smaller in number, continue to deliver most therapy support to NDIS participants and receive 62% of total payments. On average, registered providers claimed $206,626 per provider, over 11 times the unregistered provider average of $18,647 per provider. </w:t>
      </w:r>
    </w:p>
    <w:p w14:paraId="0C6AB7BE" w14:textId="56B89493" w:rsidR="008B5BA4" w:rsidRDefault="00214A99" w:rsidP="00214A99">
      <w:r w:rsidRPr="008034CE">
        <w:t>This contrast reflects a dual market structure: registered providers tend to operate at larger scale, while there are many more unregistered providers whose payment</w:t>
      </w:r>
      <w:r>
        <w:t xml:space="preserve"> </w:t>
      </w:r>
      <w:r w:rsidRPr="008034CE">
        <w:t>claims are much lower, indicating small scale business models.</w:t>
      </w:r>
    </w:p>
    <w:p w14:paraId="53AF952E" w14:textId="05BFD114" w:rsidR="000C2F5E" w:rsidRPr="008034CE" w:rsidRDefault="000C2F5E" w:rsidP="000C2F5E">
      <w:pPr>
        <w:pStyle w:val="Caption"/>
      </w:pPr>
      <w:bookmarkStart w:id="270" w:name="_Ref197343995"/>
      <w:r w:rsidRPr="008034CE">
        <w:lastRenderedPageBreak/>
        <w:t xml:space="preserve">Table </w:t>
      </w:r>
      <w:r w:rsidR="005763F9">
        <w:fldChar w:fldCharType="begin"/>
      </w:r>
      <w:r w:rsidR="005763F9">
        <w:instrText xml:space="preserve"> SEQ Table \* ARABIC </w:instrText>
      </w:r>
      <w:r w:rsidR="005763F9">
        <w:fldChar w:fldCharType="separate"/>
      </w:r>
      <w:r w:rsidR="005763F9">
        <w:rPr>
          <w:noProof/>
        </w:rPr>
        <w:t>12</w:t>
      </w:r>
      <w:r w:rsidR="005763F9">
        <w:rPr>
          <w:noProof/>
        </w:rPr>
        <w:fldChar w:fldCharType="end"/>
      </w:r>
      <w:bookmarkEnd w:id="270"/>
      <w:r w:rsidRPr="008034CE">
        <w:t>: Therapy Supports Scheme Statistics – Registered Providers</w:t>
      </w:r>
    </w:p>
    <w:tbl>
      <w:tblPr>
        <w:tblStyle w:val="GridTable4-Accent12"/>
        <w:tblW w:w="9074" w:type="dxa"/>
        <w:tblInd w:w="0" w:type="dxa"/>
        <w:tblLayout w:type="fixed"/>
        <w:tblLook w:val="04A0" w:firstRow="1" w:lastRow="0" w:firstColumn="1" w:lastColumn="0" w:noHBand="0" w:noVBand="1"/>
      </w:tblPr>
      <w:tblGrid>
        <w:gridCol w:w="3686"/>
        <w:gridCol w:w="1985"/>
        <w:gridCol w:w="1985"/>
        <w:gridCol w:w="1418"/>
      </w:tblGrid>
      <w:tr w:rsidR="000C2F5E" w:rsidRPr="007C1E37" w14:paraId="01ED61D7" w14:textId="77777777" w:rsidTr="001E519A">
        <w:trPr>
          <w:cnfStyle w:val="100000000000" w:firstRow="1" w:lastRow="0" w:firstColumn="0" w:lastColumn="0" w:oddVBand="0" w:evenVBand="0" w:oddHBand="0" w:evenHBand="0" w:firstRowFirstColumn="0" w:firstRowLastColumn="0" w:lastRowFirstColumn="0" w:lastRowLastColumn="0"/>
          <w:trHeight w:val="680"/>
          <w:tblHeader/>
        </w:trPr>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501E58" w:themeColor="accent5" w:themeShade="BF"/>
              <w:left w:val="single" w:sz="4" w:space="0" w:color="501E58" w:themeColor="accent5" w:themeShade="BF"/>
              <w:bottom w:val="single" w:sz="24" w:space="0" w:color="6B2976"/>
              <w:right w:val="single" w:sz="6" w:space="0" w:color="501E58" w:themeColor="accent5" w:themeShade="BF"/>
            </w:tcBorders>
            <w:hideMark/>
          </w:tcPr>
          <w:p w14:paraId="7B6055EC" w14:textId="77777777" w:rsidR="000C2F5E" w:rsidRPr="007C1E37" w:rsidRDefault="000C2F5E" w:rsidP="001E519A">
            <w:pPr>
              <w:spacing w:before="60" w:after="60"/>
              <w:rPr>
                <w:rFonts w:cs="Arial"/>
                <w:sz w:val="20"/>
                <w:szCs w:val="20"/>
                <w:lang w:eastAsia="zh-CN" w:bidi="th-TH"/>
              </w:rPr>
            </w:pPr>
            <w:r w:rsidRPr="007C1E37">
              <w:rPr>
                <w:rFonts w:cs="Arial"/>
                <w:sz w:val="20"/>
                <w:szCs w:val="20"/>
                <w:lang w:eastAsia="zh-CN" w:bidi="th-TH"/>
              </w:rPr>
              <w:t>Statistics</w:t>
            </w:r>
          </w:p>
        </w:tc>
        <w:tc>
          <w:tcPr>
            <w:tcW w:w="1985" w:type="dxa"/>
            <w:tcBorders>
              <w:top w:val="single" w:sz="4" w:space="0" w:color="501E58" w:themeColor="accent5" w:themeShade="BF"/>
              <w:left w:val="single" w:sz="6" w:space="0" w:color="501E58" w:themeColor="accent5" w:themeShade="BF"/>
              <w:bottom w:val="single" w:sz="24" w:space="0" w:color="6B2976"/>
              <w:right w:val="single" w:sz="6" w:space="0" w:color="501E58" w:themeColor="accent5" w:themeShade="BF"/>
            </w:tcBorders>
          </w:tcPr>
          <w:p w14:paraId="39CD4B60" w14:textId="77777777" w:rsidR="000C2F5E" w:rsidRPr="007C1E37" w:rsidRDefault="000C2F5E" w:rsidP="001E519A">
            <w:pPr>
              <w:spacing w:before="60" w:after="60"/>
              <w:jc w:val="center"/>
              <w:cnfStyle w:val="100000000000" w:firstRow="1" w:lastRow="0" w:firstColumn="0" w:lastColumn="0" w:oddVBand="0" w:evenVBand="0" w:oddHBand="0" w:evenHBand="0" w:firstRowFirstColumn="0" w:firstRowLastColumn="0" w:lastRowFirstColumn="0" w:lastRowLastColumn="0"/>
              <w:rPr>
                <w:rFonts w:cs="Arial"/>
                <w:sz w:val="20"/>
                <w:szCs w:val="20"/>
                <w:lang w:eastAsia="zh-CN" w:bidi="th-TH"/>
              </w:rPr>
            </w:pPr>
            <w:r w:rsidRPr="007C1E37">
              <w:rPr>
                <w:sz w:val="20"/>
                <w:szCs w:val="20"/>
              </w:rPr>
              <w:t>July – December 2023</w:t>
            </w:r>
          </w:p>
        </w:tc>
        <w:tc>
          <w:tcPr>
            <w:tcW w:w="1985" w:type="dxa"/>
            <w:tcBorders>
              <w:top w:val="single" w:sz="4" w:space="0" w:color="501E58" w:themeColor="accent5" w:themeShade="BF"/>
              <w:left w:val="single" w:sz="6" w:space="0" w:color="501E58" w:themeColor="accent5" w:themeShade="BF"/>
              <w:bottom w:val="single" w:sz="24" w:space="0" w:color="6B2976"/>
              <w:right w:val="single" w:sz="6" w:space="0" w:color="501E58" w:themeColor="accent5" w:themeShade="BF"/>
            </w:tcBorders>
          </w:tcPr>
          <w:p w14:paraId="13D17978" w14:textId="77777777" w:rsidR="000C2F5E" w:rsidRPr="007C1E37" w:rsidRDefault="000C2F5E" w:rsidP="001E519A">
            <w:pPr>
              <w:spacing w:before="60" w:after="60"/>
              <w:jc w:val="center"/>
              <w:cnfStyle w:val="100000000000" w:firstRow="1" w:lastRow="0" w:firstColumn="0" w:lastColumn="0" w:oddVBand="0" w:evenVBand="0" w:oddHBand="0" w:evenHBand="0" w:firstRowFirstColumn="0" w:firstRowLastColumn="0" w:lastRowFirstColumn="0" w:lastRowLastColumn="0"/>
              <w:rPr>
                <w:rFonts w:cs="Arial"/>
                <w:sz w:val="20"/>
                <w:szCs w:val="20"/>
                <w:lang w:eastAsia="zh-CN" w:bidi="th-TH"/>
              </w:rPr>
            </w:pPr>
            <w:r w:rsidRPr="007C1E37">
              <w:rPr>
                <w:sz w:val="20"/>
                <w:szCs w:val="20"/>
              </w:rPr>
              <w:t>July – December 2024</w:t>
            </w:r>
          </w:p>
        </w:tc>
        <w:tc>
          <w:tcPr>
            <w:tcW w:w="1418" w:type="dxa"/>
            <w:tcBorders>
              <w:top w:val="single" w:sz="4" w:space="0" w:color="501E58" w:themeColor="accent5" w:themeShade="BF"/>
              <w:left w:val="single" w:sz="6" w:space="0" w:color="501E58" w:themeColor="accent5" w:themeShade="BF"/>
              <w:bottom w:val="single" w:sz="24" w:space="0" w:color="6B2976"/>
              <w:right w:val="single" w:sz="4" w:space="0" w:color="501E58" w:themeColor="accent5" w:themeShade="BF"/>
            </w:tcBorders>
          </w:tcPr>
          <w:p w14:paraId="662DB108" w14:textId="77777777" w:rsidR="000C2F5E" w:rsidRPr="007C1E37" w:rsidRDefault="000C2F5E" w:rsidP="001E519A">
            <w:pPr>
              <w:spacing w:before="60" w:after="60"/>
              <w:jc w:val="center"/>
              <w:cnfStyle w:val="100000000000" w:firstRow="1" w:lastRow="0" w:firstColumn="0" w:lastColumn="0" w:oddVBand="0" w:evenVBand="0" w:oddHBand="0" w:evenHBand="0" w:firstRowFirstColumn="0" w:firstRowLastColumn="0" w:lastRowFirstColumn="0" w:lastRowLastColumn="0"/>
              <w:rPr>
                <w:rFonts w:cs="Arial"/>
                <w:sz w:val="20"/>
                <w:szCs w:val="20"/>
                <w:lang w:eastAsia="zh-CN" w:bidi="th-TH"/>
              </w:rPr>
            </w:pPr>
            <w:r w:rsidRPr="007C1E37">
              <w:rPr>
                <w:sz w:val="20"/>
                <w:szCs w:val="20"/>
              </w:rPr>
              <w:t>Percentage Change </w:t>
            </w:r>
          </w:p>
        </w:tc>
      </w:tr>
      <w:tr w:rsidR="000C2F5E" w:rsidRPr="007C1E37" w14:paraId="2E9DA3F9" w14:textId="77777777" w:rsidTr="001E519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86" w:type="dxa"/>
            <w:tcBorders>
              <w:top w:val="single" w:sz="24" w:space="0" w:color="6B2976"/>
              <w:left w:val="single" w:sz="6" w:space="0" w:color="BA61C9" w:themeColor="accent5" w:themeTint="99"/>
              <w:bottom w:val="single" w:sz="6" w:space="0" w:color="BA61C9" w:themeColor="accent5" w:themeTint="99"/>
              <w:right w:val="single" w:sz="6" w:space="0" w:color="BA61C9" w:themeColor="accent5" w:themeTint="99"/>
            </w:tcBorders>
            <w:noWrap/>
            <w:vAlign w:val="center"/>
          </w:tcPr>
          <w:p w14:paraId="0ACF3818" w14:textId="77777777" w:rsidR="000C2F5E" w:rsidRPr="007C1E37" w:rsidRDefault="000C2F5E" w:rsidP="001E519A">
            <w:pPr>
              <w:spacing w:before="60" w:after="60"/>
              <w:rPr>
                <w:rFonts w:cs="Arial"/>
                <w:b/>
                <w:bCs w:val="0"/>
                <w:sz w:val="20"/>
                <w:szCs w:val="20"/>
              </w:rPr>
            </w:pPr>
            <w:r w:rsidRPr="007C1E37">
              <w:rPr>
                <w:sz w:val="20"/>
                <w:szCs w:val="20"/>
              </w:rPr>
              <w:t>Number of NDIS participants using registered Therapy providers</w:t>
            </w:r>
          </w:p>
        </w:tc>
        <w:tc>
          <w:tcPr>
            <w:tcW w:w="1985" w:type="dxa"/>
            <w:tcBorders>
              <w:top w:val="single" w:sz="24" w:space="0" w:color="6B2976"/>
              <w:left w:val="single" w:sz="6" w:space="0" w:color="BA61C9" w:themeColor="accent5" w:themeTint="99"/>
              <w:bottom w:val="single" w:sz="6" w:space="0" w:color="BA61C9" w:themeColor="accent5" w:themeTint="99"/>
              <w:right w:val="single" w:sz="6" w:space="0" w:color="BA61C9" w:themeColor="accent5" w:themeTint="99"/>
            </w:tcBorders>
            <w:noWrap/>
            <w:vAlign w:val="center"/>
          </w:tcPr>
          <w:p w14:paraId="4AA7B308" w14:textId="77777777" w:rsidR="000C2F5E" w:rsidRPr="007C1E37" w:rsidRDefault="000C2F5E" w:rsidP="001E519A">
            <w:pPr>
              <w:spacing w:before="60" w:after="60"/>
              <w:ind w:right="397"/>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7C1E37">
              <w:rPr>
                <w:sz w:val="20"/>
                <w:szCs w:val="20"/>
              </w:rPr>
              <w:t>295,097</w:t>
            </w:r>
          </w:p>
        </w:tc>
        <w:tc>
          <w:tcPr>
            <w:tcW w:w="1985" w:type="dxa"/>
            <w:tcBorders>
              <w:top w:val="single" w:sz="24" w:space="0" w:color="6B2976"/>
              <w:left w:val="single" w:sz="6" w:space="0" w:color="BA61C9" w:themeColor="accent5" w:themeTint="99"/>
              <w:bottom w:val="single" w:sz="6" w:space="0" w:color="BA61C9" w:themeColor="accent5" w:themeTint="99"/>
              <w:right w:val="single" w:sz="6" w:space="0" w:color="BA61C9" w:themeColor="accent5" w:themeTint="99"/>
            </w:tcBorders>
            <w:vAlign w:val="center"/>
          </w:tcPr>
          <w:p w14:paraId="1E8C213A" w14:textId="77777777" w:rsidR="000C2F5E" w:rsidRPr="007C1E37" w:rsidRDefault="000C2F5E" w:rsidP="001E519A">
            <w:pPr>
              <w:spacing w:before="60" w:after="60"/>
              <w:ind w:right="397"/>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7C1E37">
              <w:rPr>
                <w:sz w:val="20"/>
                <w:szCs w:val="20"/>
              </w:rPr>
              <w:t>307,193</w:t>
            </w:r>
          </w:p>
        </w:tc>
        <w:tc>
          <w:tcPr>
            <w:tcW w:w="1418" w:type="dxa"/>
            <w:tcBorders>
              <w:top w:val="single" w:sz="24" w:space="0" w:color="6B2976"/>
              <w:left w:val="single" w:sz="6" w:space="0" w:color="BA61C9" w:themeColor="accent5" w:themeTint="99"/>
              <w:bottom w:val="single" w:sz="6" w:space="0" w:color="BA61C9" w:themeColor="accent5" w:themeTint="99"/>
              <w:right w:val="single" w:sz="6" w:space="0" w:color="BA61C9" w:themeColor="accent5" w:themeTint="99"/>
            </w:tcBorders>
            <w:vAlign w:val="center"/>
          </w:tcPr>
          <w:p w14:paraId="00E364C6" w14:textId="77777777" w:rsidR="000C2F5E" w:rsidRPr="007C1E37" w:rsidRDefault="000C2F5E" w:rsidP="001E519A">
            <w:pPr>
              <w:spacing w:before="60" w:after="60"/>
              <w:ind w:right="397"/>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7C1E37">
              <w:rPr>
                <w:sz w:val="20"/>
                <w:szCs w:val="20"/>
              </w:rPr>
              <w:t>+4%</w:t>
            </w:r>
          </w:p>
        </w:tc>
      </w:tr>
      <w:tr w:rsidR="000C2F5E" w:rsidRPr="007C1E37" w14:paraId="4B2D6283" w14:textId="77777777" w:rsidTr="001E519A">
        <w:trPr>
          <w:trHeight w:val="454"/>
        </w:trPr>
        <w:tc>
          <w:tcPr>
            <w:cnfStyle w:val="001000000000" w:firstRow="0" w:lastRow="0" w:firstColumn="1" w:lastColumn="0" w:oddVBand="0" w:evenVBand="0" w:oddHBand="0" w:evenHBand="0" w:firstRowFirstColumn="0" w:firstRowLastColumn="0" w:lastRowFirstColumn="0" w:lastRowLastColumn="0"/>
            <w:tcW w:w="3686" w:type="dxa"/>
            <w:tcBorders>
              <w:top w:val="single" w:sz="6" w:space="0" w:color="BA61C9" w:themeColor="accent5" w:themeTint="99"/>
              <w:left w:val="single" w:sz="6" w:space="0" w:color="BA61C9" w:themeColor="accent5" w:themeTint="99"/>
              <w:bottom w:val="single" w:sz="6" w:space="0" w:color="BA61C9" w:themeColor="accent5" w:themeTint="99"/>
              <w:right w:val="single" w:sz="6" w:space="0" w:color="BA61C9" w:themeColor="accent5" w:themeTint="99"/>
            </w:tcBorders>
            <w:noWrap/>
            <w:vAlign w:val="center"/>
          </w:tcPr>
          <w:p w14:paraId="70A84918" w14:textId="77777777" w:rsidR="000C2F5E" w:rsidRPr="007C1E37" w:rsidRDefault="000C2F5E" w:rsidP="001E519A">
            <w:pPr>
              <w:spacing w:before="60" w:after="60"/>
              <w:rPr>
                <w:rFonts w:cs="Arial"/>
                <w:b/>
                <w:bCs w:val="0"/>
                <w:sz w:val="20"/>
                <w:szCs w:val="20"/>
              </w:rPr>
            </w:pPr>
            <w:r w:rsidRPr="007C1E37">
              <w:rPr>
                <w:sz w:val="20"/>
                <w:szCs w:val="20"/>
              </w:rPr>
              <w:t>Number of active registered providers of Therapy supports</w:t>
            </w:r>
          </w:p>
        </w:tc>
        <w:tc>
          <w:tcPr>
            <w:tcW w:w="1985" w:type="dxa"/>
            <w:tcBorders>
              <w:top w:val="single" w:sz="6" w:space="0" w:color="BA61C9" w:themeColor="accent5" w:themeTint="99"/>
              <w:left w:val="single" w:sz="6" w:space="0" w:color="BA61C9" w:themeColor="accent5" w:themeTint="99"/>
              <w:bottom w:val="single" w:sz="6" w:space="0" w:color="BA61C9" w:themeColor="accent5" w:themeTint="99"/>
              <w:right w:val="single" w:sz="6" w:space="0" w:color="BA61C9" w:themeColor="accent5" w:themeTint="99"/>
            </w:tcBorders>
            <w:noWrap/>
            <w:vAlign w:val="center"/>
          </w:tcPr>
          <w:p w14:paraId="0309078F" w14:textId="77777777" w:rsidR="000C2F5E" w:rsidRPr="007C1E37" w:rsidRDefault="000C2F5E" w:rsidP="001E519A">
            <w:pPr>
              <w:spacing w:before="60" w:after="60"/>
              <w:ind w:right="397"/>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zh-CN" w:bidi="th-TH"/>
              </w:rPr>
            </w:pPr>
            <w:r w:rsidRPr="007C1E37">
              <w:rPr>
                <w:sz w:val="20"/>
                <w:szCs w:val="20"/>
              </w:rPr>
              <w:t>7,392</w:t>
            </w:r>
          </w:p>
        </w:tc>
        <w:tc>
          <w:tcPr>
            <w:tcW w:w="1985" w:type="dxa"/>
            <w:tcBorders>
              <w:top w:val="single" w:sz="6" w:space="0" w:color="BA61C9" w:themeColor="accent5" w:themeTint="99"/>
              <w:left w:val="single" w:sz="6" w:space="0" w:color="BA61C9" w:themeColor="accent5" w:themeTint="99"/>
              <w:bottom w:val="single" w:sz="6" w:space="0" w:color="BA61C9" w:themeColor="accent5" w:themeTint="99"/>
              <w:right w:val="single" w:sz="6" w:space="0" w:color="BA61C9" w:themeColor="accent5" w:themeTint="99"/>
            </w:tcBorders>
            <w:vAlign w:val="center"/>
          </w:tcPr>
          <w:p w14:paraId="0C73AF20" w14:textId="77777777" w:rsidR="000C2F5E" w:rsidRPr="007C1E37" w:rsidRDefault="000C2F5E" w:rsidP="001E519A">
            <w:pPr>
              <w:spacing w:before="60" w:after="60"/>
              <w:ind w:right="397"/>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zh-CN" w:bidi="th-TH"/>
              </w:rPr>
            </w:pPr>
            <w:r w:rsidRPr="007C1E37">
              <w:rPr>
                <w:sz w:val="20"/>
                <w:szCs w:val="20"/>
              </w:rPr>
              <w:t xml:space="preserve"> 7,240</w:t>
            </w:r>
          </w:p>
        </w:tc>
        <w:tc>
          <w:tcPr>
            <w:tcW w:w="1418" w:type="dxa"/>
            <w:tcBorders>
              <w:top w:val="single" w:sz="6" w:space="0" w:color="BA61C9" w:themeColor="accent5" w:themeTint="99"/>
              <w:left w:val="single" w:sz="6" w:space="0" w:color="BA61C9" w:themeColor="accent5" w:themeTint="99"/>
              <w:bottom w:val="single" w:sz="6" w:space="0" w:color="BA61C9" w:themeColor="accent5" w:themeTint="99"/>
              <w:right w:val="single" w:sz="6" w:space="0" w:color="BA61C9" w:themeColor="accent5" w:themeTint="99"/>
            </w:tcBorders>
            <w:vAlign w:val="center"/>
          </w:tcPr>
          <w:p w14:paraId="4D121E9E" w14:textId="77777777" w:rsidR="000C2F5E" w:rsidRPr="007C1E37" w:rsidRDefault="000C2F5E" w:rsidP="001E519A">
            <w:pPr>
              <w:spacing w:before="60" w:after="60"/>
              <w:ind w:right="397"/>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7C1E37">
              <w:rPr>
                <w:sz w:val="20"/>
                <w:szCs w:val="20"/>
              </w:rPr>
              <w:t>-2%</w:t>
            </w:r>
          </w:p>
        </w:tc>
      </w:tr>
      <w:tr w:rsidR="000C2F5E" w:rsidRPr="007C1E37" w14:paraId="52734999" w14:textId="77777777" w:rsidTr="001E519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86" w:type="dxa"/>
            <w:tcBorders>
              <w:top w:val="single" w:sz="6" w:space="0" w:color="BA61C9" w:themeColor="accent5" w:themeTint="99"/>
              <w:left w:val="single" w:sz="6" w:space="0" w:color="BA61C9" w:themeColor="accent5" w:themeTint="99"/>
              <w:bottom w:val="single" w:sz="6" w:space="0" w:color="BA61C9" w:themeColor="accent5" w:themeTint="99"/>
              <w:right w:val="single" w:sz="6" w:space="0" w:color="BA61C9" w:themeColor="accent5" w:themeTint="99"/>
            </w:tcBorders>
            <w:noWrap/>
            <w:vAlign w:val="center"/>
          </w:tcPr>
          <w:p w14:paraId="27292551" w14:textId="77777777" w:rsidR="000C2F5E" w:rsidRPr="007C1E37" w:rsidRDefault="000C2F5E" w:rsidP="001E519A">
            <w:pPr>
              <w:spacing w:before="60" w:after="60"/>
              <w:rPr>
                <w:rFonts w:cs="Arial"/>
                <w:b/>
                <w:bCs w:val="0"/>
                <w:sz w:val="20"/>
                <w:szCs w:val="20"/>
              </w:rPr>
            </w:pPr>
            <w:r w:rsidRPr="007C1E37">
              <w:rPr>
                <w:sz w:val="20"/>
                <w:szCs w:val="20"/>
              </w:rPr>
              <w:t>Total amount claimed by registered providers of Therapy supports</w:t>
            </w:r>
          </w:p>
        </w:tc>
        <w:tc>
          <w:tcPr>
            <w:tcW w:w="1985" w:type="dxa"/>
            <w:tcBorders>
              <w:top w:val="single" w:sz="6" w:space="0" w:color="BA61C9" w:themeColor="accent5" w:themeTint="99"/>
              <w:left w:val="single" w:sz="6" w:space="0" w:color="BA61C9" w:themeColor="accent5" w:themeTint="99"/>
              <w:bottom w:val="single" w:sz="6" w:space="0" w:color="BA61C9" w:themeColor="accent5" w:themeTint="99"/>
              <w:right w:val="single" w:sz="6" w:space="0" w:color="BA61C9" w:themeColor="accent5" w:themeTint="99"/>
            </w:tcBorders>
            <w:noWrap/>
            <w:vAlign w:val="center"/>
          </w:tcPr>
          <w:p w14:paraId="70895337" w14:textId="77777777" w:rsidR="000C2F5E" w:rsidRPr="007C1E37" w:rsidRDefault="000C2F5E" w:rsidP="001E519A">
            <w:pPr>
              <w:spacing w:before="60" w:after="60"/>
              <w:ind w:right="397"/>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7C1E37">
              <w:rPr>
                <w:sz w:val="20"/>
                <w:szCs w:val="20"/>
              </w:rPr>
              <w:t>$1.3 billion</w:t>
            </w:r>
          </w:p>
        </w:tc>
        <w:tc>
          <w:tcPr>
            <w:tcW w:w="1985" w:type="dxa"/>
            <w:tcBorders>
              <w:top w:val="single" w:sz="6" w:space="0" w:color="BA61C9" w:themeColor="accent5" w:themeTint="99"/>
              <w:left w:val="single" w:sz="6" w:space="0" w:color="BA61C9" w:themeColor="accent5" w:themeTint="99"/>
              <w:bottom w:val="single" w:sz="6" w:space="0" w:color="BA61C9" w:themeColor="accent5" w:themeTint="99"/>
              <w:right w:val="single" w:sz="6" w:space="0" w:color="BA61C9" w:themeColor="accent5" w:themeTint="99"/>
            </w:tcBorders>
            <w:vAlign w:val="center"/>
          </w:tcPr>
          <w:p w14:paraId="5F4A470F" w14:textId="77777777" w:rsidR="000C2F5E" w:rsidRPr="007C1E37" w:rsidRDefault="000C2F5E" w:rsidP="001E519A">
            <w:pPr>
              <w:spacing w:before="60" w:after="60"/>
              <w:ind w:right="397"/>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7C1E37">
              <w:rPr>
                <w:sz w:val="20"/>
                <w:szCs w:val="20"/>
              </w:rPr>
              <w:t>$1.5 billion</w:t>
            </w:r>
          </w:p>
        </w:tc>
        <w:tc>
          <w:tcPr>
            <w:tcW w:w="1418" w:type="dxa"/>
            <w:tcBorders>
              <w:top w:val="single" w:sz="6" w:space="0" w:color="BA61C9" w:themeColor="accent5" w:themeTint="99"/>
              <w:left w:val="single" w:sz="6" w:space="0" w:color="BA61C9" w:themeColor="accent5" w:themeTint="99"/>
              <w:bottom w:val="single" w:sz="6" w:space="0" w:color="BA61C9" w:themeColor="accent5" w:themeTint="99"/>
              <w:right w:val="single" w:sz="6" w:space="0" w:color="BA61C9" w:themeColor="accent5" w:themeTint="99"/>
            </w:tcBorders>
            <w:vAlign w:val="center"/>
          </w:tcPr>
          <w:p w14:paraId="3F9501CF" w14:textId="77777777" w:rsidR="000C2F5E" w:rsidRPr="007C1E37" w:rsidRDefault="000C2F5E" w:rsidP="001E519A">
            <w:pPr>
              <w:spacing w:before="60" w:after="60"/>
              <w:ind w:right="397"/>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7C1E37">
              <w:rPr>
                <w:sz w:val="20"/>
                <w:szCs w:val="20"/>
              </w:rPr>
              <w:t>+12%</w:t>
            </w:r>
          </w:p>
        </w:tc>
      </w:tr>
      <w:tr w:rsidR="000C2F5E" w:rsidRPr="007C1E37" w14:paraId="5B3B3054" w14:textId="77777777" w:rsidTr="001E519A">
        <w:trPr>
          <w:trHeight w:val="454"/>
        </w:trPr>
        <w:tc>
          <w:tcPr>
            <w:cnfStyle w:val="001000000000" w:firstRow="0" w:lastRow="0" w:firstColumn="1" w:lastColumn="0" w:oddVBand="0" w:evenVBand="0" w:oddHBand="0" w:evenHBand="0" w:firstRowFirstColumn="0" w:firstRowLastColumn="0" w:lastRowFirstColumn="0" w:lastRowLastColumn="0"/>
            <w:tcW w:w="3686" w:type="dxa"/>
            <w:tcBorders>
              <w:top w:val="single" w:sz="6" w:space="0" w:color="BA61C9" w:themeColor="accent5" w:themeTint="99"/>
              <w:left w:val="single" w:sz="6" w:space="0" w:color="BA61C9" w:themeColor="accent5" w:themeTint="99"/>
              <w:bottom w:val="single" w:sz="6" w:space="0" w:color="BA61C9" w:themeColor="accent5" w:themeTint="99"/>
              <w:right w:val="single" w:sz="6" w:space="0" w:color="BA61C9" w:themeColor="accent5" w:themeTint="99"/>
            </w:tcBorders>
            <w:noWrap/>
            <w:vAlign w:val="center"/>
          </w:tcPr>
          <w:p w14:paraId="2BDB65E6" w14:textId="77777777" w:rsidR="000C2F5E" w:rsidRPr="007C1E37" w:rsidRDefault="000C2F5E" w:rsidP="001E519A">
            <w:pPr>
              <w:spacing w:before="60" w:after="60"/>
              <w:rPr>
                <w:rFonts w:cs="Arial"/>
                <w:sz w:val="20"/>
                <w:szCs w:val="20"/>
              </w:rPr>
            </w:pPr>
            <w:r w:rsidRPr="007C1E37">
              <w:rPr>
                <w:sz w:val="20"/>
                <w:szCs w:val="20"/>
              </w:rPr>
              <w:t>Average amount claimed by registered providers of Therapy supports</w:t>
            </w:r>
          </w:p>
        </w:tc>
        <w:tc>
          <w:tcPr>
            <w:tcW w:w="1985" w:type="dxa"/>
            <w:tcBorders>
              <w:top w:val="single" w:sz="6" w:space="0" w:color="BA61C9" w:themeColor="accent5" w:themeTint="99"/>
              <w:left w:val="single" w:sz="6" w:space="0" w:color="BA61C9" w:themeColor="accent5" w:themeTint="99"/>
              <w:bottom w:val="single" w:sz="6" w:space="0" w:color="BA61C9" w:themeColor="accent5" w:themeTint="99"/>
              <w:right w:val="single" w:sz="6" w:space="0" w:color="BA61C9" w:themeColor="accent5" w:themeTint="99"/>
            </w:tcBorders>
            <w:noWrap/>
            <w:vAlign w:val="center"/>
          </w:tcPr>
          <w:p w14:paraId="1AE0F0F0" w14:textId="77777777" w:rsidR="000C2F5E" w:rsidRPr="007C1E37" w:rsidRDefault="000C2F5E" w:rsidP="001E519A">
            <w:pPr>
              <w:spacing w:before="60" w:after="60"/>
              <w:ind w:right="397"/>
              <w:jc w:val="right"/>
              <w:cnfStyle w:val="000000000000" w:firstRow="0" w:lastRow="0" w:firstColumn="0" w:lastColumn="0" w:oddVBand="0" w:evenVBand="0" w:oddHBand="0" w:evenHBand="0" w:firstRowFirstColumn="0" w:firstRowLastColumn="0" w:lastRowFirstColumn="0" w:lastRowLastColumn="0"/>
              <w:rPr>
                <w:sz w:val="20"/>
                <w:szCs w:val="20"/>
              </w:rPr>
            </w:pPr>
            <w:r w:rsidRPr="007C1E37">
              <w:rPr>
                <w:sz w:val="20"/>
                <w:szCs w:val="20"/>
              </w:rPr>
              <w:t>$180,913</w:t>
            </w:r>
          </w:p>
        </w:tc>
        <w:tc>
          <w:tcPr>
            <w:tcW w:w="1985" w:type="dxa"/>
            <w:tcBorders>
              <w:top w:val="single" w:sz="6" w:space="0" w:color="BA61C9" w:themeColor="accent5" w:themeTint="99"/>
              <w:left w:val="single" w:sz="6" w:space="0" w:color="BA61C9" w:themeColor="accent5" w:themeTint="99"/>
              <w:bottom w:val="single" w:sz="6" w:space="0" w:color="BA61C9" w:themeColor="accent5" w:themeTint="99"/>
              <w:right w:val="single" w:sz="6" w:space="0" w:color="BA61C9" w:themeColor="accent5" w:themeTint="99"/>
            </w:tcBorders>
            <w:vAlign w:val="center"/>
          </w:tcPr>
          <w:p w14:paraId="4287EC7F" w14:textId="77777777" w:rsidR="000C2F5E" w:rsidRPr="007C1E37" w:rsidRDefault="000C2F5E" w:rsidP="001E519A">
            <w:pPr>
              <w:spacing w:before="60" w:after="60"/>
              <w:ind w:right="397"/>
              <w:jc w:val="right"/>
              <w:cnfStyle w:val="000000000000" w:firstRow="0" w:lastRow="0" w:firstColumn="0" w:lastColumn="0" w:oddVBand="0" w:evenVBand="0" w:oddHBand="0" w:evenHBand="0" w:firstRowFirstColumn="0" w:firstRowLastColumn="0" w:lastRowFirstColumn="0" w:lastRowLastColumn="0"/>
              <w:rPr>
                <w:sz w:val="20"/>
                <w:szCs w:val="20"/>
              </w:rPr>
            </w:pPr>
            <w:r w:rsidRPr="007C1E37">
              <w:rPr>
                <w:sz w:val="20"/>
                <w:szCs w:val="20"/>
              </w:rPr>
              <w:t>$206,626</w:t>
            </w:r>
          </w:p>
        </w:tc>
        <w:tc>
          <w:tcPr>
            <w:tcW w:w="1418" w:type="dxa"/>
            <w:tcBorders>
              <w:top w:val="single" w:sz="6" w:space="0" w:color="BA61C9" w:themeColor="accent5" w:themeTint="99"/>
              <w:left w:val="single" w:sz="6" w:space="0" w:color="BA61C9" w:themeColor="accent5" w:themeTint="99"/>
              <w:bottom w:val="single" w:sz="6" w:space="0" w:color="BA61C9" w:themeColor="accent5" w:themeTint="99"/>
              <w:right w:val="single" w:sz="6" w:space="0" w:color="BA61C9" w:themeColor="accent5" w:themeTint="99"/>
            </w:tcBorders>
            <w:vAlign w:val="center"/>
          </w:tcPr>
          <w:p w14:paraId="73889EA6" w14:textId="77777777" w:rsidR="000C2F5E" w:rsidRPr="007C1E37" w:rsidRDefault="000C2F5E" w:rsidP="001E519A">
            <w:pPr>
              <w:spacing w:before="60" w:after="60"/>
              <w:ind w:right="397"/>
              <w:jc w:val="right"/>
              <w:cnfStyle w:val="000000000000" w:firstRow="0" w:lastRow="0" w:firstColumn="0" w:lastColumn="0" w:oddVBand="0" w:evenVBand="0" w:oddHBand="0" w:evenHBand="0" w:firstRowFirstColumn="0" w:firstRowLastColumn="0" w:lastRowFirstColumn="0" w:lastRowLastColumn="0"/>
              <w:rPr>
                <w:sz w:val="20"/>
                <w:szCs w:val="20"/>
              </w:rPr>
            </w:pPr>
            <w:r w:rsidRPr="007C1E37">
              <w:rPr>
                <w:sz w:val="20"/>
                <w:szCs w:val="20"/>
              </w:rPr>
              <w:t>+14%</w:t>
            </w:r>
          </w:p>
        </w:tc>
      </w:tr>
    </w:tbl>
    <w:p w14:paraId="5EEC2693" w14:textId="77777777" w:rsidR="000C2F5E" w:rsidRPr="008034CE" w:rsidRDefault="000C2F5E" w:rsidP="000C2F5E">
      <w:pPr>
        <w:pStyle w:val="Sourcefortableorfigure"/>
        <w:spacing w:before="240"/>
      </w:pPr>
      <w:r w:rsidRPr="008034CE">
        <w:t>Source: NDIS internal administrative data</w:t>
      </w:r>
    </w:p>
    <w:p w14:paraId="2490CFB0" w14:textId="755D8081" w:rsidR="000C2F5E" w:rsidRPr="008034CE" w:rsidRDefault="000C2F5E" w:rsidP="000C2F5E">
      <w:pPr>
        <w:pStyle w:val="Caption"/>
        <w:spacing w:before="480"/>
      </w:pPr>
      <w:bookmarkStart w:id="271" w:name="_Ref195540159"/>
      <w:r w:rsidRPr="008034CE">
        <w:t xml:space="preserve">Table </w:t>
      </w:r>
      <w:r w:rsidR="005763F9">
        <w:fldChar w:fldCharType="begin"/>
      </w:r>
      <w:r w:rsidR="005763F9">
        <w:instrText xml:space="preserve"> SEQ Table \* ARABIC </w:instrText>
      </w:r>
      <w:r w:rsidR="005763F9">
        <w:fldChar w:fldCharType="separate"/>
      </w:r>
      <w:r w:rsidR="005763F9">
        <w:rPr>
          <w:noProof/>
        </w:rPr>
        <w:t>13</w:t>
      </w:r>
      <w:r w:rsidR="005763F9">
        <w:rPr>
          <w:noProof/>
        </w:rPr>
        <w:fldChar w:fldCharType="end"/>
      </w:r>
      <w:bookmarkEnd w:id="271"/>
      <w:r w:rsidRPr="008034CE">
        <w:t>: Therapy Supports Scheme Statistics – Unregistered Providers</w:t>
      </w:r>
    </w:p>
    <w:tbl>
      <w:tblPr>
        <w:tblStyle w:val="GridTable4-Accent12"/>
        <w:tblW w:w="9074" w:type="dxa"/>
        <w:tblInd w:w="0" w:type="dxa"/>
        <w:tblLayout w:type="fixed"/>
        <w:tblLook w:val="04A0" w:firstRow="1" w:lastRow="0" w:firstColumn="1" w:lastColumn="0" w:noHBand="0" w:noVBand="1"/>
      </w:tblPr>
      <w:tblGrid>
        <w:gridCol w:w="3686"/>
        <w:gridCol w:w="1985"/>
        <w:gridCol w:w="1985"/>
        <w:gridCol w:w="1418"/>
      </w:tblGrid>
      <w:tr w:rsidR="000C2F5E" w:rsidRPr="007C1E37" w14:paraId="20BD5A68" w14:textId="77777777" w:rsidTr="001E519A">
        <w:trPr>
          <w:cnfStyle w:val="100000000000" w:firstRow="1" w:lastRow="0" w:firstColumn="0" w:lastColumn="0" w:oddVBand="0" w:evenVBand="0" w:oddHBand="0" w:evenHBand="0" w:firstRowFirstColumn="0" w:firstRowLastColumn="0" w:lastRowFirstColumn="0" w:lastRowLastColumn="0"/>
          <w:trHeight w:val="680"/>
          <w:tblHeader/>
        </w:trPr>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501E58" w:themeColor="accent1" w:themeShade="BF"/>
              <w:left w:val="single" w:sz="4" w:space="0" w:color="501E58" w:themeColor="accent1" w:themeShade="BF"/>
              <w:bottom w:val="single" w:sz="24" w:space="0" w:color="6B2976"/>
              <w:right w:val="single" w:sz="6" w:space="0" w:color="501E58" w:themeColor="accent1" w:themeShade="BF"/>
            </w:tcBorders>
            <w:hideMark/>
          </w:tcPr>
          <w:p w14:paraId="6D9489CD" w14:textId="77777777" w:rsidR="000C2F5E" w:rsidRPr="007C1E37" w:rsidRDefault="000C2F5E" w:rsidP="001E519A">
            <w:pPr>
              <w:spacing w:before="60" w:after="60"/>
              <w:rPr>
                <w:rFonts w:cs="Arial"/>
                <w:sz w:val="20"/>
                <w:szCs w:val="20"/>
                <w:lang w:eastAsia="zh-CN" w:bidi="th-TH"/>
              </w:rPr>
            </w:pPr>
            <w:r w:rsidRPr="007C1E37">
              <w:rPr>
                <w:rFonts w:cs="Arial"/>
                <w:sz w:val="20"/>
                <w:szCs w:val="20"/>
                <w:lang w:eastAsia="zh-CN" w:bidi="th-TH"/>
              </w:rPr>
              <w:t>Statistics</w:t>
            </w:r>
          </w:p>
        </w:tc>
        <w:tc>
          <w:tcPr>
            <w:tcW w:w="1985" w:type="dxa"/>
            <w:tcBorders>
              <w:top w:val="single" w:sz="4" w:space="0" w:color="501E58" w:themeColor="accent1" w:themeShade="BF"/>
              <w:left w:val="single" w:sz="6" w:space="0" w:color="501E58" w:themeColor="accent1" w:themeShade="BF"/>
              <w:bottom w:val="single" w:sz="24" w:space="0" w:color="6B2976"/>
              <w:right w:val="single" w:sz="6" w:space="0" w:color="501E58" w:themeColor="accent1" w:themeShade="BF"/>
            </w:tcBorders>
          </w:tcPr>
          <w:p w14:paraId="76776F23" w14:textId="77777777" w:rsidR="000C2F5E" w:rsidRPr="007C1E37" w:rsidRDefault="000C2F5E" w:rsidP="001E519A">
            <w:pPr>
              <w:spacing w:before="60" w:after="60"/>
              <w:jc w:val="center"/>
              <w:cnfStyle w:val="100000000000" w:firstRow="1" w:lastRow="0" w:firstColumn="0" w:lastColumn="0" w:oddVBand="0" w:evenVBand="0" w:oddHBand="0" w:evenHBand="0" w:firstRowFirstColumn="0" w:firstRowLastColumn="0" w:lastRowFirstColumn="0" w:lastRowLastColumn="0"/>
              <w:rPr>
                <w:rFonts w:cs="Arial"/>
                <w:sz w:val="20"/>
                <w:szCs w:val="20"/>
                <w:lang w:eastAsia="zh-CN" w:bidi="th-TH"/>
              </w:rPr>
            </w:pPr>
            <w:r w:rsidRPr="007C1E37">
              <w:rPr>
                <w:sz w:val="20"/>
                <w:szCs w:val="20"/>
              </w:rPr>
              <w:t>July – December 2023</w:t>
            </w:r>
          </w:p>
        </w:tc>
        <w:tc>
          <w:tcPr>
            <w:tcW w:w="1985" w:type="dxa"/>
            <w:tcBorders>
              <w:top w:val="single" w:sz="4" w:space="0" w:color="501E58" w:themeColor="accent1" w:themeShade="BF"/>
              <w:left w:val="single" w:sz="6" w:space="0" w:color="501E58" w:themeColor="accent1" w:themeShade="BF"/>
              <w:bottom w:val="single" w:sz="24" w:space="0" w:color="6B2976"/>
              <w:right w:val="single" w:sz="6" w:space="0" w:color="501E58" w:themeColor="accent1" w:themeShade="BF"/>
            </w:tcBorders>
          </w:tcPr>
          <w:p w14:paraId="5EEF80AF" w14:textId="77777777" w:rsidR="000C2F5E" w:rsidRPr="007C1E37" w:rsidRDefault="000C2F5E" w:rsidP="001E519A">
            <w:pPr>
              <w:spacing w:before="60" w:after="60"/>
              <w:jc w:val="center"/>
              <w:cnfStyle w:val="100000000000" w:firstRow="1" w:lastRow="0" w:firstColumn="0" w:lastColumn="0" w:oddVBand="0" w:evenVBand="0" w:oddHBand="0" w:evenHBand="0" w:firstRowFirstColumn="0" w:firstRowLastColumn="0" w:lastRowFirstColumn="0" w:lastRowLastColumn="0"/>
              <w:rPr>
                <w:rFonts w:cs="Arial"/>
                <w:sz w:val="20"/>
                <w:szCs w:val="20"/>
                <w:lang w:eastAsia="zh-CN" w:bidi="th-TH"/>
              </w:rPr>
            </w:pPr>
            <w:r w:rsidRPr="007C1E37">
              <w:rPr>
                <w:sz w:val="20"/>
                <w:szCs w:val="20"/>
              </w:rPr>
              <w:t>July – December 2024</w:t>
            </w:r>
          </w:p>
        </w:tc>
        <w:tc>
          <w:tcPr>
            <w:tcW w:w="1418" w:type="dxa"/>
            <w:tcBorders>
              <w:top w:val="single" w:sz="4" w:space="0" w:color="501E58" w:themeColor="accent1" w:themeShade="BF"/>
              <w:left w:val="single" w:sz="6" w:space="0" w:color="501E58" w:themeColor="accent1" w:themeShade="BF"/>
              <w:bottom w:val="single" w:sz="24" w:space="0" w:color="6B2976"/>
              <w:right w:val="single" w:sz="4" w:space="0" w:color="501E58" w:themeColor="accent1" w:themeShade="BF"/>
            </w:tcBorders>
          </w:tcPr>
          <w:p w14:paraId="252893DD" w14:textId="77777777" w:rsidR="000C2F5E" w:rsidRPr="007C1E37" w:rsidRDefault="000C2F5E" w:rsidP="001E519A">
            <w:pPr>
              <w:spacing w:before="60" w:after="60"/>
              <w:jc w:val="center"/>
              <w:cnfStyle w:val="100000000000" w:firstRow="1" w:lastRow="0" w:firstColumn="0" w:lastColumn="0" w:oddVBand="0" w:evenVBand="0" w:oddHBand="0" w:evenHBand="0" w:firstRowFirstColumn="0" w:firstRowLastColumn="0" w:lastRowFirstColumn="0" w:lastRowLastColumn="0"/>
              <w:rPr>
                <w:rFonts w:cs="Arial"/>
                <w:sz w:val="20"/>
                <w:szCs w:val="20"/>
                <w:lang w:eastAsia="zh-CN" w:bidi="th-TH"/>
              </w:rPr>
            </w:pPr>
            <w:r w:rsidRPr="007C1E37">
              <w:rPr>
                <w:sz w:val="20"/>
                <w:szCs w:val="20"/>
              </w:rPr>
              <w:t>Percentage Change </w:t>
            </w:r>
          </w:p>
        </w:tc>
      </w:tr>
      <w:tr w:rsidR="000C2F5E" w:rsidRPr="007C1E37" w14:paraId="351E0E86" w14:textId="77777777" w:rsidTr="001E519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86" w:type="dxa"/>
            <w:tcBorders>
              <w:top w:val="single" w:sz="24" w:space="0" w:color="6B2976"/>
              <w:left w:val="single" w:sz="6" w:space="0" w:color="BA61C9" w:themeColor="accent1" w:themeTint="99"/>
              <w:bottom w:val="single" w:sz="6" w:space="0" w:color="BA61C9" w:themeColor="accent1" w:themeTint="99"/>
              <w:right w:val="single" w:sz="6" w:space="0" w:color="BA61C9" w:themeColor="accent1" w:themeTint="99"/>
            </w:tcBorders>
            <w:noWrap/>
            <w:vAlign w:val="center"/>
          </w:tcPr>
          <w:p w14:paraId="1B420872" w14:textId="77777777" w:rsidR="000C2F5E" w:rsidRPr="007C1E37" w:rsidRDefault="000C2F5E" w:rsidP="001E519A">
            <w:pPr>
              <w:spacing w:before="60" w:after="60"/>
              <w:rPr>
                <w:rFonts w:cs="Arial"/>
                <w:b/>
                <w:bCs w:val="0"/>
                <w:sz w:val="20"/>
                <w:szCs w:val="20"/>
              </w:rPr>
            </w:pPr>
            <w:r w:rsidRPr="007C1E37">
              <w:rPr>
                <w:sz w:val="20"/>
                <w:szCs w:val="20"/>
              </w:rPr>
              <w:t>Number of NDIS participants using unregistered Therapy providers</w:t>
            </w:r>
          </w:p>
        </w:tc>
        <w:tc>
          <w:tcPr>
            <w:tcW w:w="1985" w:type="dxa"/>
            <w:tcBorders>
              <w:top w:val="single" w:sz="24" w:space="0" w:color="6B2976"/>
              <w:left w:val="single" w:sz="6" w:space="0" w:color="BA61C9" w:themeColor="accent1" w:themeTint="99"/>
              <w:bottom w:val="single" w:sz="6" w:space="0" w:color="BA61C9" w:themeColor="accent1" w:themeTint="99"/>
              <w:right w:val="single" w:sz="6" w:space="0" w:color="BA61C9" w:themeColor="accent1" w:themeTint="99"/>
            </w:tcBorders>
            <w:noWrap/>
            <w:vAlign w:val="center"/>
          </w:tcPr>
          <w:p w14:paraId="4F4ACDE3" w14:textId="77777777" w:rsidR="000C2F5E" w:rsidRPr="007C1E37" w:rsidRDefault="000C2F5E" w:rsidP="001E519A">
            <w:pPr>
              <w:spacing w:before="60" w:after="60"/>
              <w:ind w:right="397"/>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7C1E37">
              <w:rPr>
                <w:sz w:val="20"/>
                <w:szCs w:val="20"/>
              </w:rPr>
              <w:t>217,007</w:t>
            </w:r>
          </w:p>
        </w:tc>
        <w:tc>
          <w:tcPr>
            <w:tcW w:w="1985" w:type="dxa"/>
            <w:tcBorders>
              <w:top w:val="single" w:sz="24" w:space="0" w:color="6B2976"/>
              <w:left w:val="single" w:sz="6" w:space="0" w:color="BA61C9" w:themeColor="accent1" w:themeTint="99"/>
              <w:bottom w:val="single" w:sz="6" w:space="0" w:color="BA61C9" w:themeColor="accent1" w:themeTint="99"/>
              <w:right w:val="single" w:sz="6" w:space="0" w:color="BA61C9" w:themeColor="accent1" w:themeTint="99"/>
            </w:tcBorders>
            <w:vAlign w:val="center"/>
          </w:tcPr>
          <w:p w14:paraId="03C95A74" w14:textId="77777777" w:rsidR="000C2F5E" w:rsidRPr="007C1E37" w:rsidRDefault="000C2F5E" w:rsidP="001E519A">
            <w:pPr>
              <w:spacing w:before="60" w:after="60"/>
              <w:ind w:right="397"/>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7C1E37">
              <w:rPr>
                <w:sz w:val="20"/>
                <w:szCs w:val="20"/>
              </w:rPr>
              <w:t>255,389</w:t>
            </w:r>
          </w:p>
        </w:tc>
        <w:tc>
          <w:tcPr>
            <w:tcW w:w="1418" w:type="dxa"/>
            <w:tcBorders>
              <w:top w:val="single" w:sz="24" w:space="0" w:color="6B2976"/>
              <w:left w:val="single" w:sz="6" w:space="0" w:color="BA61C9" w:themeColor="accent1" w:themeTint="99"/>
              <w:bottom w:val="single" w:sz="6" w:space="0" w:color="BA61C9" w:themeColor="accent1" w:themeTint="99"/>
              <w:right w:val="single" w:sz="6" w:space="0" w:color="BA61C9" w:themeColor="accent1" w:themeTint="99"/>
            </w:tcBorders>
            <w:vAlign w:val="center"/>
          </w:tcPr>
          <w:p w14:paraId="5E9FD793" w14:textId="77777777" w:rsidR="000C2F5E" w:rsidRPr="007C1E37" w:rsidRDefault="000C2F5E" w:rsidP="001E519A">
            <w:pPr>
              <w:spacing w:before="60" w:after="60"/>
              <w:ind w:right="397"/>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7C1E37">
              <w:rPr>
                <w:sz w:val="20"/>
                <w:szCs w:val="20"/>
              </w:rPr>
              <w:t>+18%</w:t>
            </w:r>
          </w:p>
        </w:tc>
      </w:tr>
      <w:tr w:rsidR="000C2F5E" w:rsidRPr="007C1E37" w14:paraId="40F7C793" w14:textId="77777777" w:rsidTr="001E519A">
        <w:trPr>
          <w:trHeight w:val="454"/>
        </w:trPr>
        <w:tc>
          <w:tcPr>
            <w:cnfStyle w:val="001000000000" w:firstRow="0" w:lastRow="0" w:firstColumn="1" w:lastColumn="0" w:oddVBand="0" w:evenVBand="0" w:oddHBand="0" w:evenHBand="0" w:firstRowFirstColumn="0" w:firstRowLastColumn="0" w:lastRowFirstColumn="0" w:lastRowLastColumn="0"/>
            <w:tcW w:w="3686" w:type="dxa"/>
            <w:tcBorders>
              <w:top w:val="single" w:sz="6" w:space="0" w:color="BA61C9" w:themeColor="accent1" w:themeTint="99"/>
              <w:left w:val="single" w:sz="6" w:space="0" w:color="BA61C9" w:themeColor="accent1" w:themeTint="99"/>
              <w:bottom w:val="single" w:sz="6" w:space="0" w:color="BA61C9" w:themeColor="accent1" w:themeTint="99"/>
              <w:right w:val="single" w:sz="6" w:space="0" w:color="BA61C9" w:themeColor="accent1" w:themeTint="99"/>
            </w:tcBorders>
            <w:noWrap/>
            <w:vAlign w:val="center"/>
          </w:tcPr>
          <w:p w14:paraId="5D2008A3" w14:textId="77777777" w:rsidR="000C2F5E" w:rsidRPr="007C1E37" w:rsidRDefault="000C2F5E" w:rsidP="001E519A">
            <w:pPr>
              <w:spacing w:before="60" w:after="60"/>
              <w:rPr>
                <w:rFonts w:cs="Arial"/>
                <w:b/>
                <w:bCs w:val="0"/>
                <w:sz w:val="20"/>
                <w:szCs w:val="20"/>
              </w:rPr>
            </w:pPr>
            <w:r w:rsidRPr="007C1E37">
              <w:rPr>
                <w:sz w:val="20"/>
                <w:szCs w:val="20"/>
              </w:rPr>
              <w:t>Number of active unregistered providers of Therapy supports</w:t>
            </w:r>
          </w:p>
        </w:tc>
        <w:tc>
          <w:tcPr>
            <w:tcW w:w="1985" w:type="dxa"/>
            <w:tcBorders>
              <w:top w:val="single" w:sz="6" w:space="0" w:color="BA61C9" w:themeColor="accent1" w:themeTint="99"/>
              <w:left w:val="single" w:sz="6" w:space="0" w:color="BA61C9" w:themeColor="accent1" w:themeTint="99"/>
              <w:bottom w:val="single" w:sz="6" w:space="0" w:color="BA61C9" w:themeColor="accent1" w:themeTint="99"/>
              <w:right w:val="single" w:sz="6" w:space="0" w:color="BA61C9" w:themeColor="accent1" w:themeTint="99"/>
            </w:tcBorders>
            <w:noWrap/>
            <w:vAlign w:val="center"/>
          </w:tcPr>
          <w:p w14:paraId="30F84CE0" w14:textId="77777777" w:rsidR="000C2F5E" w:rsidRPr="007C1E37" w:rsidRDefault="000C2F5E" w:rsidP="001E519A">
            <w:pPr>
              <w:spacing w:before="60" w:after="60"/>
              <w:ind w:right="397"/>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zh-CN" w:bidi="th-TH"/>
              </w:rPr>
            </w:pPr>
            <w:r w:rsidRPr="007C1E37">
              <w:rPr>
                <w:sz w:val="20"/>
                <w:szCs w:val="20"/>
              </w:rPr>
              <w:t>45,961</w:t>
            </w:r>
          </w:p>
        </w:tc>
        <w:tc>
          <w:tcPr>
            <w:tcW w:w="1985" w:type="dxa"/>
            <w:tcBorders>
              <w:top w:val="single" w:sz="6" w:space="0" w:color="BA61C9" w:themeColor="accent1" w:themeTint="99"/>
              <w:left w:val="single" w:sz="6" w:space="0" w:color="BA61C9" w:themeColor="accent1" w:themeTint="99"/>
              <w:bottom w:val="single" w:sz="6" w:space="0" w:color="BA61C9" w:themeColor="accent1" w:themeTint="99"/>
              <w:right w:val="single" w:sz="6" w:space="0" w:color="BA61C9" w:themeColor="accent1" w:themeTint="99"/>
            </w:tcBorders>
            <w:vAlign w:val="center"/>
          </w:tcPr>
          <w:p w14:paraId="40AA0A49" w14:textId="77777777" w:rsidR="000C2F5E" w:rsidRPr="007C1E37" w:rsidRDefault="000C2F5E" w:rsidP="001E519A">
            <w:pPr>
              <w:spacing w:before="60" w:after="60"/>
              <w:ind w:right="397"/>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zh-CN" w:bidi="th-TH"/>
              </w:rPr>
            </w:pPr>
            <w:r w:rsidRPr="007C1E37">
              <w:rPr>
                <w:sz w:val="20"/>
                <w:szCs w:val="20"/>
              </w:rPr>
              <w:t>48,709</w:t>
            </w:r>
          </w:p>
        </w:tc>
        <w:tc>
          <w:tcPr>
            <w:tcW w:w="1418" w:type="dxa"/>
            <w:tcBorders>
              <w:top w:val="single" w:sz="6" w:space="0" w:color="BA61C9" w:themeColor="accent1" w:themeTint="99"/>
              <w:left w:val="single" w:sz="6" w:space="0" w:color="BA61C9" w:themeColor="accent1" w:themeTint="99"/>
              <w:bottom w:val="single" w:sz="6" w:space="0" w:color="BA61C9" w:themeColor="accent1" w:themeTint="99"/>
              <w:right w:val="single" w:sz="6" w:space="0" w:color="BA61C9" w:themeColor="accent1" w:themeTint="99"/>
            </w:tcBorders>
            <w:vAlign w:val="center"/>
          </w:tcPr>
          <w:p w14:paraId="56597559" w14:textId="77777777" w:rsidR="000C2F5E" w:rsidRPr="007C1E37" w:rsidRDefault="000C2F5E" w:rsidP="001E519A">
            <w:pPr>
              <w:spacing w:before="60" w:after="60"/>
              <w:ind w:right="397"/>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7C1E37">
              <w:rPr>
                <w:sz w:val="20"/>
                <w:szCs w:val="20"/>
              </w:rPr>
              <w:t>+6%</w:t>
            </w:r>
          </w:p>
        </w:tc>
      </w:tr>
      <w:tr w:rsidR="000C2F5E" w:rsidRPr="007C1E37" w14:paraId="101F6FC5" w14:textId="77777777" w:rsidTr="001E519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86" w:type="dxa"/>
            <w:tcBorders>
              <w:top w:val="single" w:sz="6" w:space="0" w:color="BA61C9" w:themeColor="accent1" w:themeTint="99"/>
              <w:left w:val="single" w:sz="6" w:space="0" w:color="BA61C9" w:themeColor="accent1" w:themeTint="99"/>
              <w:bottom w:val="single" w:sz="6" w:space="0" w:color="BA61C9" w:themeColor="accent1" w:themeTint="99"/>
              <w:right w:val="single" w:sz="6" w:space="0" w:color="BA61C9" w:themeColor="accent1" w:themeTint="99"/>
            </w:tcBorders>
            <w:noWrap/>
            <w:vAlign w:val="center"/>
          </w:tcPr>
          <w:p w14:paraId="7CB02FFC" w14:textId="77777777" w:rsidR="000C2F5E" w:rsidRPr="007C1E37" w:rsidRDefault="000C2F5E" w:rsidP="001E519A">
            <w:pPr>
              <w:spacing w:before="60" w:after="60"/>
              <w:rPr>
                <w:rFonts w:cs="Arial"/>
                <w:b/>
                <w:bCs w:val="0"/>
                <w:sz w:val="20"/>
                <w:szCs w:val="20"/>
              </w:rPr>
            </w:pPr>
            <w:r w:rsidRPr="007C1E37">
              <w:rPr>
                <w:sz w:val="20"/>
                <w:szCs w:val="20"/>
              </w:rPr>
              <w:t>Total amount claimed by unregistered providers of Therapy supports</w:t>
            </w:r>
          </w:p>
        </w:tc>
        <w:tc>
          <w:tcPr>
            <w:tcW w:w="1985" w:type="dxa"/>
            <w:tcBorders>
              <w:top w:val="single" w:sz="6" w:space="0" w:color="BA61C9" w:themeColor="accent1" w:themeTint="99"/>
              <w:left w:val="single" w:sz="6" w:space="0" w:color="BA61C9" w:themeColor="accent1" w:themeTint="99"/>
              <w:bottom w:val="single" w:sz="6" w:space="0" w:color="BA61C9" w:themeColor="accent1" w:themeTint="99"/>
              <w:right w:val="single" w:sz="6" w:space="0" w:color="BA61C9" w:themeColor="accent1" w:themeTint="99"/>
            </w:tcBorders>
            <w:noWrap/>
            <w:vAlign w:val="center"/>
          </w:tcPr>
          <w:p w14:paraId="0E2DD1BB" w14:textId="77777777" w:rsidR="000C2F5E" w:rsidRPr="007C1E37" w:rsidRDefault="000C2F5E" w:rsidP="001E519A">
            <w:pPr>
              <w:spacing w:before="60" w:after="60"/>
              <w:ind w:right="397"/>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7C1E37">
              <w:rPr>
                <w:sz w:val="20"/>
                <w:szCs w:val="20"/>
              </w:rPr>
              <w:t>$0.7 billion</w:t>
            </w:r>
          </w:p>
        </w:tc>
        <w:tc>
          <w:tcPr>
            <w:tcW w:w="1985" w:type="dxa"/>
            <w:tcBorders>
              <w:top w:val="single" w:sz="6" w:space="0" w:color="BA61C9" w:themeColor="accent1" w:themeTint="99"/>
              <w:left w:val="single" w:sz="6" w:space="0" w:color="BA61C9" w:themeColor="accent1" w:themeTint="99"/>
              <w:bottom w:val="single" w:sz="6" w:space="0" w:color="BA61C9" w:themeColor="accent1" w:themeTint="99"/>
              <w:right w:val="single" w:sz="6" w:space="0" w:color="BA61C9" w:themeColor="accent1" w:themeTint="99"/>
            </w:tcBorders>
            <w:vAlign w:val="center"/>
          </w:tcPr>
          <w:p w14:paraId="0ED3BE17" w14:textId="77777777" w:rsidR="000C2F5E" w:rsidRPr="007C1E37" w:rsidRDefault="000C2F5E" w:rsidP="001E519A">
            <w:pPr>
              <w:spacing w:before="60" w:after="60"/>
              <w:ind w:right="397"/>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7C1E37">
              <w:rPr>
                <w:sz w:val="20"/>
                <w:szCs w:val="20"/>
              </w:rPr>
              <w:t>$0.9 billion</w:t>
            </w:r>
          </w:p>
        </w:tc>
        <w:tc>
          <w:tcPr>
            <w:tcW w:w="1418" w:type="dxa"/>
            <w:tcBorders>
              <w:top w:val="single" w:sz="6" w:space="0" w:color="BA61C9" w:themeColor="accent1" w:themeTint="99"/>
              <w:left w:val="single" w:sz="6" w:space="0" w:color="BA61C9" w:themeColor="accent1" w:themeTint="99"/>
              <w:bottom w:val="single" w:sz="6" w:space="0" w:color="BA61C9" w:themeColor="accent1" w:themeTint="99"/>
              <w:right w:val="single" w:sz="6" w:space="0" w:color="BA61C9" w:themeColor="accent1" w:themeTint="99"/>
            </w:tcBorders>
            <w:vAlign w:val="center"/>
          </w:tcPr>
          <w:p w14:paraId="6C3032F2" w14:textId="77777777" w:rsidR="000C2F5E" w:rsidRPr="007C1E37" w:rsidRDefault="000C2F5E" w:rsidP="001E519A">
            <w:pPr>
              <w:spacing w:before="60" w:after="60"/>
              <w:ind w:right="397"/>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7C1E37">
              <w:rPr>
                <w:sz w:val="20"/>
                <w:szCs w:val="20"/>
              </w:rPr>
              <w:t>+26%</w:t>
            </w:r>
          </w:p>
        </w:tc>
      </w:tr>
      <w:tr w:rsidR="000C2F5E" w:rsidRPr="007C1E37" w14:paraId="152465F6" w14:textId="77777777" w:rsidTr="001E519A">
        <w:trPr>
          <w:trHeight w:val="454"/>
        </w:trPr>
        <w:tc>
          <w:tcPr>
            <w:cnfStyle w:val="001000000000" w:firstRow="0" w:lastRow="0" w:firstColumn="1" w:lastColumn="0" w:oddVBand="0" w:evenVBand="0" w:oddHBand="0" w:evenHBand="0" w:firstRowFirstColumn="0" w:firstRowLastColumn="0" w:lastRowFirstColumn="0" w:lastRowLastColumn="0"/>
            <w:tcW w:w="3686" w:type="dxa"/>
            <w:tcBorders>
              <w:top w:val="single" w:sz="6" w:space="0" w:color="BA61C9" w:themeColor="accent1" w:themeTint="99"/>
              <w:left w:val="single" w:sz="6" w:space="0" w:color="BA61C9" w:themeColor="accent1" w:themeTint="99"/>
              <w:bottom w:val="single" w:sz="6" w:space="0" w:color="BA61C9" w:themeColor="accent1" w:themeTint="99"/>
              <w:right w:val="single" w:sz="6" w:space="0" w:color="BA61C9" w:themeColor="accent1" w:themeTint="99"/>
            </w:tcBorders>
            <w:noWrap/>
            <w:vAlign w:val="center"/>
          </w:tcPr>
          <w:p w14:paraId="210F83CD" w14:textId="77777777" w:rsidR="000C2F5E" w:rsidRPr="007C1E37" w:rsidRDefault="000C2F5E" w:rsidP="001E519A">
            <w:pPr>
              <w:spacing w:before="60" w:after="60"/>
              <w:rPr>
                <w:rFonts w:cs="Arial"/>
                <w:sz w:val="20"/>
                <w:szCs w:val="20"/>
              </w:rPr>
            </w:pPr>
            <w:r w:rsidRPr="007C1E37">
              <w:rPr>
                <w:sz w:val="20"/>
                <w:szCs w:val="20"/>
              </w:rPr>
              <w:t>Average amount claimed by unregistered providers of Therapy supports</w:t>
            </w:r>
          </w:p>
        </w:tc>
        <w:tc>
          <w:tcPr>
            <w:tcW w:w="1985" w:type="dxa"/>
            <w:tcBorders>
              <w:top w:val="single" w:sz="6" w:space="0" w:color="BA61C9" w:themeColor="accent1" w:themeTint="99"/>
              <w:left w:val="single" w:sz="6" w:space="0" w:color="BA61C9" w:themeColor="accent1" w:themeTint="99"/>
              <w:bottom w:val="single" w:sz="6" w:space="0" w:color="BA61C9" w:themeColor="accent1" w:themeTint="99"/>
              <w:right w:val="single" w:sz="6" w:space="0" w:color="BA61C9" w:themeColor="accent1" w:themeTint="99"/>
            </w:tcBorders>
            <w:noWrap/>
            <w:vAlign w:val="center"/>
          </w:tcPr>
          <w:p w14:paraId="6B4021E4" w14:textId="77777777" w:rsidR="000C2F5E" w:rsidRPr="007C1E37" w:rsidRDefault="000C2F5E" w:rsidP="001E519A">
            <w:pPr>
              <w:spacing w:before="60" w:after="60"/>
              <w:ind w:right="397"/>
              <w:jc w:val="right"/>
              <w:cnfStyle w:val="000000000000" w:firstRow="0" w:lastRow="0" w:firstColumn="0" w:lastColumn="0" w:oddVBand="0" w:evenVBand="0" w:oddHBand="0" w:evenHBand="0" w:firstRowFirstColumn="0" w:firstRowLastColumn="0" w:lastRowFirstColumn="0" w:lastRowLastColumn="0"/>
              <w:rPr>
                <w:sz w:val="20"/>
                <w:szCs w:val="20"/>
              </w:rPr>
            </w:pPr>
            <w:r w:rsidRPr="007C1E37">
              <w:rPr>
                <w:sz w:val="20"/>
                <w:szCs w:val="20"/>
              </w:rPr>
              <w:t>$15,651</w:t>
            </w:r>
          </w:p>
        </w:tc>
        <w:tc>
          <w:tcPr>
            <w:tcW w:w="1985" w:type="dxa"/>
            <w:tcBorders>
              <w:top w:val="single" w:sz="6" w:space="0" w:color="BA61C9" w:themeColor="accent1" w:themeTint="99"/>
              <w:left w:val="single" w:sz="6" w:space="0" w:color="BA61C9" w:themeColor="accent1" w:themeTint="99"/>
              <w:bottom w:val="single" w:sz="6" w:space="0" w:color="BA61C9" w:themeColor="accent1" w:themeTint="99"/>
              <w:right w:val="single" w:sz="6" w:space="0" w:color="BA61C9" w:themeColor="accent1" w:themeTint="99"/>
            </w:tcBorders>
            <w:vAlign w:val="center"/>
          </w:tcPr>
          <w:p w14:paraId="1661208A" w14:textId="77777777" w:rsidR="000C2F5E" w:rsidRPr="007C1E37" w:rsidRDefault="000C2F5E" w:rsidP="001E519A">
            <w:pPr>
              <w:spacing w:before="60" w:after="60"/>
              <w:ind w:right="397"/>
              <w:jc w:val="right"/>
              <w:cnfStyle w:val="000000000000" w:firstRow="0" w:lastRow="0" w:firstColumn="0" w:lastColumn="0" w:oddVBand="0" w:evenVBand="0" w:oddHBand="0" w:evenHBand="0" w:firstRowFirstColumn="0" w:firstRowLastColumn="0" w:lastRowFirstColumn="0" w:lastRowLastColumn="0"/>
              <w:rPr>
                <w:sz w:val="20"/>
                <w:szCs w:val="20"/>
              </w:rPr>
            </w:pPr>
            <w:r w:rsidRPr="007C1E37">
              <w:rPr>
                <w:sz w:val="20"/>
                <w:szCs w:val="20"/>
              </w:rPr>
              <w:t>$18,647</w:t>
            </w:r>
          </w:p>
        </w:tc>
        <w:tc>
          <w:tcPr>
            <w:tcW w:w="1418" w:type="dxa"/>
            <w:tcBorders>
              <w:top w:val="single" w:sz="6" w:space="0" w:color="BA61C9" w:themeColor="accent1" w:themeTint="99"/>
              <w:left w:val="single" w:sz="6" w:space="0" w:color="BA61C9" w:themeColor="accent1" w:themeTint="99"/>
              <w:bottom w:val="single" w:sz="6" w:space="0" w:color="BA61C9" w:themeColor="accent1" w:themeTint="99"/>
              <w:right w:val="single" w:sz="6" w:space="0" w:color="BA61C9" w:themeColor="accent1" w:themeTint="99"/>
            </w:tcBorders>
            <w:vAlign w:val="center"/>
          </w:tcPr>
          <w:p w14:paraId="272A1996" w14:textId="77777777" w:rsidR="000C2F5E" w:rsidRPr="007C1E37" w:rsidRDefault="000C2F5E" w:rsidP="001E519A">
            <w:pPr>
              <w:spacing w:before="60" w:after="60"/>
              <w:ind w:right="397"/>
              <w:jc w:val="right"/>
              <w:cnfStyle w:val="000000000000" w:firstRow="0" w:lastRow="0" w:firstColumn="0" w:lastColumn="0" w:oddVBand="0" w:evenVBand="0" w:oddHBand="0" w:evenHBand="0" w:firstRowFirstColumn="0" w:firstRowLastColumn="0" w:lastRowFirstColumn="0" w:lastRowLastColumn="0"/>
              <w:rPr>
                <w:sz w:val="20"/>
                <w:szCs w:val="20"/>
              </w:rPr>
            </w:pPr>
            <w:r w:rsidRPr="007C1E37">
              <w:rPr>
                <w:sz w:val="20"/>
                <w:szCs w:val="20"/>
              </w:rPr>
              <w:t>+19%</w:t>
            </w:r>
          </w:p>
        </w:tc>
      </w:tr>
    </w:tbl>
    <w:p w14:paraId="572A0536" w14:textId="77777777" w:rsidR="000C2F5E" w:rsidRPr="008034CE" w:rsidRDefault="000C2F5E" w:rsidP="000C2F5E">
      <w:pPr>
        <w:pStyle w:val="Sourcefortableorfigure"/>
        <w:spacing w:before="240"/>
      </w:pPr>
      <w:r w:rsidRPr="008034CE">
        <w:t>Source: NDIS internal administrative data</w:t>
      </w:r>
    </w:p>
    <w:p w14:paraId="0216BF9D" w14:textId="77777777" w:rsidR="000C2F5E" w:rsidRPr="008034CE" w:rsidRDefault="000C2F5E" w:rsidP="000C2F5E">
      <w:pPr>
        <w:pStyle w:val="Notefortableorfigure"/>
      </w:pPr>
      <w:r w:rsidRPr="008034CE">
        <w:t>Please note a discrepancy in the total number of ‘active’ therapy providers, attributable to two factors. 1) some providers offer a mix of registered and unregistered supports, leading to their classification in both categories. 2) a small fraction of providers with undetermined registration status contributes to total payment figures but is excluded from detailed tabulation, representing less than 1% of the overall financial transactions.</w:t>
      </w:r>
    </w:p>
    <w:p w14:paraId="36CFE239" w14:textId="7F102F22" w:rsidR="00AF0272" w:rsidRDefault="00AF0272">
      <w:pPr>
        <w:spacing w:before="120" w:after="120"/>
      </w:pPr>
      <w:r>
        <w:br w:type="page"/>
      </w:r>
    </w:p>
    <w:p w14:paraId="2F21C923" w14:textId="46B8D348" w:rsidR="00AF0272" w:rsidRPr="008034CE" w:rsidRDefault="00AF0272" w:rsidP="00AF0272">
      <w:pPr>
        <w:pStyle w:val="Caption"/>
      </w:pPr>
      <w:bookmarkStart w:id="272" w:name="_Ref195540694"/>
      <w:r w:rsidRPr="008034CE">
        <w:lastRenderedPageBreak/>
        <w:t xml:space="preserve">Figure </w:t>
      </w:r>
      <w:r w:rsidR="005763F9">
        <w:fldChar w:fldCharType="begin"/>
      </w:r>
      <w:r w:rsidR="005763F9">
        <w:instrText xml:space="preserve"> SEQ Figure \* ARABIC </w:instrText>
      </w:r>
      <w:r w:rsidR="005763F9">
        <w:fldChar w:fldCharType="separate"/>
      </w:r>
      <w:r w:rsidR="005763F9">
        <w:rPr>
          <w:noProof/>
        </w:rPr>
        <w:t>10</w:t>
      </w:r>
      <w:r w:rsidR="005763F9">
        <w:rPr>
          <w:noProof/>
        </w:rPr>
        <w:fldChar w:fldCharType="end"/>
      </w:r>
      <w:bookmarkEnd w:id="272"/>
      <w:r w:rsidRPr="008034CE">
        <w:t>: Total Payments for Therapy Support Items by Provider Registration Status, January 2022 to December 2024</w:t>
      </w:r>
    </w:p>
    <w:p w14:paraId="3E2E14CA" w14:textId="77777777" w:rsidR="00AF0272" w:rsidRPr="008034CE" w:rsidRDefault="00AF0272" w:rsidP="00AF0272">
      <w:pPr>
        <w:jc w:val="center"/>
      </w:pPr>
      <w:r w:rsidRPr="008034CE">
        <w:rPr>
          <w:noProof/>
        </w:rPr>
        <w:drawing>
          <wp:inline distT="0" distB="0" distL="0" distR="0" wp14:anchorId="78A1790A" wp14:editId="37FA0F56">
            <wp:extent cx="4679950" cy="2691682"/>
            <wp:effectExtent l="0" t="0" r="6350" b="0"/>
            <wp:docPr id="432014414" name="Picture 3" descr="A column graph showing the total payments for therapy support items for registered and unregistered providers. The graph shows that majority of payments are going to registered providers, however the amounts claimed by unregistered providers are slowly increasing.&#10;&#10;From January to June 2022, 74% of total payments went to registered providers, whilst 25% went to unregistered providers, and roughly 1% went to providers with unknown registration status.&#10;&#10;From July to December 2022, 72% of total payments went to registered providers, whilst 28% went to unregistered providers, and roughly 1% went to providers with unknown registration status.&#10;&#10;From January to June 2023, 68% of total payments went to registered providers, whilst 31% went to unregistered providers, and roughly 1% went to providers with unknown registration status.&#10;&#10;From July to December 2023, 65% of total payments went to registered providers, whilst 35% went to unregistered providers, and roughly 1% went to providers with unknown registration status.&#10;&#10;From January to June 2024, 62% of total payments went to registered providers, whilst 37% went to unregistered providers, and roughly 1% went to providers with unknown registration status.&#10;&#10;From July to December 2024, 62% of total payments went to registered providers, whilst 38% went to unregistered providers, and roughly 1% went to providers with unknown registration status.&#10;&#10;Source: NDIS internal administrative dat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014414" name="Picture 3" descr="A column graph showing the total payments for therapy support items for registered and unregistered providers. The graph shows that majority of payments are going to registered providers, however the amounts claimed by unregistered providers are slowly increasing.&#10;&#10;From January to June 2022, 74% of total payments went to registered providers, whilst 25% went to unregistered providers, and roughly 1% went to providers with unknown registration status.&#10;&#10;From July to December 2022, 72% of total payments went to registered providers, whilst 28% went to unregistered providers, and roughly 1% went to providers with unknown registration status.&#10;&#10;From January to June 2023, 68% of total payments went to registered providers, whilst 31% went to unregistered providers, and roughly 1% went to providers with unknown registration status.&#10;&#10;From July to December 2023, 65% of total payments went to registered providers, whilst 35% went to unregistered providers, and roughly 1% went to providers with unknown registration status.&#10;&#10;From January to June 2024, 62% of total payments went to registered providers, whilst 37% went to unregistered providers, and roughly 1% went to providers with unknown registration status.&#10;&#10;From July to December 2024, 62% of total payments went to registered providers, whilst 38% went to unregistered providers, and roughly 1% went to providers with unknown registration status.&#10;&#10;Source: NDIS internal administrative data.&#10;"/>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679950" cy="2691682"/>
                    </a:xfrm>
                    <a:prstGeom prst="rect">
                      <a:avLst/>
                    </a:prstGeom>
                  </pic:spPr>
                </pic:pic>
              </a:graphicData>
            </a:graphic>
          </wp:inline>
        </w:drawing>
      </w:r>
    </w:p>
    <w:p w14:paraId="08E05165" w14:textId="77777777" w:rsidR="00AF0272" w:rsidRPr="008034CE" w:rsidRDefault="00AF0272" w:rsidP="00BE2200">
      <w:pPr>
        <w:pStyle w:val="Heading5"/>
        <w:spacing w:after="120"/>
      </w:pPr>
      <w:bookmarkStart w:id="273" w:name="_Toc195538923"/>
      <w:bookmarkStart w:id="274" w:name="_Toc200103503"/>
      <w:bookmarkStart w:id="275" w:name="_Toc200271616"/>
      <w:r w:rsidRPr="008034CE">
        <w:t>Geographic Spread</w:t>
      </w:r>
      <w:bookmarkEnd w:id="273"/>
      <w:bookmarkEnd w:id="274"/>
      <w:bookmarkEnd w:id="275"/>
    </w:p>
    <w:p w14:paraId="209F3229" w14:textId="25A72B9A" w:rsidR="00AF0272" w:rsidRPr="008034CE" w:rsidRDefault="00AF0272" w:rsidP="00AF0272">
      <w:r w:rsidRPr="008034CE">
        <w:t>The therapy market has evolved not only in size but also in geographic distribution. Between January 2022 and December 2024, the number of unregistered providers more than doubled in remote and very remote areas (</w:t>
      </w:r>
      <w:r w:rsidRPr="008034CE">
        <w:fldChar w:fldCharType="begin"/>
      </w:r>
      <w:r w:rsidRPr="008034CE">
        <w:instrText xml:space="preserve"> REF _Ref195540178 \h  \* MERGEFORMAT </w:instrText>
      </w:r>
      <w:r w:rsidRPr="008034CE">
        <w:fldChar w:fldCharType="separate"/>
      </w:r>
      <w:r w:rsidR="005763F9" w:rsidRPr="008034CE">
        <w:t xml:space="preserve">Table </w:t>
      </w:r>
      <w:r w:rsidR="005763F9">
        <w:t>15</w:t>
      </w:r>
      <w:r w:rsidRPr="008034CE">
        <w:fldChar w:fldCharType="end"/>
      </w:r>
      <w:r w:rsidRPr="008034CE">
        <w:t>). Over the same period, registered provider numbers declined by 16% in non-remote areas, with growth limited to remote and very remote regions (</w:t>
      </w:r>
      <w:r w:rsidRPr="008034CE">
        <w:fldChar w:fldCharType="begin"/>
      </w:r>
      <w:r w:rsidRPr="008034CE">
        <w:instrText xml:space="preserve"> REF _Ref195540187 \h  \* MERGEFORMAT </w:instrText>
      </w:r>
      <w:r w:rsidRPr="008034CE">
        <w:fldChar w:fldCharType="separate"/>
      </w:r>
      <w:r w:rsidR="005763F9" w:rsidRPr="008034CE">
        <w:t xml:space="preserve">Table </w:t>
      </w:r>
      <w:r w:rsidR="005763F9">
        <w:t>14</w:t>
      </w:r>
      <w:r w:rsidRPr="008034CE">
        <w:fldChar w:fldCharType="end"/>
      </w:r>
      <w:r w:rsidRPr="008034CE">
        <w:t>).</w:t>
      </w:r>
    </w:p>
    <w:p w14:paraId="165417A7" w14:textId="77777777" w:rsidR="00AF0272" w:rsidRPr="008034CE" w:rsidRDefault="00AF0272" w:rsidP="00AF0272">
      <w:r w:rsidRPr="008034CE">
        <w:t xml:space="preserve">These patterns suggest that unregistered providers are increasingly filling service gaps in areas where operating at scale may be more challenging. More flexible business models and lower administrative overheads may enable these providers to respond more readily to local demand. </w:t>
      </w:r>
    </w:p>
    <w:p w14:paraId="331C2375" w14:textId="53B4DDE3" w:rsidR="00AF0272" w:rsidRDefault="00AF0272" w:rsidP="00AF0272">
      <w:pPr>
        <w:pStyle w:val="Caption"/>
      </w:pPr>
      <w:bookmarkStart w:id="276" w:name="_Ref195540187"/>
      <w:r w:rsidRPr="008034CE">
        <w:t xml:space="preserve">Table </w:t>
      </w:r>
      <w:r w:rsidR="005763F9">
        <w:fldChar w:fldCharType="begin"/>
      </w:r>
      <w:r w:rsidR="005763F9">
        <w:instrText xml:space="preserve"> SEQ Table \* ARABIC </w:instrText>
      </w:r>
      <w:r w:rsidR="005763F9">
        <w:fldChar w:fldCharType="separate"/>
      </w:r>
      <w:r w:rsidR="005763F9">
        <w:rPr>
          <w:noProof/>
        </w:rPr>
        <w:t>14</w:t>
      </w:r>
      <w:r w:rsidR="005763F9">
        <w:rPr>
          <w:noProof/>
        </w:rPr>
        <w:fldChar w:fldCharType="end"/>
      </w:r>
      <w:bookmarkEnd w:id="276"/>
      <w:r w:rsidRPr="008034CE">
        <w:t>: Registered Providers by Remoteness for Therapy Supports, January 2022 to December 2024</w:t>
      </w:r>
    </w:p>
    <w:tbl>
      <w:tblPr>
        <w:tblStyle w:val="GridTable4-Accent12"/>
        <w:tblW w:w="0" w:type="auto"/>
        <w:tblInd w:w="-5" w:type="dxa"/>
        <w:tblLayout w:type="fixed"/>
        <w:tblLook w:val="0420" w:firstRow="1" w:lastRow="0" w:firstColumn="0" w:lastColumn="0" w:noHBand="0" w:noVBand="1"/>
      </w:tblPr>
      <w:tblGrid>
        <w:gridCol w:w="1758"/>
        <w:gridCol w:w="1196"/>
        <w:gridCol w:w="1196"/>
        <w:gridCol w:w="1196"/>
        <w:gridCol w:w="1196"/>
        <w:gridCol w:w="1196"/>
        <w:gridCol w:w="1196"/>
      </w:tblGrid>
      <w:tr w:rsidR="00AF0272" w:rsidRPr="007C1E37" w14:paraId="0CE3D9C5" w14:textId="77777777" w:rsidTr="001E519A">
        <w:trPr>
          <w:cnfStyle w:val="100000000000" w:firstRow="1" w:lastRow="0" w:firstColumn="0" w:lastColumn="0" w:oddVBand="0" w:evenVBand="0" w:oddHBand="0" w:evenHBand="0" w:firstRowFirstColumn="0" w:firstRowLastColumn="0" w:lastRowFirstColumn="0" w:lastRowLastColumn="0"/>
          <w:trHeight w:val="567"/>
          <w:tblHeader/>
        </w:trPr>
        <w:tc>
          <w:tcPr>
            <w:tcW w:w="1758" w:type="dxa"/>
            <w:tcBorders>
              <w:top w:val="single" w:sz="4" w:space="0" w:color="501E58" w:themeColor="accent5" w:themeShade="BF"/>
              <w:left w:val="single" w:sz="4" w:space="0" w:color="501E58" w:themeColor="accent5" w:themeShade="BF"/>
              <w:bottom w:val="single" w:sz="4" w:space="0" w:color="501E58" w:themeColor="accent5" w:themeShade="BF"/>
              <w:right w:val="single" w:sz="6" w:space="0" w:color="501E58" w:themeColor="accent5" w:themeShade="BF"/>
            </w:tcBorders>
          </w:tcPr>
          <w:p w14:paraId="172FC4C2" w14:textId="77777777" w:rsidR="00AF0272" w:rsidRPr="007C1E37" w:rsidRDefault="00AF0272" w:rsidP="001E519A">
            <w:pPr>
              <w:spacing w:before="60" w:after="60"/>
              <w:rPr>
                <w:rFonts w:cs="Arial"/>
                <w:sz w:val="20"/>
                <w:szCs w:val="20"/>
                <w:lang w:eastAsia="en-AU"/>
              </w:rPr>
            </w:pPr>
            <w:r w:rsidRPr="007C1E37">
              <w:rPr>
                <w:sz w:val="20"/>
                <w:szCs w:val="20"/>
              </w:rPr>
              <w:t>Remoteness</w:t>
            </w:r>
          </w:p>
        </w:tc>
        <w:tc>
          <w:tcPr>
            <w:tcW w:w="1196"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tcPr>
          <w:p w14:paraId="1E9BFA1B" w14:textId="77777777" w:rsidR="00AF0272" w:rsidRPr="000C2665" w:rsidRDefault="00AF0272" w:rsidP="001E519A">
            <w:pPr>
              <w:spacing w:before="60" w:after="0"/>
              <w:jc w:val="center"/>
              <w:rPr>
                <w:b w:val="0"/>
                <w:bCs w:val="0"/>
                <w:sz w:val="20"/>
                <w:szCs w:val="20"/>
              </w:rPr>
            </w:pPr>
            <w:r w:rsidRPr="000C2665">
              <w:rPr>
                <w:sz w:val="20"/>
                <w:szCs w:val="20"/>
              </w:rPr>
              <w:t xml:space="preserve">January </w:t>
            </w:r>
            <w:r w:rsidRPr="00807411">
              <w:rPr>
                <w:rFonts w:cs="Arial"/>
                <w:b w:val="0"/>
                <w:bCs w:val="0"/>
                <w:sz w:val="20"/>
                <w:szCs w:val="20"/>
              </w:rPr>
              <w:t>–</w:t>
            </w:r>
            <w:r w:rsidRPr="000C2665">
              <w:rPr>
                <w:sz w:val="20"/>
                <w:szCs w:val="20"/>
              </w:rPr>
              <w:t>June</w:t>
            </w:r>
          </w:p>
          <w:p w14:paraId="60D6970D" w14:textId="77777777" w:rsidR="00AF0272" w:rsidRPr="007C1E37" w:rsidRDefault="00AF0272" w:rsidP="001E519A">
            <w:pPr>
              <w:spacing w:after="60"/>
              <w:jc w:val="center"/>
              <w:rPr>
                <w:rFonts w:cs="Arial"/>
                <w:sz w:val="20"/>
                <w:szCs w:val="20"/>
                <w:lang w:eastAsia="en-AU"/>
              </w:rPr>
            </w:pPr>
            <w:r w:rsidRPr="000C2665">
              <w:rPr>
                <w:sz w:val="20"/>
                <w:szCs w:val="20"/>
              </w:rPr>
              <w:t>2022</w:t>
            </w:r>
          </w:p>
        </w:tc>
        <w:tc>
          <w:tcPr>
            <w:tcW w:w="1196"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tcPr>
          <w:p w14:paraId="236DC53C" w14:textId="77777777" w:rsidR="00AF0272" w:rsidRPr="007C1E37" w:rsidRDefault="00AF0272" w:rsidP="001E519A">
            <w:pPr>
              <w:spacing w:before="60" w:after="60"/>
              <w:jc w:val="center"/>
              <w:rPr>
                <w:rFonts w:cs="Arial"/>
                <w:sz w:val="20"/>
                <w:szCs w:val="20"/>
                <w:lang w:eastAsia="en-AU"/>
              </w:rPr>
            </w:pPr>
            <w:r w:rsidRPr="000C2665">
              <w:rPr>
                <w:sz w:val="20"/>
                <w:szCs w:val="20"/>
              </w:rPr>
              <w:t xml:space="preserve">July </w:t>
            </w:r>
            <w:r w:rsidRPr="00807411">
              <w:rPr>
                <w:rFonts w:cs="Arial"/>
                <w:b w:val="0"/>
                <w:bCs w:val="0"/>
                <w:sz w:val="20"/>
                <w:szCs w:val="20"/>
              </w:rPr>
              <w:t>–</w:t>
            </w:r>
            <w:r w:rsidRPr="000C2665">
              <w:rPr>
                <w:sz w:val="20"/>
                <w:szCs w:val="20"/>
              </w:rPr>
              <w:t>December 2022</w:t>
            </w:r>
          </w:p>
        </w:tc>
        <w:tc>
          <w:tcPr>
            <w:tcW w:w="1196"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tcPr>
          <w:p w14:paraId="45345DC5" w14:textId="77777777" w:rsidR="00AF0272" w:rsidRPr="000C2665" w:rsidRDefault="00AF0272" w:rsidP="001E519A">
            <w:pPr>
              <w:spacing w:before="60" w:after="0"/>
              <w:jc w:val="center"/>
              <w:rPr>
                <w:b w:val="0"/>
                <w:bCs w:val="0"/>
                <w:sz w:val="20"/>
                <w:szCs w:val="20"/>
              </w:rPr>
            </w:pPr>
            <w:r w:rsidRPr="000C2665">
              <w:rPr>
                <w:sz w:val="20"/>
                <w:szCs w:val="20"/>
              </w:rPr>
              <w:t xml:space="preserve">January </w:t>
            </w:r>
            <w:r w:rsidRPr="00807411">
              <w:rPr>
                <w:rFonts w:cs="Arial"/>
                <w:b w:val="0"/>
                <w:bCs w:val="0"/>
                <w:sz w:val="20"/>
                <w:szCs w:val="20"/>
              </w:rPr>
              <w:t>–</w:t>
            </w:r>
            <w:r w:rsidRPr="000C2665">
              <w:rPr>
                <w:sz w:val="20"/>
                <w:szCs w:val="20"/>
              </w:rPr>
              <w:t>June</w:t>
            </w:r>
          </w:p>
          <w:p w14:paraId="04FE39A5" w14:textId="77777777" w:rsidR="00AF0272" w:rsidRPr="007C1E37" w:rsidRDefault="00AF0272" w:rsidP="001E519A">
            <w:pPr>
              <w:spacing w:after="60"/>
              <w:jc w:val="center"/>
              <w:rPr>
                <w:rFonts w:cs="Arial"/>
                <w:sz w:val="20"/>
                <w:szCs w:val="20"/>
                <w:lang w:eastAsia="en-AU"/>
              </w:rPr>
            </w:pPr>
            <w:r w:rsidRPr="000C2665">
              <w:rPr>
                <w:sz w:val="20"/>
                <w:szCs w:val="20"/>
              </w:rPr>
              <w:t>2023</w:t>
            </w:r>
          </w:p>
        </w:tc>
        <w:tc>
          <w:tcPr>
            <w:tcW w:w="1196"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tcPr>
          <w:p w14:paraId="27F611B6" w14:textId="77777777" w:rsidR="00AF0272" w:rsidRPr="007C1E37" w:rsidRDefault="00AF0272" w:rsidP="001E519A">
            <w:pPr>
              <w:spacing w:before="60" w:after="60"/>
              <w:jc w:val="center"/>
              <w:rPr>
                <w:rFonts w:cs="Arial"/>
                <w:sz w:val="20"/>
                <w:szCs w:val="20"/>
                <w:lang w:eastAsia="en-AU"/>
              </w:rPr>
            </w:pPr>
            <w:r w:rsidRPr="000C2665">
              <w:rPr>
                <w:sz w:val="20"/>
                <w:szCs w:val="20"/>
              </w:rPr>
              <w:t xml:space="preserve">July </w:t>
            </w:r>
            <w:r w:rsidRPr="00807411">
              <w:rPr>
                <w:rFonts w:cs="Arial"/>
                <w:b w:val="0"/>
                <w:bCs w:val="0"/>
                <w:sz w:val="20"/>
                <w:szCs w:val="20"/>
              </w:rPr>
              <w:t>–</w:t>
            </w:r>
            <w:r w:rsidRPr="000C2665">
              <w:rPr>
                <w:sz w:val="20"/>
                <w:szCs w:val="20"/>
              </w:rPr>
              <w:t>December 2023</w:t>
            </w:r>
          </w:p>
        </w:tc>
        <w:tc>
          <w:tcPr>
            <w:tcW w:w="1196"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tcPr>
          <w:p w14:paraId="26123162" w14:textId="77777777" w:rsidR="00AF0272" w:rsidRPr="000C2665" w:rsidRDefault="00AF0272" w:rsidP="001E519A">
            <w:pPr>
              <w:spacing w:before="60" w:after="0"/>
              <w:jc w:val="center"/>
              <w:rPr>
                <w:b w:val="0"/>
                <w:bCs w:val="0"/>
                <w:sz w:val="20"/>
                <w:szCs w:val="20"/>
              </w:rPr>
            </w:pPr>
            <w:r w:rsidRPr="000C2665">
              <w:rPr>
                <w:sz w:val="20"/>
                <w:szCs w:val="20"/>
              </w:rPr>
              <w:t xml:space="preserve">January </w:t>
            </w:r>
            <w:r w:rsidRPr="00807411">
              <w:rPr>
                <w:rFonts w:cs="Arial"/>
                <w:b w:val="0"/>
                <w:bCs w:val="0"/>
                <w:sz w:val="20"/>
                <w:szCs w:val="20"/>
              </w:rPr>
              <w:t>–</w:t>
            </w:r>
            <w:r w:rsidRPr="000C2665">
              <w:rPr>
                <w:sz w:val="20"/>
                <w:szCs w:val="20"/>
              </w:rPr>
              <w:t>June</w:t>
            </w:r>
          </w:p>
          <w:p w14:paraId="22FD5445" w14:textId="77777777" w:rsidR="00AF0272" w:rsidRPr="007C1E37" w:rsidRDefault="00AF0272" w:rsidP="001E519A">
            <w:pPr>
              <w:spacing w:after="60"/>
              <w:jc w:val="center"/>
              <w:rPr>
                <w:rFonts w:cs="Arial"/>
                <w:sz w:val="20"/>
                <w:szCs w:val="20"/>
                <w:lang w:eastAsia="en-AU"/>
              </w:rPr>
            </w:pPr>
            <w:r w:rsidRPr="000C2665">
              <w:rPr>
                <w:sz w:val="20"/>
                <w:szCs w:val="20"/>
              </w:rPr>
              <w:t>2024</w:t>
            </w:r>
          </w:p>
        </w:tc>
        <w:tc>
          <w:tcPr>
            <w:tcW w:w="1196" w:type="dxa"/>
            <w:tcBorders>
              <w:top w:val="single" w:sz="4" w:space="0" w:color="501E58" w:themeColor="accent5" w:themeShade="BF"/>
              <w:left w:val="single" w:sz="6" w:space="0" w:color="501E58" w:themeColor="accent5" w:themeShade="BF"/>
              <w:bottom w:val="single" w:sz="4" w:space="0" w:color="501E58" w:themeColor="accent5" w:themeShade="BF"/>
              <w:right w:val="single" w:sz="4" w:space="0" w:color="501E58" w:themeColor="accent5" w:themeShade="BF"/>
            </w:tcBorders>
          </w:tcPr>
          <w:p w14:paraId="6B96A279" w14:textId="77777777" w:rsidR="00AF0272" w:rsidRPr="007C1E37" w:rsidRDefault="00AF0272" w:rsidP="001E519A">
            <w:pPr>
              <w:spacing w:before="60" w:after="60"/>
              <w:jc w:val="center"/>
              <w:rPr>
                <w:rFonts w:cs="Arial"/>
                <w:sz w:val="20"/>
                <w:szCs w:val="20"/>
                <w:lang w:eastAsia="en-AU"/>
              </w:rPr>
            </w:pPr>
            <w:r w:rsidRPr="000C2665">
              <w:rPr>
                <w:sz w:val="20"/>
                <w:szCs w:val="20"/>
              </w:rPr>
              <w:t xml:space="preserve">July </w:t>
            </w:r>
            <w:r w:rsidRPr="00807411">
              <w:rPr>
                <w:rFonts w:cs="Arial"/>
                <w:b w:val="0"/>
                <w:bCs w:val="0"/>
                <w:sz w:val="20"/>
                <w:szCs w:val="20"/>
              </w:rPr>
              <w:t>–</w:t>
            </w:r>
            <w:r w:rsidRPr="000C2665">
              <w:rPr>
                <w:sz w:val="20"/>
                <w:szCs w:val="20"/>
              </w:rPr>
              <w:t>December 2024</w:t>
            </w:r>
          </w:p>
        </w:tc>
      </w:tr>
      <w:tr w:rsidR="00AF0272" w:rsidRPr="007C1E37" w14:paraId="5F80C460" w14:textId="77777777" w:rsidTr="001E519A">
        <w:trPr>
          <w:cnfStyle w:val="000000100000" w:firstRow="0" w:lastRow="0" w:firstColumn="0" w:lastColumn="0" w:oddVBand="0" w:evenVBand="0" w:oddHBand="1" w:evenHBand="0" w:firstRowFirstColumn="0" w:firstRowLastColumn="0" w:lastRowFirstColumn="0" w:lastRowLastColumn="0"/>
          <w:trHeight w:val="397"/>
        </w:trPr>
        <w:tc>
          <w:tcPr>
            <w:tcW w:w="1758"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1C261DEE" w14:textId="77777777" w:rsidR="00AF0272" w:rsidRPr="007C1E37" w:rsidRDefault="00AF0272" w:rsidP="001E519A">
            <w:pPr>
              <w:spacing w:before="60" w:after="60"/>
              <w:rPr>
                <w:rFonts w:cs="Arial"/>
                <w:sz w:val="20"/>
                <w:szCs w:val="20"/>
                <w:lang w:eastAsia="en-AU"/>
              </w:rPr>
            </w:pPr>
            <w:r w:rsidRPr="007C1E37">
              <w:rPr>
                <w:sz w:val="20"/>
                <w:szCs w:val="20"/>
              </w:rPr>
              <w:t>Non-</w:t>
            </w:r>
            <w:r>
              <w:rPr>
                <w:sz w:val="20"/>
                <w:szCs w:val="20"/>
              </w:rPr>
              <w:t>r</w:t>
            </w:r>
            <w:r w:rsidRPr="007C1E37">
              <w:rPr>
                <w:sz w:val="20"/>
                <w:szCs w:val="20"/>
              </w:rPr>
              <w:t>emote</w:t>
            </w:r>
          </w:p>
        </w:tc>
        <w:tc>
          <w:tcPr>
            <w:tcW w:w="1196"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7D56F23F" w14:textId="77777777" w:rsidR="00AF0272" w:rsidRPr="007C1E37" w:rsidRDefault="00AF0272" w:rsidP="001E519A">
            <w:pPr>
              <w:spacing w:before="60" w:after="60"/>
              <w:ind w:right="170"/>
              <w:jc w:val="right"/>
              <w:rPr>
                <w:rFonts w:cs="Arial"/>
                <w:color w:val="000000"/>
                <w:sz w:val="20"/>
                <w:szCs w:val="20"/>
                <w:lang w:eastAsia="en-AU"/>
              </w:rPr>
            </w:pPr>
            <w:r w:rsidRPr="007C1E37">
              <w:rPr>
                <w:sz w:val="20"/>
                <w:szCs w:val="20"/>
              </w:rPr>
              <w:t>8,552</w:t>
            </w:r>
          </w:p>
        </w:tc>
        <w:tc>
          <w:tcPr>
            <w:tcW w:w="1196"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0B986356" w14:textId="77777777" w:rsidR="00AF0272" w:rsidRPr="007C1E37" w:rsidRDefault="00AF0272" w:rsidP="001E519A">
            <w:pPr>
              <w:spacing w:before="60" w:after="60"/>
              <w:ind w:right="170"/>
              <w:jc w:val="right"/>
              <w:rPr>
                <w:rFonts w:cs="Arial"/>
                <w:color w:val="000000"/>
                <w:sz w:val="20"/>
                <w:szCs w:val="20"/>
                <w:lang w:eastAsia="en-AU"/>
              </w:rPr>
            </w:pPr>
            <w:r w:rsidRPr="007C1E37">
              <w:rPr>
                <w:sz w:val="20"/>
                <w:szCs w:val="20"/>
              </w:rPr>
              <w:t>8,735</w:t>
            </w:r>
          </w:p>
        </w:tc>
        <w:tc>
          <w:tcPr>
            <w:tcW w:w="1196"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702784E0" w14:textId="77777777" w:rsidR="00AF0272" w:rsidRPr="007C1E37" w:rsidRDefault="00AF0272" w:rsidP="001E519A">
            <w:pPr>
              <w:spacing w:before="60" w:after="60"/>
              <w:ind w:right="170"/>
              <w:jc w:val="right"/>
              <w:rPr>
                <w:rFonts w:cs="Arial"/>
                <w:color w:val="000000"/>
                <w:sz w:val="20"/>
                <w:szCs w:val="20"/>
                <w:lang w:eastAsia="en-AU"/>
              </w:rPr>
            </w:pPr>
            <w:r w:rsidRPr="007C1E37">
              <w:rPr>
                <w:sz w:val="20"/>
                <w:szCs w:val="20"/>
              </w:rPr>
              <w:t>8,252</w:t>
            </w:r>
          </w:p>
        </w:tc>
        <w:tc>
          <w:tcPr>
            <w:tcW w:w="1196"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37216CC7" w14:textId="77777777" w:rsidR="00AF0272" w:rsidRPr="007C1E37" w:rsidRDefault="00AF0272" w:rsidP="001E519A">
            <w:pPr>
              <w:spacing w:before="60" w:after="60"/>
              <w:ind w:right="170"/>
              <w:jc w:val="right"/>
              <w:rPr>
                <w:rFonts w:cs="Arial"/>
                <w:color w:val="000000"/>
                <w:sz w:val="20"/>
                <w:szCs w:val="20"/>
                <w:lang w:eastAsia="en-AU"/>
              </w:rPr>
            </w:pPr>
            <w:r w:rsidRPr="007C1E37">
              <w:rPr>
                <w:sz w:val="20"/>
                <w:szCs w:val="20"/>
              </w:rPr>
              <w:t>7,326</w:t>
            </w:r>
          </w:p>
        </w:tc>
        <w:tc>
          <w:tcPr>
            <w:tcW w:w="1196"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1856DB3F" w14:textId="77777777" w:rsidR="00AF0272" w:rsidRPr="007C1E37" w:rsidRDefault="00AF0272" w:rsidP="001E519A">
            <w:pPr>
              <w:spacing w:before="60" w:after="60"/>
              <w:ind w:right="170"/>
              <w:jc w:val="right"/>
              <w:rPr>
                <w:rFonts w:cs="Arial"/>
                <w:sz w:val="20"/>
                <w:szCs w:val="20"/>
                <w:lang w:eastAsia="en-US"/>
              </w:rPr>
            </w:pPr>
            <w:r w:rsidRPr="00E274DA">
              <w:rPr>
                <w:sz w:val="20"/>
                <w:szCs w:val="20"/>
              </w:rPr>
              <w:t>7,08</w:t>
            </w:r>
            <w:r>
              <w:rPr>
                <w:sz w:val="20"/>
                <w:szCs w:val="20"/>
              </w:rPr>
              <w:t>3</w:t>
            </w:r>
          </w:p>
        </w:tc>
        <w:tc>
          <w:tcPr>
            <w:tcW w:w="1196"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5725C844" w14:textId="77777777" w:rsidR="00AF0272" w:rsidRPr="007C1E37" w:rsidRDefault="00AF0272" w:rsidP="001E519A">
            <w:pPr>
              <w:spacing w:before="60" w:after="60"/>
              <w:ind w:right="170"/>
              <w:jc w:val="right"/>
              <w:rPr>
                <w:rFonts w:cs="Arial"/>
                <w:sz w:val="20"/>
                <w:szCs w:val="20"/>
              </w:rPr>
            </w:pPr>
            <w:r w:rsidRPr="007C1E37">
              <w:rPr>
                <w:sz w:val="20"/>
                <w:szCs w:val="20"/>
              </w:rPr>
              <w:t>7,195</w:t>
            </w:r>
          </w:p>
        </w:tc>
      </w:tr>
      <w:tr w:rsidR="00AF0272" w:rsidRPr="007C1E37" w14:paraId="259D49EE" w14:textId="77777777" w:rsidTr="001E519A">
        <w:trPr>
          <w:trHeight w:val="397"/>
        </w:trPr>
        <w:tc>
          <w:tcPr>
            <w:tcW w:w="175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69FA7163" w14:textId="77777777" w:rsidR="00AF0272" w:rsidRPr="007C1E37" w:rsidRDefault="00AF0272" w:rsidP="001E519A">
            <w:pPr>
              <w:spacing w:before="60" w:after="60"/>
              <w:rPr>
                <w:rFonts w:cs="Arial"/>
                <w:sz w:val="20"/>
                <w:szCs w:val="20"/>
                <w:lang w:eastAsia="en-AU"/>
              </w:rPr>
            </w:pPr>
            <w:r w:rsidRPr="007C1E37">
              <w:rPr>
                <w:sz w:val="20"/>
                <w:szCs w:val="20"/>
              </w:rPr>
              <w:t>Remote</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47DCCCFD" w14:textId="77777777" w:rsidR="00AF0272" w:rsidRPr="007C1E37" w:rsidRDefault="00AF0272" w:rsidP="001E519A">
            <w:pPr>
              <w:spacing w:before="60" w:after="60"/>
              <w:ind w:right="170"/>
              <w:jc w:val="right"/>
              <w:rPr>
                <w:rFonts w:cs="Arial"/>
                <w:color w:val="000000"/>
                <w:sz w:val="20"/>
                <w:szCs w:val="20"/>
                <w:lang w:eastAsia="en-AU"/>
              </w:rPr>
            </w:pPr>
            <w:r w:rsidRPr="007C1E37">
              <w:rPr>
                <w:sz w:val="20"/>
                <w:szCs w:val="20"/>
              </w:rPr>
              <w:t>534</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7CB0E092" w14:textId="77777777" w:rsidR="00AF0272" w:rsidRPr="007C1E37" w:rsidRDefault="00AF0272" w:rsidP="001E519A">
            <w:pPr>
              <w:spacing w:before="60" w:after="60"/>
              <w:ind w:right="170"/>
              <w:jc w:val="right"/>
              <w:rPr>
                <w:rFonts w:cs="Arial"/>
                <w:color w:val="000000"/>
                <w:sz w:val="20"/>
                <w:szCs w:val="20"/>
                <w:lang w:eastAsia="en-AU"/>
              </w:rPr>
            </w:pPr>
            <w:r w:rsidRPr="007C1E37">
              <w:rPr>
                <w:sz w:val="20"/>
                <w:szCs w:val="20"/>
              </w:rPr>
              <w:t>520</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28A43900" w14:textId="77777777" w:rsidR="00AF0272" w:rsidRPr="007C1E37" w:rsidRDefault="00AF0272" w:rsidP="001E519A">
            <w:pPr>
              <w:spacing w:before="60" w:after="60"/>
              <w:ind w:right="170"/>
              <w:jc w:val="right"/>
              <w:rPr>
                <w:rFonts w:cs="Arial"/>
                <w:color w:val="000000"/>
                <w:sz w:val="20"/>
                <w:szCs w:val="20"/>
                <w:lang w:eastAsia="en-AU"/>
              </w:rPr>
            </w:pPr>
            <w:r w:rsidRPr="007C1E37">
              <w:rPr>
                <w:sz w:val="20"/>
                <w:szCs w:val="20"/>
              </w:rPr>
              <w:t>522</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3F2B877F" w14:textId="77777777" w:rsidR="00AF0272" w:rsidRPr="007C1E37" w:rsidRDefault="00AF0272" w:rsidP="001E519A">
            <w:pPr>
              <w:spacing w:before="60" w:after="60"/>
              <w:ind w:right="170"/>
              <w:jc w:val="right"/>
              <w:rPr>
                <w:rFonts w:cs="Arial"/>
                <w:color w:val="000000"/>
                <w:sz w:val="20"/>
                <w:szCs w:val="20"/>
                <w:lang w:eastAsia="en-AU"/>
              </w:rPr>
            </w:pPr>
            <w:r w:rsidRPr="007C1E37">
              <w:rPr>
                <w:sz w:val="20"/>
                <w:szCs w:val="20"/>
              </w:rPr>
              <w:t>519</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03F9EC75" w14:textId="77777777" w:rsidR="00AF0272" w:rsidRPr="007C1E37" w:rsidRDefault="00AF0272" w:rsidP="001E519A">
            <w:pPr>
              <w:spacing w:before="60" w:after="60"/>
              <w:ind w:right="170"/>
              <w:jc w:val="right"/>
              <w:rPr>
                <w:rFonts w:cs="Arial"/>
                <w:sz w:val="20"/>
                <w:szCs w:val="20"/>
                <w:lang w:eastAsia="en-US"/>
              </w:rPr>
            </w:pPr>
            <w:r w:rsidRPr="007C1E37">
              <w:rPr>
                <w:sz w:val="20"/>
                <w:szCs w:val="20"/>
              </w:rPr>
              <w:t>616</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25F0E566" w14:textId="77777777" w:rsidR="00AF0272" w:rsidRPr="007C1E37" w:rsidRDefault="00AF0272" w:rsidP="001E519A">
            <w:pPr>
              <w:spacing w:before="60" w:after="60"/>
              <w:ind w:right="170"/>
              <w:jc w:val="right"/>
              <w:rPr>
                <w:rFonts w:cs="Arial"/>
                <w:sz w:val="20"/>
                <w:szCs w:val="20"/>
              </w:rPr>
            </w:pPr>
            <w:r w:rsidRPr="007C1E37">
              <w:rPr>
                <w:sz w:val="20"/>
                <w:szCs w:val="20"/>
              </w:rPr>
              <w:t>609</w:t>
            </w:r>
          </w:p>
        </w:tc>
      </w:tr>
      <w:tr w:rsidR="00AF0272" w:rsidRPr="007C1E37" w14:paraId="121F5C56" w14:textId="77777777" w:rsidTr="001E519A">
        <w:trPr>
          <w:cnfStyle w:val="000000100000" w:firstRow="0" w:lastRow="0" w:firstColumn="0" w:lastColumn="0" w:oddVBand="0" w:evenVBand="0" w:oddHBand="1" w:evenHBand="0" w:firstRowFirstColumn="0" w:firstRowLastColumn="0" w:lastRowFirstColumn="0" w:lastRowLastColumn="0"/>
          <w:trHeight w:val="397"/>
        </w:trPr>
        <w:tc>
          <w:tcPr>
            <w:tcW w:w="175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1E29FB11" w14:textId="77777777" w:rsidR="00AF0272" w:rsidRPr="007C1E37" w:rsidRDefault="00AF0272" w:rsidP="001E519A">
            <w:pPr>
              <w:spacing w:before="60" w:after="60"/>
              <w:rPr>
                <w:rFonts w:cs="Arial"/>
                <w:sz w:val="20"/>
                <w:szCs w:val="20"/>
                <w:lang w:eastAsia="en-AU"/>
              </w:rPr>
            </w:pPr>
            <w:r w:rsidRPr="007C1E37">
              <w:rPr>
                <w:sz w:val="20"/>
                <w:szCs w:val="20"/>
              </w:rPr>
              <w:t xml:space="preserve">Very </w:t>
            </w:r>
            <w:r>
              <w:rPr>
                <w:sz w:val="20"/>
                <w:szCs w:val="20"/>
              </w:rPr>
              <w:t>r</w:t>
            </w:r>
            <w:r w:rsidRPr="007C1E37">
              <w:rPr>
                <w:sz w:val="20"/>
                <w:szCs w:val="20"/>
              </w:rPr>
              <w:t>emote</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4B917937" w14:textId="77777777" w:rsidR="00AF0272" w:rsidRPr="007C1E37" w:rsidRDefault="00AF0272" w:rsidP="001E519A">
            <w:pPr>
              <w:spacing w:before="60" w:after="60"/>
              <w:ind w:right="170"/>
              <w:jc w:val="right"/>
              <w:rPr>
                <w:rFonts w:cs="Arial"/>
                <w:sz w:val="20"/>
                <w:szCs w:val="20"/>
              </w:rPr>
            </w:pPr>
            <w:r w:rsidRPr="007C1E37">
              <w:rPr>
                <w:sz w:val="20"/>
                <w:szCs w:val="20"/>
              </w:rPr>
              <w:t>282</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26E41C1B" w14:textId="77777777" w:rsidR="00AF0272" w:rsidRPr="007C1E37" w:rsidRDefault="00AF0272" w:rsidP="001E519A">
            <w:pPr>
              <w:spacing w:before="60" w:after="60"/>
              <w:ind w:right="170"/>
              <w:jc w:val="right"/>
              <w:rPr>
                <w:rFonts w:cs="Arial"/>
                <w:sz w:val="20"/>
                <w:szCs w:val="20"/>
              </w:rPr>
            </w:pPr>
            <w:r w:rsidRPr="007C1E37">
              <w:rPr>
                <w:sz w:val="20"/>
                <w:szCs w:val="20"/>
              </w:rPr>
              <w:t>300</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18170B95" w14:textId="77777777" w:rsidR="00AF0272" w:rsidRPr="007C1E37" w:rsidRDefault="00AF0272" w:rsidP="001E519A">
            <w:pPr>
              <w:spacing w:before="60" w:after="60"/>
              <w:ind w:right="170"/>
              <w:jc w:val="right"/>
              <w:rPr>
                <w:rFonts w:cs="Arial"/>
                <w:sz w:val="20"/>
                <w:szCs w:val="20"/>
              </w:rPr>
            </w:pPr>
            <w:r w:rsidRPr="007C1E37">
              <w:rPr>
                <w:sz w:val="20"/>
                <w:szCs w:val="20"/>
              </w:rPr>
              <w:t>298</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47240974" w14:textId="77777777" w:rsidR="00AF0272" w:rsidRPr="007C1E37" w:rsidRDefault="00AF0272" w:rsidP="001E519A">
            <w:pPr>
              <w:spacing w:before="60" w:after="60"/>
              <w:ind w:right="170"/>
              <w:jc w:val="right"/>
              <w:rPr>
                <w:rFonts w:cs="Arial"/>
                <w:sz w:val="20"/>
                <w:szCs w:val="20"/>
              </w:rPr>
            </w:pPr>
            <w:r w:rsidRPr="007C1E37">
              <w:rPr>
                <w:sz w:val="20"/>
                <w:szCs w:val="20"/>
              </w:rPr>
              <w:t>324</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4C8B7511" w14:textId="77777777" w:rsidR="00AF0272" w:rsidRPr="007C1E37" w:rsidRDefault="00AF0272" w:rsidP="001E519A">
            <w:pPr>
              <w:spacing w:before="60" w:after="60"/>
              <w:ind w:right="170"/>
              <w:jc w:val="right"/>
              <w:rPr>
                <w:rFonts w:cs="Arial"/>
                <w:sz w:val="20"/>
                <w:szCs w:val="20"/>
              </w:rPr>
            </w:pPr>
            <w:r w:rsidRPr="007C1E37">
              <w:rPr>
                <w:sz w:val="20"/>
                <w:szCs w:val="20"/>
              </w:rPr>
              <w:t>315</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1D16E36C" w14:textId="77777777" w:rsidR="00AF0272" w:rsidRPr="007C1E37" w:rsidRDefault="00AF0272" w:rsidP="001E519A">
            <w:pPr>
              <w:spacing w:before="60" w:after="60"/>
              <w:ind w:right="170"/>
              <w:jc w:val="right"/>
              <w:rPr>
                <w:rFonts w:cs="Arial"/>
                <w:sz w:val="20"/>
                <w:szCs w:val="20"/>
              </w:rPr>
            </w:pPr>
            <w:r w:rsidRPr="007C1E37">
              <w:rPr>
                <w:sz w:val="20"/>
                <w:szCs w:val="20"/>
              </w:rPr>
              <w:t>348</w:t>
            </w:r>
          </w:p>
        </w:tc>
      </w:tr>
      <w:tr w:rsidR="00AF0272" w:rsidRPr="007C1E37" w14:paraId="566D2ACF" w14:textId="77777777" w:rsidTr="001E519A">
        <w:trPr>
          <w:trHeight w:val="397"/>
        </w:trPr>
        <w:tc>
          <w:tcPr>
            <w:tcW w:w="175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58260843" w14:textId="77777777" w:rsidR="00AF0272" w:rsidRPr="007C1E37" w:rsidRDefault="00AF0272" w:rsidP="001E519A">
            <w:pPr>
              <w:spacing w:before="60" w:after="60"/>
              <w:rPr>
                <w:rFonts w:cs="Arial"/>
                <w:b/>
                <w:bCs/>
                <w:sz w:val="20"/>
                <w:szCs w:val="20"/>
                <w:lang w:eastAsia="en-AU"/>
              </w:rPr>
            </w:pPr>
            <w:r w:rsidRPr="007C1E37">
              <w:rPr>
                <w:b/>
                <w:bCs/>
                <w:sz w:val="20"/>
                <w:szCs w:val="20"/>
              </w:rPr>
              <w:t>Total for Registered</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4617D4F2" w14:textId="77777777" w:rsidR="00AF0272" w:rsidRPr="007C1E37" w:rsidRDefault="00AF0272" w:rsidP="001E519A">
            <w:pPr>
              <w:spacing w:before="60" w:after="60"/>
              <w:ind w:right="170"/>
              <w:jc w:val="right"/>
              <w:rPr>
                <w:rFonts w:cs="Arial"/>
                <w:b/>
                <w:bCs/>
                <w:sz w:val="20"/>
                <w:szCs w:val="20"/>
              </w:rPr>
            </w:pPr>
            <w:r w:rsidRPr="007C1E37">
              <w:rPr>
                <w:b/>
                <w:bCs/>
                <w:sz w:val="20"/>
                <w:szCs w:val="20"/>
              </w:rPr>
              <w:t>8,595</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1B512341" w14:textId="77777777" w:rsidR="00AF0272" w:rsidRPr="007C1E37" w:rsidRDefault="00AF0272" w:rsidP="001E519A">
            <w:pPr>
              <w:spacing w:before="60" w:after="60"/>
              <w:ind w:right="170"/>
              <w:jc w:val="right"/>
              <w:rPr>
                <w:rFonts w:cs="Arial"/>
                <w:b/>
                <w:bCs/>
                <w:sz w:val="20"/>
                <w:szCs w:val="20"/>
              </w:rPr>
            </w:pPr>
            <w:r w:rsidRPr="007C1E37">
              <w:rPr>
                <w:b/>
                <w:bCs/>
                <w:sz w:val="20"/>
                <w:szCs w:val="20"/>
              </w:rPr>
              <w:t>8,778</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12C23834" w14:textId="77777777" w:rsidR="00AF0272" w:rsidRPr="007C1E37" w:rsidRDefault="00AF0272" w:rsidP="001E519A">
            <w:pPr>
              <w:spacing w:before="60" w:after="60"/>
              <w:ind w:right="170"/>
              <w:jc w:val="right"/>
              <w:rPr>
                <w:rFonts w:cs="Arial"/>
                <w:b/>
                <w:bCs/>
                <w:sz w:val="20"/>
                <w:szCs w:val="20"/>
              </w:rPr>
            </w:pPr>
            <w:r w:rsidRPr="007C1E37">
              <w:rPr>
                <w:b/>
                <w:bCs/>
                <w:sz w:val="20"/>
                <w:szCs w:val="20"/>
              </w:rPr>
              <w:t>8,302</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3FF2D039" w14:textId="77777777" w:rsidR="00AF0272" w:rsidRPr="007C1E37" w:rsidRDefault="00AF0272" w:rsidP="001E519A">
            <w:pPr>
              <w:spacing w:before="60" w:after="60"/>
              <w:ind w:right="170"/>
              <w:jc w:val="right"/>
              <w:rPr>
                <w:rFonts w:cs="Arial"/>
                <w:b/>
                <w:bCs/>
                <w:sz w:val="20"/>
                <w:szCs w:val="20"/>
              </w:rPr>
            </w:pPr>
            <w:r w:rsidRPr="007C1E37">
              <w:rPr>
                <w:b/>
                <w:bCs/>
                <w:sz w:val="20"/>
                <w:szCs w:val="20"/>
              </w:rPr>
              <w:t>7,392</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612AF06C" w14:textId="77777777" w:rsidR="00AF0272" w:rsidRPr="007C1E37" w:rsidRDefault="00AF0272" w:rsidP="001E519A">
            <w:pPr>
              <w:spacing w:before="60" w:after="60"/>
              <w:ind w:right="170"/>
              <w:jc w:val="right"/>
              <w:rPr>
                <w:rFonts w:cs="Arial"/>
                <w:b/>
                <w:bCs/>
                <w:sz w:val="20"/>
                <w:szCs w:val="20"/>
              </w:rPr>
            </w:pPr>
            <w:r w:rsidRPr="00E274DA">
              <w:rPr>
                <w:b/>
                <w:bCs/>
                <w:sz w:val="20"/>
                <w:szCs w:val="20"/>
              </w:rPr>
              <w:t>7,12</w:t>
            </w:r>
            <w:r>
              <w:rPr>
                <w:b/>
                <w:bCs/>
                <w:sz w:val="20"/>
                <w:szCs w:val="20"/>
              </w:rPr>
              <w:t>7</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475657A5" w14:textId="77777777" w:rsidR="00AF0272" w:rsidRPr="007C1E37" w:rsidRDefault="00AF0272" w:rsidP="001E519A">
            <w:pPr>
              <w:spacing w:before="60" w:after="60"/>
              <w:ind w:right="170"/>
              <w:jc w:val="right"/>
              <w:rPr>
                <w:rFonts w:cs="Arial"/>
                <w:b/>
                <w:bCs/>
                <w:sz w:val="20"/>
                <w:szCs w:val="20"/>
              </w:rPr>
            </w:pPr>
            <w:r w:rsidRPr="007C1E37">
              <w:rPr>
                <w:b/>
                <w:bCs/>
                <w:sz w:val="20"/>
                <w:szCs w:val="20"/>
              </w:rPr>
              <w:t>7,240</w:t>
            </w:r>
          </w:p>
        </w:tc>
      </w:tr>
    </w:tbl>
    <w:p w14:paraId="59890569" w14:textId="77777777" w:rsidR="00AF0272" w:rsidRPr="008034CE" w:rsidRDefault="00AF0272" w:rsidP="00AF0272">
      <w:pPr>
        <w:pStyle w:val="Sourcefortableorfigure"/>
        <w:spacing w:before="240"/>
      </w:pPr>
      <w:r w:rsidRPr="008034CE">
        <w:t>Source: NDIS internal administrative data</w:t>
      </w:r>
    </w:p>
    <w:p w14:paraId="2AED1F32" w14:textId="75270A2A" w:rsidR="00BE2200" w:rsidRDefault="00BE2200">
      <w:pPr>
        <w:spacing w:before="120" w:after="120"/>
      </w:pPr>
      <w:r>
        <w:br w:type="page"/>
      </w:r>
    </w:p>
    <w:p w14:paraId="4142A248" w14:textId="2F196A94" w:rsidR="00BE2200" w:rsidRPr="008034CE" w:rsidRDefault="00BE2200" w:rsidP="00BE2200">
      <w:pPr>
        <w:pStyle w:val="Caption"/>
      </w:pPr>
      <w:bookmarkStart w:id="277" w:name="_Ref195540178"/>
      <w:r w:rsidRPr="008034CE">
        <w:lastRenderedPageBreak/>
        <w:t xml:space="preserve">Table </w:t>
      </w:r>
      <w:r w:rsidR="005763F9">
        <w:fldChar w:fldCharType="begin"/>
      </w:r>
      <w:r w:rsidR="005763F9">
        <w:instrText xml:space="preserve"> SEQ Table \* ARABIC </w:instrText>
      </w:r>
      <w:r w:rsidR="005763F9">
        <w:fldChar w:fldCharType="separate"/>
      </w:r>
      <w:r w:rsidR="005763F9">
        <w:rPr>
          <w:noProof/>
        </w:rPr>
        <w:t>15</w:t>
      </w:r>
      <w:r w:rsidR="005763F9">
        <w:rPr>
          <w:noProof/>
        </w:rPr>
        <w:fldChar w:fldCharType="end"/>
      </w:r>
      <w:bookmarkEnd w:id="277"/>
      <w:r w:rsidRPr="008034CE">
        <w:t>: Unregistered Providers by Remoteness for Therapy Supports, January 2022 to December 2024</w:t>
      </w:r>
    </w:p>
    <w:tbl>
      <w:tblPr>
        <w:tblStyle w:val="GridTable4-Accent12"/>
        <w:tblW w:w="0" w:type="auto"/>
        <w:tblInd w:w="-5" w:type="dxa"/>
        <w:tblLook w:val="0420" w:firstRow="1" w:lastRow="0" w:firstColumn="0" w:lastColumn="0" w:noHBand="0" w:noVBand="1"/>
      </w:tblPr>
      <w:tblGrid>
        <w:gridCol w:w="1758"/>
        <w:gridCol w:w="1196"/>
        <w:gridCol w:w="1196"/>
        <w:gridCol w:w="1196"/>
        <w:gridCol w:w="1196"/>
        <w:gridCol w:w="1196"/>
        <w:gridCol w:w="1196"/>
      </w:tblGrid>
      <w:tr w:rsidR="00BE2200" w:rsidRPr="007C1E37" w14:paraId="190C38CD" w14:textId="77777777" w:rsidTr="001E519A">
        <w:trPr>
          <w:cnfStyle w:val="100000000000" w:firstRow="1" w:lastRow="0" w:firstColumn="0" w:lastColumn="0" w:oddVBand="0" w:evenVBand="0" w:oddHBand="0" w:evenHBand="0" w:firstRowFirstColumn="0" w:firstRowLastColumn="0" w:lastRowFirstColumn="0" w:lastRowLastColumn="0"/>
          <w:trHeight w:val="567"/>
        </w:trPr>
        <w:tc>
          <w:tcPr>
            <w:tcW w:w="1758" w:type="dxa"/>
            <w:tcBorders>
              <w:top w:val="single" w:sz="4" w:space="0" w:color="501E58" w:themeColor="accent5" w:themeShade="BF"/>
              <w:left w:val="single" w:sz="4" w:space="0" w:color="501E58" w:themeColor="accent5" w:themeShade="BF"/>
              <w:bottom w:val="single" w:sz="4" w:space="0" w:color="501E58" w:themeColor="accent5" w:themeShade="BF"/>
              <w:right w:val="single" w:sz="6" w:space="0" w:color="501E58" w:themeColor="accent5" w:themeShade="BF"/>
            </w:tcBorders>
          </w:tcPr>
          <w:p w14:paraId="118664B0" w14:textId="77777777" w:rsidR="00BE2200" w:rsidRPr="007C1E37" w:rsidRDefault="00BE2200" w:rsidP="001E519A">
            <w:pPr>
              <w:spacing w:before="60" w:after="60"/>
              <w:rPr>
                <w:rFonts w:cs="Arial"/>
                <w:sz w:val="20"/>
                <w:szCs w:val="20"/>
                <w:lang w:eastAsia="en-AU"/>
              </w:rPr>
            </w:pPr>
            <w:r w:rsidRPr="007C1E37">
              <w:rPr>
                <w:sz w:val="20"/>
                <w:szCs w:val="20"/>
              </w:rPr>
              <w:t>Remoteness</w:t>
            </w:r>
          </w:p>
        </w:tc>
        <w:tc>
          <w:tcPr>
            <w:tcW w:w="1196"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tcPr>
          <w:p w14:paraId="6BD1684F" w14:textId="77777777" w:rsidR="00BE2200" w:rsidRPr="000C2665" w:rsidRDefault="00BE2200" w:rsidP="001E519A">
            <w:pPr>
              <w:spacing w:before="60" w:after="0"/>
              <w:jc w:val="center"/>
              <w:rPr>
                <w:b w:val="0"/>
                <w:bCs w:val="0"/>
                <w:sz w:val="20"/>
                <w:szCs w:val="20"/>
              </w:rPr>
            </w:pPr>
            <w:r w:rsidRPr="000C2665">
              <w:rPr>
                <w:sz w:val="20"/>
                <w:szCs w:val="20"/>
              </w:rPr>
              <w:t xml:space="preserve">January </w:t>
            </w:r>
            <w:r w:rsidRPr="00807411">
              <w:rPr>
                <w:rFonts w:cs="Arial"/>
                <w:b w:val="0"/>
                <w:bCs w:val="0"/>
                <w:sz w:val="20"/>
                <w:szCs w:val="20"/>
              </w:rPr>
              <w:t>–</w:t>
            </w:r>
            <w:r w:rsidRPr="000C2665">
              <w:rPr>
                <w:sz w:val="20"/>
                <w:szCs w:val="20"/>
              </w:rPr>
              <w:t>June</w:t>
            </w:r>
          </w:p>
          <w:p w14:paraId="5B9B9DA0" w14:textId="77777777" w:rsidR="00BE2200" w:rsidRPr="007C1E37" w:rsidRDefault="00BE2200" w:rsidP="001E519A">
            <w:pPr>
              <w:spacing w:after="60"/>
              <w:jc w:val="center"/>
              <w:rPr>
                <w:rFonts w:cs="Arial"/>
                <w:sz w:val="18"/>
                <w:szCs w:val="18"/>
                <w:lang w:eastAsia="en-AU"/>
              </w:rPr>
            </w:pPr>
            <w:r w:rsidRPr="000C2665">
              <w:rPr>
                <w:sz w:val="20"/>
                <w:szCs w:val="20"/>
              </w:rPr>
              <w:t>2022</w:t>
            </w:r>
          </w:p>
        </w:tc>
        <w:tc>
          <w:tcPr>
            <w:tcW w:w="1196"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tcPr>
          <w:p w14:paraId="7BFAF7EF" w14:textId="77777777" w:rsidR="00BE2200" w:rsidRPr="007C1E37" w:rsidRDefault="00BE2200" w:rsidP="001E519A">
            <w:pPr>
              <w:spacing w:before="60" w:after="60"/>
              <w:jc w:val="center"/>
              <w:rPr>
                <w:rFonts w:cs="Arial"/>
                <w:sz w:val="18"/>
                <w:szCs w:val="18"/>
                <w:lang w:eastAsia="en-AU"/>
              </w:rPr>
            </w:pPr>
            <w:r w:rsidRPr="000C2665">
              <w:rPr>
                <w:sz w:val="20"/>
                <w:szCs w:val="20"/>
              </w:rPr>
              <w:t xml:space="preserve">July </w:t>
            </w:r>
            <w:r w:rsidRPr="00807411">
              <w:rPr>
                <w:rFonts w:cs="Arial"/>
                <w:b w:val="0"/>
                <w:bCs w:val="0"/>
                <w:sz w:val="20"/>
                <w:szCs w:val="20"/>
              </w:rPr>
              <w:t>–</w:t>
            </w:r>
            <w:r w:rsidRPr="000C2665">
              <w:rPr>
                <w:sz w:val="20"/>
                <w:szCs w:val="20"/>
              </w:rPr>
              <w:t>December 2022</w:t>
            </w:r>
          </w:p>
        </w:tc>
        <w:tc>
          <w:tcPr>
            <w:tcW w:w="1196"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tcPr>
          <w:p w14:paraId="660692D8" w14:textId="77777777" w:rsidR="00BE2200" w:rsidRPr="000C2665" w:rsidRDefault="00BE2200" w:rsidP="001E519A">
            <w:pPr>
              <w:spacing w:before="60" w:after="0"/>
              <w:jc w:val="center"/>
              <w:rPr>
                <w:b w:val="0"/>
                <w:bCs w:val="0"/>
                <w:sz w:val="20"/>
                <w:szCs w:val="20"/>
              </w:rPr>
            </w:pPr>
            <w:r w:rsidRPr="000C2665">
              <w:rPr>
                <w:sz w:val="20"/>
                <w:szCs w:val="20"/>
              </w:rPr>
              <w:t xml:space="preserve">January </w:t>
            </w:r>
            <w:r w:rsidRPr="00807411">
              <w:rPr>
                <w:rFonts w:cs="Arial"/>
                <w:b w:val="0"/>
                <w:bCs w:val="0"/>
                <w:sz w:val="20"/>
                <w:szCs w:val="20"/>
              </w:rPr>
              <w:t>–</w:t>
            </w:r>
            <w:r w:rsidRPr="000C2665">
              <w:rPr>
                <w:sz w:val="20"/>
                <w:szCs w:val="20"/>
              </w:rPr>
              <w:t>June</w:t>
            </w:r>
          </w:p>
          <w:p w14:paraId="253C4E99" w14:textId="77777777" w:rsidR="00BE2200" w:rsidRPr="007C1E37" w:rsidRDefault="00BE2200" w:rsidP="001E519A">
            <w:pPr>
              <w:spacing w:after="60"/>
              <w:jc w:val="center"/>
              <w:rPr>
                <w:rFonts w:cs="Arial"/>
                <w:sz w:val="18"/>
                <w:szCs w:val="18"/>
                <w:lang w:eastAsia="en-AU"/>
              </w:rPr>
            </w:pPr>
            <w:r w:rsidRPr="000C2665">
              <w:rPr>
                <w:sz w:val="20"/>
                <w:szCs w:val="20"/>
              </w:rPr>
              <w:t>2023</w:t>
            </w:r>
          </w:p>
        </w:tc>
        <w:tc>
          <w:tcPr>
            <w:tcW w:w="1196"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tcPr>
          <w:p w14:paraId="15A00D2A" w14:textId="77777777" w:rsidR="00BE2200" w:rsidRPr="007C1E37" w:rsidRDefault="00BE2200" w:rsidP="001E519A">
            <w:pPr>
              <w:spacing w:before="60" w:after="60"/>
              <w:jc w:val="center"/>
              <w:rPr>
                <w:rFonts w:cs="Arial"/>
                <w:sz w:val="18"/>
                <w:szCs w:val="18"/>
                <w:lang w:eastAsia="en-AU"/>
              </w:rPr>
            </w:pPr>
            <w:r w:rsidRPr="000C2665">
              <w:rPr>
                <w:sz w:val="20"/>
                <w:szCs w:val="20"/>
              </w:rPr>
              <w:t xml:space="preserve">July </w:t>
            </w:r>
            <w:r w:rsidRPr="00807411">
              <w:rPr>
                <w:rFonts w:cs="Arial"/>
                <w:b w:val="0"/>
                <w:bCs w:val="0"/>
                <w:sz w:val="20"/>
                <w:szCs w:val="20"/>
              </w:rPr>
              <w:t>–</w:t>
            </w:r>
            <w:r w:rsidRPr="000C2665">
              <w:rPr>
                <w:sz w:val="20"/>
                <w:szCs w:val="20"/>
              </w:rPr>
              <w:t>December 2023</w:t>
            </w:r>
          </w:p>
        </w:tc>
        <w:tc>
          <w:tcPr>
            <w:tcW w:w="1196"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tcPr>
          <w:p w14:paraId="3825C5F9" w14:textId="77777777" w:rsidR="00BE2200" w:rsidRPr="000C2665" w:rsidRDefault="00BE2200" w:rsidP="001E519A">
            <w:pPr>
              <w:spacing w:before="60" w:after="0"/>
              <w:jc w:val="center"/>
              <w:rPr>
                <w:b w:val="0"/>
                <w:bCs w:val="0"/>
                <w:sz w:val="20"/>
                <w:szCs w:val="20"/>
              </w:rPr>
            </w:pPr>
            <w:r w:rsidRPr="000C2665">
              <w:rPr>
                <w:sz w:val="20"/>
                <w:szCs w:val="20"/>
              </w:rPr>
              <w:t xml:space="preserve">January </w:t>
            </w:r>
            <w:r w:rsidRPr="00807411">
              <w:rPr>
                <w:rFonts w:cs="Arial"/>
                <w:b w:val="0"/>
                <w:bCs w:val="0"/>
                <w:sz w:val="20"/>
                <w:szCs w:val="20"/>
              </w:rPr>
              <w:t>–</w:t>
            </w:r>
            <w:r w:rsidRPr="000C2665">
              <w:rPr>
                <w:sz w:val="20"/>
                <w:szCs w:val="20"/>
              </w:rPr>
              <w:t>June</w:t>
            </w:r>
          </w:p>
          <w:p w14:paraId="1C28A066" w14:textId="77777777" w:rsidR="00BE2200" w:rsidRPr="007C1E37" w:rsidRDefault="00BE2200" w:rsidP="001E519A">
            <w:pPr>
              <w:spacing w:after="60"/>
              <w:jc w:val="center"/>
              <w:rPr>
                <w:rFonts w:cs="Arial"/>
                <w:sz w:val="18"/>
                <w:szCs w:val="18"/>
                <w:lang w:eastAsia="en-AU"/>
              </w:rPr>
            </w:pPr>
            <w:r w:rsidRPr="000C2665">
              <w:rPr>
                <w:sz w:val="20"/>
                <w:szCs w:val="20"/>
              </w:rPr>
              <w:t>2024</w:t>
            </w:r>
          </w:p>
        </w:tc>
        <w:tc>
          <w:tcPr>
            <w:tcW w:w="1196" w:type="dxa"/>
            <w:tcBorders>
              <w:top w:val="single" w:sz="4" w:space="0" w:color="501E58" w:themeColor="accent5" w:themeShade="BF"/>
              <w:left w:val="single" w:sz="6" w:space="0" w:color="501E58" w:themeColor="accent5" w:themeShade="BF"/>
              <w:bottom w:val="single" w:sz="4" w:space="0" w:color="501E58" w:themeColor="accent5" w:themeShade="BF"/>
              <w:right w:val="single" w:sz="4" w:space="0" w:color="501E58" w:themeColor="accent5" w:themeShade="BF"/>
            </w:tcBorders>
          </w:tcPr>
          <w:p w14:paraId="5D9E32B5" w14:textId="77777777" w:rsidR="00BE2200" w:rsidRPr="007C1E37" w:rsidRDefault="00BE2200" w:rsidP="001E519A">
            <w:pPr>
              <w:spacing w:before="60" w:after="60"/>
              <w:jc w:val="center"/>
              <w:rPr>
                <w:rFonts w:cs="Arial"/>
                <w:sz w:val="18"/>
                <w:szCs w:val="18"/>
                <w:lang w:eastAsia="en-AU"/>
              </w:rPr>
            </w:pPr>
            <w:r w:rsidRPr="000C2665">
              <w:rPr>
                <w:sz w:val="20"/>
                <w:szCs w:val="20"/>
              </w:rPr>
              <w:t xml:space="preserve">July </w:t>
            </w:r>
            <w:r w:rsidRPr="00807411">
              <w:rPr>
                <w:rFonts w:cs="Arial"/>
                <w:b w:val="0"/>
                <w:bCs w:val="0"/>
                <w:sz w:val="20"/>
                <w:szCs w:val="20"/>
              </w:rPr>
              <w:t>–</w:t>
            </w:r>
            <w:r w:rsidRPr="000C2665">
              <w:rPr>
                <w:sz w:val="20"/>
                <w:szCs w:val="20"/>
              </w:rPr>
              <w:t>December 2024</w:t>
            </w:r>
          </w:p>
        </w:tc>
      </w:tr>
      <w:tr w:rsidR="00BE2200" w:rsidRPr="007C1E37" w14:paraId="29D81036" w14:textId="77777777" w:rsidTr="001E519A">
        <w:trPr>
          <w:cnfStyle w:val="000000100000" w:firstRow="0" w:lastRow="0" w:firstColumn="0" w:lastColumn="0" w:oddVBand="0" w:evenVBand="0" w:oddHBand="1" w:evenHBand="0" w:firstRowFirstColumn="0" w:firstRowLastColumn="0" w:lastRowFirstColumn="0" w:lastRowLastColumn="0"/>
          <w:trHeight w:val="397"/>
        </w:trPr>
        <w:tc>
          <w:tcPr>
            <w:tcW w:w="1758"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04EBCB4C" w14:textId="77777777" w:rsidR="00BE2200" w:rsidRPr="007C1E37" w:rsidRDefault="00BE2200" w:rsidP="001E519A">
            <w:pPr>
              <w:spacing w:before="60" w:after="60"/>
              <w:rPr>
                <w:rFonts w:cs="Arial"/>
                <w:sz w:val="20"/>
                <w:szCs w:val="20"/>
                <w:lang w:eastAsia="en-AU"/>
              </w:rPr>
            </w:pPr>
            <w:r w:rsidRPr="007C1E37">
              <w:rPr>
                <w:sz w:val="20"/>
                <w:szCs w:val="20"/>
              </w:rPr>
              <w:t>Non-</w:t>
            </w:r>
            <w:r>
              <w:rPr>
                <w:sz w:val="20"/>
                <w:szCs w:val="20"/>
              </w:rPr>
              <w:t>r</w:t>
            </w:r>
            <w:r w:rsidRPr="007C1E37">
              <w:rPr>
                <w:sz w:val="20"/>
                <w:szCs w:val="20"/>
              </w:rPr>
              <w:t>emote</w:t>
            </w:r>
          </w:p>
        </w:tc>
        <w:tc>
          <w:tcPr>
            <w:tcW w:w="1196"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64E2C646" w14:textId="77777777" w:rsidR="00BE2200" w:rsidRPr="007C1E37" w:rsidRDefault="00BE2200" w:rsidP="001E519A">
            <w:pPr>
              <w:spacing w:before="60" w:after="60"/>
              <w:ind w:right="170"/>
              <w:jc w:val="right"/>
              <w:rPr>
                <w:rFonts w:cs="Times New Roman"/>
                <w:sz w:val="20"/>
                <w:szCs w:val="20"/>
              </w:rPr>
            </w:pPr>
            <w:r w:rsidRPr="007C1E37">
              <w:rPr>
                <w:rFonts w:cs="Times New Roman"/>
                <w:sz w:val="20"/>
                <w:szCs w:val="20"/>
              </w:rPr>
              <w:t xml:space="preserve"> 34,090</w:t>
            </w:r>
          </w:p>
        </w:tc>
        <w:tc>
          <w:tcPr>
            <w:tcW w:w="1196"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6ADD56F3" w14:textId="77777777" w:rsidR="00BE2200" w:rsidRPr="007C1E37" w:rsidRDefault="00BE2200" w:rsidP="001E519A">
            <w:pPr>
              <w:spacing w:before="60" w:after="60"/>
              <w:ind w:right="170"/>
              <w:jc w:val="right"/>
              <w:rPr>
                <w:rFonts w:cs="Times New Roman"/>
                <w:sz w:val="20"/>
                <w:szCs w:val="20"/>
              </w:rPr>
            </w:pPr>
            <w:r w:rsidRPr="007C1E37">
              <w:rPr>
                <w:rFonts w:cs="Times New Roman"/>
                <w:sz w:val="20"/>
                <w:szCs w:val="20"/>
              </w:rPr>
              <w:t xml:space="preserve"> 37,940 </w:t>
            </w:r>
          </w:p>
        </w:tc>
        <w:tc>
          <w:tcPr>
            <w:tcW w:w="1196"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485D9B38" w14:textId="77777777" w:rsidR="00BE2200" w:rsidRPr="007C1E37" w:rsidRDefault="00BE2200" w:rsidP="001E519A">
            <w:pPr>
              <w:spacing w:before="60" w:after="60"/>
              <w:ind w:right="170"/>
              <w:jc w:val="right"/>
              <w:rPr>
                <w:rFonts w:cs="Times New Roman"/>
                <w:sz w:val="20"/>
                <w:szCs w:val="20"/>
              </w:rPr>
            </w:pPr>
            <w:r w:rsidRPr="007C1E37">
              <w:rPr>
                <w:rFonts w:cs="Times New Roman"/>
                <w:sz w:val="20"/>
                <w:szCs w:val="20"/>
              </w:rPr>
              <w:t xml:space="preserve"> 41,938 </w:t>
            </w:r>
          </w:p>
        </w:tc>
        <w:tc>
          <w:tcPr>
            <w:tcW w:w="1196"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4A187F65" w14:textId="77777777" w:rsidR="00BE2200" w:rsidRPr="007C1E37" w:rsidRDefault="00BE2200" w:rsidP="001E519A">
            <w:pPr>
              <w:spacing w:before="60" w:after="60"/>
              <w:ind w:right="170"/>
              <w:jc w:val="right"/>
              <w:rPr>
                <w:rFonts w:cs="Times New Roman"/>
                <w:sz w:val="20"/>
                <w:szCs w:val="20"/>
              </w:rPr>
            </w:pPr>
            <w:r w:rsidRPr="007C1E37">
              <w:rPr>
                <w:rFonts w:cs="Times New Roman"/>
                <w:sz w:val="20"/>
                <w:szCs w:val="20"/>
              </w:rPr>
              <w:t xml:space="preserve"> 45,543 </w:t>
            </w:r>
          </w:p>
        </w:tc>
        <w:tc>
          <w:tcPr>
            <w:tcW w:w="1196"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28DC2D8B" w14:textId="77777777" w:rsidR="00BE2200" w:rsidRPr="007C1E37" w:rsidRDefault="00BE2200" w:rsidP="001E519A">
            <w:pPr>
              <w:spacing w:before="60" w:after="60"/>
              <w:ind w:right="170"/>
              <w:jc w:val="right"/>
              <w:rPr>
                <w:rFonts w:cs="Times New Roman"/>
                <w:sz w:val="20"/>
                <w:szCs w:val="20"/>
              </w:rPr>
            </w:pPr>
            <w:r w:rsidRPr="007C1E37">
              <w:rPr>
                <w:rFonts w:cs="Times New Roman"/>
                <w:sz w:val="20"/>
                <w:szCs w:val="20"/>
              </w:rPr>
              <w:t>47,465</w:t>
            </w:r>
          </w:p>
        </w:tc>
        <w:tc>
          <w:tcPr>
            <w:tcW w:w="1196"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21CBFDE5" w14:textId="77777777" w:rsidR="00BE2200" w:rsidRPr="007C1E37" w:rsidRDefault="00BE2200" w:rsidP="001E519A">
            <w:pPr>
              <w:spacing w:before="60" w:after="60"/>
              <w:ind w:right="170"/>
              <w:jc w:val="right"/>
              <w:rPr>
                <w:rFonts w:cs="Times New Roman"/>
                <w:sz w:val="20"/>
                <w:szCs w:val="20"/>
              </w:rPr>
            </w:pPr>
            <w:r w:rsidRPr="007C1E37">
              <w:rPr>
                <w:rFonts w:cs="Times New Roman"/>
                <w:sz w:val="20"/>
                <w:szCs w:val="20"/>
              </w:rPr>
              <w:t>48,299</w:t>
            </w:r>
          </w:p>
        </w:tc>
      </w:tr>
      <w:tr w:rsidR="00BE2200" w:rsidRPr="007C1E37" w14:paraId="241C6CC5" w14:textId="77777777" w:rsidTr="001E519A">
        <w:trPr>
          <w:trHeight w:val="397"/>
        </w:trPr>
        <w:tc>
          <w:tcPr>
            <w:tcW w:w="175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60F2AF2C" w14:textId="77777777" w:rsidR="00BE2200" w:rsidRPr="007C1E37" w:rsidRDefault="00BE2200" w:rsidP="001E519A">
            <w:pPr>
              <w:spacing w:before="60" w:after="60"/>
              <w:rPr>
                <w:rFonts w:cs="Arial"/>
                <w:sz w:val="20"/>
                <w:szCs w:val="20"/>
                <w:lang w:eastAsia="en-AU"/>
              </w:rPr>
            </w:pPr>
            <w:r w:rsidRPr="007C1E37">
              <w:rPr>
                <w:sz w:val="20"/>
                <w:szCs w:val="20"/>
              </w:rPr>
              <w:t>Remote</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593716BB" w14:textId="77777777" w:rsidR="00BE2200" w:rsidRPr="007C1E37" w:rsidRDefault="00BE2200" w:rsidP="001E519A">
            <w:pPr>
              <w:spacing w:before="60" w:after="60"/>
              <w:ind w:right="170"/>
              <w:jc w:val="right"/>
              <w:rPr>
                <w:rFonts w:cs="Times New Roman"/>
                <w:sz w:val="20"/>
                <w:szCs w:val="20"/>
              </w:rPr>
            </w:pPr>
            <w:r w:rsidRPr="007C1E37">
              <w:rPr>
                <w:rFonts w:cs="Times New Roman"/>
                <w:sz w:val="20"/>
                <w:szCs w:val="20"/>
              </w:rPr>
              <w:t xml:space="preserve"> 583 </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316FE56B" w14:textId="77777777" w:rsidR="00BE2200" w:rsidRPr="007C1E37" w:rsidRDefault="00BE2200" w:rsidP="001E519A">
            <w:pPr>
              <w:spacing w:before="60" w:after="60"/>
              <w:ind w:right="170"/>
              <w:jc w:val="right"/>
              <w:rPr>
                <w:rFonts w:cs="Times New Roman"/>
                <w:sz w:val="20"/>
                <w:szCs w:val="20"/>
              </w:rPr>
            </w:pPr>
            <w:r w:rsidRPr="007C1E37">
              <w:rPr>
                <w:rFonts w:cs="Times New Roman"/>
                <w:sz w:val="20"/>
                <w:szCs w:val="20"/>
              </w:rPr>
              <w:t xml:space="preserve"> 660 </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2CC0F969" w14:textId="77777777" w:rsidR="00BE2200" w:rsidRPr="007C1E37" w:rsidRDefault="00BE2200" w:rsidP="001E519A">
            <w:pPr>
              <w:spacing w:before="60" w:after="60"/>
              <w:ind w:right="170"/>
              <w:jc w:val="right"/>
              <w:rPr>
                <w:rFonts w:cs="Times New Roman"/>
                <w:sz w:val="20"/>
                <w:szCs w:val="20"/>
              </w:rPr>
            </w:pPr>
            <w:r w:rsidRPr="007C1E37">
              <w:rPr>
                <w:rFonts w:cs="Times New Roman"/>
                <w:sz w:val="20"/>
                <w:szCs w:val="20"/>
              </w:rPr>
              <w:t xml:space="preserve"> 775 </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022D0C30" w14:textId="77777777" w:rsidR="00BE2200" w:rsidRPr="007C1E37" w:rsidRDefault="00BE2200" w:rsidP="001E519A">
            <w:pPr>
              <w:spacing w:before="60" w:after="60"/>
              <w:ind w:right="170"/>
              <w:jc w:val="right"/>
              <w:rPr>
                <w:rFonts w:cs="Times New Roman"/>
                <w:sz w:val="20"/>
                <w:szCs w:val="20"/>
              </w:rPr>
            </w:pPr>
            <w:r w:rsidRPr="007C1E37">
              <w:rPr>
                <w:rFonts w:cs="Times New Roman"/>
                <w:sz w:val="20"/>
                <w:szCs w:val="20"/>
              </w:rPr>
              <w:t xml:space="preserve"> 944 </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15393527" w14:textId="77777777" w:rsidR="00BE2200" w:rsidRPr="007C1E37" w:rsidRDefault="00BE2200" w:rsidP="001E519A">
            <w:pPr>
              <w:spacing w:before="60" w:after="60"/>
              <w:ind w:right="170"/>
              <w:jc w:val="right"/>
              <w:rPr>
                <w:rFonts w:cs="Times New Roman"/>
                <w:sz w:val="20"/>
                <w:szCs w:val="20"/>
              </w:rPr>
            </w:pPr>
            <w:r w:rsidRPr="007C1E37">
              <w:rPr>
                <w:rFonts w:cs="Times New Roman"/>
                <w:sz w:val="20"/>
                <w:szCs w:val="20"/>
              </w:rPr>
              <w:t>1,368</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4EB8D6FC" w14:textId="77777777" w:rsidR="00BE2200" w:rsidRPr="007C1E37" w:rsidRDefault="00BE2200" w:rsidP="001E519A">
            <w:pPr>
              <w:spacing w:before="60" w:after="60"/>
              <w:ind w:right="170"/>
              <w:jc w:val="right"/>
              <w:rPr>
                <w:rFonts w:cs="Times New Roman"/>
                <w:sz w:val="20"/>
                <w:szCs w:val="20"/>
              </w:rPr>
            </w:pPr>
            <w:r w:rsidRPr="007C1E37">
              <w:rPr>
                <w:rFonts w:cs="Times New Roman"/>
                <w:sz w:val="20"/>
                <w:szCs w:val="20"/>
              </w:rPr>
              <w:t>1,343</w:t>
            </w:r>
          </w:p>
        </w:tc>
      </w:tr>
      <w:tr w:rsidR="00BE2200" w:rsidRPr="007C1E37" w14:paraId="1E43B395" w14:textId="77777777" w:rsidTr="001E519A">
        <w:trPr>
          <w:cnfStyle w:val="000000100000" w:firstRow="0" w:lastRow="0" w:firstColumn="0" w:lastColumn="0" w:oddVBand="0" w:evenVBand="0" w:oddHBand="1" w:evenHBand="0" w:firstRowFirstColumn="0" w:firstRowLastColumn="0" w:lastRowFirstColumn="0" w:lastRowLastColumn="0"/>
          <w:trHeight w:val="397"/>
        </w:trPr>
        <w:tc>
          <w:tcPr>
            <w:tcW w:w="175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718598A1" w14:textId="77777777" w:rsidR="00BE2200" w:rsidRPr="007C1E37" w:rsidRDefault="00BE2200" w:rsidP="001E519A">
            <w:pPr>
              <w:spacing w:before="60" w:after="60"/>
              <w:rPr>
                <w:rFonts w:cs="Arial"/>
                <w:sz w:val="20"/>
                <w:szCs w:val="20"/>
                <w:lang w:eastAsia="en-AU"/>
              </w:rPr>
            </w:pPr>
            <w:r w:rsidRPr="007C1E37">
              <w:rPr>
                <w:sz w:val="20"/>
                <w:szCs w:val="20"/>
              </w:rPr>
              <w:t xml:space="preserve">Very </w:t>
            </w:r>
            <w:r>
              <w:rPr>
                <w:sz w:val="20"/>
                <w:szCs w:val="20"/>
              </w:rPr>
              <w:t>r</w:t>
            </w:r>
            <w:r w:rsidRPr="007C1E37">
              <w:rPr>
                <w:sz w:val="20"/>
                <w:szCs w:val="20"/>
              </w:rPr>
              <w:t>emote</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2D3D5B3D" w14:textId="77777777" w:rsidR="00BE2200" w:rsidRPr="007C1E37" w:rsidRDefault="00BE2200" w:rsidP="001E519A">
            <w:pPr>
              <w:spacing w:before="60" w:after="60"/>
              <w:ind w:right="170"/>
              <w:jc w:val="right"/>
              <w:rPr>
                <w:rFonts w:cs="Times New Roman"/>
                <w:sz w:val="20"/>
                <w:szCs w:val="20"/>
                <w:lang w:eastAsia="en-US"/>
              </w:rPr>
            </w:pPr>
            <w:r w:rsidRPr="007C1E37">
              <w:rPr>
                <w:rFonts w:cs="Times New Roman"/>
                <w:sz w:val="20"/>
                <w:szCs w:val="20"/>
              </w:rPr>
              <w:t xml:space="preserve"> 250 </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25E20BA7" w14:textId="77777777" w:rsidR="00BE2200" w:rsidRPr="007C1E37" w:rsidRDefault="00BE2200" w:rsidP="001E519A">
            <w:pPr>
              <w:spacing w:before="60" w:after="60"/>
              <w:ind w:right="170"/>
              <w:jc w:val="right"/>
              <w:rPr>
                <w:rFonts w:cs="Times New Roman"/>
                <w:sz w:val="20"/>
                <w:szCs w:val="20"/>
                <w:lang w:eastAsia="en-US"/>
              </w:rPr>
            </w:pPr>
            <w:r w:rsidRPr="007C1E37">
              <w:rPr>
                <w:rFonts w:cs="Times New Roman"/>
                <w:sz w:val="20"/>
                <w:szCs w:val="20"/>
              </w:rPr>
              <w:t xml:space="preserve"> 299 </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6BE5CCFF" w14:textId="77777777" w:rsidR="00BE2200" w:rsidRPr="007C1E37" w:rsidRDefault="00BE2200" w:rsidP="001E519A">
            <w:pPr>
              <w:spacing w:before="60" w:after="60"/>
              <w:ind w:right="170"/>
              <w:jc w:val="right"/>
              <w:rPr>
                <w:rFonts w:cs="Times New Roman"/>
                <w:sz w:val="20"/>
                <w:szCs w:val="20"/>
                <w:lang w:eastAsia="en-US"/>
              </w:rPr>
            </w:pPr>
            <w:r w:rsidRPr="007C1E37">
              <w:rPr>
                <w:rFonts w:cs="Times New Roman"/>
                <w:sz w:val="20"/>
                <w:szCs w:val="20"/>
              </w:rPr>
              <w:t xml:space="preserve"> 346 </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69F64FD7" w14:textId="77777777" w:rsidR="00BE2200" w:rsidRPr="007C1E37" w:rsidRDefault="00BE2200" w:rsidP="001E519A">
            <w:pPr>
              <w:spacing w:before="60" w:after="60"/>
              <w:ind w:right="170"/>
              <w:jc w:val="right"/>
              <w:rPr>
                <w:rFonts w:cs="Times New Roman"/>
                <w:sz w:val="20"/>
                <w:szCs w:val="20"/>
                <w:lang w:eastAsia="en-US"/>
              </w:rPr>
            </w:pPr>
            <w:r w:rsidRPr="007C1E37">
              <w:rPr>
                <w:rFonts w:cs="Times New Roman"/>
                <w:sz w:val="20"/>
                <w:szCs w:val="20"/>
              </w:rPr>
              <w:t xml:space="preserve"> 427 </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2961D907" w14:textId="77777777" w:rsidR="00BE2200" w:rsidRPr="007C1E37" w:rsidRDefault="00BE2200" w:rsidP="001E519A">
            <w:pPr>
              <w:spacing w:before="60" w:after="60"/>
              <w:ind w:right="170"/>
              <w:jc w:val="right"/>
              <w:rPr>
                <w:rFonts w:cs="Times New Roman"/>
                <w:sz w:val="20"/>
                <w:szCs w:val="20"/>
              </w:rPr>
            </w:pPr>
            <w:r w:rsidRPr="007C1E37">
              <w:rPr>
                <w:rFonts w:cs="Times New Roman"/>
                <w:sz w:val="20"/>
                <w:szCs w:val="20"/>
              </w:rPr>
              <w:t>515</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29CFA6EE" w14:textId="77777777" w:rsidR="00BE2200" w:rsidRPr="007C1E37" w:rsidRDefault="00BE2200" w:rsidP="001E519A">
            <w:pPr>
              <w:spacing w:before="60" w:after="60"/>
              <w:ind w:right="170"/>
              <w:jc w:val="right"/>
              <w:rPr>
                <w:rFonts w:cs="Times New Roman"/>
                <w:sz w:val="20"/>
                <w:szCs w:val="20"/>
              </w:rPr>
            </w:pPr>
            <w:r w:rsidRPr="007C1E37">
              <w:rPr>
                <w:rFonts w:cs="Times New Roman"/>
                <w:sz w:val="20"/>
                <w:szCs w:val="20"/>
              </w:rPr>
              <w:t>561</w:t>
            </w:r>
          </w:p>
        </w:tc>
      </w:tr>
      <w:tr w:rsidR="00BE2200" w:rsidRPr="007C1E37" w14:paraId="2861A47B" w14:textId="77777777" w:rsidTr="001E519A">
        <w:trPr>
          <w:trHeight w:val="397"/>
        </w:trPr>
        <w:tc>
          <w:tcPr>
            <w:tcW w:w="175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264D1AAC" w14:textId="77777777" w:rsidR="00BE2200" w:rsidRPr="007C1E37" w:rsidRDefault="00BE2200" w:rsidP="001E519A">
            <w:pPr>
              <w:spacing w:before="60" w:after="60"/>
              <w:rPr>
                <w:rFonts w:cs="Arial"/>
                <w:b/>
                <w:bCs/>
                <w:sz w:val="20"/>
                <w:szCs w:val="20"/>
                <w:lang w:eastAsia="en-AU"/>
              </w:rPr>
            </w:pPr>
            <w:r w:rsidRPr="007C1E37">
              <w:rPr>
                <w:b/>
                <w:bCs/>
                <w:sz w:val="20"/>
                <w:szCs w:val="20"/>
              </w:rPr>
              <w:t>Total for Unregistered</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7704ED28" w14:textId="77777777" w:rsidR="00BE2200" w:rsidRPr="007C1E37" w:rsidRDefault="00BE2200" w:rsidP="001E519A">
            <w:pPr>
              <w:spacing w:before="60" w:after="60"/>
              <w:ind w:right="170"/>
              <w:jc w:val="right"/>
              <w:rPr>
                <w:rFonts w:cs="Times New Roman"/>
                <w:b/>
                <w:bCs/>
                <w:sz w:val="20"/>
                <w:szCs w:val="20"/>
              </w:rPr>
            </w:pPr>
            <w:r w:rsidRPr="007C1E37">
              <w:rPr>
                <w:rFonts w:cs="Times New Roman"/>
                <w:b/>
                <w:bCs/>
                <w:sz w:val="20"/>
                <w:szCs w:val="20"/>
              </w:rPr>
              <w:t xml:space="preserve"> 34,350 </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130B0BF9" w14:textId="77777777" w:rsidR="00BE2200" w:rsidRPr="007C1E37" w:rsidRDefault="00BE2200" w:rsidP="001E519A">
            <w:pPr>
              <w:spacing w:before="60" w:after="60"/>
              <w:ind w:right="170"/>
              <w:jc w:val="right"/>
              <w:rPr>
                <w:rFonts w:cs="Times New Roman"/>
                <w:b/>
                <w:bCs/>
                <w:sz w:val="20"/>
                <w:szCs w:val="20"/>
              </w:rPr>
            </w:pPr>
            <w:r w:rsidRPr="007C1E37">
              <w:rPr>
                <w:rFonts w:cs="Times New Roman"/>
                <w:b/>
                <w:bCs/>
                <w:sz w:val="20"/>
                <w:szCs w:val="20"/>
              </w:rPr>
              <w:t xml:space="preserve"> 38,206 </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29D70D6D" w14:textId="77777777" w:rsidR="00BE2200" w:rsidRPr="007C1E37" w:rsidRDefault="00BE2200" w:rsidP="001E519A">
            <w:pPr>
              <w:spacing w:before="60" w:after="60"/>
              <w:ind w:right="170"/>
              <w:jc w:val="right"/>
              <w:rPr>
                <w:rFonts w:cs="Times New Roman"/>
                <w:b/>
                <w:bCs/>
                <w:sz w:val="20"/>
                <w:szCs w:val="20"/>
              </w:rPr>
            </w:pPr>
            <w:r w:rsidRPr="007C1E37">
              <w:rPr>
                <w:rFonts w:cs="Times New Roman"/>
                <w:b/>
                <w:bCs/>
                <w:sz w:val="20"/>
                <w:szCs w:val="20"/>
              </w:rPr>
              <w:t xml:space="preserve"> 42,260 </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3A2ACA64" w14:textId="77777777" w:rsidR="00BE2200" w:rsidRPr="007C1E37" w:rsidRDefault="00BE2200" w:rsidP="001E519A">
            <w:pPr>
              <w:spacing w:before="60" w:after="60"/>
              <w:ind w:right="170"/>
              <w:jc w:val="right"/>
              <w:rPr>
                <w:rFonts w:cs="Times New Roman"/>
                <w:b/>
                <w:bCs/>
                <w:sz w:val="20"/>
                <w:szCs w:val="20"/>
              </w:rPr>
            </w:pPr>
            <w:r w:rsidRPr="007C1E37">
              <w:rPr>
                <w:rFonts w:cs="Times New Roman"/>
                <w:b/>
                <w:bCs/>
                <w:sz w:val="20"/>
                <w:szCs w:val="20"/>
              </w:rPr>
              <w:t xml:space="preserve"> 45,961 </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16A33639" w14:textId="77777777" w:rsidR="00BE2200" w:rsidRPr="007C1E37" w:rsidRDefault="00BE2200" w:rsidP="001E519A">
            <w:pPr>
              <w:spacing w:before="60" w:after="60"/>
              <w:ind w:right="170"/>
              <w:jc w:val="right"/>
              <w:rPr>
                <w:rFonts w:cs="Times New Roman"/>
                <w:b/>
                <w:bCs/>
                <w:sz w:val="20"/>
                <w:szCs w:val="20"/>
              </w:rPr>
            </w:pPr>
            <w:r w:rsidRPr="007C1E37">
              <w:rPr>
                <w:rFonts w:cs="Times New Roman"/>
                <w:b/>
                <w:bCs/>
                <w:sz w:val="20"/>
                <w:szCs w:val="20"/>
              </w:rPr>
              <w:t>47,941</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0E63DEA9" w14:textId="77777777" w:rsidR="00BE2200" w:rsidRPr="007C1E37" w:rsidRDefault="00BE2200" w:rsidP="001E519A">
            <w:pPr>
              <w:spacing w:before="60" w:after="60"/>
              <w:ind w:right="170"/>
              <w:jc w:val="right"/>
              <w:rPr>
                <w:rFonts w:cs="Times New Roman"/>
                <w:b/>
                <w:bCs/>
                <w:sz w:val="20"/>
                <w:szCs w:val="20"/>
              </w:rPr>
            </w:pPr>
            <w:r w:rsidRPr="007C1E37">
              <w:rPr>
                <w:rFonts w:cs="Times New Roman"/>
                <w:b/>
                <w:bCs/>
                <w:sz w:val="20"/>
                <w:szCs w:val="20"/>
              </w:rPr>
              <w:t>48,709</w:t>
            </w:r>
          </w:p>
        </w:tc>
      </w:tr>
    </w:tbl>
    <w:p w14:paraId="4150F809" w14:textId="77777777" w:rsidR="00BE2200" w:rsidRPr="008034CE" w:rsidRDefault="00BE2200" w:rsidP="00BE2200">
      <w:pPr>
        <w:pStyle w:val="Sourcefortableorfigure"/>
        <w:spacing w:before="240"/>
      </w:pPr>
      <w:r w:rsidRPr="008034CE">
        <w:t>Source: NDIS internal administrative data</w:t>
      </w:r>
    </w:p>
    <w:p w14:paraId="5A483AC6" w14:textId="77777777" w:rsidR="00BE2200" w:rsidRPr="008034CE" w:rsidRDefault="00BE2200" w:rsidP="00BE2200">
      <w:pPr>
        <w:pStyle w:val="Notefortableorfigure"/>
      </w:pPr>
      <w:r w:rsidRPr="008034CE">
        <w:t>Note: The total for registered providers of therapy supports and total for unregistered providers of therapy supports does not align with the total number of therapy support providers. The reasons for this are: 1) One provider can provide multiple supports, being registered for some supports and unregistered for others (different registration groups) in the same period, so they are accounted for in both groups of providers; 2) Providers with unknown registration are captured in total amounts but not presented in this table as they make up a very small percentage of total payments; and 3) Some participant location details at the time of transaction were not available, so provider remoteness could not be determined.</w:t>
      </w:r>
    </w:p>
    <w:p w14:paraId="20039F0A" w14:textId="77777777" w:rsidR="00BE2200" w:rsidRPr="008034CE" w:rsidRDefault="00BE2200" w:rsidP="00BE2200">
      <w:pPr>
        <w:pStyle w:val="Heading5"/>
      </w:pPr>
      <w:bookmarkStart w:id="278" w:name="_Toc195538924"/>
      <w:bookmarkStart w:id="279" w:name="_Toc200103504"/>
      <w:bookmarkStart w:id="280" w:name="_Toc200271617"/>
      <w:r w:rsidRPr="008034CE">
        <w:t>Market Share and Consolidation</w:t>
      </w:r>
      <w:bookmarkEnd w:id="278"/>
      <w:bookmarkEnd w:id="279"/>
      <w:bookmarkEnd w:id="280"/>
      <w:r w:rsidRPr="008034CE">
        <w:t xml:space="preserve"> </w:t>
      </w:r>
    </w:p>
    <w:p w14:paraId="45F905B2" w14:textId="6FF2D4A3" w:rsidR="00BE2200" w:rsidRPr="008034CE" w:rsidRDefault="00BE2200" w:rsidP="00BE2200">
      <w:r w:rsidRPr="008034CE">
        <w:rPr>
          <w:bCs/>
        </w:rPr>
        <w:t xml:space="preserve">While the therapy market has grown significantly since </w:t>
      </w:r>
      <w:r w:rsidRPr="008034CE">
        <w:t>January</w:t>
      </w:r>
      <w:r w:rsidRPr="008034CE">
        <w:rPr>
          <w:bCs/>
        </w:rPr>
        <w:t xml:space="preserve"> 2022, unregistered providers have dominated this growth. During this period, the number of registered providers declined, and the top 10 providers’ share of total therapy payments fell from 11.1% to 10.5% (</w:t>
      </w:r>
      <w:r w:rsidRPr="008034CE">
        <w:rPr>
          <w:bCs/>
        </w:rPr>
        <w:fldChar w:fldCharType="begin"/>
      </w:r>
      <w:r w:rsidRPr="008034CE">
        <w:rPr>
          <w:bCs/>
        </w:rPr>
        <w:instrText xml:space="preserve"> REF _Ref195540715 \h  \* MERGEFORMAT </w:instrText>
      </w:r>
      <w:r w:rsidRPr="008034CE">
        <w:rPr>
          <w:bCs/>
        </w:rPr>
      </w:r>
      <w:r w:rsidRPr="008034CE">
        <w:rPr>
          <w:bCs/>
        </w:rPr>
        <w:fldChar w:fldCharType="separate"/>
      </w:r>
      <w:r w:rsidR="005763F9" w:rsidRPr="008034CE">
        <w:t xml:space="preserve">Figure </w:t>
      </w:r>
      <w:r w:rsidR="005763F9">
        <w:t>11</w:t>
      </w:r>
      <w:r w:rsidRPr="008034CE">
        <w:rPr>
          <w:bCs/>
        </w:rPr>
        <w:fldChar w:fldCharType="end"/>
      </w:r>
      <w:r w:rsidRPr="008034CE">
        <w:rPr>
          <w:bCs/>
        </w:rPr>
        <w:t xml:space="preserve">). This shift reflects a broader redistribution of service delivery, with payments increasingly directed to smaller-scale providers. </w:t>
      </w:r>
    </w:p>
    <w:p w14:paraId="7D5C46F1" w14:textId="123B5A10" w:rsidR="00BE2200" w:rsidRDefault="00BE2200" w:rsidP="00BE2200">
      <w:pPr>
        <w:rPr>
          <w:bCs/>
        </w:rPr>
      </w:pPr>
      <w:r w:rsidRPr="008034CE">
        <w:rPr>
          <w:bCs/>
        </w:rPr>
        <w:t xml:space="preserve">These changes are more pronounced in </w:t>
      </w:r>
      <w:r w:rsidRPr="008034CE">
        <w:t>remote</w:t>
      </w:r>
      <w:r w:rsidRPr="008034CE">
        <w:rPr>
          <w:bCs/>
        </w:rPr>
        <w:t xml:space="preserve"> and very remote areas. In very remote </w:t>
      </w:r>
      <w:r w:rsidRPr="008034CE">
        <w:t>areas</w:t>
      </w:r>
      <w:r w:rsidRPr="008034CE">
        <w:rPr>
          <w:bCs/>
        </w:rPr>
        <w:t>, the top 10 providers’ share fell from 46% to 30%, and in remote areas from 34% to 21% (</w:t>
      </w:r>
      <w:r w:rsidRPr="008034CE">
        <w:rPr>
          <w:bCs/>
        </w:rPr>
        <w:fldChar w:fldCharType="begin"/>
      </w:r>
      <w:r w:rsidRPr="008034CE">
        <w:rPr>
          <w:bCs/>
        </w:rPr>
        <w:instrText xml:space="preserve"> REF _Ref195540719 \h  \* MERGEFORMAT </w:instrText>
      </w:r>
      <w:r w:rsidRPr="008034CE">
        <w:rPr>
          <w:bCs/>
        </w:rPr>
      </w:r>
      <w:r w:rsidRPr="008034CE">
        <w:rPr>
          <w:bCs/>
        </w:rPr>
        <w:fldChar w:fldCharType="separate"/>
      </w:r>
      <w:r w:rsidR="005763F9" w:rsidRPr="008034CE">
        <w:t xml:space="preserve">Figure </w:t>
      </w:r>
      <w:r w:rsidR="005763F9">
        <w:t>12</w:t>
      </w:r>
      <w:r w:rsidRPr="008034CE">
        <w:rPr>
          <w:bCs/>
        </w:rPr>
        <w:fldChar w:fldCharType="end"/>
      </w:r>
      <w:r w:rsidRPr="008034CE">
        <w:rPr>
          <w:bCs/>
        </w:rPr>
        <w:t xml:space="preserve">). In contrast, </w:t>
      </w:r>
      <w:r w:rsidRPr="008034CE">
        <w:t xml:space="preserve">their </w:t>
      </w:r>
      <w:r w:rsidRPr="008034CE">
        <w:rPr>
          <w:bCs/>
        </w:rPr>
        <w:t xml:space="preserve">market share in non-remote areas remained stable at around 11% from January 2022 to December 2024. </w:t>
      </w:r>
    </w:p>
    <w:p w14:paraId="26878885" w14:textId="77777777" w:rsidR="00BE2200" w:rsidRDefault="00BE2200">
      <w:pPr>
        <w:spacing w:before="120" w:after="120"/>
        <w:rPr>
          <w:bCs/>
        </w:rPr>
      </w:pPr>
      <w:r>
        <w:rPr>
          <w:bCs/>
        </w:rPr>
        <w:br w:type="page"/>
      </w:r>
    </w:p>
    <w:p w14:paraId="35AD9DD3" w14:textId="1C5CF0FF" w:rsidR="00673A38" w:rsidRPr="008034CE" w:rsidRDefault="00673A38" w:rsidP="00673A38">
      <w:pPr>
        <w:pStyle w:val="Caption"/>
      </w:pPr>
      <w:bookmarkStart w:id="281" w:name="_Ref195540715"/>
      <w:r w:rsidRPr="008034CE">
        <w:lastRenderedPageBreak/>
        <w:t xml:space="preserve">Figure </w:t>
      </w:r>
      <w:r w:rsidR="005763F9">
        <w:fldChar w:fldCharType="begin"/>
      </w:r>
      <w:r w:rsidR="005763F9">
        <w:instrText xml:space="preserve"> SEQ Figure \* ARABIC </w:instrText>
      </w:r>
      <w:r w:rsidR="005763F9">
        <w:fldChar w:fldCharType="separate"/>
      </w:r>
      <w:r w:rsidR="005763F9">
        <w:rPr>
          <w:noProof/>
        </w:rPr>
        <w:t>11</w:t>
      </w:r>
      <w:r w:rsidR="005763F9">
        <w:rPr>
          <w:noProof/>
        </w:rPr>
        <w:fldChar w:fldCharType="end"/>
      </w:r>
      <w:bookmarkEnd w:id="281"/>
      <w:r w:rsidRPr="008034CE">
        <w:t>: Top 10 Providers’ Market Share Against Overall Provider Growth for Therapy Supports, January 2022 to December 2024</w:t>
      </w:r>
    </w:p>
    <w:p w14:paraId="608C85E9" w14:textId="77777777" w:rsidR="00673A38" w:rsidRPr="008034CE" w:rsidRDefault="00673A38" w:rsidP="00673A38">
      <w:pPr>
        <w:pStyle w:val="Notefortableorfigure"/>
      </w:pPr>
      <w:r w:rsidRPr="008034CE">
        <w:rPr>
          <w:noProof/>
        </w:rPr>
        <w:drawing>
          <wp:inline distT="0" distB="0" distL="0" distR="0" wp14:anchorId="40F55B56" wp14:editId="1FBDCA23">
            <wp:extent cx="5821200" cy="3369600"/>
            <wp:effectExtent l="0" t="0" r="8255" b="2540"/>
            <wp:docPr id="1287415724" name="Picture 6" descr="A column and line graph showing the top 10 providers’ market share against overall provider growth for therapy supports, from January 2022 to December 2024. The number of providers has steadily increased, whilst the top 10 providers’ market share has slightly decreased over time.&#10;&#10;From January to June 2022, the total number of providers was 42,589 and the top 10 providers’ market share was 11.1%.&#10;&#10;From July to December 2022, the total number of providers was 46,325 and the top 10 providers’ market share was 11.0%.&#10;&#10;From January to June 2023, the total number of providers was 49,502 and the top 10 providers’ market share was 10.9%.&#10;&#10;From July to December 2023, the total number of providers was 52,735 and the top 10 providers’ market share was 10.7%.&#10;&#10;From January to June 2024, the total number of providers was 54,616 and the top 10 providers’ market share was 10.4%.&#10;&#10;From July to December 2024, the total number of providers was 55,369 and the top 10 providers’ market share was 10.5%.&#10;&#10;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26">
                      <a:extLst>
                        <a:ext uri="{28A0092B-C50C-407E-A947-70E740481C1C}">
                          <a14:useLocalDpi xmlns:a14="http://schemas.microsoft.com/office/drawing/2010/main" val="0"/>
                        </a:ext>
                      </a:extLst>
                    </a:blip>
                    <a:stretch>
                      <a:fillRect/>
                    </a:stretch>
                  </pic:blipFill>
                  <pic:spPr>
                    <a:xfrm>
                      <a:off x="0" y="0"/>
                      <a:ext cx="5821200" cy="3369600"/>
                    </a:xfrm>
                    <a:prstGeom prst="rect">
                      <a:avLst/>
                    </a:prstGeom>
                  </pic:spPr>
                </pic:pic>
              </a:graphicData>
            </a:graphic>
          </wp:inline>
        </w:drawing>
      </w:r>
    </w:p>
    <w:p w14:paraId="09FA28D2" w14:textId="77777777" w:rsidR="00673A38" w:rsidRPr="008034CE" w:rsidRDefault="00673A38" w:rsidP="00673A38">
      <w:bookmarkStart w:id="282" w:name="_Ref164970899"/>
    </w:p>
    <w:p w14:paraId="5CFCA65A" w14:textId="5A24FDC4" w:rsidR="00673A38" w:rsidRPr="008034CE" w:rsidRDefault="00673A38" w:rsidP="00673A38">
      <w:pPr>
        <w:pStyle w:val="Caption"/>
      </w:pPr>
      <w:bookmarkStart w:id="283" w:name="_Ref195540719"/>
      <w:bookmarkEnd w:id="282"/>
      <w:r w:rsidRPr="008034CE">
        <w:t xml:space="preserve">Figure </w:t>
      </w:r>
      <w:r w:rsidR="005763F9">
        <w:fldChar w:fldCharType="begin"/>
      </w:r>
      <w:r w:rsidR="005763F9">
        <w:instrText xml:space="preserve"> SEQ Figure \* ARABIC </w:instrText>
      </w:r>
      <w:r w:rsidR="005763F9">
        <w:fldChar w:fldCharType="separate"/>
      </w:r>
      <w:r w:rsidR="005763F9">
        <w:rPr>
          <w:noProof/>
        </w:rPr>
        <w:t>12</w:t>
      </w:r>
      <w:r w:rsidR="005763F9">
        <w:rPr>
          <w:noProof/>
        </w:rPr>
        <w:fldChar w:fldCharType="end"/>
      </w:r>
      <w:bookmarkEnd w:id="283"/>
      <w:r w:rsidRPr="008034CE">
        <w:t>: Top 10 Providers’ Market Share by Remoteness for Therapy Supports, January 2022 to December 2024</w:t>
      </w:r>
    </w:p>
    <w:p w14:paraId="6386AF06" w14:textId="77777777" w:rsidR="00673A38" w:rsidRPr="008034CE" w:rsidRDefault="00673A38" w:rsidP="00673A38">
      <w:pPr>
        <w:pStyle w:val="Notefortableorfigure"/>
      </w:pPr>
      <w:r w:rsidRPr="008034CE">
        <w:rPr>
          <w:noProof/>
        </w:rPr>
        <w:drawing>
          <wp:inline distT="0" distB="0" distL="0" distR="0" wp14:anchorId="4F0056AA" wp14:editId="6FF02C29">
            <wp:extent cx="5759121" cy="3369600"/>
            <wp:effectExtent l="0" t="0" r="0" b="2540"/>
            <wp:docPr id="1623915566" name="Picture 8" descr="A line graph showing the top 10 providers’ market share by remoteness for therapy supports from January 2022 to December 2024. The graph shows that very remote and remote providers hold the largest market share.&#10;&#10;From January to June 2022, the market share of non-remote providers was 11.2%, remote providers was 34%, and very remote providers was 46%.&#10;&#10;From July to December 2022, the market share of non-remote providers was 11.1%, remote providers was 32%, and very remote providers was 44%.&#10;&#10;From January to June 2023, the market share of non-remote providers was 11.0%, remote providers was 29%, and very remote providers was 40%.&#10;&#10;From July to December 2023, the market share of non-remote providers was 10.8%, remote providers was 27%, and very remote providers was 43%.&#10;&#10;From January to June 2024, the market share of non-remote providers was 10.6%, remote providers was 21%, and very remote providers was 36%.&#10;&#10;From July to December 2024, the market share of non-remote providers was 10.6%, remote providers was 21%, and very remote providers was 30%.&#10;&#10;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915566" name="Picture 8" descr="A line graph showing the top 10 providers’ market share by remoteness for therapy supports from January 2022 to December 2024. The graph shows that very remote and remote providers hold the largest market share.&#10;&#10;From January to June 2022, the market share of non-remote providers was 11.2%, remote providers was 34%, and very remote providers was 46%.&#10;&#10;From July to December 2022, the market share of non-remote providers was 11.1%, remote providers was 32%, and very remote providers was 44%.&#10;&#10;From January to June 2023, the market share of non-remote providers was 11.0%, remote providers was 29%, and very remote providers was 40%.&#10;&#10;From July to December 2023, the market share of non-remote providers was 10.8%, remote providers was 27%, and very remote providers was 43%.&#10;&#10;From January to June 2024, the market share of non-remote providers was 10.6%, remote providers was 21%, and very remote providers was 36%.&#10;&#10;From July to December 2024, the market share of non-remote providers was 10.6%, remote providers was 21%, and very remote providers was 30%.&#10;&#10;Source: NDIS internal administrative data."/>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59121" cy="3369600"/>
                    </a:xfrm>
                    <a:prstGeom prst="rect">
                      <a:avLst/>
                    </a:prstGeom>
                  </pic:spPr>
                </pic:pic>
              </a:graphicData>
            </a:graphic>
          </wp:inline>
        </w:drawing>
      </w:r>
    </w:p>
    <w:p w14:paraId="3835FD88" w14:textId="77777777" w:rsidR="00BE2200" w:rsidRPr="008034CE" w:rsidRDefault="00BE2200" w:rsidP="00BE2200"/>
    <w:p w14:paraId="037C67E7" w14:textId="77777777" w:rsidR="00F5304E" w:rsidRPr="008034CE" w:rsidRDefault="00F5304E" w:rsidP="00F5304E">
      <w:pPr>
        <w:pStyle w:val="Heading5"/>
      </w:pPr>
      <w:bookmarkStart w:id="284" w:name="_Toc195538925"/>
      <w:bookmarkStart w:id="285" w:name="_Toc200103505"/>
      <w:bookmarkStart w:id="286" w:name="_Toc200271618"/>
      <w:r w:rsidRPr="008034CE">
        <w:lastRenderedPageBreak/>
        <w:t>Business Structure</w:t>
      </w:r>
      <w:bookmarkEnd w:id="284"/>
      <w:r w:rsidRPr="008034CE">
        <w:t xml:space="preserve"> </w:t>
      </w:r>
      <w:bookmarkStart w:id="287" w:name="_Toc165077240"/>
      <w:r w:rsidRPr="008034CE">
        <w:t xml:space="preserve">- </w:t>
      </w:r>
      <w:r w:rsidRPr="008034CE">
        <w:rPr>
          <w:bCs/>
        </w:rPr>
        <w:t>Most supports are provided by Companies</w:t>
      </w:r>
      <w:bookmarkEnd w:id="287"/>
      <w:bookmarkEnd w:id="285"/>
      <w:bookmarkEnd w:id="286"/>
    </w:p>
    <w:p w14:paraId="56AAB26D" w14:textId="13E6AAD5" w:rsidR="00F5304E" w:rsidRPr="008034CE" w:rsidRDefault="00F5304E" w:rsidP="00F5304E">
      <w:r w:rsidRPr="008034CE">
        <w:t>In the six months to December 2024, 17,398 companies delivered therapy supports to 345,492 participants, with an average claim of $97,674 (</w:t>
      </w:r>
      <w:r w:rsidRPr="008034CE">
        <w:fldChar w:fldCharType="begin"/>
      </w:r>
      <w:r w:rsidRPr="008034CE">
        <w:instrText xml:space="preserve"> REF _Ref195540202 \h  \* MERGEFORMAT </w:instrText>
      </w:r>
      <w:r w:rsidRPr="008034CE">
        <w:fldChar w:fldCharType="separate"/>
      </w:r>
      <w:r w:rsidR="005763F9" w:rsidRPr="008034CE">
        <w:t xml:space="preserve">Table </w:t>
      </w:r>
      <w:r w:rsidR="005763F9">
        <w:t>16</w:t>
      </w:r>
      <w:r w:rsidRPr="008034CE">
        <w:fldChar w:fldCharType="end"/>
      </w:r>
      <w:r w:rsidRPr="008034CE">
        <w:t xml:space="preserve">). In contrast, 31,503 sole traders supported 146,531 participants, averaging $12,523 in claims. While sole traders make up more than half of all providers of therapy supports, they account for only 16% of total therapy payments. </w:t>
      </w:r>
    </w:p>
    <w:p w14:paraId="6D8BF190" w14:textId="250F51C4" w:rsidR="00F5304E" w:rsidRPr="008034CE" w:rsidRDefault="00F5304E" w:rsidP="00F5304E">
      <w:r w:rsidRPr="008034CE">
        <w:t>Since early 2022, the number of companies has grown by 44%, with therapy payments rising from $889.7 million to $1.7 billion. The number of sole traders also grew by nearly 30% with NDIS payments for therapy supports going to sole traders increasing from $232.3 million to $394.5 million (</w:t>
      </w:r>
      <w:r w:rsidRPr="008034CE">
        <w:fldChar w:fldCharType="begin"/>
      </w:r>
      <w:r w:rsidRPr="008034CE">
        <w:instrText xml:space="preserve"> REF _Ref195540210 \h  \* MERGEFORMAT </w:instrText>
      </w:r>
      <w:r w:rsidRPr="008034CE">
        <w:fldChar w:fldCharType="separate"/>
      </w:r>
      <w:r w:rsidR="005763F9" w:rsidRPr="008034CE">
        <w:t xml:space="preserve">Table </w:t>
      </w:r>
      <w:r w:rsidR="005763F9">
        <w:t>17</w:t>
      </w:r>
      <w:r w:rsidRPr="008034CE">
        <w:fldChar w:fldCharType="end"/>
      </w:r>
      <w:r w:rsidRPr="008034CE">
        <w:t xml:space="preserve"> and </w:t>
      </w:r>
      <w:r w:rsidRPr="008034CE">
        <w:fldChar w:fldCharType="begin"/>
      </w:r>
      <w:r w:rsidRPr="008034CE">
        <w:instrText xml:space="preserve"> REF _Ref195540213 \h  \* MERGEFORMAT </w:instrText>
      </w:r>
      <w:r w:rsidRPr="008034CE">
        <w:fldChar w:fldCharType="separate"/>
      </w:r>
      <w:r w:rsidR="005763F9" w:rsidRPr="008034CE">
        <w:t xml:space="preserve">Table </w:t>
      </w:r>
      <w:r w:rsidR="005763F9">
        <w:t>18</w:t>
      </w:r>
      <w:r w:rsidRPr="008034CE">
        <w:fldChar w:fldCharType="end"/>
      </w:r>
      <w:r w:rsidRPr="008034CE">
        <w:t>). This</w:t>
      </w:r>
      <w:r w:rsidR="008D60AB">
        <w:t> </w:t>
      </w:r>
      <w:r w:rsidRPr="008034CE">
        <w:t>suggests that while the market continues to attract small-scale providers, most</w:t>
      </w:r>
      <w:r w:rsidR="008D60AB">
        <w:t> </w:t>
      </w:r>
      <w:r w:rsidRPr="008034CE">
        <w:t>service volume and funding remains concentrated with larger, structured business entities.</w:t>
      </w:r>
    </w:p>
    <w:p w14:paraId="2CBF05B8" w14:textId="3B1C3FEC" w:rsidR="00F5304E" w:rsidRPr="008034CE" w:rsidRDefault="00F5304E" w:rsidP="00F5304E">
      <w:pPr>
        <w:pStyle w:val="Caption"/>
      </w:pPr>
      <w:bookmarkStart w:id="288" w:name="_Ref195540202"/>
      <w:r w:rsidRPr="008034CE">
        <w:t xml:space="preserve">Table </w:t>
      </w:r>
      <w:r w:rsidR="005763F9">
        <w:fldChar w:fldCharType="begin"/>
      </w:r>
      <w:r w:rsidR="005763F9">
        <w:instrText xml:space="preserve"> SEQ Table \* ARABIC </w:instrText>
      </w:r>
      <w:r w:rsidR="005763F9">
        <w:fldChar w:fldCharType="separate"/>
      </w:r>
      <w:r w:rsidR="005763F9">
        <w:rPr>
          <w:noProof/>
        </w:rPr>
        <w:t>16</w:t>
      </w:r>
      <w:r w:rsidR="005763F9">
        <w:rPr>
          <w:noProof/>
        </w:rPr>
        <w:fldChar w:fldCharType="end"/>
      </w:r>
      <w:bookmarkEnd w:id="288"/>
      <w:r w:rsidRPr="008034CE">
        <w:t>: Therapy Supports Scheme Statistics by Legal Entity Type, July to December 2024</w:t>
      </w:r>
    </w:p>
    <w:tbl>
      <w:tblPr>
        <w:tblStyle w:val="GridTable4-Accent12"/>
        <w:tblW w:w="0" w:type="auto"/>
        <w:tblInd w:w="-5" w:type="dxa"/>
        <w:tblLayout w:type="fixed"/>
        <w:tblLook w:val="0420" w:firstRow="1" w:lastRow="0" w:firstColumn="0" w:lastColumn="0" w:noHBand="0" w:noVBand="1"/>
      </w:tblPr>
      <w:tblGrid>
        <w:gridCol w:w="2835"/>
        <w:gridCol w:w="1134"/>
        <w:gridCol w:w="1418"/>
        <w:gridCol w:w="1418"/>
        <w:gridCol w:w="1134"/>
        <w:gridCol w:w="1134"/>
      </w:tblGrid>
      <w:tr w:rsidR="00255F30" w:rsidRPr="007C1E37" w14:paraId="3E4FCBD5" w14:textId="77777777" w:rsidTr="001E519A">
        <w:trPr>
          <w:cnfStyle w:val="100000000000" w:firstRow="1" w:lastRow="0" w:firstColumn="0" w:lastColumn="0" w:oddVBand="0" w:evenVBand="0" w:oddHBand="0" w:evenHBand="0" w:firstRowFirstColumn="0" w:firstRowLastColumn="0" w:lastRowFirstColumn="0" w:lastRowLastColumn="0"/>
          <w:trHeight w:val="567"/>
          <w:tblHeader/>
        </w:trPr>
        <w:tc>
          <w:tcPr>
            <w:tcW w:w="2835" w:type="dxa"/>
            <w:tcBorders>
              <w:top w:val="single" w:sz="4" w:space="0" w:color="501E58" w:themeColor="accent5" w:themeShade="BF"/>
              <w:left w:val="single" w:sz="4" w:space="0" w:color="501E58" w:themeColor="accent5" w:themeShade="BF"/>
              <w:bottom w:val="single" w:sz="4" w:space="0" w:color="501E58" w:themeColor="accent5" w:themeShade="BF"/>
              <w:right w:val="single" w:sz="6" w:space="0" w:color="501E58" w:themeColor="accent5" w:themeShade="BF"/>
            </w:tcBorders>
          </w:tcPr>
          <w:p w14:paraId="3961E139" w14:textId="77777777" w:rsidR="00255F30" w:rsidRPr="007C1E37" w:rsidRDefault="00255F30" w:rsidP="001E519A">
            <w:pPr>
              <w:spacing w:before="60" w:after="60"/>
              <w:rPr>
                <w:rFonts w:cs="Arial"/>
                <w:sz w:val="20"/>
                <w:szCs w:val="20"/>
                <w:lang w:eastAsia="en-AU"/>
              </w:rPr>
            </w:pPr>
            <w:r w:rsidRPr="007C1E37">
              <w:rPr>
                <w:sz w:val="20"/>
                <w:szCs w:val="20"/>
              </w:rPr>
              <w:t>Statistics</w:t>
            </w:r>
          </w:p>
        </w:tc>
        <w:tc>
          <w:tcPr>
            <w:tcW w:w="1134"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tcPr>
          <w:p w14:paraId="7B0A0B10" w14:textId="77777777" w:rsidR="00255F30" w:rsidRPr="007C1E37" w:rsidRDefault="00255F30" w:rsidP="001E519A">
            <w:pPr>
              <w:spacing w:before="60" w:after="60"/>
              <w:jc w:val="center"/>
              <w:rPr>
                <w:rFonts w:cs="Arial"/>
                <w:sz w:val="20"/>
                <w:szCs w:val="20"/>
                <w:lang w:eastAsia="en-AU"/>
              </w:rPr>
            </w:pPr>
            <w:r w:rsidRPr="007C1E37">
              <w:rPr>
                <w:sz w:val="20"/>
                <w:szCs w:val="20"/>
              </w:rPr>
              <w:t>Company</w:t>
            </w:r>
          </w:p>
        </w:tc>
        <w:tc>
          <w:tcPr>
            <w:tcW w:w="1418"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tcPr>
          <w:p w14:paraId="4B577054" w14:textId="77777777" w:rsidR="00255F30" w:rsidRPr="007C1E37" w:rsidRDefault="00255F30" w:rsidP="001E519A">
            <w:pPr>
              <w:spacing w:before="60" w:after="60"/>
              <w:jc w:val="center"/>
              <w:rPr>
                <w:rFonts w:cs="Arial"/>
                <w:sz w:val="20"/>
                <w:szCs w:val="20"/>
                <w:lang w:eastAsia="en-AU"/>
              </w:rPr>
            </w:pPr>
            <w:r w:rsidRPr="007C1E37">
              <w:rPr>
                <w:sz w:val="20"/>
                <w:szCs w:val="20"/>
              </w:rPr>
              <w:t>Government Entity</w:t>
            </w:r>
          </w:p>
        </w:tc>
        <w:tc>
          <w:tcPr>
            <w:tcW w:w="1418"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tcPr>
          <w:p w14:paraId="747D28BE" w14:textId="77777777" w:rsidR="00255F30" w:rsidRPr="007C1E37" w:rsidRDefault="00255F30" w:rsidP="001E519A">
            <w:pPr>
              <w:spacing w:before="60" w:after="60"/>
              <w:jc w:val="center"/>
              <w:rPr>
                <w:rFonts w:cs="Arial"/>
                <w:sz w:val="20"/>
                <w:szCs w:val="20"/>
                <w:lang w:eastAsia="en-AU"/>
              </w:rPr>
            </w:pPr>
            <w:r w:rsidRPr="007C1E37">
              <w:rPr>
                <w:sz w:val="20"/>
                <w:szCs w:val="20"/>
              </w:rPr>
              <w:t>Partnership (Other)</w:t>
            </w:r>
          </w:p>
        </w:tc>
        <w:tc>
          <w:tcPr>
            <w:tcW w:w="1134"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tcPr>
          <w:p w14:paraId="00910640" w14:textId="77777777" w:rsidR="00255F30" w:rsidRPr="007C1E37" w:rsidRDefault="00255F30" w:rsidP="001E519A">
            <w:pPr>
              <w:spacing w:before="60" w:after="60"/>
              <w:jc w:val="center"/>
              <w:rPr>
                <w:rFonts w:cs="Arial"/>
                <w:sz w:val="20"/>
                <w:szCs w:val="20"/>
                <w:lang w:eastAsia="en-AU"/>
              </w:rPr>
            </w:pPr>
            <w:r w:rsidRPr="007C1E37">
              <w:rPr>
                <w:sz w:val="20"/>
                <w:szCs w:val="20"/>
              </w:rPr>
              <w:t>Trust / Super</w:t>
            </w:r>
          </w:p>
        </w:tc>
        <w:tc>
          <w:tcPr>
            <w:tcW w:w="1134"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tcPr>
          <w:p w14:paraId="56A9773A" w14:textId="77777777" w:rsidR="00255F30" w:rsidRPr="007C1E37" w:rsidRDefault="00255F30" w:rsidP="001E519A">
            <w:pPr>
              <w:spacing w:before="60" w:after="60"/>
              <w:jc w:val="center"/>
              <w:rPr>
                <w:sz w:val="20"/>
                <w:szCs w:val="20"/>
              </w:rPr>
            </w:pPr>
            <w:r w:rsidRPr="007C1E37">
              <w:rPr>
                <w:sz w:val="20"/>
                <w:szCs w:val="20"/>
              </w:rPr>
              <w:t>Sole Trader</w:t>
            </w:r>
          </w:p>
        </w:tc>
      </w:tr>
      <w:tr w:rsidR="00255F30" w:rsidRPr="007C1E37" w14:paraId="134B8514" w14:textId="77777777" w:rsidTr="001E519A">
        <w:trPr>
          <w:cnfStyle w:val="000000100000" w:firstRow="0" w:lastRow="0" w:firstColumn="0" w:lastColumn="0" w:oddVBand="0" w:evenVBand="0" w:oddHBand="1" w:evenHBand="0" w:firstRowFirstColumn="0" w:firstRowLastColumn="0" w:lastRowFirstColumn="0" w:lastRowLastColumn="0"/>
          <w:trHeight w:val="397"/>
        </w:trPr>
        <w:tc>
          <w:tcPr>
            <w:tcW w:w="2835"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164B6E91" w14:textId="77777777" w:rsidR="00255F30" w:rsidRPr="007C1E37" w:rsidRDefault="00255F30" w:rsidP="001E519A">
            <w:pPr>
              <w:spacing w:before="60" w:after="60"/>
              <w:rPr>
                <w:rFonts w:cs="Arial"/>
                <w:sz w:val="20"/>
                <w:szCs w:val="20"/>
                <w:lang w:eastAsia="en-AU"/>
              </w:rPr>
            </w:pPr>
            <w:r w:rsidRPr="007C1E37">
              <w:rPr>
                <w:sz w:val="20"/>
                <w:szCs w:val="20"/>
              </w:rPr>
              <w:t>Number of NDIS participants</w:t>
            </w:r>
          </w:p>
        </w:tc>
        <w:tc>
          <w:tcPr>
            <w:tcW w:w="1134"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66DD6F64" w14:textId="77777777" w:rsidR="00255F30" w:rsidRPr="007C1E37" w:rsidRDefault="00255F30" w:rsidP="001E519A">
            <w:pPr>
              <w:spacing w:before="60" w:after="60"/>
              <w:ind w:right="57"/>
              <w:jc w:val="right"/>
              <w:rPr>
                <w:rFonts w:cs="Arial"/>
                <w:color w:val="000000"/>
                <w:sz w:val="20"/>
                <w:szCs w:val="20"/>
                <w:lang w:eastAsia="en-AU"/>
              </w:rPr>
            </w:pPr>
            <w:r w:rsidRPr="007C1E37">
              <w:rPr>
                <w:sz w:val="20"/>
                <w:szCs w:val="20"/>
              </w:rPr>
              <w:t>345,492</w:t>
            </w:r>
          </w:p>
        </w:tc>
        <w:tc>
          <w:tcPr>
            <w:tcW w:w="1418"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58072A71" w14:textId="77777777" w:rsidR="00255F30" w:rsidRPr="007C1E37" w:rsidRDefault="00255F30" w:rsidP="001E519A">
            <w:pPr>
              <w:spacing w:before="60" w:after="60"/>
              <w:ind w:right="227"/>
              <w:jc w:val="right"/>
              <w:rPr>
                <w:rFonts w:cs="Arial"/>
                <w:color w:val="000000"/>
                <w:sz w:val="20"/>
                <w:szCs w:val="20"/>
                <w:lang w:eastAsia="en-AU"/>
              </w:rPr>
            </w:pPr>
            <w:r w:rsidRPr="007C1E37">
              <w:rPr>
                <w:sz w:val="20"/>
                <w:szCs w:val="20"/>
              </w:rPr>
              <w:t>4,511</w:t>
            </w:r>
          </w:p>
        </w:tc>
        <w:tc>
          <w:tcPr>
            <w:tcW w:w="1418"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25F40619" w14:textId="77777777" w:rsidR="00255F30" w:rsidRPr="007C1E37" w:rsidRDefault="00255F30" w:rsidP="001E519A">
            <w:pPr>
              <w:spacing w:before="60" w:after="60"/>
              <w:ind w:right="227"/>
              <w:jc w:val="right"/>
              <w:rPr>
                <w:rFonts w:cs="Arial"/>
                <w:color w:val="000000"/>
                <w:sz w:val="20"/>
                <w:szCs w:val="20"/>
                <w:lang w:eastAsia="en-AU"/>
              </w:rPr>
            </w:pPr>
            <w:r w:rsidRPr="007C1E37">
              <w:rPr>
                <w:sz w:val="20"/>
                <w:szCs w:val="20"/>
              </w:rPr>
              <w:t>12,889</w:t>
            </w:r>
          </w:p>
        </w:tc>
        <w:tc>
          <w:tcPr>
            <w:tcW w:w="1134"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1D9AA6C7" w14:textId="77777777" w:rsidR="00255F30" w:rsidRPr="007C1E37" w:rsidRDefault="00255F30" w:rsidP="001E519A">
            <w:pPr>
              <w:spacing w:before="60" w:after="60"/>
              <w:ind w:right="57"/>
              <w:jc w:val="right"/>
              <w:rPr>
                <w:rFonts w:cs="Arial"/>
                <w:color w:val="000000"/>
                <w:sz w:val="20"/>
                <w:szCs w:val="20"/>
                <w:lang w:eastAsia="en-AU"/>
              </w:rPr>
            </w:pPr>
            <w:r w:rsidRPr="007C1E37">
              <w:rPr>
                <w:sz w:val="20"/>
                <w:szCs w:val="20"/>
              </w:rPr>
              <w:t>99,663</w:t>
            </w:r>
          </w:p>
        </w:tc>
        <w:tc>
          <w:tcPr>
            <w:tcW w:w="1134"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50FCF4E3" w14:textId="77777777" w:rsidR="00255F30" w:rsidRPr="007C1E37" w:rsidRDefault="00255F30" w:rsidP="001E519A">
            <w:pPr>
              <w:spacing w:before="60" w:after="60"/>
              <w:ind w:right="57"/>
              <w:jc w:val="right"/>
              <w:rPr>
                <w:sz w:val="20"/>
                <w:szCs w:val="20"/>
              </w:rPr>
            </w:pPr>
            <w:r w:rsidRPr="007C1E37">
              <w:rPr>
                <w:sz w:val="20"/>
                <w:szCs w:val="20"/>
              </w:rPr>
              <w:t>146,531</w:t>
            </w:r>
          </w:p>
        </w:tc>
      </w:tr>
      <w:tr w:rsidR="00255F30" w:rsidRPr="007C1E37" w14:paraId="3A9ECDD5" w14:textId="77777777" w:rsidTr="001E519A">
        <w:trPr>
          <w:trHeight w:val="397"/>
        </w:trPr>
        <w:tc>
          <w:tcPr>
            <w:tcW w:w="2835"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533D1739" w14:textId="77777777" w:rsidR="00255F30" w:rsidRPr="007C1E37" w:rsidRDefault="00255F30" w:rsidP="001E519A">
            <w:pPr>
              <w:spacing w:before="60" w:after="60"/>
              <w:rPr>
                <w:rFonts w:cs="Arial"/>
                <w:sz w:val="20"/>
                <w:szCs w:val="20"/>
                <w:lang w:eastAsia="en-AU"/>
              </w:rPr>
            </w:pPr>
            <w:r w:rsidRPr="007C1E37">
              <w:rPr>
                <w:sz w:val="20"/>
                <w:szCs w:val="20"/>
              </w:rPr>
              <w:t>Number of active providers</w:t>
            </w:r>
          </w:p>
        </w:tc>
        <w:tc>
          <w:tcPr>
            <w:tcW w:w="1134"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69B0C011" w14:textId="77777777" w:rsidR="00255F30" w:rsidRPr="007C1E37" w:rsidRDefault="00255F30" w:rsidP="001E519A">
            <w:pPr>
              <w:spacing w:before="60" w:after="60"/>
              <w:ind w:right="57"/>
              <w:jc w:val="right"/>
              <w:rPr>
                <w:rFonts w:cs="Arial"/>
                <w:color w:val="000000"/>
                <w:sz w:val="20"/>
                <w:szCs w:val="20"/>
                <w:lang w:eastAsia="en-AU"/>
              </w:rPr>
            </w:pPr>
            <w:r w:rsidRPr="007C1E37">
              <w:rPr>
                <w:sz w:val="20"/>
                <w:szCs w:val="20"/>
              </w:rPr>
              <w:t>17,398</w:t>
            </w:r>
          </w:p>
        </w:tc>
        <w:tc>
          <w:tcPr>
            <w:tcW w:w="141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3CC54EA0" w14:textId="77777777" w:rsidR="00255F30" w:rsidRPr="007C1E37" w:rsidRDefault="00255F30" w:rsidP="001E519A">
            <w:pPr>
              <w:spacing w:before="60" w:after="60"/>
              <w:ind w:right="227"/>
              <w:jc w:val="right"/>
              <w:rPr>
                <w:rFonts w:cs="Arial"/>
                <w:color w:val="000000"/>
                <w:sz w:val="20"/>
                <w:szCs w:val="20"/>
                <w:lang w:eastAsia="en-AU"/>
              </w:rPr>
            </w:pPr>
            <w:r w:rsidRPr="007C1E37">
              <w:rPr>
                <w:sz w:val="20"/>
                <w:szCs w:val="20"/>
              </w:rPr>
              <w:t>134</w:t>
            </w:r>
          </w:p>
        </w:tc>
        <w:tc>
          <w:tcPr>
            <w:tcW w:w="141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78663307" w14:textId="77777777" w:rsidR="00255F30" w:rsidRPr="007C1E37" w:rsidRDefault="00255F30" w:rsidP="001E519A">
            <w:pPr>
              <w:spacing w:before="60" w:after="60"/>
              <w:ind w:right="227"/>
              <w:jc w:val="right"/>
              <w:rPr>
                <w:rFonts w:cs="Arial"/>
                <w:color w:val="000000"/>
                <w:sz w:val="20"/>
                <w:szCs w:val="20"/>
                <w:lang w:eastAsia="en-AU"/>
              </w:rPr>
            </w:pPr>
            <w:r w:rsidRPr="007C1E37">
              <w:rPr>
                <w:sz w:val="20"/>
                <w:szCs w:val="20"/>
              </w:rPr>
              <w:t>1,200</w:t>
            </w:r>
          </w:p>
        </w:tc>
        <w:tc>
          <w:tcPr>
            <w:tcW w:w="1134"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03C08AC2" w14:textId="77777777" w:rsidR="00255F30" w:rsidRPr="007C1E37" w:rsidRDefault="00255F30" w:rsidP="001E519A">
            <w:pPr>
              <w:spacing w:before="60" w:after="60"/>
              <w:ind w:right="57"/>
              <w:jc w:val="right"/>
              <w:rPr>
                <w:rFonts w:cs="Arial"/>
                <w:color w:val="000000"/>
                <w:sz w:val="20"/>
                <w:szCs w:val="20"/>
                <w:lang w:eastAsia="en-AU"/>
              </w:rPr>
            </w:pPr>
            <w:r w:rsidRPr="007C1E37">
              <w:rPr>
                <w:sz w:val="20"/>
                <w:szCs w:val="20"/>
              </w:rPr>
              <w:t>5,084</w:t>
            </w:r>
          </w:p>
        </w:tc>
        <w:tc>
          <w:tcPr>
            <w:tcW w:w="1134"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0C97E7A8" w14:textId="77777777" w:rsidR="00255F30" w:rsidRPr="007C1E37" w:rsidRDefault="00255F30" w:rsidP="001E519A">
            <w:pPr>
              <w:spacing w:before="60" w:after="60"/>
              <w:ind w:right="57"/>
              <w:jc w:val="right"/>
              <w:rPr>
                <w:sz w:val="20"/>
                <w:szCs w:val="20"/>
              </w:rPr>
            </w:pPr>
            <w:r w:rsidRPr="007C1E37">
              <w:rPr>
                <w:sz w:val="20"/>
                <w:szCs w:val="20"/>
              </w:rPr>
              <w:t>31,503</w:t>
            </w:r>
          </w:p>
        </w:tc>
      </w:tr>
      <w:tr w:rsidR="00255F30" w:rsidRPr="007C1E37" w14:paraId="53A9EDAF" w14:textId="77777777" w:rsidTr="001E519A">
        <w:trPr>
          <w:cnfStyle w:val="000000100000" w:firstRow="0" w:lastRow="0" w:firstColumn="0" w:lastColumn="0" w:oddVBand="0" w:evenVBand="0" w:oddHBand="1" w:evenHBand="0" w:firstRowFirstColumn="0" w:firstRowLastColumn="0" w:lastRowFirstColumn="0" w:lastRowLastColumn="0"/>
          <w:trHeight w:val="397"/>
        </w:trPr>
        <w:tc>
          <w:tcPr>
            <w:tcW w:w="2835"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794B27E3" w14:textId="77777777" w:rsidR="00255F30" w:rsidRPr="007C1E37" w:rsidRDefault="00255F30" w:rsidP="001E519A">
            <w:pPr>
              <w:spacing w:before="60" w:after="60"/>
              <w:rPr>
                <w:rFonts w:cs="Arial"/>
                <w:sz w:val="20"/>
                <w:szCs w:val="20"/>
                <w:lang w:eastAsia="en-AU"/>
              </w:rPr>
            </w:pPr>
            <w:r w:rsidRPr="007C1E37">
              <w:rPr>
                <w:sz w:val="20"/>
                <w:szCs w:val="20"/>
              </w:rPr>
              <w:t xml:space="preserve">Total amount claimed by active providers of Therapy supports </w:t>
            </w:r>
            <w:r w:rsidRPr="007C1E37">
              <w:rPr>
                <w:b/>
                <w:bCs/>
                <w:sz w:val="20"/>
                <w:szCs w:val="20"/>
              </w:rPr>
              <w:t>($ million)</w:t>
            </w:r>
          </w:p>
        </w:tc>
        <w:tc>
          <w:tcPr>
            <w:tcW w:w="1134"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5346228E" w14:textId="77777777" w:rsidR="00255F30" w:rsidRPr="007C1E37" w:rsidRDefault="00255F30" w:rsidP="001E519A">
            <w:pPr>
              <w:spacing w:before="60" w:after="60"/>
              <w:ind w:right="57"/>
              <w:jc w:val="right"/>
              <w:rPr>
                <w:rFonts w:cs="Arial"/>
                <w:sz w:val="20"/>
                <w:szCs w:val="20"/>
              </w:rPr>
            </w:pPr>
            <w:r w:rsidRPr="007C1E37">
              <w:rPr>
                <w:sz w:val="20"/>
                <w:szCs w:val="20"/>
              </w:rPr>
              <w:t>$1,699.3</w:t>
            </w:r>
          </w:p>
        </w:tc>
        <w:tc>
          <w:tcPr>
            <w:tcW w:w="141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44A87B6D" w14:textId="77777777" w:rsidR="00255F30" w:rsidRPr="007C1E37" w:rsidRDefault="00255F30" w:rsidP="001E519A">
            <w:pPr>
              <w:spacing w:before="60" w:after="60"/>
              <w:ind w:right="227"/>
              <w:jc w:val="right"/>
              <w:rPr>
                <w:rFonts w:cs="Arial"/>
                <w:sz w:val="20"/>
                <w:szCs w:val="20"/>
              </w:rPr>
            </w:pPr>
            <w:r w:rsidRPr="007C1E37">
              <w:rPr>
                <w:sz w:val="20"/>
                <w:szCs w:val="20"/>
              </w:rPr>
              <w:t>$10.0</w:t>
            </w:r>
          </w:p>
        </w:tc>
        <w:tc>
          <w:tcPr>
            <w:tcW w:w="141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0E93D646" w14:textId="77777777" w:rsidR="00255F30" w:rsidRPr="007C1E37" w:rsidRDefault="00255F30" w:rsidP="001E519A">
            <w:pPr>
              <w:spacing w:before="60" w:after="60"/>
              <w:ind w:right="227"/>
              <w:jc w:val="right"/>
              <w:rPr>
                <w:rFonts w:cs="Arial"/>
                <w:sz w:val="20"/>
                <w:szCs w:val="20"/>
              </w:rPr>
            </w:pPr>
            <w:r w:rsidRPr="007C1E37">
              <w:rPr>
                <w:sz w:val="20"/>
                <w:szCs w:val="20"/>
              </w:rPr>
              <w:t>$28.3</w:t>
            </w:r>
          </w:p>
        </w:tc>
        <w:tc>
          <w:tcPr>
            <w:tcW w:w="1134"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588FEE74" w14:textId="77777777" w:rsidR="00255F30" w:rsidRPr="007C1E37" w:rsidRDefault="00255F30" w:rsidP="001E519A">
            <w:pPr>
              <w:spacing w:before="60" w:after="60"/>
              <w:ind w:right="57"/>
              <w:jc w:val="right"/>
              <w:rPr>
                <w:rFonts w:cs="Arial"/>
                <w:sz w:val="20"/>
                <w:szCs w:val="20"/>
              </w:rPr>
            </w:pPr>
            <w:r w:rsidRPr="007C1E37">
              <w:rPr>
                <w:sz w:val="20"/>
                <w:szCs w:val="20"/>
              </w:rPr>
              <w:t>$267.8</w:t>
            </w:r>
          </w:p>
        </w:tc>
        <w:tc>
          <w:tcPr>
            <w:tcW w:w="1134"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24BBCCBB" w14:textId="77777777" w:rsidR="00255F30" w:rsidRPr="007C1E37" w:rsidRDefault="00255F30" w:rsidP="001E519A">
            <w:pPr>
              <w:spacing w:before="60" w:after="60"/>
              <w:ind w:right="57"/>
              <w:jc w:val="right"/>
              <w:rPr>
                <w:sz w:val="20"/>
                <w:szCs w:val="20"/>
              </w:rPr>
            </w:pPr>
            <w:r w:rsidRPr="007C1E37">
              <w:rPr>
                <w:sz w:val="20"/>
                <w:szCs w:val="20"/>
              </w:rPr>
              <w:t>$394.5</w:t>
            </w:r>
          </w:p>
        </w:tc>
      </w:tr>
      <w:tr w:rsidR="00255F30" w:rsidRPr="007C1E37" w14:paraId="2510F11B" w14:textId="77777777" w:rsidTr="001E519A">
        <w:trPr>
          <w:trHeight w:val="397"/>
        </w:trPr>
        <w:tc>
          <w:tcPr>
            <w:tcW w:w="2835"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391044EA" w14:textId="77777777" w:rsidR="00255F30" w:rsidRPr="007C1E37" w:rsidRDefault="00255F30" w:rsidP="001E519A">
            <w:pPr>
              <w:spacing w:before="60" w:after="60"/>
              <w:rPr>
                <w:rFonts w:cs="Arial"/>
                <w:b/>
                <w:bCs/>
                <w:sz w:val="20"/>
                <w:szCs w:val="20"/>
                <w:lang w:eastAsia="en-AU"/>
              </w:rPr>
            </w:pPr>
            <w:r w:rsidRPr="007C1E37">
              <w:rPr>
                <w:sz w:val="20"/>
                <w:szCs w:val="20"/>
              </w:rPr>
              <w:t>Average amount claimed by all active providers of Therapy supports</w:t>
            </w:r>
          </w:p>
        </w:tc>
        <w:tc>
          <w:tcPr>
            <w:tcW w:w="1134"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4030A5E4" w14:textId="77777777" w:rsidR="00255F30" w:rsidRPr="007C1E37" w:rsidRDefault="00255F30" w:rsidP="001E519A">
            <w:pPr>
              <w:spacing w:before="60" w:after="60"/>
              <w:ind w:right="57"/>
              <w:jc w:val="right"/>
              <w:rPr>
                <w:rFonts w:cs="Arial"/>
                <w:b/>
                <w:bCs/>
                <w:sz w:val="20"/>
                <w:szCs w:val="20"/>
              </w:rPr>
            </w:pPr>
            <w:r w:rsidRPr="007C1E37">
              <w:rPr>
                <w:sz w:val="20"/>
                <w:szCs w:val="20"/>
              </w:rPr>
              <w:t>$97,674</w:t>
            </w:r>
          </w:p>
        </w:tc>
        <w:tc>
          <w:tcPr>
            <w:tcW w:w="141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2558F059" w14:textId="77777777" w:rsidR="00255F30" w:rsidRPr="007C1E37" w:rsidRDefault="00255F30" w:rsidP="001E519A">
            <w:pPr>
              <w:spacing w:before="60" w:after="60"/>
              <w:ind w:right="227"/>
              <w:jc w:val="right"/>
              <w:rPr>
                <w:rFonts w:cs="Arial"/>
                <w:b/>
                <w:bCs/>
                <w:sz w:val="20"/>
                <w:szCs w:val="20"/>
              </w:rPr>
            </w:pPr>
            <w:r w:rsidRPr="007C1E37">
              <w:rPr>
                <w:sz w:val="20"/>
                <w:szCs w:val="20"/>
              </w:rPr>
              <w:t>$74,542</w:t>
            </w:r>
          </w:p>
        </w:tc>
        <w:tc>
          <w:tcPr>
            <w:tcW w:w="141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60095BF9" w14:textId="77777777" w:rsidR="00255F30" w:rsidRPr="007C1E37" w:rsidRDefault="00255F30" w:rsidP="001E519A">
            <w:pPr>
              <w:spacing w:before="60" w:after="60"/>
              <w:ind w:right="227"/>
              <w:jc w:val="right"/>
              <w:rPr>
                <w:rFonts w:cs="Arial"/>
                <w:b/>
                <w:bCs/>
                <w:sz w:val="20"/>
                <w:szCs w:val="20"/>
              </w:rPr>
            </w:pPr>
            <w:r w:rsidRPr="007C1E37">
              <w:rPr>
                <w:sz w:val="20"/>
                <w:szCs w:val="20"/>
              </w:rPr>
              <w:t>$23,586</w:t>
            </w:r>
          </w:p>
        </w:tc>
        <w:tc>
          <w:tcPr>
            <w:tcW w:w="1134"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621A50E6" w14:textId="77777777" w:rsidR="00255F30" w:rsidRPr="007C1E37" w:rsidRDefault="00255F30" w:rsidP="001E519A">
            <w:pPr>
              <w:spacing w:before="60" w:after="60"/>
              <w:ind w:right="57"/>
              <w:jc w:val="right"/>
              <w:rPr>
                <w:rFonts w:cs="Arial"/>
                <w:b/>
                <w:bCs/>
                <w:sz w:val="20"/>
                <w:szCs w:val="20"/>
              </w:rPr>
            </w:pPr>
            <w:r w:rsidRPr="007C1E37">
              <w:rPr>
                <w:sz w:val="20"/>
                <w:szCs w:val="20"/>
              </w:rPr>
              <w:t>$52,673</w:t>
            </w:r>
          </w:p>
        </w:tc>
        <w:tc>
          <w:tcPr>
            <w:tcW w:w="1134"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269E618C" w14:textId="77777777" w:rsidR="00255F30" w:rsidRPr="007C1E37" w:rsidRDefault="00255F30" w:rsidP="001E519A">
            <w:pPr>
              <w:spacing w:before="60" w:after="60"/>
              <w:ind w:right="57"/>
              <w:jc w:val="right"/>
              <w:rPr>
                <w:sz w:val="20"/>
                <w:szCs w:val="20"/>
              </w:rPr>
            </w:pPr>
            <w:r w:rsidRPr="007C1E37">
              <w:rPr>
                <w:sz w:val="20"/>
                <w:szCs w:val="20"/>
              </w:rPr>
              <w:t>$12,523</w:t>
            </w:r>
          </w:p>
        </w:tc>
      </w:tr>
    </w:tbl>
    <w:p w14:paraId="374B269B" w14:textId="55D6140D" w:rsidR="00F5304E" w:rsidRPr="008034CE" w:rsidRDefault="00F5304E" w:rsidP="00255F30">
      <w:pPr>
        <w:pStyle w:val="Sourcefortableorfigure"/>
        <w:spacing w:before="120"/>
      </w:pPr>
      <w:r w:rsidRPr="008034CE">
        <w:t>Source: NDIS internal administrative data</w:t>
      </w:r>
    </w:p>
    <w:p w14:paraId="5914DC14" w14:textId="6F97EF99" w:rsidR="00255F30" w:rsidRDefault="00F5304E" w:rsidP="00F5304E">
      <w:pPr>
        <w:pStyle w:val="Notefortableorfigure"/>
      </w:pPr>
      <w:r w:rsidRPr="008034CE">
        <w:t>Note: Excludes Missing Legal Entity Type.</w:t>
      </w:r>
    </w:p>
    <w:p w14:paraId="32CFA151" w14:textId="77777777" w:rsidR="00255F30" w:rsidRDefault="00255F30">
      <w:pPr>
        <w:spacing w:before="120" w:after="120"/>
        <w:rPr>
          <w:rFonts w:eastAsiaTheme="minorEastAsia" w:cs="Calibri"/>
          <w:sz w:val="20"/>
          <w:szCs w:val="18"/>
        </w:rPr>
      </w:pPr>
      <w:r>
        <w:br w:type="page"/>
      </w:r>
    </w:p>
    <w:p w14:paraId="1FF3E199" w14:textId="3AAFC2DB" w:rsidR="00255F30" w:rsidRPr="008034CE" w:rsidRDefault="00255F30" w:rsidP="00255F30">
      <w:pPr>
        <w:pStyle w:val="Caption"/>
      </w:pPr>
      <w:bookmarkStart w:id="289" w:name="_Ref195540210"/>
      <w:r w:rsidRPr="008034CE">
        <w:lastRenderedPageBreak/>
        <w:t xml:space="preserve">Table </w:t>
      </w:r>
      <w:r w:rsidR="005763F9">
        <w:fldChar w:fldCharType="begin"/>
      </w:r>
      <w:r w:rsidR="005763F9">
        <w:instrText xml:space="preserve"> SEQ Table \* ARABIC </w:instrText>
      </w:r>
      <w:r w:rsidR="005763F9">
        <w:fldChar w:fldCharType="separate"/>
      </w:r>
      <w:r w:rsidR="005763F9">
        <w:rPr>
          <w:noProof/>
        </w:rPr>
        <w:t>17</w:t>
      </w:r>
      <w:r w:rsidR="005763F9">
        <w:rPr>
          <w:noProof/>
        </w:rPr>
        <w:fldChar w:fldCharType="end"/>
      </w:r>
      <w:bookmarkEnd w:id="289"/>
      <w:r w:rsidRPr="008034CE">
        <w:t>: Number of Providers of Therapy Supports by Legal Entity Type, January 2022 to December 2024</w:t>
      </w:r>
    </w:p>
    <w:tbl>
      <w:tblPr>
        <w:tblStyle w:val="GridTable4-Accent12"/>
        <w:tblW w:w="0" w:type="auto"/>
        <w:tblInd w:w="-5" w:type="dxa"/>
        <w:tblLayout w:type="fixed"/>
        <w:tblLook w:val="0420" w:firstRow="1" w:lastRow="0" w:firstColumn="0" w:lastColumn="0" w:noHBand="0" w:noVBand="1"/>
      </w:tblPr>
      <w:tblGrid>
        <w:gridCol w:w="1928"/>
        <w:gridCol w:w="1196"/>
        <w:gridCol w:w="1196"/>
        <w:gridCol w:w="1196"/>
        <w:gridCol w:w="1196"/>
        <w:gridCol w:w="1196"/>
        <w:gridCol w:w="1196"/>
      </w:tblGrid>
      <w:tr w:rsidR="00255F30" w:rsidRPr="000C2665" w14:paraId="33F54F98" w14:textId="77777777" w:rsidTr="001E519A">
        <w:trPr>
          <w:cnfStyle w:val="100000000000" w:firstRow="1" w:lastRow="0" w:firstColumn="0" w:lastColumn="0" w:oddVBand="0" w:evenVBand="0" w:oddHBand="0" w:evenHBand="0" w:firstRowFirstColumn="0" w:firstRowLastColumn="0" w:lastRowFirstColumn="0" w:lastRowLastColumn="0"/>
          <w:trHeight w:val="567"/>
          <w:tblHeader/>
        </w:trPr>
        <w:tc>
          <w:tcPr>
            <w:tcW w:w="1928" w:type="dxa"/>
            <w:tcBorders>
              <w:top w:val="single" w:sz="4" w:space="0" w:color="501E58" w:themeColor="accent5" w:themeShade="BF"/>
              <w:left w:val="single" w:sz="4" w:space="0" w:color="501E58" w:themeColor="accent5" w:themeShade="BF"/>
              <w:bottom w:val="single" w:sz="4" w:space="0" w:color="501E58" w:themeColor="accent5" w:themeShade="BF"/>
              <w:right w:val="single" w:sz="6" w:space="0" w:color="501E58" w:themeColor="accent5" w:themeShade="BF"/>
            </w:tcBorders>
          </w:tcPr>
          <w:p w14:paraId="366A7BC9" w14:textId="77777777" w:rsidR="00255F30" w:rsidRPr="007C1E37" w:rsidRDefault="00255F30" w:rsidP="001E519A">
            <w:pPr>
              <w:spacing w:before="60" w:after="60"/>
              <w:rPr>
                <w:rFonts w:cs="Arial"/>
                <w:sz w:val="20"/>
                <w:szCs w:val="20"/>
                <w:lang w:eastAsia="en-AU"/>
              </w:rPr>
            </w:pPr>
            <w:r w:rsidRPr="007C1E37">
              <w:rPr>
                <w:sz w:val="20"/>
                <w:szCs w:val="20"/>
              </w:rPr>
              <w:t>Legal Entity Type</w:t>
            </w:r>
          </w:p>
        </w:tc>
        <w:tc>
          <w:tcPr>
            <w:tcW w:w="1196"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tcPr>
          <w:p w14:paraId="2E1BAD2E" w14:textId="77777777" w:rsidR="00255F30" w:rsidRPr="000C2665" w:rsidRDefault="00255F30" w:rsidP="001E519A">
            <w:pPr>
              <w:spacing w:before="60" w:after="0"/>
              <w:jc w:val="center"/>
              <w:rPr>
                <w:b w:val="0"/>
                <w:bCs w:val="0"/>
                <w:sz w:val="20"/>
                <w:szCs w:val="20"/>
              </w:rPr>
            </w:pPr>
            <w:r w:rsidRPr="000C2665">
              <w:rPr>
                <w:sz w:val="20"/>
                <w:szCs w:val="20"/>
              </w:rPr>
              <w:t xml:space="preserve">January </w:t>
            </w:r>
            <w:r w:rsidRPr="00807411">
              <w:rPr>
                <w:rFonts w:cs="Arial"/>
                <w:b w:val="0"/>
                <w:bCs w:val="0"/>
                <w:sz w:val="20"/>
                <w:szCs w:val="20"/>
              </w:rPr>
              <w:t>–</w:t>
            </w:r>
            <w:r>
              <w:rPr>
                <w:rFonts w:cs="Arial"/>
                <w:b w:val="0"/>
                <w:bCs w:val="0"/>
                <w:sz w:val="20"/>
                <w:szCs w:val="20"/>
              </w:rPr>
              <w:t xml:space="preserve"> </w:t>
            </w:r>
            <w:r w:rsidRPr="000C2665">
              <w:rPr>
                <w:sz w:val="20"/>
                <w:szCs w:val="20"/>
              </w:rPr>
              <w:t>June</w:t>
            </w:r>
          </w:p>
          <w:p w14:paraId="76CF8B69" w14:textId="77777777" w:rsidR="00255F30" w:rsidRPr="000C2665" w:rsidRDefault="00255F30" w:rsidP="001E519A">
            <w:pPr>
              <w:spacing w:after="60"/>
              <w:jc w:val="center"/>
              <w:rPr>
                <w:rFonts w:cs="Arial"/>
                <w:sz w:val="20"/>
                <w:szCs w:val="20"/>
                <w:lang w:eastAsia="en-AU"/>
              </w:rPr>
            </w:pPr>
            <w:r w:rsidRPr="000C2665">
              <w:rPr>
                <w:sz w:val="20"/>
                <w:szCs w:val="20"/>
              </w:rPr>
              <w:t>2022</w:t>
            </w:r>
          </w:p>
        </w:tc>
        <w:tc>
          <w:tcPr>
            <w:tcW w:w="1196"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tcPr>
          <w:p w14:paraId="132422D9" w14:textId="77777777" w:rsidR="00255F30" w:rsidRPr="000C2665" w:rsidRDefault="00255F30" w:rsidP="001E519A">
            <w:pPr>
              <w:spacing w:before="60" w:after="60"/>
              <w:jc w:val="center"/>
              <w:rPr>
                <w:rFonts w:cs="Arial"/>
                <w:sz w:val="20"/>
                <w:szCs w:val="20"/>
                <w:lang w:eastAsia="en-AU"/>
              </w:rPr>
            </w:pPr>
            <w:r w:rsidRPr="000C2665">
              <w:rPr>
                <w:sz w:val="20"/>
                <w:szCs w:val="20"/>
              </w:rPr>
              <w:t xml:space="preserve">July </w:t>
            </w:r>
            <w:r w:rsidRPr="00807411">
              <w:rPr>
                <w:rFonts w:cs="Arial"/>
                <w:b w:val="0"/>
                <w:bCs w:val="0"/>
                <w:sz w:val="20"/>
                <w:szCs w:val="20"/>
              </w:rPr>
              <w:t>–</w:t>
            </w:r>
            <w:r>
              <w:rPr>
                <w:rFonts w:cs="Arial"/>
                <w:b w:val="0"/>
                <w:bCs w:val="0"/>
                <w:sz w:val="20"/>
                <w:szCs w:val="20"/>
              </w:rPr>
              <w:t xml:space="preserve"> </w:t>
            </w:r>
            <w:r w:rsidRPr="000C2665">
              <w:rPr>
                <w:sz w:val="20"/>
                <w:szCs w:val="20"/>
              </w:rPr>
              <w:t>December 2022</w:t>
            </w:r>
          </w:p>
        </w:tc>
        <w:tc>
          <w:tcPr>
            <w:tcW w:w="1196"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tcPr>
          <w:p w14:paraId="6C59A14B" w14:textId="77777777" w:rsidR="00255F30" w:rsidRPr="000C2665" w:rsidRDefault="00255F30" w:rsidP="001E519A">
            <w:pPr>
              <w:spacing w:before="60" w:after="0"/>
              <w:jc w:val="center"/>
              <w:rPr>
                <w:b w:val="0"/>
                <w:bCs w:val="0"/>
                <w:sz w:val="20"/>
                <w:szCs w:val="20"/>
              </w:rPr>
            </w:pPr>
            <w:r w:rsidRPr="000C2665">
              <w:rPr>
                <w:sz w:val="20"/>
                <w:szCs w:val="20"/>
              </w:rPr>
              <w:t xml:space="preserve">January </w:t>
            </w:r>
            <w:r w:rsidRPr="00807411">
              <w:rPr>
                <w:rFonts w:cs="Arial"/>
                <w:b w:val="0"/>
                <w:bCs w:val="0"/>
                <w:sz w:val="20"/>
                <w:szCs w:val="20"/>
              </w:rPr>
              <w:t>–</w:t>
            </w:r>
            <w:r>
              <w:rPr>
                <w:rFonts w:cs="Arial"/>
                <w:b w:val="0"/>
                <w:bCs w:val="0"/>
                <w:sz w:val="20"/>
                <w:szCs w:val="20"/>
              </w:rPr>
              <w:t xml:space="preserve"> </w:t>
            </w:r>
            <w:r w:rsidRPr="000C2665">
              <w:rPr>
                <w:sz w:val="20"/>
                <w:szCs w:val="20"/>
              </w:rPr>
              <w:t>June</w:t>
            </w:r>
          </w:p>
          <w:p w14:paraId="458D9882" w14:textId="77777777" w:rsidR="00255F30" w:rsidRPr="000C2665" w:rsidRDefault="00255F30" w:rsidP="001E519A">
            <w:pPr>
              <w:spacing w:after="60"/>
              <w:jc w:val="center"/>
              <w:rPr>
                <w:rFonts w:cs="Arial"/>
                <w:sz w:val="20"/>
                <w:szCs w:val="20"/>
                <w:lang w:eastAsia="en-AU"/>
              </w:rPr>
            </w:pPr>
            <w:r w:rsidRPr="000C2665">
              <w:rPr>
                <w:sz w:val="20"/>
                <w:szCs w:val="20"/>
              </w:rPr>
              <w:t>2023</w:t>
            </w:r>
          </w:p>
        </w:tc>
        <w:tc>
          <w:tcPr>
            <w:tcW w:w="1196"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tcPr>
          <w:p w14:paraId="64207A2F" w14:textId="77777777" w:rsidR="00255F30" w:rsidRPr="000C2665" w:rsidRDefault="00255F30" w:rsidP="001E519A">
            <w:pPr>
              <w:spacing w:before="60" w:after="60"/>
              <w:jc w:val="center"/>
              <w:rPr>
                <w:rFonts w:cs="Arial"/>
                <w:sz w:val="20"/>
                <w:szCs w:val="20"/>
                <w:lang w:eastAsia="en-AU"/>
              </w:rPr>
            </w:pPr>
            <w:r w:rsidRPr="000C2665">
              <w:rPr>
                <w:sz w:val="20"/>
                <w:szCs w:val="20"/>
              </w:rPr>
              <w:t xml:space="preserve">July </w:t>
            </w:r>
            <w:r w:rsidRPr="00807411">
              <w:rPr>
                <w:rFonts w:cs="Arial"/>
                <w:b w:val="0"/>
                <w:bCs w:val="0"/>
                <w:sz w:val="20"/>
                <w:szCs w:val="20"/>
              </w:rPr>
              <w:t>–</w:t>
            </w:r>
            <w:r>
              <w:rPr>
                <w:rFonts w:cs="Arial"/>
                <w:b w:val="0"/>
                <w:bCs w:val="0"/>
                <w:sz w:val="20"/>
                <w:szCs w:val="20"/>
              </w:rPr>
              <w:t xml:space="preserve"> </w:t>
            </w:r>
            <w:r w:rsidRPr="000C2665">
              <w:rPr>
                <w:sz w:val="20"/>
                <w:szCs w:val="20"/>
              </w:rPr>
              <w:t>December 2023</w:t>
            </w:r>
          </w:p>
        </w:tc>
        <w:tc>
          <w:tcPr>
            <w:tcW w:w="1196"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tcPr>
          <w:p w14:paraId="4CFC3770" w14:textId="77777777" w:rsidR="00255F30" w:rsidRPr="000C2665" w:rsidRDefault="00255F30" w:rsidP="001E519A">
            <w:pPr>
              <w:spacing w:before="60" w:after="0"/>
              <w:jc w:val="center"/>
              <w:rPr>
                <w:b w:val="0"/>
                <w:bCs w:val="0"/>
                <w:sz w:val="20"/>
                <w:szCs w:val="20"/>
              </w:rPr>
            </w:pPr>
            <w:r w:rsidRPr="000C2665">
              <w:rPr>
                <w:sz w:val="20"/>
                <w:szCs w:val="20"/>
              </w:rPr>
              <w:t xml:space="preserve">January </w:t>
            </w:r>
            <w:r w:rsidRPr="00807411">
              <w:rPr>
                <w:rFonts w:cs="Arial"/>
                <w:b w:val="0"/>
                <w:bCs w:val="0"/>
                <w:sz w:val="20"/>
                <w:szCs w:val="20"/>
              </w:rPr>
              <w:t>–</w:t>
            </w:r>
            <w:r>
              <w:rPr>
                <w:rFonts w:cs="Arial"/>
                <w:b w:val="0"/>
                <w:bCs w:val="0"/>
                <w:sz w:val="20"/>
                <w:szCs w:val="20"/>
              </w:rPr>
              <w:t xml:space="preserve"> </w:t>
            </w:r>
            <w:r w:rsidRPr="000C2665">
              <w:rPr>
                <w:sz w:val="20"/>
                <w:szCs w:val="20"/>
              </w:rPr>
              <w:t>June</w:t>
            </w:r>
          </w:p>
          <w:p w14:paraId="02E79FC7" w14:textId="77777777" w:rsidR="00255F30" w:rsidRPr="000C2665" w:rsidRDefault="00255F30" w:rsidP="001E519A">
            <w:pPr>
              <w:spacing w:after="60"/>
              <w:jc w:val="center"/>
              <w:rPr>
                <w:rFonts w:cs="Arial"/>
                <w:sz w:val="20"/>
                <w:szCs w:val="20"/>
                <w:lang w:eastAsia="en-AU"/>
              </w:rPr>
            </w:pPr>
            <w:r w:rsidRPr="000C2665">
              <w:rPr>
                <w:sz w:val="20"/>
                <w:szCs w:val="20"/>
              </w:rPr>
              <w:t>2024</w:t>
            </w:r>
          </w:p>
        </w:tc>
        <w:tc>
          <w:tcPr>
            <w:tcW w:w="1196" w:type="dxa"/>
            <w:tcBorders>
              <w:top w:val="single" w:sz="4" w:space="0" w:color="501E58" w:themeColor="accent5" w:themeShade="BF"/>
              <w:left w:val="single" w:sz="6" w:space="0" w:color="501E58" w:themeColor="accent5" w:themeShade="BF"/>
              <w:bottom w:val="single" w:sz="4" w:space="0" w:color="501E58" w:themeColor="accent5" w:themeShade="BF"/>
              <w:right w:val="single" w:sz="4" w:space="0" w:color="501E58" w:themeColor="accent5" w:themeShade="BF"/>
            </w:tcBorders>
          </w:tcPr>
          <w:p w14:paraId="0AE951D7" w14:textId="77777777" w:rsidR="00255F30" w:rsidRPr="000C2665" w:rsidRDefault="00255F30" w:rsidP="001E519A">
            <w:pPr>
              <w:spacing w:before="60" w:after="60"/>
              <w:jc w:val="center"/>
              <w:rPr>
                <w:rFonts w:cs="Arial"/>
                <w:sz w:val="20"/>
                <w:szCs w:val="20"/>
                <w:lang w:eastAsia="en-AU"/>
              </w:rPr>
            </w:pPr>
            <w:r w:rsidRPr="000C2665">
              <w:rPr>
                <w:sz w:val="20"/>
                <w:szCs w:val="20"/>
              </w:rPr>
              <w:t xml:space="preserve">July </w:t>
            </w:r>
            <w:r w:rsidRPr="00807411">
              <w:rPr>
                <w:rFonts w:cs="Arial"/>
                <w:b w:val="0"/>
                <w:bCs w:val="0"/>
                <w:sz w:val="20"/>
                <w:szCs w:val="20"/>
              </w:rPr>
              <w:t>–</w:t>
            </w:r>
            <w:r>
              <w:rPr>
                <w:rFonts w:cs="Arial"/>
                <w:b w:val="0"/>
                <w:bCs w:val="0"/>
                <w:sz w:val="20"/>
                <w:szCs w:val="20"/>
              </w:rPr>
              <w:t xml:space="preserve"> </w:t>
            </w:r>
            <w:r w:rsidRPr="000C2665">
              <w:rPr>
                <w:sz w:val="20"/>
                <w:szCs w:val="20"/>
              </w:rPr>
              <w:t>December 2024</w:t>
            </w:r>
          </w:p>
        </w:tc>
      </w:tr>
      <w:tr w:rsidR="00255F30" w:rsidRPr="007C1E37" w14:paraId="07569DCC" w14:textId="77777777" w:rsidTr="001E519A">
        <w:trPr>
          <w:cnfStyle w:val="000000100000" w:firstRow="0" w:lastRow="0" w:firstColumn="0" w:lastColumn="0" w:oddVBand="0" w:evenVBand="0" w:oddHBand="1" w:evenHBand="0" w:firstRowFirstColumn="0" w:firstRowLastColumn="0" w:lastRowFirstColumn="0" w:lastRowLastColumn="0"/>
          <w:trHeight w:val="397"/>
        </w:trPr>
        <w:tc>
          <w:tcPr>
            <w:tcW w:w="1928"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64FB4450" w14:textId="77777777" w:rsidR="00255F30" w:rsidRPr="007C1E37" w:rsidRDefault="00255F30" w:rsidP="001E519A">
            <w:pPr>
              <w:spacing w:before="60" w:after="60"/>
              <w:rPr>
                <w:rFonts w:cs="Arial"/>
                <w:sz w:val="20"/>
                <w:szCs w:val="20"/>
                <w:lang w:eastAsia="en-AU"/>
              </w:rPr>
            </w:pPr>
            <w:r w:rsidRPr="007C1E37">
              <w:rPr>
                <w:sz w:val="20"/>
                <w:szCs w:val="20"/>
              </w:rPr>
              <w:t>Company</w:t>
            </w:r>
          </w:p>
        </w:tc>
        <w:tc>
          <w:tcPr>
            <w:tcW w:w="1196"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1678944F" w14:textId="77777777" w:rsidR="00255F30" w:rsidRPr="007C1E37" w:rsidRDefault="00255F30" w:rsidP="001E519A">
            <w:pPr>
              <w:spacing w:before="60" w:after="60"/>
              <w:ind w:right="170"/>
              <w:jc w:val="right"/>
              <w:rPr>
                <w:rFonts w:cs="Arial"/>
                <w:sz w:val="20"/>
                <w:szCs w:val="20"/>
              </w:rPr>
            </w:pPr>
            <w:r w:rsidRPr="007C1E37">
              <w:rPr>
                <w:sz w:val="20"/>
                <w:szCs w:val="20"/>
              </w:rPr>
              <w:t>12,073</w:t>
            </w:r>
          </w:p>
        </w:tc>
        <w:tc>
          <w:tcPr>
            <w:tcW w:w="1196"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2ADE5166" w14:textId="77777777" w:rsidR="00255F30" w:rsidRPr="007C1E37" w:rsidRDefault="00255F30" w:rsidP="001E519A">
            <w:pPr>
              <w:spacing w:before="60" w:after="60"/>
              <w:ind w:right="170"/>
              <w:jc w:val="right"/>
              <w:rPr>
                <w:rFonts w:cs="Arial"/>
                <w:sz w:val="20"/>
                <w:szCs w:val="20"/>
              </w:rPr>
            </w:pPr>
            <w:r w:rsidRPr="007C1E37">
              <w:rPr>
                <w:sz w:val="20"/>
                <w:szCs w:val="20"/>
              </w:rPr>
              <w:t>13,264</w:t>
            </w:r>
          </w:p>
        </w:tc>
        <w:tc>
          <w:tcPr>
            <w:tcW w:w="1196"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2DE58076" w14:textId="77777777" w:rsidR="00255F30" w:rsidRPr="007C1E37" w:rsidRDefault="00255F30" w:rsidP="001E519A">
            <w:pPr>
              <w:spacing w:before="60" w:after="60"/>
              <w:ind w:right="170"/>
              <w:jc w:val="right"/>
              <w:rPr>
                <w:rFonts w:cs="Arial"/>
                <w:sz w:val="20"/>
                <w:szCs w:val="20"/>
              </w:rPr>
            </w:pPr>
            <w:r w:rsidRPr="007C1E37">
              <w:rPr>
                <w:sz w:val="20"/>
                <w:szCs w:val="20"/>
              </w:rPr>
              <w:t>14,163</w:t>
            </w:r>
          </w:p>
        </w:tc>
        <w:tc>
          <w:tcPr>
            <w:tcW w:w="1196"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587DF081" w14:textId="77777777" w:rsidR="00255F30" w:rsidRPr="007C1E37" w:rsidRDefault="00255F30" w:rsidP="001E519A">
            <w:pPr>
              <w:spacing w:before="60" w:after="60"/>
              <w:ind w:right="170"/>
              <w:jc w:val="right"/>
              <w:rPr>
                <w:rFonts w:cs="Arial"/>
                <w:sz w:val="20"/>
                <w:szCs w:val="20"/>
              </w:rPr>
            </w:pPr>
            <w:r w:rsidRPr="007C1E37">
              <w:rPr>
                <w:sz w:val="20"/>
                <w:szCs w:val="20"/>
              </w:rPr>
              <w:t>15,314</w:t>
            </w:r>
          </w:p>
        </w:tc>
        <w:tc>
          <w:tcPr>
            <w:tcW w:w="1196"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72806332" w14:textId="77777777" w:rsidR="00255F30" w:rsidRPr="007C1E37" w:rsidRDefault="00255F30" w:rsidP="001E519A">
            <w:pPr>
              <w:spacing w:before="60" w:after="60"/>
              <w:ind w:right="170"/>
              <w:jc w:val="right"/>
              <w:rPr>
                <w:rFonts w:cs="Arial"/>
                <w:sz w:val="20"/>
                <w:szCs w:val="20"/>
              </w:rPr>
            </w:pPr>
            <w:r w:rsidRPr="007C1E37">
              <w:rPr>
                <w:sz w:val="20"/>
                <w:szCs w:val="20"/>
              </w:rPr>
              <w:t>16,364</w:t>
            </w:r>
          </w:p>
        </w:tc>
        <w:tc>
          <w:tcPr>
            <w:tcW w:w="1196"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426A694E" w14:textId="77777777" w:rsidR="00255F30" w:rsidRPr="007C1E37" w:rsidRDefault="00255F30" w:rsidP="001E519A">
            <w:pPr>
              <w:spacing w:before="60" w:after="60"/>
              <w:ind w:right="170"/>
              <w:jc w:val="right"/>
              <w:rPr>
                <w:rFonts w:cs="Arial"/>
                <w:sz w:val="20"/>
                <w:szCs w:val="20"/>
              </w:rPr>
            </w:pPr>
            <w:r w:rsidRPr="007C1E37">
              <w:rPr>
                <w:sz w:val="20"/>
                <w:szCs w:val="20"/>
              </w:rPr>
              <w:t>17,398</w:t>
            </w:r>
          </w:p>
        </w:tc>
      </w:tr>
      <w:tr w:rsidR="00255F30" w:rsidRPr="007C1E37" w14:paraId="74D1A6A0" w14:textId="77777777" w:rsidTr="001E519A">
        <w:trPr>
          <w:trHeight w:val="397"/>
        </w:trPr>
        <w:tc>
          <w:tcPr>
            <w:tcW w:w="192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20F04106" w14:textId="77777777" w:rsidR="00255F30" w:rsidRPr="007C1E37" w:rsidRDefault="00255F30" w:rsidP="001E519A">
            <w:pPr>
              <w:spacing w:before="60" w:after="60"/>
              <w:rPr>
                <w:rFonts w:cs="Arial"/>
                <w:sz w:val="20"/>
                <w:szCs w:val="20"/>
                <w:lang w:eastAsia="en-AU"/>
              </w:rPr>
            </w:pPr>
            <w:r w:rsidRPr="007C1E37">
              <w:rPr>
                <w:sz w:val="20"/>
                <w:szCs w:val="20"/>
              </w:rPr>
              <w:t>Government Entity</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3BFB5993" w14:textId="77777777" w:rsidR="00255F30" w:rsidRPr="007C1E37" w:rsidRDefault="00255F30" w:rsidP="001E519A">
            <w:pPr>
              <w:spacing w:before="60" w:after="60"/>
              <w:ind w:right="170"/>
              <w:jc w:val="right"/>
              <w:rPr>
                <w:rFonts w:cs="Arial"/>
                <w:sz w:val="20"/>
                <w:szCs w:val="20"/>
              </w:rPr>
            </w:pPr>
            <w:r w:rsidRPr="007C1E37">
              <w:rPr>
                <w:sz w:val="20"/>
                <w:szCs w:val="20"/>
              </w:rPr>
              <w:t>192</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34A82070" w14:textId="77777777" w:rsidR="00255F30" w:rsidRPr="007C1E37" w:rsidRDefault="00255F30" w:rsidP="001E519A">
            <w:pPr>
              <w:spacing w:before="60" w:after="60"/>
              <w:ind w:right="170"/>
              <w:jc w:val="right"/>
              <w:rPr>
                <w:rFonts w:cs="Arial"/>
                <w:sz w:val="20"/>
                <w:szCs w:val="20"/>
              </w:rPr>
            </w:pPr>
            <w:r w:rsidRPr="007C1E37">
              <w:rPr>
                <w:sz w:val="20"/>
                <w:szCs w:val="20"/>
              </w:rPr>
              <w:t>194</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30F13FD5" w14:textId="77777777" w:rsidR="00255F30" w:rsidRPr="007C1E37" w:rsidRDefault="00255F30" w:rsidP="001E519A">
            <w:pPr>
              <w:spacing w:before="60" w:after="60"/>
              <w:ind w:right="170"/>
              <w:jc w:val="right"/>
              <w:rPr>
                <w:rFonts w:cs="Arial"/>
                <w:sz w:val="20"/>
                <w:szCs w:val="20"/>
              </w:rPr>
            </w:pPr>
            <w:r w:rsidRPr="007C1E37">
              <w:rPr>
                <w:sz w:val="20"/>
                <w:szCs w:val="20"/>
              </w:rPr>
              <w:t>168</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322A8B5F" w14:textId="77777777" w:rsidR="00255F30" w:rsidRPr="007C1E37" w:rsidRDefault="00255F30" w:rsidP="001E519A">
            <w:pPr>
              <w:spacing w:before="60" w:after="60"/>
              <w:ind w:right="170"/>
              <w:jc w:val="right"/>
              <w:rPr>
                <w:rFonts w:cs="Arial"/>
                <w:sz w:val="20"/>
                <w:szCs w:val="20"/>
              </w:rPr>
            </w:pPr>
            <w:r w:rsidRPr="007C1E37">
              <w:rPr>
                <w:sz w:val="20"/>
                <w:szCs w:val="20"/>
              </w:rPr>
              <w:t>174</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25318FCF" w14:textId="77777777" w:rsidR="00255F30" w:rsidRPr="007C1E37" w:rsidRDefault="00255F30" w:rsidP="001E519A">
            <w:pPr>
              <w:spacing w:before="60" w:after="60"/>
              <w:ind w:right="170"/>
              <w:jc w:val="right"/>
              <w:rPr>
                <w:rFonts w:cs="Arial"/>
                <w:sz w:val="20"/>
                <w:szCs w:val="20"/>
              </w:rPr>
            </w:pPr>
            <w:r w:rsidRPr="007C1E37">
              <w:rPr>
                <w:sz w:val="20"/>
                <w:szCs w:val="20"/>
              </w:rPr>
              <w:t>163</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7966B8EF" w14:textId="77777777" w:rsidR="00255F30" w:rsidRPr="007C1E37" w:rsidRDefault="00255F30" w:rsidP="001E519A">
            <w:pPr>
              <w:spacing w:before="60" w:after="60"/>
              <w:ind w:right="170"/>
              <w:jc w:val="right"/>
              <w:rPr>
                <w:rFonts w:cs="Arial"/>
                <w:sz w:val="20"/>
                <w:szCs w:val="20"/>
              </w:rPr>
            </w:pPr>
            <w:r w:rsidRPr="007C1E37">
              <w:rPr>
                <w:sz w:val="20"/>
                <w:szCs w:val="20"/>
              </w:rPr>
              <w:t>134</w:t>
            </w:r>
          </w:p>
        </w:tc>
      </w:tr>
      <w:tr w:rsidR="00255F30" w:rsidRPr="007C1E37" w14:paraId="237AAD60" w14:textId="77777777" w:rsidTr="001E519A">
        <w:trPr>
          <w:cnfStyle w:val="000000100000" w:firstRow="0" w:lastRow="0" w:firstColumn="0" w:lastColumn="0" w:oddVBand="0" w:evenVBand="0" w:oddHBand="1" w:evenHBand="0" w:firstRowFirstColumn="0" w:firstRowLastColumn="0" w:lastRowFirstColumn="0" w:lastRowLastColumn="0"/>
          <w:trHeight w:val="397"/>
        </w:trPr>
        <w:tc>
          <w:tcPr>
            <w:tcW w:w="192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29F2476E" w14:textId="77777777" w:rsidR="00255F30" w:rsidRPr="007C1E37" w:rsidRDefault="00255F30" w:rsidP="001E519A">
            <w:pPr>
              <w:spacing w:before="60" w:after="60"/>
              <w:rPr>
                <w:rFonts w:cs="Arial"/>
                <w:sz w:val="20"/>
                <w:szCs w:val="20"/>
                <w:lang w:eastAsia="en-AU"/>
              </w:rPr>
            </w:pPr>
            <w:r w:rsidRPr="007C1E37">
              <w:rPr>
                <w:sz w:val="20"/>
                <w:szCs w:val="20"/>
              </w:rPr>
              <w:t>Partnership (Other)</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4EAB11D0" w14:textId="77777777" w:rsidR="00255F30" w:rsidRPr="007C1E37" w:rsidRDefault="00255F30" w:rsidP="001E519A">
            <w:pPr>
              <w:spacing w:before="60" w:after="60"/>
              <w:ind w:right="170"/>
              <w:jc w:val="right"/>
              <w:rPr>
                <w:rFonts w:cs="Arial"/>
                <w:sz w:val="20"/>
                <w:szCs w:val="20"/>
                <w:lang w:eastAsia="en-US"/>
              </w:rPr>
            </w:pPr>
            <w:r w:rsidRPr="007C1E37">
              <w:rPr>
                <w:sz w:val="20"/>
                <w:szCs w:val="20"/>
              </w:rPr>
              <w:t>1,193</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13D74403" w14:textId="77777777" w:rsidR="00255F30" w:rsidRPr="007C1E37" w:rsidRDefault="00255F30" w:rsidP="001E519A">
            <w:pPr>
              <w:spacing w:before="60" w:after="60"/>
              <w:ind w:right="170"/>
              <w:jc w:val="right"/>
              <w:rPr>
                <w:rFonts w:cs="Arial"/>
                <w:sz w:val="20"/>
                <w:szCs w:val="20"/>
                <w:lang w:eastAsia="en-US"/>
              </w:rPr>
            </w:pPr>
            <w:r w:rsidRPr="007C1E37">
              <w:rPr>
                <w:sz w:val="20"/>
                <w:szCs w:val="20"/>
              </w:rPr>
              <w:t>1,280</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4458ECB3" w14:textId="77777777" w:rsidR="00255F30" w:rsidRPr="007C1E37" w:rsidRDefault="00255F30" w:rsidP="001E519A">
            <w:pPr>
              <w:spacing w:before="60" w:after="60"/>
              <w:ind w:right="170"/>
              <w:jc w:val="right"/>
              <w:rPr>
                <w:rFonts w:cs="Arial"/>
                <w:sz w:val="20"/>
                <w:szCs w:val="20"/>
                <w:lang w:eastAsia="en-US"/>
              </w:rPr>
            </w:pPr>
            <w:r w:rsidRPr="007C1E37">
              <w:rPr>
                <w:sz w:val="20"/>
                <w:szCs w:val="20"/>
              </w:rPr>
              <w:t>1,273</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227D5F0E" w14:textId="77777777" w:rsidR="00255F30" w:rsidRPr="007C1E37" w:rsidRDefault="00255F30" w:rsidP="001E519A">
            <w:pPr>
              <w:spacing w:before="60" w:after="60"/>
              <w:ind w:right="170"/>
              <w:jc w:val="right"/>
              <w:rPr>
                <w:rFonts w:cs="Arial"/>
                <w:color w:val="F9F9F9" w:themeColor="background1"/>
                <w:sz w:val="20"/>
                <w:szCs w:val="20"/>
                <w:lang w:eastAsia="en-US"/>
              </w:rPr>
            </w:pPr>
            <w:r w:rsidRPr="007C1E37">
              <w:rPr>
                <w:sz w:val="20"/>
                <w:szCs w:val="20"/>
              </w:rPr>
              <w:t>1,244</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3EB44F43" w14:textId="77777777" w:rsidR="00255F30" w:rsidRPr="007C1E37" w:rsidRDefault="00255F30" w:rsidP="001E519A">
            <w:pPr>
              <w:spacing w:before="60" w:after="60"/>
              <w:ind w:right="170"/>
              <w:jc w:val="right"/>
              <w:rPr>
                <w:rFonts w:cs="Arial"/>
                <w:sz w:val="20"/>
                <w:szCs w:val="20"/>
              </w:rPr>
            </w:pPr>
            <w:r w:rsidRPr="007C1E37">
              <w:rPr>
                <w:sz w:val="20"/>
                <w:szCs w:val="20"/>
              </w:rPr>
              <w:t>1,219</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26519981" w14:textId="77777777" w:rsidR="00255F30" w:rsidRPr="007C1E37" w:rsidRDefault="00255F30" w:rsidP="001E519A">
            <w:pPr>
              <w:spacing w:before="60" w:after="60"/>
              <w:ind w:right="170"/>
              <w:jc w:val="right"/>
              <w:rPr>
                <w:rFonts w:cs="Arial"/>
                <w:sz w:val="20"/>
                <w:szCs w:val="20"/>
              </w:rPr>
            </w:pPr>
            <w:r w:rsidRPr="007C1E37">
              <w:rPr>
                <w:sz w:val="20"/>
                <w:szCs w:val="20"/>
              </w:rPr>
              <w:t>1,200</w:t>
            </w:r>
          </w:p>
        </w:tc>
      </w:tr>
      <w:tr w:rsidR="00255F30" w:rsidRPr="007C1E37" w14:paraId="369EBB65" w14:textId="77777777" w:rsidTr="001E519A">
        <w:trPr>
          <w:trHeight w:val="397"/>
        </w:trPr>
        <w:tc>
          <w:tcPr>
            <w:tcW w:w="192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345A089A" w14:textId="77777777" w:rsidR="00255F30" w:rsidRPr="007C1E37" w:rsidRDefault="00255F30" w:rsidP="001E519A">
            <w:pPr>
              <w:spacing w:before="60" w:after="60"/>
              <w:rPr>
                <w:b/>
                <w:bCs/>
                <w:sz w:val="20"/>
                <w:szCs w:val="20"/>
              </w:rPr>
            </w:pPr>
            <w:r w:rsidRPr="007C1E37">
              <w:rPr>
                <w:sz w:val="20"/>
                <w:szCs w:val="20"/>
              </w:rPr>
              <w:t>Trust / Super</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7D08D5C8" w14:textId="77777777" w:rsidR="00255F30" w:rsidRPr="007C1E37" w:rsidRDefault="00255F30" w:rsidP="001E519A">
            <w:pPr>
              <w:spacing w:before="60" w:after="60"/>
              <w:ind w:right="170"/>
              <w:jc w:val="right"/>
              <w:rPr>
                <w:b/>
                <w:bCs/>
                <w:sz w:val="20"/>
                <w:szCs w:val="20"/>
              </w:rPr>
            </w:pPr>
            <w:r w:rsidRPr="007C1E37">
              <w:rPr>
                <w:sz w:val="20"/>
                <w:szCs w:val="20"/>
              </w:rPr>
              <w:t>4,430</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56FE51B1" w14:textId="77777777" w:rsidR="00255F30" w:rsidRPr="007C1E37" w:rsidRDefault="00255F30" w:rsidP="001E519A">
            <w:pPr>
              <w:spacing w:before="60" w:after="60"/>
              <w:ind w:right="170"/>
              <w:jc w:val="right"/>
              <w:rPr>
                <w:b/>
                <w:bCs/>
                <w:sz w:val="20"/>
                <w:szCs w:val="20"/>
              </w:rPr>
            </w:pPr>
            <w:r w:rsidRPr="007C1E37">
              <w:rPr>
                <w:sz w:val="20"/>
                <w:szCs w:val="20"/>
              </w:rPr>
              <w:t>4,684</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7590CCD6" w14:textId="77777777" w:rsidR="00255F30" w:rsidRPr="007C1E37" w:rsidRDefault="00255F30" w:rsidP="001E519A">
            <w:pPr>
              <w:spacing w:before="60" w:after="60"/>
              <w:ind w:right="170"/>
              <w:jc w:val="right"/>
              <w:rPr>
                <w:b/>
                <w:bCs/>
                <w:sz w:val="20"/>
                <w:szCs w:val="20"/>
              </w:rPr>
            </w:pPr>
            <w:r w:rsidRPr="007C1E37">
              <w:rPr>
                <w:sz w:val="20"/>
                <w:szCs w:val="20"/>
              </w:rPr>
              <w:t>4,888</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4F0F3044" w14:textId="77777777" w:rsidR="00255F30" w:rsidRPr="007C1E37" w:rsidRDefault="00255F30" w:rsidP="001E519A">
            <w:pPr>
              <w:spacing w:before="60" w:after="60"/>
              <w:ind w:right="170"/>
              <w:jc w:val="right"/>
              <w:rPr>
                <w:b/>
                <w:bCs/>
                <w:sz w:val="20"/>
                <w:szCs w:val="20"/>
              </w:rPr>
            </w:pPr>
            <w:r w:rsidRPr="007C1E37">
              <w:rPr>
                <w:sz w:val="20"/>
                <w:szCs w:val="20"/>
              </w:rPr>
              <w:t>5,009</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14BB8ABB" w14:textId="77777777" w:rsidR="00255F30" w:rsidRPr="007C1E37" w:rsidRDefault="00255F30" w:rsidP="001E519A">
            <w:pPr>
              <w:spacing w:before="60" w:after="60"/>
              <w:ind w:right="170"/>
              <w:jc w:val="right"/>
              <w:rPr>
                <w:b/>
                <w:bCs/>
                <w:sz w:val="20"/>
                <w:szCs w:val="20"/>
              </w:rPr>
            </w:pPr>
            <w:r w:rsidRPr="007C1E37">
              <w:rPr>
                <w:sz w:val="20"/>
                <w:szCs w:val="20"/>
              </w:rPr>
              <w:t>5,053</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79C5DC3B" w14:textId="77777777" w:rsidR="00255F30" w:rsidRPr="007C1E37" w:rsidRDefault="00255F30" w:rsidP="001E519A">
            <w:pPr>
              <w:spacing w:before="60" w:after="60"/>
              <w:ind w:right="170"/>
              <w:jc w:val="right"/>
              <w:rPr>
                <w:b/>
                <w:bCs/>
                <w:sz w:val="20"/>
                <w:szCs w:val="20"/>
              </w:rPr>
            </w:pPr>
            <w:r w:rsidRPr="007C1E37">
              <w:rPr>
                <w:sz w:val="20"/>
                <w:szCs w:val="20"/>
              </w:rPr>
              <w:t>5,084</w:t>
            </w:r>
          </w:p>
        </w:tc>
      </w:tr>
      <w:tr w:rsidR="00255F30" w:rsidRPr="007C1E37" w14:paraId="43A78B61" w14:textId="77777777" w:rsidTr="001E519A">
        <w:trPr>
          <w:cnfStyle w:val="000000100000" w:firstRow="0" w:lastRow="0" w:firstColumn="0" w:lastColumn="0" w:oddVBand="0" w:evenVBand="0" w:oddHBand="1" w:evenHBand="0" w:firstRowFirstColumn="0" w:firstRowLastColumn="0" w:lastRowFirstColumn="0" w:lastRowLastColumn="0"/>
          <w:trHeight w:val="397"/>
        </w:trPr>
        <w:tc>
          <w:tcPr>
            <w:tcW w:w="192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0287E431" w14:textId="77777777" w:rsidR="00255F30" w:rsidRPr="007C1E37" w:rsidRDefault="00255F30" w:rsidP="001E519A">
            <w:pPr>
              <w:spacing w:before="60" w:after="60"/>
              <w:rPr>
                <w:rFonts w:cs="Arial"/>
                <w:b/>
                <w:bCs/>
                <w:sz w:val="20"/>
                <w:szCs w:val="20"/>
                <w:lang w:eastAsia="en-AU"/>
              </w:rPr>
            </w:pPr>
            <w:r w:rsidRPr="007C1E37">
              <w:rPr>
                <w:sz w:val="20"/>
                <w:szCs w:val="20"/>
              </w:rPr>
              <w:t>Sole Trader</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3249DEC1" w14:textId="77777777" w:rsidR="00255F30" w:rsidRPr="007C1E37" w:rsidRDefault="00255F30" w:rsidP="001E519A">
            <w:pPr>
              <w:spacing w:before="60" w:after="60"/>
              <w:ind w:right="170"/>
              <w:jc w:val="right"/>
              <w:rPr>
                <w:rFonts w:cs="Arial"/>
                <w:b/>
                <w:bCs/>
                <w:sz w:val="20"/>
                <w:szCs w:val="20"/>
              </w:rPr>
            </w:pPr>
            <w:r w:rsidRPr="007C1E37">
              <w:rPr>
                <w:sz w:val="20"/>
                <w:szCs w:val="20"/>
              </w:rPr>
              <w:t>24,252</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56F3595F" w14:textId="77777777" w:rsidR="00255F30" w:rsidRPr="007C1E37" w:rsidRDefault="00255F30" w:rsidP="001E519A">
            <w:pPr>
              <w:spacing w:before="60" w:after="60"/>
              <w:ind w:right="170"/>
              <w:jc w:val="right"/>
              <w:rPr>
                <w:rFonts w:cs="Arial"/>
                <w:b/>
                <w:bCs/>
                <w:sz w:val="20"/>
                <w:szCs w:val="20"/>
              </w:rPr>
            </w:pPr>
            <w:r w:rsidRPr="007C1E37">
              <w:rPr>
                <w:sz w:val="20"/>
                <w:szCs w:val="20"/>
              </w:rPr>
              <w:t>26,289</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50B87863" w14:textId="77777777" w:rsidR="00255F30" w:rsidRPr="007C1E37" w:rsidRDefault="00255F30" w:rsidP="001E519A">
            <w:pPr>
              <w:spacing w:before="60" w:after="60"/>
              <w:ind w:right="170"/>
              <w:jc w:val="right"/>
              <w:rPr>
                <w:rFonts w:cs="Arial"/>
                <w:b/>
                <w:bCs/>
                <w:sz w:val="20"/>
                <w:szCs w:val="20"/>
              </w:rPr>
            </w:pPr>
            <w:r w:rsidRPr="007C1E37">
              <w:rPr>
                <w:sz w:val="20"/>
                <w:szCs w:val="20"/>
              </w:rPr>
              <w:t>28,168</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4FEF56DD" w14:textId="77777777" w:rsidR="00255F30" w:rsidRPr="007C1E37" w:rsidRDefault="00255F30" w:rsidP="001E519A">
            <w:pPr>
              <w:spacing w:before="60" w:after="60"/>
              <w:ind w:right="170"/>
              <w:jc w:val="right"/>
              <w:rPr>
                <w:rFonts w:cs="Arial"/>
                <w:b/>
                <w:bCs/>
                <w:sz w:val="20"/>
                <w:szCs w:val="20"/>
              </w:rPr>
            </w:pPr>
            <w:r w:rsidRPr="007C1E37">
              <w:rPr>
                <w:sz w:val="20"/>
                <w:szCs w:val="20"/>
              </w:rPr>
              <w:t>29,919</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2BE44184" w14:textId="77777777" w:rsidR="00255F30" w:rsidRPr="007C1E37" w:rsidRDefault="00255F30" w:rsidP="001E519A">
            <w:pPr>
              <w:spacing w:before="60" w:after="60"/>
              <w:ind w:right="170"/>
              <w:jc w:val="right"/>
              <w:rPr>
                <w:rFonts w:cs="Arial"/>
                <w:b/>
                <w:bCs/>
                <w:sz w:val="20"/>
                <w:szCs w:val="20"/>
              </w:rPr>
            </w:pPr>
            <w:r w:rsidRPr="007C1E37">
              <w:rPr>
                <w:sz w:val="20"/>
                <w:szCs w:val="20"/>
              </w:rPr>
              <w:t>31,243</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6EB227A3" w14:textId="77777777" w:rsidR="00255F30" w:rsidRPr="007C1E37" w:rsidRDefault="00255F30" w:rsidP="001E519A">
            <w:pPr>
              <w:spacing w:before="60" w:after="60"/>
              <w:ind w:right="170"/>
              <w:jc w:val="right"/>
              <w:rPr>
                <w:rFonts w:cs="Arial"/>
                <w:b/>
                <w:bCs/>
                <w:sz w:val="20"/>
                <w:szCs w:val="20"/>
              </w:rPr>
            </w:pPr>
            <w:r w:rsidRPr="007C1E37">
              <w:rPr>
                <w:sz w:val="20"/>
                <w:szCs w:val="20"/>
              </w:rPr>
              <w:t>31,503</w:t>
            </w:r>
          </w:p>
        </w:tc>
      </w:tr>
      <w:tr w:rsidR="00255F30" w:rsidRPr="007C1E37" w14:paraId="17C3043A" w14:textId="77777777" w:rsidTr="001E519A">
        <w:trPr>
          <w:trHeight w:val="397"/>
        </w:trPr>
        <w:tc>
          <w:tcPr>
            <w:tcW w:w="192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0D9AE920" w14:textId="77777777" w:rsidR="00255F30" w:rsidRPr="007C1E37" w:rsidRDefault="00255F30" w:rsidP="001E519A">
            <w:pPr>
              <w:spacing w:before="60" w:after="60"/>
              <w:rPr>
                <w:b/>
                <w:bCs/>
                <w:sz w:val="20"/>
                <w:szCs w:val="20"/>
              </w:rPr>
            </w:pPr>
            <w:r w:rsidRPr="007C1E37">
              <w:rPr>
                <w:b/>
                <w:bCs/>
                <w:sz w:val="20"/>
                <w:szCs w:val="20"/>
              </w:rPr>
              <w:t xml:space="preserve">Total </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0AEE1EC9" w14:textId="77777777" w:rsidR="00255F30" w:rsidRPr="007C1E37" w:rsidRDefault="00255F30" w:rsidP="001E519A">
            <w:pPr>
              <w:spacing w:before="60" w:after="60"/>
              <w:ind w:right="170"/>
              <w:jc w:val="right"/>
              <w:rPr>
                <w:b/>
                <w:bCs/>
                <w:sz w:val="20"/>
                <w:szCs w:val="20"/>
              </w:rPr>
            </w:pPr>
            <w:r w:rsidRPr="007C1E37">
              <w:rPr>
                <w:b/>
                <w:bCs/>
                <w:sz w:val="20"/>
                <w:szCs w:val="20"/>
              </w:rPr>
              <w:t>42,590</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6C1FB44C" w14:textId="77777777" w:rsidR="00255F30" w:rsidRPr="007C1E37" w:rsidRDefault="00255F30" w:rsidP="001E519A">
            <w:pPr>
              <w:spacing w:before="60" w:after="60"/>
              <w:ind w:right="170"/>
              <w:jc w:val="right"/>
              <w:rPr>
                <w:b/>
                <w:bCs/>
                <w:sz w:val="20"/>
                <w:szCs w:val="20"/>
              </w:rPr>
            </w:pPr>
            <w:r w:rsidRPr="007C1E37">
              <w:rPr>
                <w:b/>
                <w:bCs/>
                <w:sz w:val="20"/>
                <w:szCs w:val="20"/>
              </w:rPr>
              <w:t>46,326</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1754B90E" w14:textId="77777777" w:rsidR="00255F30" w:rsidRPr="007C1E37" w:rsidRDefault="00255F30" w:rsidP="001E519A">
            <w:pPr>
              <w:spacing w:before="60" w:after="60"/>
              <w:ind w:right="170"/>
              <w:jc w:val="right"/>
              <w:rPr>
                <w:b/>
                <w:bCs/>
                <w:sz w:val="20"/>
                <w:szCs w:val="20"/>
              </w:rPr>
            </w:pPr>
            <w:r w:rsidRPr="007C1E37">
              <w:rPr>
                <w:b/>
                <w:bCs/>
                <w:sz w:val="20"/>
                <w:szCs w:val="20"/>
              </w:rPr>
              <w:t>49,503</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284C01DD" w14:textId="77777777" w:rsidR="00255F30" w:rsidRPr="007C1E37" w:rsidRDefault="00255F30" w:rsidP="001E519A">
            <w:pPr>
              <w:spacing w:before="60" w:after="60"/>
              <w:ind w:right="170"/>
              <w:jc w:val="right"/>
              <w:rPr>
                <w:b/>
                <w:bCs/>
                <w:sz w:val="20"/>
                <w:szCs w:val="20"/>
              </w:rPr>
            </w:pPr>
            <w:r w:rsidRPr="007C1E37">
              <w:rPr>
                <w:b/>
                <w:bCs/>
                <w:sz w:val="20"/>
                <w:szCs w:val="20"/>
              </w:rPr>
              <w:t>52,736</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06F04279" w14:textId="77777777" w:rsidR="00255F30" w:rsidRPr="007C1E37" w:rsidRDefault="00255F30" w:rsidP="001E519A">
            <w:pPr>
              <w:spacing w:before="60" w:after="60"/>
              <w:ind w:right="170"/>
              <w:jc w:val="right"/>
              <w:rPr>
                <w:b/>
                <w:bCs/>
                <w:sz w:val="20"/>
                <w:szCs w:val="20"/>
              </w:rPr>
            </w:pPr>
            <w:r w:rsidRPr="007C1E37">
              <w:rPr>
                <w:b/>
                <w:bCs/>
                <w:sz w:val="20"/>
                <w:szCs w:val="20"/>
              </w:rPr>
              <w:t>54,617</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4A32BE80" w14:textId="77777777" w:rsidR="00255F30" w:rsidRPr="007C1E37" w:rsidRDefault="00255F30" w:rsidP="001E519A">
            <w:pPr>
              <w:spacing w:before="60" w:after="60"/>
              <w:ind w:right="170"/>
              <w:jc w:val="right"/>
              <w:rPr>
                <w:b/>
                <w:bCs/>
                <w:sz w:val="20"/>
                <w:szCs w:val="20"/>
              </w:rPr>
            </w:pPr>
            <w:r w:rsidRPr="007C1E37">
              <w:rPr>
                <w:b/>
                <w:bCs/>
                <w:sz w:val="20"/>
                <w:szCs w:val="20"/>
              </w:rPr>
              <w:t>55,370</w:t>
            </w:r>
          </w:p>
        </w:tc>
      </w:tr>
    </w:tbl>
    <w:p w14:paraId="47B53DA0" w14:textId="77777777" w:rsidR="00255F30" w:rsidRPr="008034CE" w:rsidRDefault="00255F30" w:rsidP="00255F30">
      <w:pPr>
        <w:pStyle w:val="Sourcefortableorfigure"/>
        <w:spacing w:before="120"/>
      </w:pPr>
      <w:r w:rsidRPr="008034CE">
        <w:t>Source: NDIS internal administrative data</w:t>
      </w:r>
    </w:p>
    <w:p w14:paraId="0F0A0EF3" w14:textId="77777777" w:rsidR="00255F30" w:rsidRPr="008034CE" w:rsidRDefault="00255F30" w:rsidP="00255F30">
      <w:pPr>
        <w:pStyle w:val="Notefortableorfigure"/>
      </w:pPr>
      <w:r w:rsidRPr="008034CE">
        <w:t>Note: Missing Legal Entity Types are not shown in the above table but are included in the total.</w:t>
      </w:r>
    </w:p>
    <w:p w14:paraId="0FEC425E" w14:textId="27ED86DA" w:rsidR="00255F30" w:rsidRPr="008034CE" w:rsidRDefault="00255F30" w:rsidP="00255F30">
      <w:pPr>
        <w:pStyle w:val="Caption"/>
      </w:pPr>
      <w:bookmarkStart w:id="290" w:name="_Ref195540213"/>
      <w:r w:rsidRPr="008034CE">
        <w:t xml:space="preserve">Table </w:t>
      </w:r>
      <w:r w:rsidR="005763F9">
        <w:fldChar w:fldCharType="begin"/>
      </w:r>
      <w:r w:rsidR="005763F9">
        <w:instrText xml:space="preserve"> SEQ Table \* ARABIC </w:instrText>
      </w:r>
      <w:r w:rsidR="005763F9">
        <w:fldChar w:fldCharType="separate"/>
      </w:r>
      <w:r w:rsidR="005763F9">
        <w:rPr>
          <w:noProof/>
        </w:rPr>
        <w:t>18</w:t>
      </w:r>
      <w:r w:rsidR="005763F9">
        <w:rPr>
          <w:noProof/>
        </w:rPr>
        <w:fldChar w:fldCharType="end"/>
      </w:r>
      <w:bookmarkEnd w:id="290"/>
      <w:r w:rsidRPr="008034CE">
        <w:t xml:space="preserve">: Payment Amount ($ million) for Therapy Supports by Legal Entity Type, January 2022 to December 2024 </w:t>
      </w:r>
    </w:p>
    <w:tbl>
      <w:tblPr>
        <w:tblStyle w:val="GridTable4-Accent12"/>
        <w:tblW w:w="0" w:type="auto"/>
        <w:tblInd w:w="-5" w:type="dxa"/>
        <w:tblLayout w:type="fixed"/>
        <w:tblLook w:val="0420" w:firstRow="1" w:lastRow="0" w:firstColumn="0" w:lastColumn="0" w:noHBand="0" w:noVBand="1"/>
      </w:tblPr>
      <w:tblGrid>
        <w:gridCol w:w="1928"/>
        <w:gridCol w:w="1196"/>
        <w:gridCol w:w="1196"/>
        <w:gridCol w:w="1196"/>
        <w:gridCol w:w="1196"/>
        <w:gridCol w:w="1196"/>
        <w:gridCol w:w="1196"/>
      </w:tblGrid>
      <w:tr w:rsidR="00255F30" w:rsidRPr="000C2665" w14:paraId="5166B363" w14:textId="77777777" w:rsidTr="001E519A">
        <w:trPr>
          <w:cnfStyle w:val="100000000000" w:firstRow="1" w:lastRow="0" w:firstColumn="0" w:lastColumn="0" w:oddVBand="0" w:evenVBand="0" w:oddHBand="0" w:evenHBand="0" w:firstRowFirstColumn="0" w:firstRowLastColumn="0" w:lastRowFirstColumn="0" w:lastRowLastColumn="0"/>
          <w:trHeight w:val="567"/>
          <w:tblHeader/>
        </w:trPr>
        <w:tc>
          <w:tcPr>
            <w:tcW w:w="1928" w:type="dxa"/>
            <w:tcBorders>
              <w:top w:val="single" w:sz="4" w:space="0" w:color="501E58" w:themeColor="accent5" w:themeShade="BF"/>
              <w:left w:val="single" w:sz="4" w:space="0" w:color="501E58" w:themeColor="accent5" w:themeShade="BF"/>
              <w:bottom w:val="single" w:sz="4" w:space="0" w:color="501E58" w:themeColor="accent5" w:themeShade="BF"/>
              <w:right w:val="single" w:sz="6" w:space="0" w:color="501E58" w:themeColor="accent5" w:themeShade="BF"/>
            </w:tcBorders>
          </w:tcPr>
          <w:p w14:paraId="0E716C14" w14:textId="77777777" w:rsidR="00255F30" w:rsidRPr="007C1E37" w:rsidRDefault="00255F30" w:rsidP="001E519A">
            <w:pPr>
              <w:spacing w:before="60" w:after="60"/>
              <w:rPr>
                <w:rFonts w:cs="Arial"/>
                <w:sz w:val="20"/>
                <w:szCs w:val="20"/>
                <w:lang w:eastAsia="en-AU"/>
              </w:rPr>
            </w:pPr>
            <w:r w:rsidRPr="007C1E37">
              <w:rPr>
                <w:sz w:val="20"/>
                <w:szCs w:val="20"/>
              </w:rPr>
              <w:t>Legal Entity Type</w:t>
            </w:r>
          </w:p>
        </w:tc>
        <w:tc>
          <w:tcPr>
            <w:tcW w:w="1196"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tcPr>
          <w:p w14:paraId="304C011A" w14:textId="77777777" w:rsidR="00255F30" w:rsidRPr="000C2665" w:rsidRDefault="00255F30" w:rsidP="001E519A">
            <w:pPr>
              <w:spacing w:before="60" w:after="0"/>
              <w:jc w:val="center"/>
              <w:rPr>
                <w:b w:val="0"/>
                <w:bCs w:val="0"/>
                <w:sz w:val="20"/>
                <w:szCs w:val="20"/>
              </w:rPr>
            </w:pPr>
            <w:r w:rsidRPr="000C2665">
              <w:rPr>
                <w:sz w:val="20"/>
                <w:szCs w:val="20"/>
              </w:rPr>
              <w:t xml:space="preserve">January </w:t>
            </w:r>
            <w:r w:rsidRPr="00807411">
              <w:rPr>
                <w:rFonts w:cs="Arial"/>
                <w:b w:val="0"/>
                <w:bCs w:val="0"/>
                <w:sz w:val="20"/>
                <w:szCs w:val="20"/>
              </w:rPr>
              <w:t>–</w:t>
            </w:r>
            <w:r>
              <w:rPr>
                <w:rFonts w:cs="Arial"/>
                <w:b w:val="0"/>
                <w:bCs w:val="0"/>
                <w:sz w:val="20"/>
                <w:szCs w:val="20"/>
              </w:rPr>
              <w:t xml:space="preserve"> </w:t>
            </w:r>
            <w:r w:rsidRPr="000C2665">
              <w:rPr>
                <w:sz w:val="20"/>
                <w:szCs w:val="20"/>
              </w:rPr>
              <w:t>June</w:t>
            </w:r>
          </w:p>
          <w:p w14:paraId="6ED30102" w14:textId="77777777" w:rsidR="00255F30" w:rsidRPr="000C2665" w:rsidRDefault="00255F30" w:rsidP="001E519A">
            <w:pPr>
              <w:spacing w:after="60"/>
              <w:jc w:val="center"/>
              <w:rPr>
                <w:rFonts w:cs="Arial"/>
                <w:sz w:val="20"/>
                <w:szCs w:val="20"/>
                <w:lang w:eastAsia="en-AU"/>
              </w:rPr>
            </w:pPr>
            <w:r w:rsidRPr="000C2665">
              <w:rPr>
                <w:sz w:val="20"/>
                <w:szCs w:val="20"/>
              </w:rPr>
              <w:t>2022</w:t>
            </w:r>
          </w:p>
        </w:tc>
        <w:tc>
          <w:tcPr>
            <w:tcW w:w="1196"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tcPr>
          <w:p w14:paraId="2FDA9D44" w14:textId="77777777" w:rsidR="00255F30" w:rsidRPr="000C2665" w:rsidRDefault="00255F30" w:rsidP="001E519A">
            <w:pPr>
              <w:spacing w:before="60" w:after="60"/>
              <w:jc w:val="center"/>
              <w:rPr>
                <w:rFonts w:cs="Arial"/>
                <w:sz w:val="20"/>
                <w:szCs w:val="20"/>
                <w:lang w:eastAsia="en-AU"/>
              </w:rPr>
            </w:pPr>
            <w:r w:rsidRPr="000C2665">
              <w:rPr>
                <w:sz w:val="20"/>
                <w:szCs w:val="20"/>
              </w:rPr>
              <w:t xml:space="preserve">July </w:t>
            </w:r>
            <w:r w:rsidRPr="00807411">
              <w:rPr>
                <w:rFonts w:cs="Arial"/>
                <w:b w:val="0"/>
                <w:bCs w:val="0"/>
                <w:sz w:val="20"/>
                <w:szCs w:val="20"/>
              </w:rPr>
              <w:t>–</w:t>
            </w:r>
            <w:r>
              <w:rPr>
                <w:rFonts w:cs="Arial"/>
                <w:b w:val="0"/>
                <w:bCs w:val="0"/>
                <w:sz w:val="20"/>
                <w:szCs w:val="20"/>
              </w:rPr>
              <w:t xml:space="preserve"> </w:t>
            </w:r>
            <w:r w:rsidRPr="000C2665">
              <w:rPr>
                <w:sz w:val="20"/>
                <w:szCs w:val="20"/>
              </w:rPr>
              <w:t>December 2022</w:t>
            </w:r>
          </w:p>
        </w:tc>
        <w:tc>
          <w:tcPr>
            <w:tcW w:w="1196"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tcPr>
          <w:p w14:paraId="70D01723" w14:textId="77777777" w:rsidR="00255F30" w:rsidRPr="000C2665" w:rsidRDefault="00255F30" w:rsidP="001E519A">
            <w:pPr>
              <w:spacing w:before="60" w:after="0"/>
              <w:jc w:val="center"/>
              <w:rPr>
                <w:b w:val="0"/>
                <w:bCs w:val="0"/>
                <w:sz w:val="20"/>
                <w:szCs w:val="20"/>
              </w:rPr>
            </w:pPr>
            <w:r w:rsidRPr="000C2665">
              <w:rPr>
                <w:sz w:val="20"/>
                <w:szCs w:val="20"/>
              </w:rPr>
              <w:t xml:space="preserve">January </w:t>
            </w:r>
            <w:r w:rsidRPr="00807411">
              <w:rPr>
                <w:rFonts w:cs="Arial"/>
                <w:b w:val="0"/>
                <w:bCs w:val="0"/>
                <w:sz w:val="20"/>
                <w:szCs w:val="20"/>
              </w:rPr>
              <w:t>–</w:t>
            </w:r>
            <w:r>
              <w:rPr>
                <w:rFonts w:cs="Arial"/>
                <w:b w:val="0"/>
                <w:bCs w:val="0"/>
                <w:sz w:val="20"/>
                <w:szCs w:val="20"/>
              </w:rPr>
              <w:t xml:space="preserve"> </w:t>
            </w:r>
            <w:r w:rsidRPr="000C2665">
              <w:rPr>
                <w:sz w:val="20"/>
                <w:szCs w:val="20"/>
              </w:rPr>
              <w:t>June</w:t>
            </w:r>
          </w:p>
          <w:p w14:paraId="7A1486F5" w14:textId="77777777" w:rsidR="00255F30" w:rsidRPr="000C2665" w:rsidRDefault="00255F30" w:rsidP="001E519A">
            <w:pPr>
              <w:spacing w:after="60"/>
              <w:jc w:val="center"/>
              <w:rPr>
                <w:rFonts w:cs="Arial"/>
                <w:sz w:val="20"/>
                <w:szCs w:val="20"/>
                <w:lang w:eastAsia="en-AU"/>
              </w:rPr>
            </w:pPr>
            <w:r w:rsidRPr="000C2665">
              <w:rPr>
                <w:sz w:val="20"/>
                <w:szCs w:val="20"/>
              </w:rPr>
              <w:t>2023</w:t>
            </w:r>
          </w:p>
        </w:tc>
        <w:tc>
          <w:tcPr>
            <w:tcW w:w="1196"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tcPr>
          <w:p w14:paraId="008A5EEB" w14:textId="77777777" w:rsidR="00255F30" w:rsidRPr="000C2665" w:rsidRDefault="00255F30" w:rsidP="001E519A">
            <w:pPr>
              <w:spacing w:before="60" w:after="60"/>
              <w:jc w:val="center"/>
              <w:rPr>
                <w:rFonts w:cs="Arial"/>
                <w:sz w:val="20"/>
                <w:szCs w:val="20"/>
                <w:lang w:eastAsia="en-AU"/>
              </w:rPr>
            </w:pPr>
            <w:r w:rsidRPr="000C2665">
              <w:rPr>
                <w:sz w:val="20"/>
                <w:szCs w:val="20"/>
              </w:rPr>
              <w:t xml:space="preserve">July </w:t>
            </w:r>
            <w:r w:rsidRPr="00807411">
              <w:rPr>
                <w:rFonts w:cs="Arial"/>
                <w:b w:val="0"/>
                <w:bCs w:val="0"/>
                <w:sz w:val="20"/>
                <w:szCs w:val="20"/>
              </w:rPr>
              <w:t>–</w:t>
            </w:r>
            <w:r>
              <w:rPr>
                <w:rFonts w:cs="Arial"/>
                <w:b w:val="0"/>
                <w:bCs w:val="0"/>
                <w:sz w:val="20"/>
                <w:szCs w:val="20"/>
              </w:rPr>
              <w:t xml:space="preserve"> </w:t>
            </w:r>
            <w:r w:rsidRPr="000C2665">
              <w:rPr>
                <w:sz w:val="20"/>
                <w:szCs w:val="20"/>
              </w:rPr>
              <w:t>December 2023</w:t>
            </w:r>
          </w:p>
        </w:tc>
        <w:tc>
          <w:tcPr>
            <w:tcW w:w="1196"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tcPr>
          <w:p w14:paraId="5767FEDD" w14:textId="77777777" w:rsidR="00255F30" w:rsidRPr="000C2665" w:rsidRDefault="00255F30" w:rsidP="001E519A">
            <w:pPr>
              <w:spacing w:before="60" w:after="0"/>
              <w:jc w:val="center"/>
              <w:rPr>
                <w:b w:val="0"/>
                <w:bCs w:val="0"/>
                <w:sz w:val="20"/>
                <w:szCs w:val="20"/>
              </w:rPr>
            </w:pPr>
            <w:r w:rsidRPr="000C2665">
              <w:rPr>
                <w:sz w:val="20"/>
                <w:szCs w:val="20"/>
              </w:rPr>
              <w:t xml:space="preserve">January </w:t>
            </w:r>
            <w:r w:rsidRPr="00807411">
              <w:rPr>
                <w:rFonts w:cs="Arial"/>
                <w:b w:val="0"/>
                <w:bCs w:val="0"/>
                <w:sz w:val="20"/>
                <w:szCs w:val="20"/>
              </w:rPr>
              <w:t>–</w:t>
            </w:r>
            <w:r>
              <w:rPr>
                <w:rFonts w:cs="Arial"/>
                <w:b w:val="0"/>
                <w:bCs w:val="0"/>
                <w:sz w:val="20"/>
                <w:szCs w:val="20"/>
              </w:rPr>
              <w:t xml:space="preserve"> </w:t>
            </w:r>
            <w:r w:rsidRPr="000C2665">
              <w:rPr>
                <w:sz w:val="20"/>
                <w:szCs w:val="20"/>
              </w:rPr>
              <w:t>June</w:t>
            </w:r>
          </w:p>
          <w:p w14:paraId="4BA9458B" w14:textId="77777777" w:rsidR="00255F30" w:rsidRPr="000C2665" w:rsidRDefault="00255F30" w:rsidP="001E519A">
            <w:pPr>
              <w:spacing w:after="60"/>
              <w:jc w:val="center"/>
              <w:rPr>
                <w:rFonts w:cs="Arial"/>
                <w:sz w:val="20"/>
                <w:szCs w:val="20"/>
                <w:lang w:eastAsia="en-AU"/>
              </w:rPr>
            </w:pPr>
            <w:r w:rsidRPr="000C2665">
              <w:rPr>
                <w:sz w:val="20"/>
                <w:szCs w:val="20"/>
              </w:rPr>
              <w:t>2024</w:t>
            </w:r>
          </w:p>
        </w:tc>
        <w:tc>
          <w:tcPr>
            <w:tcW w:w="1196" w:type="dxa"/>
            <w:tcBorders>
              <w:top w:val="single" w:sz="4" w:space="0" w:color="501E58" w:themeColor="accent5" w:themeShade="BF"/>
              <w:left w:val="single" w:sz="6" w:space="0" w:color="501E58" w:themeColor="accent5" w:themeShade="BF"/>
              <w:bottom w:val="single" w:sz="4" w:space="0" w:color="501E58" w:themeColor="accent5" w:themeShade="BF"/>
              <w:right w:val="single" w:sz="4" w:space="0" w:color="501E58" w:themeColor="accent5" w:themeShade="BF"/>
            </w:tcBorders>
          </w:tcPr>
          <w:p w14:paraId="37DDC1F5" w14:textId="77777777" w:rsidR="00255F30" w:rsidRPr="000C2665" w:rsidRDefault="00255F30" w:rsidP="001E519A">
            <w:pPr>
              <w:spacing w:before="60" w:after="60"/>
              <w:jc w:val="center"/>
              <w:rPr>
                <w:rFonts w:cs="Arial"/>
                <w:sz w:val="20"/>
                <w:szCs w:val="20"/>
                <w:lang w:eastAsia="en-AU"/>
              </w:rPr>
            </w:pPr>
            <w:r w:rsidRPr="000C2665">
              <w:rPr>
                <w:sz w:val="20"/>
                <w:szCs w:val="20"/>
              </w:rPr>
              <w:t xml:space="preserve">July </w:t>
            </w:r>
            <w:r w:rsidRPr="00807411">
              <w:rPr>
                <w:rFonts w:cs="Arial"/>
                <w:b w:val="0"/>
                <w:bCs w:val="0"/>
                <w:sz w:val="20"/>
                <w:szCs w:val="20"/>
              </w:rPr>
              <w:t>–</w:t>
            </w:r>
            <w:r>
              <w:rPr>
                <w:rFonts w:cs="Arial"/>
                <w:b w:val="0"/>
                <w:bCs w:val="0"/>
                <w:sz w:val="20"/>
                <w:szCs w:val="20"/>
              </w:rPr>
              <w:t xml:space="preserve"> </w:t>
            </w:r>
            <w:r w:rsidRPr="000C2665">
              <w:rPr>
                <w:sz w:val="20"/>
                <w:szCs w:val="20"/>
              </w:rPr>
              <w:t>December 2024</w:t>
            </w:r>
          </w:p>
        </w:tc>
      </w:tr>
      <w:tr w:rsidR="00255F30" w:rsidRPr="007C1E37" w14:paraId="6C18E584" w14:textId="77777777" w:rsidTr="001E519A">
        <w:trPr>
          <w:cnfStyle w:val="000000100000" w:firstRow="0" w:lastRow="0" w:firstColumn="0" w:lastColumn="0" w:oddVBand="0" w:evenVBand="0" w:oddHBand="1" w:evenHBand="0" w:firstRowFirstColumn="0" w:firstRowLastColumn="0" w:lastRowFirstColumn="0" w:lastRowLastColumn="0"/>
          <w:trHeight w:val="397"/>
        </w:trPr>
        <w:tc>
          <w:tcPr>
            <w:tcW w:w="1928"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6BFCBF91" w14:textId="77777777" w:rsidR="00255F30" w:rsidRPr="007C1E37" w:rsidRDefault="00255F30" w:rsidP="001E519A">
            <w:pPr>
              <w:spacing w:before="60" w:after="60"/>
              <w:rPr>
                <w:rFonts w:cs="Arial"/>
                <w:sz w:val="20"/>
                <w:szCs w:val="20"/>
                <w:lang w:eastAsia="en-AU"/>
              </w:rPr>
            </w:pPr>
            <w:r w:rsidRPr="007C1E37">
              <w:rPr>
                <w:sz w:val="20"/>
                <w:szCs w:val="20"/>
              </w:rPr>
              <w:t>Company</w:t>
            </w:r>
          </w:p>
        </w:tc>
        <w:tc>
          <w:tcPr>
            <w:tcW w:w="1196"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5A4E1F60" w14:textId="77777777" w:rsidR="00255F30" w:rsidRPr="007C1E37" w:rsidRDefault="00255F30" w:rsidP="001E519A">
            <w:pPr>
              <w:spacing w:before="60" w:after="60"/>
              <w:ind w:right="113"/>
              <w:jc w:val="right"/>
              <w:rPr>
                <w:rFonts w:cs="Arial"/>
                <w:sz w:val="20"/>
                <w:szCs w:val="20"/>
              </w:rPr>
            </w:pPr>
            <w:r w:rsidRPr="007C1E37">
              <w:rPr>
                <w:sz w:val="20"/>
                <w:szCs w:val="20"/>
              </w:rPr>
              <w:t>$889.7</w:t>
            </w:r>
          </w:p>
        </w:tc>
        <w:tc>
          <w:tcPr>
            <w:tcW w:w="1196"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02168FE7" w14:textId="77777777" w:rsidR="00255F30" w:rsidRPr="007C1E37" w:rsidRDefault="00255F30" w:rsidP="001E519A">
            <w:pPr>
              <w:spacing w:before="60" w:after="60"/>
              <w:ind w:right="113"/>
              <w:jc w:val="right"/>
              <w:rPr>
                <w:rFonts w:cs="Arial"/>
                <w:sz w:val="20"/>
                <w:szCs w:val="20"/>
              </w:rPr>
            </w:pPr>
            <w:r w:rsidRPr="007C1E37">
              <w:rPr>
                <w:sz w:val="20"/>
                <w:szCs w:val="20"/>
              </w:rPr>
              <w:t>$1,094.7</w:t>
            </w:r>
          </w:p>
        </w:tc>
        <w:tc>
          <w:tcPr>
            <w:tcW w:w="1196"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369B4538" w14:textId="77777777" w:rsidR="00255F30" w:rsidRPr="007C1E37" w:rsidRDefault="00255F30" w:rsidP="001E519A">
            <w:pPr>
              <w:spacing w:before="60" w:after="60"/>
              <w:ind w:right="113"/>
              <w:jc w:val="right"/>
              <w:rPr>
                <w:rFonts w:cs="Arial"/>
                <w:sz w:val="20"/>
                <w:szCs w:val="20"/>
              </w:rPr>
            </w:pPr>
            <w:r w:rsidRPr="007C1E37">
              <w:rPr>
                <w:sz w:val="20"/>
                <w:szCs w:val="20"/>
              </w:rPr>
              <w:t>$1,178.0</w:t>
            </w:r>
          </w:p>
        </w:tc>
        <w:tc>
          <w:tcPr>
            <w:tcW w:w="1196"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7DBB46F1" w14:textId="77777777" w:rsidR="00255F30" w:rsidRPr="007C1E37" w:rsidRDefault="00255F30" w:rsidP="001E519A">
            <w:pPr>
              <w:spacing w:before="60" w:after="60"/>
              <w:ind w:right="113"/>
              <w:jc w:val="right"/>
              <w:rPr>
                <w:rFonts w:cs="Arial"/>
                <w:sz w:val="20"/>
                <w:szCs w:val="20"/>
              </w:rPr>
            </w:pPr>
            <w:r w:rsidRPr="007C1E37">
              <w:rPr>
                <w:sz w:val="20"/>
                <w:szCs w:val="20"/>
              </w:rPr>
              <w:t>$1,396.0</w:t>
            </w:r>
          </w:p>
        </w:tc>
        <w:tc>
          <w:tcPr>
            <w:tcW w:w="1196"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149D74FA" w14:textId="77777777" w:rsidR="00255F30" w:rsidRPr="007C1E37" w:rsidRDefault="00255F30" w:rsidP="001E519A">
            <w:pPr>
              <w:spacing w:before="60" w:after="60"/>
              <w:ind w:right="113"/>
              <w:jc w:val="right"/>
              <w:rPr>
                <w:rFonts w:cs="Arial"/>
                <w:sz w:val="20"/>
                <w:szCs w:val="20"/>
              </w:rPr>
            </w:pPr>
            <w:r w:rsidRPr="007C1E37">
              <w:rPr>
                <w:sz w:val="20"/>
                <w:szCs w:val="20"/>
              </w:rPr>
              <w:t>$1,432.5</w:t>
            </w:r>
          </w:p>
        </w:tc>
        <w:tc>
          <w:tcPr>
            <w:tcW w:w="1196"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779D642C" w14:textId="77777777" w:rsidR="00255F30" w:rsidRPr="007C1E37" w:rsidRDefault="00255F30" w:rsidP="001E519A">
            <w:pPr>
              <w:spacing w:before="60" w:after="60"/>
              <w:ind w:right="113"/>
              <w:jc w:val="right"/>
              <w:rPr>
                <w:rFonts w:cs="Arial"/>
                <w:sz w:val="20"/>
                <w:szCs w:val="20"/>
              </w:rPr>
            </w:pPr>
            <w:r w:rsidRPr="007C1E37">
              <w:rPr>
                <w:sz w:val="20"/>
                <w:szCs w:val="20"/>
              </w:rPr>
              <w:t>$1,699.3</w:t>
            </w:r>
          </w:p>
        </w:tc>
      </w:tr>
      <w:tr w:rsidR="00255F30" w:rsidRPr="007C1E37" w14:paraId="03D9B359" w14:textId="77777777" w:rsidTr="001E519A">
        <w:trPr>
          <w:trHeight w:val="397"/>
        </w:trPr>
        <w:tc>
          <w:tcPr>
            <w:tcW w:w="192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1229EAC6" w14:textId="77777777" w:rsidR="00255F30" w:rsidRPr="007C1E37" w:rsidRDefault="00255F30" w:rsidP="001E519A">
            <w:pPr>
              <w:spacing w:before="60" w:after="60"/>
              <w:rPr>
                <w:rFonts w:cs="Arial"/>
                <w:sz w:val="20"/>
                <w:szCs w:val="20"/>
                <w:lang w:eastAsia="en-AU"/>
              </w:rPr>
            </w:pPr>
            <w:r w:rsidRPr="007C1E37">
              <w:rPr>
                <w:sz w:val="20"/>
                <w:szCs w:val="20"/>
              </w:rPr>
              <w:t>Government Entity</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6D205E1B" w14:textId="77777777" w:rsidR="00255F30" w:rsidRPr="007C1E37" w:rsidRDefault="00255F30" w:rsidP="001E519A">
            <w:pPr>
              <w:spacing w:before="60" w:after="60"/>
              <w:ind w:right="113"/>
              <w:jc w:val="right"/>
              <w:rPr>
                <w:rFonts w:cs="Arial"/>
                <w:sz w:val="20"/>
                <w:szCs w:val="20"/>
              </w:rPr>
            </w:pPr>
            <w:r w:rsidRPr="007C1E37">
              <w:rPr>
                <w:sz w:val="20"/>
                <w:szCs w:val="20"/>
              </w:rPr>
              <w:t>$7.1</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0DC72A26" w14:textId="77777777" w:rsidR="00255F30" w:rsidRPr="007C1E37" w:rsidRDefault="00255F30" w:rsidP="001E519A">
            <w:pPr>
              <w:spacing w:before="60" w:after="60"/>
              <w:ind w:right="113"/>
              <w:jc w:val="right"/>
              <w:rPr>
                <w:rFonts w:cs="Arial"/>
                <w:sz w:val="20"/>
                <w:szCs w:val="20"/>
              </w:rPr>
            </w:pPr>
            <w:r w:rsidRPr="007C1E37">
              <w:rPr>
                <w:sz w:val="20"/>
                <w:szCs w:val="20"/>
              </w:rPr>
              <w:t>$7.2</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2CA89C7E" w14:textId="77777777" w:rsidR="00255F30" w:rsidRPr="007C1E37" w:rsidRDefault="00255F30" w:rsidP="001E519A">
            <w:pPr>
              <w:spacing w:before="60" w:after="60"/>
              <w:ind w:right="113"/>
              <w:jc w:val="right"/>
              <w:rPr>
                <w:rFonts w:cs="Arial"/>
                <w:sz w:val="20"/>
                <w:szCs w:val="20"/>
              </w:rPr>
            </w:pPr>
            <w:r w:rsidRPr="007C1E37">
              <w:rPr>
                <w:sz w:val="20"/>
                <w:szCs w:val="20"/>
              </w:rPr>
              <w:t>$7.0</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5B885973" w14:textId="77777777" w:rsidR="00255F30" w:rsidRPr="007C1E37" w:rsidRDefault="00255F30" w:rsidP="001E519A">
            <w:pPr>
              <w:spacing w:before="60" w:after="60"/>
              <w:ind w:right="113"/>
              <w:jc w:val="right"/>
              <w:rPr>
                <w:rFonts w:cs="Arial"/>
                <w:sz w:val="20"/>
                <w:szCs w:val="20"/>
              </w:rPr>
            </w:pPr>
            <w:r w:rsidRPr="007C1E37">
              <w:rPr>
                <w:sz w:val="20"/>
                <w:szCs w:val="20"/>
              </w:rPr>
              <w:t>$8.2</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18DC7C27" w14:textId="77777777" w:rsidR="00255F30" w:rsidRPr="007C1E37" w:rsidRDefault="00255F30" w:rsidP="001E519A">
            <w:pPr>
              <w:spacing w:before="60" w:after="60"/>
              <w:ind w:right="113"/>
              <w:jc w:val="right"/>
              <w:rPr>
                <w:rFonts w:cs="Arial"/>
                <w:sz w:val="20"/>
                <w:szCs w:val="20"/>
              </w:rPr>
            </w:pPr>
            <w:r w:rsidRPr="007C1E37">
              <w:rPr>
                <w:sz w:val="20"/>
                <w:szCs w:val="20"/>
              </w:rPr>
              <w:t>$7.4</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5D93A2CE" w14:textId="77777777" w:rsidR="00255F30" w:rsidRPr="007C1E37" w:rsidRDefault="00255F30" w:rsidP="001E519A">
            <w:pPr>
              <w:spacing w:before="60" w:after="60"/>
              <w:ind w:right="113"/>
              <w:jc w:val="right"/>
              <w:rPr>
                <w:rFonts w:cs="Arial"/>
                <w:sz w:val="20"/>
                <w:szCs w:val="20"/>
              </w:rPr>
            </w:pPr>
            <w:r w:rsidRPr="007C1E37">
              <w:rPr>
                <w:sz w:val="20"/>
                <w:szCs w:val="20"/>
              </w:rPr>
              <w:t>$10.0</w:t>
            </w:r>
          </w:p>
        </w:tc>
      </w:tr>
      <w:tr w:rsidR="00255F30" w:rsidRPr="007C1E37" w14:paraId="09B5C169" w14:textId="77777777" w:rsidTr="001E519A">
        <w:trPr>
          <w:cnfStyle w:val="000000100000" w:firstRow="0" w:lastRow="0" w:firstColumn="0" w:lastColumn="0" w:oddVBand="0" w:evenVBand="0" w:oddHBand="1" w:evenHBand="0" w:firstRowFirstColumn="0" w:firstRowLastColumn="0" w:lastRowFirstColumn="0" w:lastRowLastColumn="0"/>
          <w:trHeight w:val="397"/>
        </w:trPr>
        <w:tc>
          <w:tcPr>
            <w:tcW w:w="192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51C21022" w14:textId="77777777" w:rsidR="00255F30" w:rsidRPr="007C1E37" w:rsidRDefault="00255F30" w:rsidP="001E519A">
            <w:pPr>
              <w:spacing w:before="60" w:after="60"/>
              <w:rPr>
                <w:rFonts w:cs="Arial"/>
                <w:sz w:val="20"/>
                <w:szCs w:val="20"/>
                <w:lang w:eastAsia="en-AU"/>
              </w:rPr>
            </w:pPr>
            <w:r w:rsidRPr="007C1E37">
              <w:rPr>
                <w:sz w:val="20"/>
                <w:szCs w:val="20"/>
              </w:rPr>
              <w:t>Partnership (Other)</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1CF1C80A" w14:textId="77777777" w:rsidR="00255F30" w:rsidRPr="007C1E37" w:rsidRDefault="00255F30" w:rsidP="001E519A">
            <w:pPr>
              <w:spacing w:before="60" w:after="60"/>
              <w:ind w:right="113"/>
              <w:jc w:val="right"/>
              <w:rPr>
                <w:rFonts w:cs="Arial"/>
                <w:sz w:val="20"/>
                <w:szCs w:val="20"/>
                <w:lang w:eastAsia="en-US"/>
              </w:rPr>
            </w:pPr>
            <w:r w:rsidRPr="007C1E37">
              <w:rPr>
                <w:sz w:val="20"/>
                <w:szCs w:val="20"/>
              </w:rPr>
              <w:t>$22.7</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0293D964" w14:textId="77777777" w:rsidR="00255F30" w:rsidRPr="007C1E37" w:rsidRDefault="00255F30" w:rsidP="001E519A">
            <w:pPr>
              <w:spacing w:before="60" w:after="60"/>
              <w:ind w:right="113"/>
              <w:jc w:val="right"/>
              <w:rPr>
                <w:rFonts w:cs="Arial"/>
                <w:sz w:val="20"/>
                <w:szCs w:val="20"/>
                <w:lang w:eastAsia="en-US"/>
              </w:rPr>
            </w:pPr>
            <w:r w:rsidRPr="007C1E37">
              <w:rPr>
                <w:sz w:val="20"/>
                <w:szCs w:val="20"/>
              </w:rPr>
              <w:t>$25.1</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7D0775D1" w14:textId="77777777" w:rsidR="00255F30" w:rsidRPr="007C1E37" w:rsidRDefault="00255F30" w:rsidP="001E519A">
            <w:pPr>
              <w:spacing w:before="60" w:after="60"/>
              <w:ind w:right="113"/>
              <w:jc w:val="right"/>
              <w:rPr>
                <w:rFonts w:cs="Arial"/>
                <w:sz w:val="20"/>
                <w:szCs w:val="20"/>
                <w:lang w:eastAsia="en-US"/>
              </w:rPr>
            </w:pPr>
            <w:r w:rsidRPr="007C1E37">
              <w:rPr>
                <w:sz w:val="20"/>
                <w:szCs w:val="20"/>
              </w:rPr>
              <w:t>$26.1</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223FBE61" w14:textId="77777777" w:rsidR="00255F30" w:rsidRPr="007C1E37" w:rsidRDefault="00255F30" w:rsidP="001E519A">
            <w:pPr>
              <w:spacing w:before="60" w:after="60"/>
              <w:ind w:right="113"/>
              <w:jc w:val="right"/>
              <w:rPr>
                <w:rFonts w:cs="Arial"/>
                <w:color w:val="F9F9F9" w:themeColor="background1"/>
                <w:sz w:val="20"/>
                <w:szCs w:val="20"/>
                <w:lang w:eastAsia="en-US"/>
              </w:rPr>
            </w:pPr>
            <w:r w:rsidRPr="007C1E37">
              <w:rPr>
                <w:sz w:val="20"/>
                <w:szCs w:val="20"/>
              </w:rPr>
              <w:t>$27.0</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02774591" w14:textId="77777777" w:rsidR="00255F30" w:rsidRPr="007C1E37" w:rsidRDefault="00255F30" w:rsidP="001E519A">
            <w:pPr>
              <w:spacing w:before="60" w:after="60"/>
              <w:ind w:right="113"/>
              <w:jc w:val="right"/>
              <w:rPr>
                <w:rFonts w:cs="Arial"/>
                <w:sz w:val="20"/>
                <w:szCs w:val="20"/>
              </w:rPr>
            </w:pPr>
            <w:r w:rsidRPr="007C1E37">
              <w:rPr>
                <w:sz w:val="20"/>
                <w:szCs w:val="20"/>
              </w:rPr>
              <w:t>$25.8</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34B4733D" w14:textId="77777777" w:rsidR="00255F30" w:rsidRPr="007C1E37" w:rsidRDefault="00255F30" w:rsidP="001E519A">
            <w:pPr>
              <w:spacing w:before="60" w:after="60"/>
              <w:ind w:right="113"/>
              <w:jc w:val="right"/>
              <w:rPr>
                <w:rFonts w:cs="Arial"/>
                <w:sz w:val="20"/>
                <w:szCs w:val="20"/>
              </w:rPr>
            </w:pPr>
            <w:r w:rsidRPr="007C1E37">
              <w:rPr>
                <w:sz w:val="20"/>
                <w:szCs w:val="20"/>
              </w:rPr>
              <w:t>$28.3</w:t>
            </w:r>
          </w:p>
        </w:tc>
      </w:tr>
      <w:tr w:rsidR="00255F30" w:rsidRPr="007C1E37" w14:paraId="5D95C9E4" w14:textId="77777777" w:rsidTr="001E519A">
        <w:trPr>
          <w:trHeight w:val="397"/>
        </w:trPr>
        <w:tc>
          <w:tcPr>
            <w:tcW w:w="192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1CC97FE3" w14:textId="77777777" w:rsidR="00255F30" w:rsidRPr="007C1E37" w:rsidRDefault="00255F30" w:rsidP="001E519A">
            <w:pPr>
              <w:spacing w:before="60" w:after="60"/>
              <w:rPr>
                <w:b/>
                <w:bCs/>
                <w:sz w:val="20"/>
                <w:szCs w:val="20"/>
              </w:rPr>
            </w:pPr>
            <w:r w:rsidRPr="007C1E37">
              <w:rPr>
                <w:sz w:val="20"/>
                <w:szCs w:val="20"/>
              </w:rPr>
              <w:t>Trust / Super</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793BD76A" w14:textId="77777777" w:rsidR="00255F30" w:rsidRPr="007C1E37" w:rsidRDefault="00255F30" w:rsidP="001E519A">
            <w:pPr>
              <w:spacing w:before="60" w:after="60"/>
              <w:ind w:right="113"/>
              <w:jc w:val="right"/>
              <w:rPr>
                <w:b/>
                <w:bCs/>
                <w:sz w:val="20"/>
                <w:szCs w:val="20"/>
              </w:rPr>
            </w:pPr>
            <w:r w:rsidRPr="007C1E37">
              <w:rPr>
                <w:sz w:val="20"/>
                <w:szCs w:val="20"/>
              </w:rPr>
              <w:t>$159.5</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07C4074E" w14:textId="77777777" w:rsidR="00255F30" w:rsidRPr="007C1E37" w:rsidRDefault="00255F30" w:rsidP="001E519A">
            <w:pPr>
              <w:spacing w:before="60" w:after="60"/>
              <w:ind w:right="113"/>
              <w:jc w:val="right"/>
              <w:rPr>
                <w:b/>
                <w:bCs/>
                <w:sz w:val="20"/>
                <w:szCs w:val="20"/>
              </w:rPr>
            </w:pPr>
            <w:r w:rsidRPr="007C1E37">
              <w:rPr>
                <w:sz w:val="20"/>
                <w:szCs w:val="20"/>
              </w:rPr>
              <w:t>$192.3</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0658F050" w14:textId="77777777" w:rsidR="00255F30" w:rsidRPr="007C1E37" w:rsidRDefault="00255F30" w:rsidP="001E519A">
            <w:pPr>
              <w:spacing w:before="60" w:after="60"/>
              <w:ind w:right="113"/>
              <w:jc w:val="right"/>
              <w:rPr>
                <w:b/>
                <w:bCs/>
                <w:sz w:val="20"/>
                <w:szCs w:val="20"/>
              </w:rPr>
            </w:pPr>
            <w:r w:rsidRPr="007C1E37">
              <w:rPr>
                <w:sz w:val="20"/>
                <w:szCs w:val="20"/>
              </w:rPr>
              <w:t>$203.3</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1D07F0A6" w14:textId="77777777" w:rsidR="00255F30" w:rsidRPr="007C1E37" w:rsidRDefault="00255F30" w:rsidP="001E519A">
            <w:pPr>
              <w:spacing w:before="60" w:after="60"/>
              <w:ind w:right="113"/>
              <w:jc w:val="right"/>
              <w:rPr>
                <w:b/>
                <w:bCs/>
                <w:sz w:val="20"/>
                <w:szCs w:val="20"/>
              </w:rPr>
            </w:pPr>
            <w:r w:rsidRPr="007C1E37">
              <w:rPr>
                <w:sz w:val="20"/>
                <w:szCs w:val="20"/>
              </w:rPr>
              <w:t>$238.4</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54A7E400" w14:textId="77777777" w:rsidR="00255F30" w:rsidRPr="007C1E37" w:rsidRDefault="00255F30" w:rsidP="001E519A">
            <w:pPr>
              <w:spacing w:before="60" w:after="60"/>
              <w:ind w:right="113"/>
              <w:jc w:val="right"/>
              <w:rPr>
                <w:b/>
                <w:bCs/>
                <w:sz w:val="20"/>
                <w:szCs w:val="20"/>
              </w:rPr>
            </w:pPr>
            <w:r w:rsidRPr="007C1E37">
              <w:rPr>
                <w:sz w:val="20"/>
                <w:szCs w:val="20"/>
              </w:rPr>
              <w:t>$238.7</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47E2A9B8" w14:textId="77777777" w:rsidR="00255F30" w:rsidRPr="007C1E37" w:rsidRDefault="00255F30" w:rsidP="001E519A">
            <w:pPr>
              <w:spacing w:before="60" w:after="60"/>
              <w:ind w:right="113"/>
              <w:jc w:val="right"/>
              <w:rPr>
                <w:b/>
                <w:bCs/>
                <w:sz w:val="20"/>
                <w:szCs w:val="20"/>
              </w:rPr>
            </w:pPr>
            <w:r w:rsidRPr="007C1E37">
              <w:rPr>
                <w:sz w:val="20"/>
                <w:szCs w:val="20"/>
              </w:rPr>
              <w:t>$267.8</w:t>
            </w:r>
          </w:p>
        </w:tc>
      </w:tr>
      <w:tr w:rsidR="00255F30" w:rsidRPr="007C1E37" w14:paraId="6348F082" w14:textId="77777777" w:rsidTr="001E519A">
        <w:trPr>
          <w:cnfStyle w:val="000000100000" w:firstRow="0" w:lastRow="0" w:firstColumn="0" w:lastColumn="0" w:oddVBand="0" w:evenVBand="0" w:oddHBand="1" w:evenHBand="0" w:firstRowFirstColumn="0" w:firstRowLastColumn="0" w:lastRowFirstColumn="0" w:lastRowLastColumn="0"/>
          <w:trHeight w:val="397"/>
        </w:trPr>
        <w:tc>
          <w:tcPr>
            <w:tcW w:w="192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566F05B2" w14:textId="77777777" w:rsidR="00255F30" w:rsidRPr="007C1E37" w:rsidRDefault="00255F30" w:rsidP="001E519A">
            <w:pPr>
              <w:spacing w:before="60" w:after="60"/>
              <w:rPr>
                <w:b/>
                <w:bCs/>
                <w:sz w:val="20"/>
                <w:szCs w:val="20"/>
              </w:rPr>
            </w:pPr>
            <w:r w:rsidRPr="007C1E37">
              <w:rPr>
                <w:sz w:val="20"/>
                <w:szCs w:val="20"/>
              </w:rPr>
              <w:t>Sole Trader</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7C3A5DA5" w14:textId="77777777" w:rsidR="00255F30" w:rsidRPr="007C1E37" w:rsidRDefault="00255F30" w:rsidP="001E519A">
            <w:pPr>
              <w:spacing w:before="60" w:after="60"/>
              <w:ind w:right="113"/>
              <w:jc w:val="right"/>
              <w:rPr>
                <w:b/>
                <w:bCs/>
                <w:sz w:val="20"/>
                <w:szCs w:val="20"/>
              </w:rPr>
            </w:pPr>
            <w:r w:rsidRPr="007C1E37">
              <w:rPr>
                <w:sz w:val="20"/>
                <w:szCs w:val="20"/>
              </w:rPr>
              <w:t>$232.3</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662776EE" w14:textId="77777777" w:rsidR="00255F30" w:rsidRPr="007C1E37" w:rsidRDefault="00255F30" w:rsidP="001E519A">
            <w:pPr>
              <w:spacing w:before="60" w:after="60"/>
              <w:ind w:right="113"/>
              <w:jc w:val="right"/>
              <w:rPr>
                <w:b/>
                <w:bCs/>
                <w:sz w:val="20"/>
                <w:szCs w:val="20"/>
              </w:rPr>
            </w:pPr>
            <w:r w:rsidRPr="007C1E37">
              <w:rPr>
                <w:sz w:val="20"/>
                <w:szCs w:val="20"/>
              </w:rPr>
              <w:t>$274.3</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130A6932" w14:textId="77777777" w:rsidR="00255F30" w:rsidRPr="007C1E37" w:rsidRDefault="00255F30" w:rsidP="001E519A">
            <w:pPr>
              <w:spacing w:before="60" w:after="60"/>
              <w:ind w:right="113"/>
              <w:jc w:val="right"/>
              <w:rPr>
                <w:b/>
                <w:bCs/>
                <w:sz w:val="20"/>
                <w:szCs w:val="20"/>
              </w:rPr>
            </w:pPr>
            <w:r w:rsidRPr="007C1E37">
              <w:rPr>
                <w:sz w:val="20"/>
                <w:szCs w:val="20"/>
              </w:rPr>
              <w:t>$301.1</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117269C0" w14:textId="77777777" w:rsidR="00255F30" w:rsidRPr="007C1E37" w:rsidRDefault="00255F30" w:rsidP="001E519A">
            <w:pPr>
              <w:spacing w:before="60" w:after="60"/>
              <w:ind w:right="113"/>
              <w:jc w:val="right"/>
              <w:rPr>
                <w:b/>
                <w:bCs/>
                <w:sz w:val="20"/>
                <w:szCs w:val="20"/>
              </w:rPr>
            </w:pPr>
            <w:r w:rsidRPr="007C1E37">
              <w:rPr>
                <w:sz w:val="20"/>
                <w:szCs w:val="20"/>
              </w:rPr>
              <w:t>$345.6</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6D4FA245" w14:textId="77777777" w:rsidR="00255F30" w:rsidRPr="007C1E37" w:rsidRDefault="00255F30" w:rsidP="001E519A">
            <w:pPr>
              <w:spacing w:before="60" w:after="60"/>
              <w:ind w:right="113"/>
              <w:jc w:val="right"/>
              <w:rPr>
                <w:b/>
                <w:bCs/>
                <w:sz w:val="20"/>
                <w:szCs w:val="20"/>
              </w:rPr>
            </w:pPr>
            <w:r w:rsidRPr="007C1E37">
              <w:rPr>
                <w:sz w:val="20"/>
                <w:szCs w:val="20"/>
              </w:rPr>
              <w:t>$346.0</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231121C3" w14:textId="77777777" w:rsidR="00255F30" w:rsidRPr="007C1E37" w:rsidRDefault="00255F30" w:rsidP="001E519A">
            <w:pPr>
              <w:spacing w:before="60" w:after="60"/>
              <w:ind w:right="113"/>
              <w:jc w:val="right"/>
              <w:rPr>
                <w:b/>
                <w:bCs/>
                <w:sz w:val="20"/>
                <w:szCs w:val="20"/>
              </w:rPr>
            </w:pPr>
            <w:r w:rsidRPr="007C1E37">
              <w:rPr>
                <w:sz w:val="20"/>
                <w:szCs w:val="20"/>
              </w:rPr>
              <w:t>$394.5</w:t>
            </w:r>
          </w:p>
        </w:tc>
      </w:tr>
      <w:tr w:rsidR="00255F30" w:rsidRPr="007C1E37" w14:paraId="47EF5F96" w14:textId="77777777" w:rsidTr="001E519A">
        <w:trPr>
          <w:trHeight w:val="397"/>
        </w:trPr>
        <w:tc>
          <w:tcPr>
            <w:tcW w:w="192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003F8DB0" w14:textId="77777777" w:rsidR="00255F30" w:rsidRPr="007C1E37" w:rsidRDefault="00255F30" w:rsidP="001E519A">
            <w:pPr>
              <w:spacing w:before="60" w:after="60"/>
              <w:rPr>
                <w:rFonts w:cs="Arial"/>
                <w:b/>
                <w:bCs/>
                <w:sz w:val="20"/>
                <w:szCs w:val="20"/>
                <w:lang w:eastAsia="en-AU"/>
              </w:rPr>
            </w:pPr>
            <w:r w:rsidRPr="007C1E37">
              <w:rPr>
                <w:b/>
                <w:bCs/>
                <w:sz w:val="20"/>
                <w:szCs w:val="20"/>
              </w:rPr>
              <w:t>Total</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212B3FFA" w14:textId="77777777" w:rsidR="00255F30" w:rsidRPr="007C1E37" w:rsidRDefault="00255F30" w:rsidP="001E519A">
            <w:pPr>
              <w:spacing w:before="60" w:after="60"/>
              <w:ind w:right="113"/>
              <w:jc w:val="right"/>
              <w:rPr>
                <w:rFonts w:cs="Arial"/>
                <w:b/>
                <w:bCs/>
                <w:sz w:val="20"/>
                <w:szCs w:val="20"/>
              </w:rPr>
            </w:pPr>
            <w:r w:rsidRPr="007C1E37">
              <w:rPr>
                <w:b/>
                <w:bCs/>
                <w:sz w:val="20"/>
                <w:szCs w:val="20"/>
              </w:rPr>
              <w:t>$1,311.3</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134225A7" w14:textId="77777777" w:rsidR="00255F30" w:rsidRPr="007C1E37" w:rsidRDefault="00255F30" w:rsidP="001E519A">
            <w:pPr>
              <w:spacing w:before="60" w:after="60"/>
              <w:ind w:right="113"/>
              <w:jc w:val="right"/>
              <w:rPr>
                <w:rFonts w:cs="Arial"/>
                <w:b/>
                <w:bCs/>
                <w:sz w:val="20"/>
                <w:szCs w:val="20"/>
              </w:rPr>
            </w:pPr>
            <w:r w:rsidRPr="007C1E37">
              <w:rPr>
                <w:b/>
                <w:bCs/>
                <w:sz w:val="20"/>
                <w:szCs w:val="20"/>
              </w:rPr>
              <w:t>$1,593.6</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6BAB32A2" w14:textId="77777777" w:rsidR="00255F30" w:rsidRPr="007C1E37" w:rsidRDefault="00255F30" w:rsidP="001E519A">
            <w:pPr>
              <w:spacing w:before="60" w:after="60"/>
              <w:ind w:right="113"/>
              <w:jc w:val="right"/>
              <w:rPr>
                <w:rFonts w:cs="Arial"/>
                <w:b/>
                <w:bCs/>
                <w:sz w:val="20"/>
                <w:szCs w:val="20"/>
              </w:rPr>
            </w:pPr>
            <w:r w:rsidRPr="007C1E37">
              <w:rPr>
                <w:b/>
                <w:bCs/>
                <w:sz w:val="20"/>
                <w:szCs w:val="20"/>
              </w:rPr>
              <w:t>$1,715.4</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21C26F2F" w14:textId="77777777" w:rsidR="00255F30" w:rsidRPr="007C1E37" w:rsidRDefault="00255F30" w:rsidP="001E519A">
            <w:pPr>
              <w:spacing w:before="60" w:after="60"/>
              <w:ind w:right="113"/>
              <w:jc w:val="right"/>
              <w:rPr>
                <w:rFonts w:cs="Arial"/>
                <w:b/>
                <w:bCs/>
                <w:sz w:val="20"/>
                <w:szCs w:val="20"/>
              </w:rPr>
            </w:pPr>
            <w:r w:rsidRPr="007C1E37">
              <w:rPr>
                <w:b/>
                <w:bCs/>
                <w:sz w:val="20"/>
                <w:szCs w:val="20"/>
              </w:rPr>
              <w:t>$2,015.3</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3B301B24" w14:textId="77777777" w:rsidR="00255F30" w:rsidRPr="007C1E37" w:rsidRDefault="00255F30" w:rsidP="001E519A">
            <w:pPr>
              <w:spacing w:before="60" w:after="60"/>
              <w:ind w:right="113"/>
              <w:jc w:val="right"/>
              <w:rPr>
                <w:rFonts w:cs="Arial"/>
                <w:b/>
                <w:bCs/>
                <w:sz w:val="20"/>
                <w:szCs w:val="20"/>
              </w:rPr>
            </w:pPr>
            <w:r w:rsidRPr="007C1E37">
              <w:rPr>
                <w:b/>
                <w:bCs/>
                <w:sz w:val="20"/>
                <w:szCs w:val="20"/>
              </w:rPr>
              <w:t>$2,050.3</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3F8E0F57" w14:textId="77777777" w:rsidR="00255F30" w:rsidRPr="007C1E37" w:rsidRDefault="00255F30" w:rsidP="001E519A">
            <w:pPr>
              <w:spacing w:before="60" w:after="60"/>
              <w:ind w:right="113"/>
              <w:jc w:val="right"/>
              <w:rPr>
                <w:rFonts w:cs="Arial"/>
                <w:b/>
                <w:bCs/>
                <w:sz w:val="20"/>
                <w:szCs w:val="20"/>
              </w:rPr>
            </w:pPr>
            <w:r w:rsidRPr="007C1E37">
              <w:rPr>
                <w:b/>
                <w:bCs/>
                <w:sz w:val="20"/>
                <w:szCs w:val="20"/>
              </w:rPr>
              <w:t>$2,399.9</w:t>
            </w:r>
          </w:p>
        </w:tc>
      </w:tr>
    </w:tbl>
    <w:p w14:paraId="1A205517" w14:textId="77777777" w:rsidR="00255F30" w:rsidRPr="008034CE" w:rsidRDefault="00255F30" w:rsidP="00255F30">
      <w:pPr>
        <w:pStyle w:val="Sourcefortableorfigure"/>
        <w:spacing w:before="120"/>
      </w:pPr>
      <w:r w:rsidRPr="008034CE">
        <w:t>Source: NDIS internal administrative data</w:t>
      </w:r>
    </w:p>
    <w:p w14:paraId="656D1DE8" w14:textId="77777777" w:rsidR="00255F30" w:rsidRPr="008034CE" w:rsidRDefault="00255F30" w:rsidP="00255F30">
      <w:pPr>
        <w:pStyle w:val="Notefortableorfigure"/>
      </w:pPr>
      <w:r w:rsidRPr="008034CE">
        <w:t>Note: Missing Legal Entity Types are not shown in the above table but are included in the total.</w:t>
      </w:r>
    </w:p>
    <w:p w14:paraId="26214338" w14:textId="77777777" w:rsidR="00255F30" w:rsidRPr="008034CE" w:rsidRDefault="00255F30" w:rsidP="00255F30">
      <w:pPr>
        <w:pStyle w:val="Heading5"/>
      </w:pPr>
      <w:bookmarkStart w:id="291" w:name="_Toc195538926"/>
      <w:bookmarkStart w:id="292" w:name="_Toc200103506"/>
      <w:bookmarkStart w:id="293" w:name="_Toc200271619"/>
      <w:r w:rsidRPr="008034CE">
        <w:t>Claiming Analysis</w:t>
      </w:r>
      <w:bookmarkEnd w:id="291"/>
      <w:bookmarkEnd w:id="292"/>
      <w:bookmarkEnd w:id="293"/>
      <w:r w:rsidRPr="008034CE">
        <w:t xml:space="preserve"> </w:t>
      </w:r>
    </w:p>
    <w:p w14:paraId="651C916F" w14:textId="76A713DA" w:rsidR="00255F30" w:rsidRPr="008034CE" w:rsidRDefault="00255F30" w:rsidP="00255F30">
      <w:pPr>
        <w:rPr>
          <w:bCs/>
        </w:rPr>
      </w:pPr>
      <w:r w:rsidRPr="008034CE">
        <w:rPr>
          <w:bCs/>
        </w:rPr>
        <w:t xml:space="preserve">In the six months to December 2024, 65% of therapy claims were made at the </w:t>
      </w:r>
      <w:r w:rsidRPr="008034CE">
        <w:t xml:space="preserve">NDIS </w:t>
      </w:r>
      <w:r w:rsidRPr="008034CE">
        <w:rPr>
          <w:bCs/>
        </w:rPr>
        <w:t>price limit, up from 62% in early 2022 (</w:t>
      </w:r>
      <w:r w:rsidRPr="008034CE">
        <w:rPr>
          <w:bCs/>
        </w:rPr>
        <w:fldChar w:fldCharType="begin"/>
      </w:r>
      <w:r w:rsidRPr="008034CE">
        <w:rPr>
          <w:bCs/>
        </w:rPr>
        <w:instrText xml:space="preserve"> REF _Ref195540239 \h  \* MERGEFORMAT </w:instrText>
      </w:r>
      <w:r w:rsidRPr="008034CE">
        <w:rPr>
          <w:bCs/>
        </w:rPr>
      </w:r>
      <w:r w:rsidRPr="008034CE">
        <w:rPr>
          <w:bCs/>
        </w:rPr>
        <w:fldChar w:fldCharType="separate"/>
      </w:r>
      <w:r w:rsidR="005763F9" w:rsidRPr="008034CE">
        <w:t xml:space="preserve">Table </w:t>
      </w:r>
      <w:r w:rsidR="005763F9">
        <w:t>19</w:t>
      </w:r>
      <w:r w:rsidRPr="008034CE">
        <w:rPr>
          <w:bCs/>
        </w:rPr>
        <w:fldChar w:fldCharType="end"/>
      </w:r>
      <w:r w:rsidRPr="008034CE">
        <w:rPr>
          <w:bCs/>
        </w:rPr>
        <w:t xml:space="preserve">). A total of 69% </w:t>
      </w:r>
      <w:r w:rsidRPr="008034CE">
        <w:t>registered</w:t>
      </w:r>
      <w:r w:rsidRPr="008034CE">
        <w:rPr>
          <w:bCs/>
        </w:rPr>
        <w:t xml:space="preserve"> providers claimed at the price limits, compared with 59% </w:t>
      </w:r>
      <w:r w:rsidRPr="008034CE">
        <w:t>of</w:t>
      </w:r>
      <w:r w:rsidRPr="008034CE">
        <w:rPr>
          <w:bCs/>
        </w:rPr>
        <w:t xml:space="preserve"> unregistered providers six months to December 2024.</w:t>
      </w:r>
    </w:p>
    <w:p w14:paraId="1C54784D" w14:textId="774EF1D0" w:rsidR="00255F30" w:rsidRDefault="00255F30">
      <w:pPr>
        <w:spacing w:before="120" w:after="120"/>
        <w:rPr>
          <w:rFonts w:eastAsiaTheme="minorEastAsia" w:cs="Calibri"/>
          <w:sz w:val="20"/>
          <w:szCs w:val="18"/>
        </w:rPr>
      </w:pPr>
      <w:r>
        <w:br w:type="page"/>
      </w:r>
    </w:p>
    <w:p w14:paraId="343846ED" w14:textId="77777777" w:rsidR="00255F30" w:rsidRPr="008034CE" w:rsidRDefault="00255F30" w:rsidP="00255F30">
      <w:r w:rsidRPr="008034CE">
        <w:lastRenderedPageBreak/>
        <w:t xml:space="preserve">While unregistered providers are supporting more participants, they are more likely to claim below the price limits (41% in the six months to December 2024), compared with 31% of registered providers. This variation in claiming behaviour may reflect underlying differences in provider business models, cost structures, or local market conditions. At the same time, there is a consistent increased tendency of claims being made at the NDIS price limit. </w:t>
      </w:r>
    </w:p>
    <w:p w14:paraId="6E05C93D" w14:textId="72874E1F" w:rsidR="00255F30" w:rsidRPr="008034CE" w:rsidRDefault="00255F30" w:rsidP="00255F30">
      <w:pPr>
        <w:pStyle w:val="Caption"/>
      </w:pPr>
      <w:bookmarkStart w:id="294" w:name="_Ref195540239"/>
      <w:r w:rsidRPr="008034CE">
        <w:t xml:space="preserve">Table </w:t>
      </w:r>
      <w:r w:rsidR="005763F9">
        <w:fldChar w:fldCharType="begin"/>
      </w:r>
      <w:r w:rsidR="005763F9">
        <w:instrText xml:space="preserve"> SEQ Table \* ARABIC </w:instrText>
      </w:r>
      <w:r w:rsidR="005763F9">
        <w:fldChar w:fldCharType="separate"/>
      </w:r>
      <w:r w:rsidR="005763F9">
        <w:rPr>
          <w:noProof/>
        </w:rPr>
        <w:t>19</w:t>
      </w:r>
      <w:r w:rsidR="005763F9">
        <w:rPr>
          <w:noProof/>
        </w:rPr>
        <w:fldChar w:fldCharType="end"/>
      </w:r>
      <w:bookmarkEnd w:id="294"/>
      <w:r w:rsidRPr="008034CE">
        <w:t>: Claiming Patterns at the NDIS Price Limit Analysis for Therapy Supports, January 2022 to December 2024</w:t>
      </w:r>
    </w:p>
    <w:tbl>
      <w:tblPr>
        <w:tblStyle w:val="GridTable4-Accent12"/>
        <w:tblW w:w="0" w:type="auto"/>
        <w:tblInd w:w="-5" w:type="dxa"/>
        <w:tblLook w:val="0420" w:firstRow="1" w:lastRow="0" w:firstColumn="0" w:lastColumn="0" w:noHBand="0" w:noVBand="1"/>
      </w:tblPr>
      <w:tblGrid>
        <w:gridCol w:w="1917"/>
        <w:gridCol w:w="1173"/>
        <w:gridCol w:w="1195"/>
        <w:gridCol w:w="1173"/>
        <w:gridCol w:w="1195"/>
        <w:gridCol w:w="1173"/>
        <w:gridCol w:w="1195"/>
      </w:tblGrid>
      <w:tr w:rsidR="00255F30" w:rsidRPr="007C1E37" w14:paraId="0EE97F05" w14:textId="77777777" w:rsidTr="001E519A">
        <w:trPr>
          <w:cnfStyle w:val="100000000000" w:firstRow="1" w:lastRow="0" w:firstColumn="0" w:lastColumn="0" w:oddVBand="0" w:evenVBand="0" w:oddHBand="0" w:evenHBand="0" w:firstRowFirstColumn="0" w:firstRowLastColumn="0" w:lastRowFirstColumn="0" w:lastRowLastColumn="0"/>
          <w:trHeight w:val="567"/>
          <w:tblHeader/>
        </w:trPr>
        <w:tc>
          <w:tcPr>
            <w:tcW w:w="1985" w:type="dxa"/>
            <w:tcBorders>
              <w:top w:val="single" w:sz="4" w:space="0" w:color="501E58" w:themeColor="accent5" w:themeShade="BF"/>
              <w:left w:val="single" w:sz="4" w:space="0" w:color="501E58" w:themeColor="accent5" w:themeShade="BF"/>
              <w:bottom w:val="single" w:sz="4" w:space="0" w:color="501E58" w:themeColor="accent5" w:themeShade="BF"/>
              <w:right w:val="single" w:sz="6" w:space="0" w:color="501E58" w:themeColor="accent5" w:themeShade="BF"/>
            </w:tcBorders>
          </w:tcPr>
          <w:p w14:paraId="3D946BC7" w14:textId="77777777" w:rsidR="00255F30" w:rsidRPr="007C1E37" w:rsidRDefault="00255F30" w:rsidP="001E519A">
            <w:pPr>
              <w:spacing w:before="60" w:after="60"/>
              <w:rPr>
                <w:rFonts w:cs="Arial"/>
                <w:sz w:val="20"/>
                <w:szCs w:val="20"/>
                <w:lang w:eastAsia="en-AU"/>
              </w:rPr>
            </w:pPr>
            <w:r w:rsidRPr="007C1E37">
              <w:rPr>
                <w:rFonts w:cs="Arial"/>
                <w:sz w:val="20"/>
                <w:szCs w:val="20"/>
                <w:lang w:eastAsia="en-AU"/>
              </w:rPr>
              <w:t>Claiming patterns – At price limit</w:t>
            </w:r>
          </w:p>
        </w:tc>
        <w:tc>
          <w:tcPr>
            <w:tcW w:w="1196"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tcPr>
          <w:p w14:paraId="01F798FF" w14:textId="77777777" w:rsidR="00255F30" w:rsidRPr="000C2665" w:rsidRDefault="00255F30" w:rsidP="001E519A">
            <w:pPr>
              <w:spacing w:before="60" w:after="0"/>
              <w:jc w:val="center"/>
              <w:rPr>
                <w:b w:val="0"/>
                <w:bCs w:val="0"/>
                <w:sz w:val="20"/>
                <w:szCs w:val="20"/>
              </w:rPr>
            </w:pPr>
            <w:r w:rsidRPr="000C2665">
              <w:rPr>
                <w:sz w:val="20"/>
                <w:szCs w:val="20"/>
              </w:rPr>
              <w:t xml:space="preserve">January </w:t>
            </w:r>
            <w:r w:rsidRPr="00807411">
              <w:rPr>
                <w:rFonts w:cs="Arial"/>
                <w:b w:val="0"/>
                <w:bCs w:val="0"/>
                <w:sz w:val="20"/>
                <w:szCs w:val="20"/>
              </w:rPr>
              <w:t>–</w:t>
            </w:r>
            <w:r>
              <w:rPr>
                <w:rFonts w:cs="Arial"/>
                <w:b w:val="0"/>
                <w:bCs w:val="0"/>
                <w:sz w:val="20"/>
                <w:szCs w:val="20"/>
              </w:rPr>
              <w:t xml:space="preserve"> </w:t>
            </w:r>
            <w:r w:rsidRPr="000C2665">
              <w:rPr>
                <w:sz w:val="20"/>
                <w:szCs w:val="20"/>
              </w:rPr>
              <w:t>June</w:t>
            </w:r>
          </w:p>
          <w:p w14:paraId="12B5311A" w14:textId="77777777" w:rsidR="00255F30" w:rsidRPr="007C1E37" w:rsidRDefault="00255F30" w:rsidP="001E519A">
            <w:pPr>
              <w:spacing w:after="60"/>
              <w:jc w:val="center"/>
              <w:rPr>
                <w:rFonts w:cs="Arial"/>
                <w:sz w:val="20"/>
                <w:szCs w:val="20"/>
                <w:lang w:eastAsia="en-AU"/>
              </w:rPr>
            </w:pPr>
            <w:r w:rsidRPr="000C2665">
              <w:rPr>
                <w:sz w:val="20"/>
                <w:szCs w:val="20"/>
              </w:rPr>
              <w:t>2022</w:t>
            </w:r>
          </w:p>
        </w:tc>
        <w:tc>
          <w:tcPr>
            <w:tcW w:w="1196"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tcPr>
          <w:p w14:paraId="4C296A58" w14:textId="77777777" w:rsidR="00255F30" w:rsidRPr="007C1E37" w:rsidRDefault="00255F30" w:rsidP="001E519A">
            <w:pPr>
              <w:spacing w:before="60" w:after="60"/>
              <w:jc w:val="center"/>
              <w:rPr>
                <w:rFonts w:cs="Arial"/>
                <w:sz w:val="20"/>
                <w:szCs w:val="20"/>
                <w:lang w:eastAsia="en-AU"/>
              </w:rPr>
            </w:pPr>
            <w:r w:rsidRPr="000C2665">
              <w:rPr>
                <w:sz w:val="20"/>
                <w:szCs w:val="20"/>
              </w:rPr>
              <w:t xml:space="preserve">July </w:t>
            </w:r>
            <w:r w:rsidRPr="00807411">
              <w:rPr>
                <w:rFonts w:cs="Arial"/>
                <w:b w:val="0"/>
                <w:bCs w:val="0"/>
                <w:sz w:val="20"/>
                <w:szCs w:val="20"/>
              </w:rPr>
              <w:t>–</w:t>
            </w:r>
            <w:r>
              <w:rPr>
                <w:rFonts w:cs="Arial"/>
                <w:b w:val="0"/>
                <w:bCs w:val="0"/>
                <w:sz w:val="20"/>
                <w:szCs w:val="20"/>
              </w:rPr>
              <w:t xml:space="preserve"> </w:t>
            </w:r>
            <w:r w:rsidRPr="000C2665">
              <w:rPr>
                <w:sz w:val="20"/>
                <w:szCs w:val="20"/>
              </w:rPr>
              <w:t>December 2022</w:t>
            </w:r>
          </w:p>
        </w:tc>
        <w:tc>
          <w:tcPr>
            <w:tcW w:w="1196"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tcPr>
          <w:p w14:paraId="6BE18FC7" w14:textId="77777777" w:rsidR="00255F30" w:rsidRPr="000C2665" w:rsidRDefault="00255F30" w:rsidP="001E519A">
            <w:pPr>
              <w:spacing w:before="60" w:after="0"/>
              <w:jc w:val="center"/>
              <w:rPr>
                <w:b w:val="0"/>
                <w:bCs w:val="0"/>
                <w:sz w:val="20"/>
                <w:szCs w:val="20"/>
              </w:rPr>
            </w:pPr>
            <w:r w:rsidRPr="000C2665">
              <w:rPr>
                <w:sz w:val="20"/>
                <w:szCs w:val="20"/>
              </w:rPr>
              <w:t xml:space="preserve">January </w:t>
            </w:r>
            <w:r w:rsidRPr="00807411">
              <w:rPr>
                <w:rFonts w:cs="Arial"/>
                <w:b w:val="0"/>
                <w:bCs w:val="0"/>
                <w:sz w:val="20"/>
                <w:szCs w:val="20"/>
              </w:rPr>
              <w:t>–</w:t>
            </w:r>
            <w:r>
              <w:rPr>
                <w:rFonts w:cs="Arial"/>
                <w:b w:val="0"/>
                <w:bCs w:val="0"/>
                <w:sz w:val="20"/>
                <w:szCs w:val="20"/>
              </w:rPr>
              <w:t xml:space="preserve"> </w:t>
            </w:r>
            <w:r w:rsidRPr="000C2665">
              <w:rPr>
                <w:sz w:val="20"/>
                <w:szCs w:val="20"/>
              </w:rPr>
              <w:t>June</w:t>
            </w:r>
          </w:p>
          <w:p w14:paraId="4755AF04" w14:textId="77777777" w:rsidR="00255F30" w:rsidRPr="007C1E37" w:rsidRDefault="00255F30" w:rsidP="001E519A">
            <w:pPr>
              <w:spacing w:after="60"/>
              <w:jc w:val="center"/>
              <w:rPr>
                <w:rFonts w:cs="Arial"/>
                <w:sz w:val="20"/>
                <w:szCs w:val="20"/>
                <w:lang w:eastAsia="en-AU"/>
              </w:rPr>
            </w:pPr>
            <w:r w:rsidRPr="000C2665">
              <w:rPr>
                <w:sz w:val="20"/>
                <w:szCs w:val="20"/>
              </w:rPr>
              <w:t>2023</w:t>
            </w:r>
          </w:p>
        </w:tc>
        <w:tc>
          <w:tcPr>
            <w:tcW w:w="1196"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tcPr>
          <w:p w14:paraId="3D2811AF" w14:textId="77777777" w:rsidR="00255F30" w:rsidRPr="007C1E37" w:rsidRDefault="00255F30" w:rsidP="001E519A">
            <w:pPr>
              <w:spacing w:before="60" w:after="60"/>
              <w:jc w:val="center"/>
              <w:rPr>
                <w:rFonts w:cs="Arial"/>
                <w:sz w:val="20"/>
                <w:szCs w:val="20"/>
                <w:lang w:eastAsia="en-AU"/>
              </w:rPr>
            </w:pPr>
            <w:r w:rsidRPr="000C2665">
              <w:rPr>
                <w:sz w:val="20"/>
                <w:szCs w:val="20"/>
              </w:rPr>
              <w:t xml:space="preserve">July </w:t>
            </w:r>
            <w:r w:rsidRPr="00807411">
              <w:rPr>
                <w:rFonts w:cs="Arial"/>
                <w:b w:val="0"/>
                <w:bCs w:val="0"/>
                <w:sz w:val="20"/>
                <w:szCs w:val="20"/>
              </w:rPr>
              <w:t>–</w:t>
            </w:r>
            <w:r>
              <w:rPr>
                <w:rFonts w:cs="Arial"/>
                <w:b w:val="0"/>
                <w:bCs w:val="0"/>
                <w:sz w:val="20"/>
                <w:szCs w:val="20"/>
              </w:rPr>
              <w:t xml:space="preserve"> </w:t>
            </w:r>
            <w:r w:rsidRPr="000C2665">
              <w:rPr>
                <w:sz w:val="20"/>
                <w:szCs w:val="20"/>
              </w:rPr>
              <w:t>December 2023</w:t>
            </w:r>
          </w:p>
        </w:tc>
        <w:tc>
          <w:tcPr>
            <w:tcW w:w="1196"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tcPr>
          <w:p w14:paraId="453B2943" w14:textId="77777777" w:rsidR="00255F30" w:rsidRPr="000C2665" w:rsidRDefault="00255F30" w:rsidP="001E519A">
            <w:pPr>
              <w:spacing w:before="60" w:after="0"/>
              <w:jc w:val="center"/>
              <w:rPr>
                <w:b w:val="0"/>
                <w:bCs w:val="0"/>
                <w:sz w:val="20"/>
                <w:szCs w:val="20"/>
              </w:rPr>
            </w:pPr>
            <w:r w:rsidRPr="000C2665">
              <w:rPr>
                <w:sz w:val="20"/>
                <w:szCs w:val="20"/>
              </w:rPr>
              <w:t xml:space="preserve">January </w:t>
            </w:r>
            <w:r w:rsidRPr="00807411">
              <w:rPr>
                <w:rFonts w:cs="Arial"/>
                <w:b w:val="0"/>
                <w:bCs w:val="0"/>
                <w:sz w:val="20"/>
                <w:szCs w:val="20"/>
              </w:rPr>
              <w:t>–</w:t>
            </w:r>
            <w:r>
              <w:rPr>
                <w:rFonts w:cs="Arial"/>
                <w:b w:val="0"/>
                <w:bCs w:val="0"/>
                <w:sz w:val="20"/>
                <w:szCs w:val="20"/>
              </w:rPr>
              <w:t xml:space="preserve"> </w:t>
            </w:r>
            <w:r w:rsidRPr="000C2665">
              <w:rPr>
                <w:sz w:val="20"/>
                <w:szCs w:val="20"/>
              </w:rPr>
              <w:t>June</w:t>
            </w:r>
          </w:p>
          <w:p w14:paraId="09AABC25" w14:textId="77777777" w:rsidR="00255F30" w:rsidRPr="007C1E37" w:rsidRDefault="00255F30" w:rsidP="001E519A">
            <w:pPr>
              <w:spacing w:after="60"/>
              <w:jc w:val="center"/>
              <w:rPr>
                <w:rFonts w:cs="Arial"/>
                <w:sz w:val="20"/>
                <w:szCs w:val="20"/>
                <w:lang w:eastAsia="en-AU"/>
              </w:rPr>
            </w:pPr>
            <w:r w:rsidRPr="000C2665">
              <w:rPr>
                <w:sz w:val="20"/>
                <w:szCs w:val="20"/>
              </w:rPr>
              <w:t>2024</w:t>
            </w:r>
          </w:p>
        </w:tc>
        <w:tc>
          <w:tcPr>
            <w:tcW w:w="1196" w:type="dxa"/>
            <w:tcBorders>
              <w:top w:val="single" w:sz="4" w:space="0" w:color="501E58" w:themeColor="accent5" w:themeShade="BF"/>
              <w:left w:val="single" w:sz="6" w:space="0" w:color="501E58" w:themeColor="accent5" w:themeShade="BF"/>
              <w:bottom w:val="single" w:sz="4" w:space="0" w:color="501E58" w:themeColor="accent5" w:themeShade="BF"/>
              <w:right w:val="single" w:sz="4" w:space="0" w:color="501E58" w:themeColor="accent5" w:themeShade="BF"/>
            </w:tcBorders>
          </w:tcPr>
          <w:p w14:paraId="760091E2" w14:textId="77777777" w:rsidR="00255F30" w:rsidRPr="007C1E37" w:rsidRDefault="00255F30" w:rsidP="001E519A">
            <w:pPr>
              <w:spacing w:before="60" w:after="60"/>
              <w:jc w:val="center"/>
              <w:rPr>
                <w:rFonts w:cs="Arial"/>
                <w:sz w:val="20"/>
                <w:szCs w:val="20"/>
                <w:lang w:eastAsia="en-AU"/>
              </w:rPr>
            </w:pPr>
            <w:r w:rsidRPr="000C2665">
              <w:rPr>
                <w:sz w:val="20"/>
                <w:szCs w:val="20"/>
              </w:rPr>
              <w:t xml:space="preserve">July </w:t>
            </w:r>
            <w:r w:rsidRPr="00807411">
              <w:rPr>
                <w:rFonts w:cs="Arial"/>
                <w:b w:val="0"/>
                <w:bCs w:val="0"/>
                <w:sz w:val="20"/>
                <w:szCs w:val="20"/>
              </w:rPr>
              <w:t>–</w:t>
            </w:r>
            <w:r>
              <w:rPr>
                <w:rFonts w:cs="Arial"/>
                <w:b w:val="0"/>
                <w:bCs w:val="0"/>
                <w:sz w:val="20"/>
                <w:szCs w:val="20"/>
              </w:rPr>
              <w:t xml:space="preserve"> </w:t>
            </w:r>
            <w:r w:rsidRPr="000C2665">
              <w:rPr>
                <w:sz w:val="20"/>
                <w:szCs w:val="20"/>
              </w:rPr>
              <w:t>December 2024</w:t>
            </w:r>
          </w:p>
        </w:tc>
      </w:tr>
      <w:tr w:rsidR="00255F30" w:rsidRPr="007C1E37" w14:paraId="6C1FA68E" w14:textId="77777777" w:rsidTr="001E519A">
        <w:trPr>
          <w:cnfStyle w:val="000000100000" w:firstRow="0" w:lastRow="0" w:firstColumn="0" w:lastColumn="0" w:oddVBand="0" w:evenVBand="0" w:oddHBand="1" w:evenHBand="0" w:firstRowFirstColumn="0" w:firstRowLastColumn="0" w:lastRowFirstColumn="0" w:lastRowLastColumn="0"/>
          <w:trHeight w:val="397"/>
        </w:trPr>
        <w:tc>
          <w:tcPr>
            <w:tcW w:w="1985"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2EBA964B" w14:textId="77777777" w:rsidR="00255F30" w:rsidRPr="007C1E37" w:rsidRDefault="00255F30" w:rsidP="001E519A">
            <w:pPr>
              <w:spacing w:before="60" w:after="60"/>
              <w:rPr>
                <w:rFonts w:cs="Arial"/>
                <w:sz w:val="20"/>
                <w:szCs w:val="20"/>
                <w:lang w:eastAsia="en-AU"/>
              </w:rPr>
            </w:pPr>
            <w:r w:rsidRPr="007C1E37">
              <w:rPr>
                <w:rFonts w:cs="Arial"/>
                <w:sz w:val="20"/>
                <w:szCs w:val="20"/>
                <w:lang w:eastAsia="en-AU"/>
              </w:rPr>
              <w:t>Registered</w:t>
            </w:r>
          </w:p>
        </w:tc>
        <w:tc>
          <w:tcPr>
            <w:tcW w:w="1196"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47248CEB" w14:textId="77777777" w:rsidR="00255F30" w:rsidRPr="007C1E37" w:rsidRDefault="00255F30" w:rsidP="001E519A">
            <w:pPr>
              <w:spacing w:before="60" w:after="60"/>
              <w:jc w:val="center"/>
              <w:rPr>
                <w:rFonts w:cs="Arial"/>
                <w:sz w:val="20"/>
                <w:szCs w:val="20"/>
                <w:lang w:eastAsia="en-US"/>
              </w:rPr>
            </w:pPr>
            <w:r w:rsidRPr="007C1E37">
              <w:rPr>
                <w:sz w:val="20"/>
                <w:szCs w:val="20"/>
              </w:rPr>
              <w:t>67%</w:t>
            </w:r>
          </w:p>
        </w:tc>
        <w:tc>
          <w:tcPr>
            <w:tcW w:w="1196"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603EECC2" w14:textId="77777777" w:rsidR="00255F30" w:rsidRPr="007C1E37" w:rsidRDefault="00255F30" w:rsidP="001E519A">
            <w:pPr>
              <w:spacing w:before="60" w:after="60"/>
              <w:jc w:val="center"/>
              <w:rPr>
                <w:rFonts w:cs="Arial"/>
                <w:sz w:val="20"/>
                <w:szCs w:val="20"/>
                <w:lang w:eastAsia="en-US"/>
              </w:rPr>
            </w:pPr>
            <w:r w:rsidRPr="007C1E37">
              <w:rPr>
                <w:sz w:val="20"/>
                <w:szCs w:val="20"/>
              </w:rPr>
              <w:t>68%</w:t>
            </w:r>
          </w:p>
        </w:tc>
        <w:tc>
          <w:tcPr>
            <w:tcW w:w="1196"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690DC310" w14:textId="77777777" w:rsidR="00255F30" w:rsidRPr="007C1E37" w:rsidRDefault="00255F30" w:rsidP="001E519A">
            <w:pPr>
              <w:spacing w:before="60" w:after="60"/>
              <w:jc w:val="center"/>
              <w:rPr>
                <w:rFonts w:cs="Arial"/>
                <w:sz w:val="20"/>
                <w:szCs w:val="20"/>
                <w:lang w:eastAsia="en-US"/>
              </w:rPr>
            </w:pPr>
            <w:r w:rsidRPr="007C1E37">
              <w:rPr>
                <w:sz w:val="20"/>
                <w:szCs w:val="20"/>
              </w:rPr>
              <w:t>69%</w:t>
            </w:r>
          </w:p>
        </w:tc>
        <w:tc>
          <w:tcPr>
            <w:tcW w:w="1196"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50012EED" w14:textId="77777777" w:rsidR="00255F30" w:rsidRPr="007C1E37" w:rsidRDefault="00255F30" w:rsidP="001E519A">
            <w:pPr>
              <w:spacing w:before="60" w:after="60"/>
              <w:jc w:val="center"/>
              <w:rPr>
                <w:rFonts w:cs="Arial"/>
                <w:sz w:val="20"/>
                <w:szCs w:val="20"/>
                <w:lang w:eastAsia="en-US"/>
              </w:rPr>
            </w:pPr>
            <w:r w:rsidRPr="007C1E37">
              <w:rPr>
                <w:sz w:val="20"/>
                <w:szCs w:val="20"/>
              </w:rPr>
              <w:t>68%</w:t>
            </w:r>
          </w:p>
        </w:tc>
        <w:tc>
          <w:tcPr>
            <w:tcW w:w="1196"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58722C70" w14:textId="77777777" w:rsidR="00255F30" w:rsidRPr="007C1E37" w:rsidRDefault="00255F30" w:rsidP="001E519A">
            <w:pPr>
              <w:spacing w:before="60" w:after="60"/>
              <w:jc w:val="center"/>
              <w:rPr>
                <w:rFonts w:cs="Arial"/>
                <w:sz w:val="20"/>
                <w:szCs w:val="20"/>
              </w:rPr>
            </w:pPr>
            <w:r w:rsidRPr="007C1E37">
              <w:rPr>
                <w:sz w:val="20"/>
                <w:szCs w:val="20"/>
              </w:rPr>
              <w:t>68%</w:t>
            </w:r>
          </w:p>
        </w:tc>
        <w:tc>
          <w:tcPr>
            <w:tcW w:w="1196"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2F1FA592" w14:textId="77777777" w:rsidR="00255F30" w:rsidRPr="007C1E37" w:rsidRDefault="00255F30" w:rsidP="001E519A">
            <w:pPr>
              <w:spacing w:before="60" w:after="60"/>
              <w:jc w:val="center"/>
              <w:rPr>
                <w:rFonts w:cs="Arial"/>
                <w:sz w:val="20"/>
                <w:szCs w:val="20"/>
              </w:rPr>
            </w:pPr>
            <w:r w:rsidRPr="007C1E37">
              <w:rPr>
                <w:sz w:val="20"/>
                <w:szCs w:val="20"/>
              </w:rPr>
              <w:t>69%</w:t>
            </w:r>
          </w:p>
        </w:tc>
      </w:tr>
      <w:tr w:rsidR="00255F30" w:rsidRPr="007C1E37" w14:paraId="63D209B6" w14:textId="77777777" w:rsidTr="001E519A">
        <w:trPr>
          <w:trHeight w:val="397"/>
        </w:trPr>
        <w:tc>
          <w:tcPr>
            <w:tcW w:w="1985"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shd w:val="clear" w:color="auto" w:fill="auto"/>
            <w:vAlign w:val="center"/>
          </w:tcPr>
          <w:p w14:paraId="15459198" w14:textId="77777777" w:rsidR="00255F30" w:rsidRPr="007C1E37" w:rsidRDefault="00255F30" w:rsidP="001E519A">
            <w:pPr>
              <w:spacing w:before="60" w:after="60"/>
              <w:rPr>
                <w:rFonts w:cs="Arial"/>
                <w:sz w:val="20"/>
                <w:szCs w:val="20"/>
                <w:lang w:eastAsia="en-AU"/>
              </w:rPr>
            </w:pPr>
            <w:r w:rsidRPr="007C1E37">
              <w:rPr>
                <w:rFonts w:cs="Arial"/>
                <w:sz w:val="20"/>
                <w:szCs w:val="20"/>
                <w:lang w:eastAsia="en-AU"/>
              </w:rPr>
              <w:t>Unregistered</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shd w:val="clear" w:color="auto" w:fill="auto"/>
            <w:vAlign w:val="center"/>
          </w:tcPr>
          <w:p w14:paraId="28EF3F60" w14:textId="77777777" w:rsidR="00255F30" w:rsidRPr="007C1E37" w:rsidRDefault="00255F30" w:rsidP="001E519A">
            <w:pPr>
              <w:spacing w:before="60" w:after="60"/>
              <w:jc w:val="center"/>
              <w:rPr>
                <w:rFonts w:cs="Arial"/>
                <w:sz w:val="20"/>
                <w:szCs w:val="20"/>
              </w:rPr>
            </w:pPr>
            <w:r w:rsidRPr="007C1E37">
              <w:rPr>
                <w:sz w:val="20"/>
                <w:szCs w:val="20"/>
              </w:rPr>
              <w:t>49%</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shd w:val="clear" w:color="auto" w:fill="auto"/>
            <w:vAlign w:val="center"/>
          </w:tcPr>
          <w:p w14:paraId="7D5F0077" w14:textId="77777777" w:rsidR="00255F30" w:rsidRPr="007C1E37" w:rsidRDefault="00255F30" w:rsidP="001E519A">
            <w:pPr>
              <w:spacing w:before="60" w:after="60"/>
              <w:jc w:val="center"/>
              <w:rPr>
                <w:rFonts w:cs="Arial"/>
                <w:sz w:val="20"/>
                <w:szCs w:val="20"/>
              </w:rPr>
            </w:pPr>
            <w:r w:rsidRPr="007C1E37">
              <w:rPr>
                <w:sz w:val="20"/>
                <w:szCs w:val="20"/>
              </w:rPr>
              <w:t>53%</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shd w:val="clear" w:color="auto" w:fill="auto"/>
            <w:vAlign w:val="center"/>
          </w:tcPr>
          <w:p w14:paraId="40A1D715" w14:textId="77777777" w:rsidR="00255F30" w:rsidRPr="007C1E37" w:rsidRDefault="00255F30" w:rsidP="001E519A">
            <w:pPr>
              <w:spacing w:before="60" w:after="60"/>
              <w:jc w:val="center"/>
              <w:rPr>
                <w:rFonts w:cs="Arial"/>
                <w:sz w:val="20"/>
                <w:szCs w:val="20"/>
              </w:rPr>
            </w:pPr>
            <w:r w:rsidRPr="007C1E37">
              <w:rPr>
                <w:sz w:val="20"/>
                <w:szCs w:val="20"/>
              </w:rPr>
              <w:t>56%</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shd w:val="clear" w:color="auto" w:fill="auto"/>
            <w:vAlign w:val="center"/>
          </w:tcPr>
          <w:p w14:paraId="1BC5123A" w14:textId="77777777" w:rsidR="00255F30" w:rsidRPr="007C1E37" w:rsidRDefault="00255F30" w:rsidP="001E519A">
            <w:pPr>
              <w:spacing w:before="60" w:after="60"/>
              <w:jc w:val="center"/>
              <w:rPr>
                <w:rFonts w:cs="Arial"/>
                <w:sz w:val="20"/>
                <w:szCs w:val="20"/>
              </w:rPr>
            </w:pPr>
            <w:r w:rsidRPr="007C1E37">
              <w:rPr>
                <w:sz w:val="20"/>
                <w:szCs w:val="20"/>
              </w:rPr>
              <w:t>58%</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shd w:val="clear" w:color="auto" w:fill="auto"/>
            <w:vAlign w:val="center"/>
          </w:tcPr>
          <w:p w14:paraId="72590D7D" w14:textId="77777777" w:rsidR="00255F30" w:rsidRPr="007C1E37" w:rsidRDefault="00255F30" w:rsidP="001E519A">
            <w:pPr>
              <w:spacing w:before="60" w:after="60"/>
              <w:jc w:val="center"/>
              <w:rPr>
                <w:rFonts w:cs="Arial"/>
                <w:sz w:val="20"/>
                <w:szCs w:val="20"/>
              </w:rPr>
            </w:pPr>
            <w:r w:rsidRPr="007C1E37">
              <w:rPr>
                <w:sz w:val="20"/>
                <w:szCs w:val="20"/>
              </w:rPr>
              <w:t>59%</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shd w:val="clear" w:color="auto" w:fill="auto"/>
            <w:vAlign w:val="center"/>
          </w:tcPr>
          <w:p w14:paraId="5D676D1E" w14:textId="77777777" w:rsidR="00255F30" w:rsidRPr="007C1E37" w:rsidRDefault="00255F30" w:rsidP="001E519A">
            <w:pPr>
              <w:spacing w:before="60" w:after="60"/>
              <w:jc w:val="center"/>
              <w:rPr>
                <w:rFonts w:cs="Arial"/>
                <w:sz w:val="20"/>
                <w:szCs w:val="20"/>
              </w:rPr>
            </w:pPr>
            <w:r w:rsidRPr="007C1E37">
              <w:rPr>
                <w:sz w:val="20"/>
                <w:szCs w:val="20"/>
              </w:rPr>
              <w:t>59%</w:t>
            </w:r>
          </w:p>
        </w:tc>
      </w:tr>
      <w:tr w:rsidR="00255F30" w:rsidRPr="007C1E37" w14:paraId="3ADF8398" w14:textId="77777777" w:rsidTr="001E519A">
        <w:trPr>
          <w:cnfStyle w:val="000000100000" w:firstRow="0" w:lastRow="0" w:firstColumn="0" w:lastColumn="0" w:oddVBand="0" w:evenVBand="0" w:oddHBand="1" w:evenHBand="0" w:firstRowFirstColumn="0" w:firstRowLastColumn="0" w:lastRowFirstColumn="0" w:lastRowLastColumn="0"/>
          <w:trHeight w:val="397"/>
        </w:trPr>
        <w:tc>
          <w:tcPr>
            <w:tcW w:w="1985"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0BCB87F4" w14:textId="77777777" w:rsidR="00255F30" w:rsidRPr="007C1E37" w:rsidRDefault="00255F30" w:rsidP="001E519A">
            <w:pPr>
              <w:spacing w:before="60" w:after="60"/>
              <w:rPr>
                <w:rFonts w:cs="Arial"/>
                <w:b/>
                <w:sz w:val="20"/>
                <w:szCs w:val="20"/>
                <w:lang w:eastAsia="en-AU"/>
              </w:rPr>
            </w:pPr>
            <w:r w:rsidRPr="007C1E37">
              <w:rPr>
                <w:rFonts w:cs="Arial"/>
                <w:b/>
                <w:sz w:val="20"/>
                <w:szCs w:val="20"/>
                <w:lang w:eastAsia="en-AU"/>
              </w:rPr>
              <w:t>All Providers</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1A2B4048" w14:textId="77777777" w:rsidR="00255F30" w:rsidRPr="007C1E37" w:rsidRDefault="00255F30" w:rsidP="001E519A">
            <w:pPr>
              <w:spacing w:before="60" w:after="60"/>
              <w:jc w:val="center"/>
              <w:rPr>
                <w:rFonts w:cs="Arial"/>
                <w:b/>
                <w:sz w:val="20"/>
                <w:szCs w:val="20"/>
                <w:lang w:eastAsia="en-US"/>
              </w:rPr>
            </w:pPr>
            <w:r w:rsidRPr="007C1E37">
              <w:rPr>
                <w:b/>
                <w:sz w:val="20"/>
                <w:szCs w:val="20"/>
              </w:rPr>
              <w:t>62%</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084DDD2E" w14:textId="77777777" w:rsidR="00255F30" w:rsidRPr="007C1E37" w:rsidRDefault="00255F30" w:rsidP="001E519A">
            <w:pPr>
              <w:spacing w:before="60" w:after="60"/>
              <w:jc w:val="center"/>
              <w:rPr>
                <w:rFonts w:cs="Arial"/>
                <w:b/>
                <w:sz w:val="20"/>
                <w:szCs w:val="20"/>
                <w:lang w:eastAsia="en-US"/>
              </w:rPr>
            </w:pPr>
            <w:r w:rsidRPr="007C1E37">
              <w:rPr>
                <w:b/>
                <w:sz w:val="20"/>
                <w:szCs w:val="20"/>
              </w:rPr>
              <w:t>64%</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2E2AEB14" w14:textId="77777777" w:rsidR="00255F30" w:rsidRPr="007C1E37" w:rsidRDefault="00255F30" w:rsidP="001E519A">
            <w:pPr>
              <w:spacing w:before="60" w:after="60"/>
              <w:jc w:val="center"/>
              <w:rPr>
                <w:rFonts w:cs="Arial"/>
                <w:b/>
                <w:sz w:val="20"/>
                <w:szCs w:val="20"/>
                <w:lang w:eastAsia="en-US"/>
              </w:rPr>
            </w:pPr>
            <w:r w:rsidRPr="007C1E37">
              <w:rPr>
                <w:b/>
                <w:sz w:val="20"/>
                <w:szCs w:val="20"/>
              </w:rPr>
              <w:t>65%</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3F892F0A" w14:textId="77777777" w:rsidR="00255F30" w:rsidRPr="007C1E37" w:rsidRDefault="00255F30" w:rsidP="001E519A">
            <w:pPr>
              <w:spacing w:before="60" w:after="60"/>
              <w:jc w:val="center"/>
              <w:rPr>
                <w:rFonts w:cs="Arial"/>
                <w:b/>
                <w:sz w:val="20"/>
                <w:szCs w:val="20"/>
                <w:lang w:eastAsia="en-US"/>
              </w:rPr>
            </w:pPr>
            <w:r w:rsidRPr="007C1E37">
              <w:rPr>
                <w:b/>
                <w:sz w:val="20"/>
                <w:szCs w:val="20"/>
              </w:rPr>
              <w:t>64%</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0CDE6522" w14:textId="77777777" w:rsidR="00255F30" w:rsidRPr="007C1E37" w:rsidRDefault="00255F30" w:rsidP="001E519A">
            <w:pPr>
              <w:spacing w:before="60" w:after="60"/>
              <w:jc w:val="center"/>
              <w:rPr>
                <w:rFonts w:cs="Arial"/>
                <w:b/>
                <w:sz w:val="20"/>
                <w:szCs w:val="20"/>
              </w:rPr>
            </w:pPr>
            <w:r w:rsidRPr="007C1E37">
              <w:rPr>
                <w:b/>
                <w:sz w:val="20"/>
                <w:szCs w:val="20"/>
              </w:rPr>
              <w:t>65%</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4ADA7C4D" w14:textId="77777777" w:rsidR="00255F30" w:rsidRPr="007C1E37" w:rsidRDefault="00255F30" w:rsidP="001E519A">
            <w:pPr>
              <w:spacing w:before="60" w:after="60"/>
              <w:jc w:val="center"/>
              <w:rPr>
                <w:rFonts w:cs="Arial"/>
                <w:b/>
                <w:sz w:val="20"/>
                <w:szCs w:val="20"/>
              </w:rPr>
            </w:pPr>
            <w:r w:rsidRPr="007C1E37">
              <w:rPr>
                <w:b/>
                <w:sz w:val="20"/>
                <w:szCs w:val="20"/>
              </w:rPr>
              <w:t>65%</w:t>
            </w:r>
          </w:p>
        </w:tc>
      </w:tr>
    </w:tbl>
    <w:p w14:paraId="561AF865" w14:textId="77777777" w:rsidR="00255F30" w:rsidRPr="008034CE" w:rsidRDefault="00255F30" w:rsidP="00255F30">
      <w:pPr>
        <w:pStyle w:val="Sourcefortableorfigure"/>
        <w:spacing w:before="120"/>
      </w:pPr>
      <w:r w:rsidRPr="008034CE">
        <w:t>Source: NDIS internal administrative data</w:t>
      </w:r>
    </w:p>
    <w:p w14:paraId="63B82FCD" w14:textId="77777777" w:rsidR="00255F30" w:rsidRPr="008034CE" w:rsidRDefault="00255F30" w:rsidP="00255F30">
      <w:pPr>
        <w:pStyle w:val="Notefortableorfigure"/>
      </w:pPr>
      <w:r w:rsidRPr="008034CE">
        <w:t>Note: All Providers above are inclusive of providers with the unknown registration status at the time of the transaction.</w:t>
      </w:r>
    </w:p>
    <w:p w14:paraId="2C0EC801" w14:textId="77777777" w:rsidR="00255F30" w:rsidRPr="008034CE" w:rsidRDefault="00255F30" w:rsidP="00255F30">
      <w:pPr>
        <w:pStyle w:val="Heading5"/>
      </w:pPr>
      <w:bookmarkStart w:id="295" w:name="_Toc195538927"/>
      <w:bookmarkStart w:id="296" w:name="_Toc200103507"/>
      <w:bookmarkStart w:id="297" w:name="_Toc200271620"/>
      <w:r w:rsidRPr="008034CE">
        <w:t>Provider Scale and Share of Payments</w:t>
      </w:r>
      <w:bookmarkEnd w:id="295"/>
      <w:bookmarkEnd w:id="296"/>
      <w:bookmarkEnd w:id="297"/>
      <w:r w:rsidRPr="008034CE">
        <w:t xml:space="preserve"> </w:t>
      </w:r>
    </w:p>
    <w:p w14:paraId="4E1BA3DB" w14:textId="54EF2627" w:rsidR="00255F30" w:rsidRPr="008034CE" w:rsidRDefault="00255F30" w:rsidP="00255F30">
      <w:r w:rsidRPr="008034CE">
        <w:t>While the number of providers has grown, most providers continue to operate at a relatively small scale. The therapy market is dominated by small scale providers, with just under half of all therapy providers supporting one or two participants. 65% of all therapy providers support five or fewer participants, and together account for just 5% of therapy payments. In contrast, providers supporting more than 250 participants make up less than 1% of the market but make over 40% of all therapy claims (</w:t>
      </w:r>
      <w:r w:rsidR="00A17080">
        <w:fldChar w:fldCharType="begin"/>
      </w:r>
      <w:r w:rsidR="00A17080">
        <w:instrText xml:space="preserve"> REF _Ref197105822 \h </w:instrText>
      </w:r>
      <w:r w:rsidR="00A17080">
        <w:fldChar w:fldCharType="separate"/>
      </w:r>
      <w:r w:rsidR="005763F9" w:rsidRPr="008034CE">
        <w:t xml:space="preserve">Table </w:t>
      </w:r>
      <w:r w:rsidR="005763F9">
        <w:rPr>
          <w:noProof/>
        </w:rPr>
        <w:t>20</w:t>
      </w:r>
      <w:r w:rsidR="00A17080">
        <w:fldChar w:fldCharType="end"/>
      </w:r>
      <w:r w:rsidRPr="008034CE">
        <w:t>).</w:t>
      </w:r>
    </w:p>
    <w:p w14:paraId="1569EC11" w14:textId="77777777" w:rsidR="00255F30" w:rsidRPr="008034CE" w:rsidRDefault="00255F30" w:rsidP="00255F30">
      <w:r w:rsidRPr="008034CE">
        <w:t xml:space="preserve">The distribution highlights how a small number of large-scale providers are delivering a significant share of therapy support, with most other providers operating in either a part-time capacity or have a diverse client base. On average, providers supporting 1-5 participants claimed at less than $10,000 each over six months to December 2024, compared to over $9 million for the largest providers supporting more than 1,000 participants in the same period. </w:t>
      </w:r>
    </w:p>
    <w:p w14:paraId="1513F892" w14:textId="09CE3C2F" w:rsidR="00120DFC" w:rsidRPr="008034CE" w:rsidRDefault="00255F30" w:rsidP="00120DFC">
      <w:r w:rsidRPr="008034CE">
        <w:t>These patterns are consistent with the trends observed across registration status, business structure, and claiming behaviour. Many smaller-scale providers may operate as sole traders or unregistered entities, while larger providers are more likely to be registered with established infrastructure and systems. These differences in</w:t>
      </w:r>
      <w:r w:rsidR="008D60AB">
        <w:t xml:space="preserve"> </w:t>
      </w:r>
      <w:r w:rsidR="00120DFC" w:rsidRPr="008034CE">
        <w:t xml:space="preserve">scale, cost structure, and administrative capacity may influence how providers respond to price limits. </w:t>
      </w:r>
    </w:p>
    <w:p w14:paraId="3A33BAC0" w14:textId="1EF219A0" w:rsidR="00120DFC" w:rsidRPr="008034CE" w:rsidRDefault="00120DFC" w:rsidP="00120DFC">
      <w:pPr>
        <w:pStyle w:val="Caption"/>
      </w:pPr>
      <w:bookmarkStart w:id="298" w:name="_Ref197105822"/>
      <w:r w:rsidRPr="008034CE">
        <w:lastRenderedPageBreak/>
        <w:t xml:space="preserve">Table </w:t>
      </w:r>
      <w:r w:rsidR="005763F9">
        <w:fldChar w:fldCharType="begin"/>
      </w:r>
      <w:r w:rsidR="005763F9">
        <w:instrText xml:space="preserve"> SEQ Table \* ARABIC </w:instrText>
      </w:r>
      <w:r w:rsidR="005763F9">
        <w:fldChar w:fldCharType="separate"/>
      </w:r>
      <w:r w:rsidR="005763F9">
        <w:rPr>
          <w:noProof/>
        </w:rPr>
        <w:t>20</w:t>
      </w:r>
      <w:r w:rsidR="005763F9">
        <w:rPr>
          <w:noProof/>
        </w:rPr>
        <w:fldChar w:fldCharType="end"/>
      </w:r>
      <w:bookmarkEnd w:id="298"/>
      <w:r w:rsidRPr="008034CE">
        <w:t>: Statistics on the Size of Providers for Therapy Supports, July to December 2024</w:t>
      </w:r>
    </w:p>
    <w:tbl>
      <w:tblPr>
        <w:tblStyle w:val="GridTable4-Accent12"/>
        <w:tblW w:w="0" w:type="auto"/>
        <w:tblInd w:w="-5" w:type="dxa"/>
        <w:tblLayout w:type="fixed"/>
        <w:tblLook w:val="0420" w:firstRow="1" w:lastRow="0" w:firstColumn="0" w:lastColumn="0" w:noHBand="0" w:noVBand="1"/>
      </w:tblPr>
      <w:tblGrid>
        <w:gridCol w:w="2268"/>
        <w:gridCol w:w="1418"/>
        <w:gridCol w:w="1701"/>
        <w:gridCol w:w="1588"/>
        <w:gridCol w:w="1304"/>
      </w:tblGrid>
      <w:tr w:rsidR="00120DFC" w:rsidRPr="007C1E37" w14:paraId="22A7C5ED" w14:textId="77777777" w:rsidTr="001E519A">
        <w:trPr>
          <w:cnfStyle w:val="100000000000" w:firstRow="1" w:lastRow="0" w:firstColumn="0" w:lastColumn="0" w:oddVBand="0" w:evenVBand="0" w:oddHBand="0" w:evenHBand="0" w:firstRowFirstColumn="0" w:firstRowLastColumn="0" w:lastRowFirstColumn="0" w:lastRowLastColumn="0"/>
          <w:trHeight w:val="567"/>
          <w:tblHeader/>
        </w:trPr>
        <w:tc>
          <w:tcPr>
            <w:tcW w:w="2268" w:type="dxa"/>
            <w:tcBorders>
              <w:top w:val="single" w:sz="4" w:space="0" w:color="501E58" w:themeColor="accent5" w:themeShade="BF"/>
              <w:left w:val="single" w:sz="4" w:space="0" w:color="501E58" w:themeColor="accent5" w:themeShade="BF"/>
              <w:bottom w:val="single" w:sz="4" w:space="0" w:color="501E58" w:themeColor="accent5" w:themeShade="BF"/>
              <w:right w:val="single" w:sz="6" w:space="0" w:color="501E58" w:themeColor="accent5" w:themeShade="BF"/>
            </w:tcBorders>
            <w:hideMark/>
          </w:tcPr>
          <w:p w14:paraId="51F49D0B" w14:textId="77777777" w:rsidR="00120DFC" w:rsidRPr="007C1E37" w:rsidRDefault="00120DFC" w:rsidP="001E519A">
            <w:pPr>
              <w:spacing w:before="60" w:after="60"/>
              <w:rPr>
                <w:rFonts w:cs="Arial"/>
                <w:sz w:val="20"/>
                <w:szCs w:val="20"/>
                <w:lang w:eastAsia="en-AU"/>
              </w:rPr>
            </w:pPr>
            <w:r w:rsidRPr="007C1E37">
              <w:rPr>
                <w:rFonts w:cs="Arial"/>
                <w:sz w:val="20"/>
                <w:szCs w:val="20"/>
              </w:rPr>
              <w:t>Size of Provider (number of participants supported)</w:t>
            </w:r>
          </w:p>
        </w:tc>
        <w:tc>
          <w:tcPr>
            <w:tcW w:w="1418"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tcPr>
          <w:p w14:paraId="3039871D" w14:textId="77777777" w:rsidR="00120DFC" w:rsidRPr="007C1E37" w:rsidRDefault="00120DFC" w:rsidP="001E519A">
            <w:pPr>
              <w:spacing w:before="60" w:after="60"/>
              <w:jc w:val="right"/>
              <w:rPr>
                <w:rFonts w:cs="Arial"/>
                <w:sz w:val="20"/>
                <w:szCs w:val="20"/>
              </w:rPr>
            </w:pPr>
            <w:r w:rsidRPr="007C1E37">
              <w:rPr>
                <w:rFonts w:cs="Arial"/>
                <w:sz w:val="20"/>
                <w:szCs w:val="20"/>
              </w:rPr>
              <w:t xml:space="preserve">Number of Providers </w:t>
            </w:r>
          </w:p>
        </w:tc>
        <w:tc>
          <w:tcPr>
            <w:tcW w:w="1701"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tcPr>
          <w:p w14:paraId="2A012E64" w14:textId="77777777" w:rsidR="00120DFC" w:rsidRPr="007C1E37" w:rsidRDefault="00120DFC" w:rsidP="001E519A">
            <w:pPr>
              <w:spacing w:before="60" w:after="60"/>
              <w:jc w:val="right"/>
              <w:rPr>
                <w:rFonts w:cs="Arial"/>
                <w:sz w:val="20"/>
                <w:szCs w:val="20"/>
                <w:lang w:eastAsia="en-AU"/>
              </w:rPr>
            </w:pPr>
            <w:r w:rsidRPr="007C1E37">
              <w:rPr>
                <w:rFonts w:cs="Arial"/>
                <w:sz w:val="20"/>
                <w:szCs w:val="20"/>
              </w:rPr>
              <w:t>Total Payment to Providers (million)</w:t>
            </w:r>
          </w:p>
        </w:tc>
        <w:tc>
          <w:tcPr>
            <w:tcW w:w="1588"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tcPr>
          <w:p w14:paraId="0A5D776A" w14:textId="77777777" w:rsidR="00120DFC" w:rsidRPr="007C1E37" w:rsidRDefault="00120DFC" w:rsidP="001E519A">
            <w:pPr>
              <w:spacing w:before="60" w:after="60"/>
              <w:jc w:val="right"/>
              <w:rPr>
                <w:rFonts w:cs="Arial"/>
                <w:sz w:val="20"/>
                <w:szCs w:val="20"/>
              </w:rPr>
            </w:pPr>
            <w:r w:rsidRPr="007C1E37">
              <w:rPr>
                <w:rFonts w:cs="Arial"/>
                <w:sz w:val="20"/>
                <w:szCs w:val="20"/>
              </w:rPr>
              <w:t xml:space="preserve">Average Payments to Providers </w:t>
            </w:r>
          </w:p>
        </w:tc>
        <w:tc>
          <w:tcPr>
            <w:tcW w:w="1304"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hideMark/>
          </w:tcPr>
          <w:p w14:paraId="3EBAE31E" w14:textId="77777777" w:rsidR="00120DFC" w:rsidRPr="007C1E37" w:rsidRDefault="00120DFC" w:rsidP="001E519A">
            <w:pPr>
              <w:spacing w:before="60" w:after="60"/>
              <w:jc w:val="right"/>
              <w:rPr>
                <w:rFonts w:cs="Arial"/>
                <w:sz w:val="20"/>
                <w:szCs w:val="20"/>
                <w:lang w:eastAsia="en-AU"/>
              </w:rPr>
            </w:pPr>
            <w:r w:rsidRPr="007C1E37">
              <w:rPr>
                <w:rFonts w:cs="Arial"/>
                <w:sz w:val="20"/>
                <w:szCs w:val="20"/>
              </w:rPr>
              <w:t>Share of Total Payment</w:t>
            </w:r>
          </w:p>
        </w:tc>
      </w:tr>
      <w:tr w:rsidR="00120DFC" w:rsidRPr="007C1E37" w14:paraId="7492A478" w14:textId="77777777" w:rsidTr="001E519A">
        <w:trPr>
          <w:cnfStyle w:val="000000100000" w:firstRow="0" w:lastRow="0" w:firstColumn="0" w:lastColumn="0" w:oddVBand="0" w:evenVBand="0" w:oddHBand="1" w:evenHBand="0" w:firstRowFirstColumn="0" w:firstRowLastColumn="0" w:lastRowFirstColumn="0" w:lastRowLastColumn="0"/>
          <w:trHeight w:val="397"/>
        </w:trPr>
        <w:tc>
          <w:tcPr>
            <w:tcW w:w="2268"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tcPr>
          <w:p w14:paraId="1960C847" w14:textId="77777777" w:rsidR="00120DFC" w:rsidRPr="007C1E37" w:rsidRDefault="00120DFC" w:rsidP="001E519A">
            <w:pPr>
              <w:spacing w:before="60" w:after="60"/>
              <w:ind w:left="37"/>
              <w:rPr>
                <w:rFonts w:cs="Arial"/>
                <w:sz w:val="20"/>
                <w:szCs w:val="20"/>
                <w:lang w:eastAsia="en-AU"/>
              </w:rPr>
            </w:pPr>
            <w:r w:rsidRPr="007C1E37">
              <w:rPr>
                <w:rFonts w:cs="Arial"/>
                <w:sz w:val="20"/>
                <w:szCs w:val="20"/>
              </w:rPr>
              <w:t>1</w:t>
            </w:r>
          </w:p>
        </w:tc>
        <w:tc>
          <w:tcPr>
            <w:tcW w:w="1418"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tcPr>
          <w:p w14:paraId="30F00198" w14:textId="77777777" w:rsidR="00120DFC" w:rsidRPr="007C1E37" w:rsidRDefault="00120DFC" w:rsidP="001E519A">
            <w:pPr>
              <w:spacing w:before="60" w:after="60"/>
              <w:jc w:val="right"/>
              <w:rPr>
                <w:rFonts w:cs="Arial"/>
                <w:color w:val="000000"/>
                <w:sz w:val="20"/>
                <w:szCs w:val="20"/>
                <w:lang w:eastAsia="en-AU"/>
              </w:rPr>
            </w:pPr>
            <w:r w:rsidRPr="007C1E37">
              <w:rPr>
                <w:rFonts w:cs="Arial"/>
                <w:sz w:val="20"/>
                <w:szCs w:val="20"/>
              </w:rPr>
              <w:t>20,206</w:t>
            </w:r>
          </w:p>
        </w:tc>
        <w:tc>
          <w:tcPr>
            <w:tcW w:w="1701"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bottom"/>
          </w:tcPr>
          <w:p w14:paraId="0279E7BC" w14:textId="77777777" w:rsidR="00120DFC" w:rsidRPr="0026024A" w:rsidRDefault="00120DFC" w:rsidP="001E519A">
            <w:pPr>
              <w:spacing w:before="60" w:after="60"/>
              <w:jc w:val="right"/>
              <w:rPr>
                <w:rFonts w:cs="Arial"/>
                <w:color w:val="000000"/>
                <w:sz w:val="20"/>
                <w:szCs w:val="20"/>
                <w:lang w:eastAsia="en-AU"/>
              </w:rPr>
            </w:pPr>
            <w:r w:rsidRPr="0026024A">
              <w:rPr>
                <w:rFonts w:cs="Arial"/>
                <w:color w:val="000000" w:themeColor="accent6"/>
                <w:sz w:val="20"/>
                <w:szCs w:val="20"/>
              </w:rPr>
              <w:t>$32.4</w:t>
            </w:r>
          </w:p>
        </w:tc>
        <w:tc>
          <w:tcPr>
            <w:tcW w:w="1588"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bottom"/>
          </w:tcPr>
          <w:p w14:paraId="19BBBDAA" w14:textId="77777777" w:rsidR="00120DFC" w:rsidRPr="0026024A" w:rsidRDefault="00120DFC" w:rsidP="001E519A">
            <w:pPr>
              <w:spacing w:before="60" w:after="60"/>
              <w:jc w:val="right"/>
              <w:rPr>
                <w:rFonts w:cs="Arial"/>
                <w:color w:val="000000"/>
                <w:sz w:val="20"/>
                <w:szCs w:val="20"/>
                <w:lang w:eastAsia="en-AU"/>
              </w:rPr>
            </w:pPr>
            <w:r w:rsidRPr="0026024A">
              <w:rPr>
                <w:rFonts w:cs="Arial"/>
                <w:color w:val="000000" w:themeColor="accent6"/>
                <w:sz w:val="20"/>
                <w:szCs w:val="20"/>
              </w:rPr>
              <w:t>$1,600</w:t>
            </w:r>
          </w:p>
        </w:tc>
        <w:tc>
          <w:tcPr>
            <w:tcW w:w="1304"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tcPr>
          <w:p w14:paraId="5267D63C" w14:textId="77777777" w:rsidR="00120DFC" w:rsidRPr="007C1E37" w:rsidRDefault="00120DFC" w:rsidP="001E519A">
            <w:pPr>
              <w:spacing w:before="60" w:after="60"/>
              <w:jc w:val="right"/>
              <w:rPr>
                <w:rFonts w:cs="Arial"/>
                <w:color w:val="000000"/>
                <w:sz w:val="20"/>
                <w:szCs w:val="20"/>
                <w:lang w:eastAsia="en-AU"/>
              </w:rPr>
            </w:pPr>
            <w:r w:rsidRPr="007C1E37">
              <w:rPr>
                <w:rFonts w:cs="Arial"/>
                <w:sz w:val="20"/>
                <w:szCs w:val="20"/>
              </w:rPr>
              <w:t>1%</w:t>
            </w:r>
          </w:p>
        </w:tc>
      </w:tr>
      <w:tr w:rsidR="00120DFC" w:rsidRPr="007C1E37" w14:paraId="7B73B3BE" w14:textId="77777777" w:rsidTr="001E519A">
        <w:trPr>
          <w:trHeight w:val="397"/>
        </w:trPr>
        <w:tc>
          <w:tcPr>
            <w:tcW w:w="226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tcPr>
          <w:p w14:paraId="38BC8648" w14:textId="77777777" w:rsidR="00120DFC" w:rsidRPr="007C1E37" w:rsidRDefault="00120DFC" w:rsidP="001E519A">
            <w:pPr>
              <w:spacing w:before="60" w:after="60"/>
              <w:ind w:left="37"/>
              <w:rPr>
                <w:rFonts w:cs="Arial"/>
                <w:sz w:val="20"/>
                <w:szCs w:val="20"/>
                <w:lang w:eastAsia="en-AU"/>
              </w:rPr>
            </w:pPr>
            <w:r w:rsidRPr="007C1E37">
              <w:rPr>
                <w:rFonts w:cs="Arial"/>
                <w:sz w:val="20"/>
                <w:szCs w:val="20"/>
              </w:rPr>
              <w:t>2</w:t>
            </w:r>
          </w:p>
        </w:tc>
        <w:tc>
          <w:tcPr>
            <w:tcW w:w="141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tcPr>
          <w:p w14:paraId="33784735" w14:textId="77777777" w:rsidR="00120DFC" w:rsidRPr="007C1E37" w:rsidRDefault="00120DFC" w:rsidP="001E519A">
            <w:pPr>
              <w:spacing w:before="60" w:after="60"/>
              <w:jc w:val="right"/>
              <w:rPr>
                <w:rFonts w:cs="Arial"/>
                <w:color w:val="000000"/>
                <w:sz w:val="20"/>
                <w:szCs w:val="20"/>
                <w:lang w:eastAsia="en-AU"/>
              </w:rPr>
            </w:pPr>
            <w:r w:rsidRPr="007C1E37">
              <w:rPr>
                <w:rFonts w:cs="Arial"/>
                <w:sz w:val="20"/>
                <w:szCs w:val="20"/>
              </w:rPr>
              <w:t>7,169</w:t>
            </w:r>
          </w:p>
        </w:tc>
        <w:tc>
          <w:tcPr>
            <w:tcW w:w="1701"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bottom"/>
          </w:tcPr>
          <w:p w14:paraId="285087EF" w14:textId="77777777" w:rsidR="00120DFC" w:rsidRPr="0026024A" w:rsidRDefault="00120DFC" w:rsidP="001E519A">
            <w:pPr>
              <w:spacing w:before="60" w:after="60"/>
              <w:jc w:val="right"/>
              <w:rPr>
                <w:rFonts w:cs="Arial"/>
                <w:color w:val="000000"/>
                <w:sz w:val="20"/>
                <w:szCs w:val="20"/>
                <w:lang w:eastAsia="en-AU"/>
              </w:rPr>
            </w:pPr>
            <w:r w:rsidRPr="0026024A">
              <w:rPr>
                <w:rFonts w:cs="Arial"/>
                <w:color w:val="000000" w:themeColor="accent6"/>
                <w:sz w:val="20"/>
                <w:szCs w:val="20"/>
              </w:rPr>
              <w:t>$24.9</w:t>
            </w:r>
          </w:p>
        </w:tc>
        <w:tc>
          <w:tcPr>
            <w:tcW w:w="158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bottom"/>
          </w:tcPr>
          <w:p w14:paraId="347BA0D6" w14:textId="77777777" w:rsidR="00120DFC" w:rsidRPr="0026024A" w:rsidRDefault="00120DFC" w:rsidP="001E519A">
            <w:pPr>
              <w:spacing w:before="60" w:after="60"/>
              <w:jc w:val="right"/>
              <w:rPr>
                <w:rFonts w:cs="Arial"/>
                <w:color w:val="000000"/>
                <w:sz w:val="20"/>
                <w:szCs w:val="20"/>
                <w:lang w:eastAsia="en-AU"/>
              </w:rPr>
            </w:pPr>
            <w:r w:rsidRPr="0026024A">
              <w:rPr>
                <w:rFonts w:cs="Arial"/>
                <w:color w:val="000000" w:themeColor="accent6"/>
                <w:sz w:val="20"/>
                <w:szCs w:val="20"/>
              </w:rPr>
              <w:t>$3,500</w:t>
            </w:r>
          </w:p>
        </w:tc>
        <w:tc>
          <w:tcPr>
            <w:tcW w:w="1304"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tcPr>
          <w:p w14:paraId="05D5F063" w14:textId="77777777" w:rsidR="00120DFC" w:rsidRPr="007C1E37" w:rsidRDefault="00120DFC" w:rsidP="001E519A">
            <w:pPr>
              <w:spacing w:before="60" w:after="60"/>
              <w:jc w:val="right"/>
              <w:rPr>
                <w:rFonts w:cs="Arial"/>
                <w:color w:val="000000"/>
                <w:sz w:val="20"/>
                <w:szCs w:val="20"/>
                <w:lang w:eastAsia="en-AU"/>
              </w:rPr>
            </w:pPr>
            <w:r w:rsidRPr="007C1E37">
              <w:rPr>
                <w:rFonts w:cs="Arial"/>
                <w:sz w:val="20"/>
                <w:szCs w:val="20"/>
              </w:rPr>
              <w:t>1%</w:t>
            </w:r>
          </w:p>
        </w:tc>
      </w:tr>
      <w:tr w:rsidR="00120DFC" w:rsidRPr="007C1E37" w14:paraId="27999748" w14:textId="77777777" w:rsidTr="001E519A">
        <w:trPr>
          <w:cnfStyle w:val="000000100000" w:firstRow="0" w:lastRow="0" w:firstColumn="0" w:lastColumn="0" w:oddVBand="0" w:evenVBand="0" w:oddHBand="1" w:evenHBand="0" w:firstRowFirstColumn="0" w:firstRowLastColumn="0" w:lastRowFirstColumn="0" w:lastRowLastColumn="0"/>
          <w:trHeight w:val="397"/>
        </w:trPr>
        <w:tc>
          <w:tcPr>
            <w:tcW w:w="226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tcPr>
          <w:p w14:paraId="20C37F8E" w14:textId="77777777" w:rsidR="00120DFC" w:rsidRPr="007C1E37" w:rsidRDefault="00120DFC" w:rsidP="001E519A">
            <w:pPr>
              <w:spacing w:before="60" w:after="60"/>
              <w:ind w:left="37"/>
              <w:rPr>
                <w:rFonts w:cs="Arial"/>
                <w:sz w:val="20"/>
                <w:szCs w:val="20"/>
                <w:lang w:eastAsia="en-AU"/>
              </w:rPr>
            </w:pPr>
            <w:r w:rsidRPr="007C1E37">
              <w:rPr>
                <w:rFonts w:cs="Arial"/>
                <w:sz w:val="20"/>
                <w:szCs w:val="20"/>
              </w:rPr>
              <w:t>3</w:t>
            </w:r>
          </w:p>
        </w:tc>
        <w:tc>
          <w:tcPr>
            <w:tcW w:w="141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tcPr>
          <w:p w14:paraId="0701240F" w14:textId="77777777" w:rsidR="00120DFC" w:rsidRPr="007C1E37" w:rsidRDefault="00120DFC" w:rsidP="001E519A">
            <w:pPr>
              <w:spacing w:before="60" w:after="60"/>
              <w:jc w:val="right"/>
              <w:rPr>
                <w:rFonts w:cs="Arial"/>
                <w:sz w:val="20"/>
                <w:szCs w:val="20"/>
              </w:rPr>
            </w:pPr>
            <w:r w:rsidRPr="007C1E37">
              <w:rPr>
                <w:rFonts w:cs="Arial"/>
                <w:sz w:val="20"/>
                <w:szCs w:val="20"/>
              </w:rPr>
              <w:t>3,967</w:t>
            </w:r>
          </w:p>
        </w:tc>
        <w:tc>
          <w:tcPr>
            <w:tcW w:w="1701"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bottom"/>
          </w:tcPr>
          <w:p w14:paraId="51D11323" w14:textId="77777777" w:rsidR="00120DFC" w:rsidRPr="0026024A" w:rsidRDefault="00120DFC" w:rsidP="001E519A">
            <w:pPr>
              <w:spacing w:before="60" w:after="60"/>
              <w:jc w:val="right"/>
              <w:rPr>
                <w:rFonts w:cs="Arial"/>
                <w:sz w:val="20"/>
                <w:szCs w:val="20"/>
              </w:rPr>
            </w:pPr>
            <w:r w:rsidRPr="0026024A">
              <w:rPr>
                <w:rFonts w:cs="Arial"/>
                <w:color w:val="000000" w:themeColor="accent6"/>
                <w:sz w:val="20"/>
                <w:szCs w:val="20"/>
              </w:rPr>
              <w:t>$21.8</w:t>
            </w:r>
          </w:p>
        </w:tc>
        <w:tc>
          <w:tcPr>
            <w:tcW w:w="158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bottom"/>
          </w:tcPr>
          <w:p w14:paraId="5CD80EB0" w14:textId="77777777" w:rsidR="00120DFC" w:rsidRPr="0026024A" w:rsidRDefault="00120DFC" w:rsidP="001E519A">
            <w:pPr>
              <w:spacing w:before="60" w:after="60"/>
              <w:jc w:val="right"/>
              <w:rPr>
                <w:rFonts w:cs="Arial"/>
                <w:sz w:val="20"/>
                <w:szCs w:val="20"/>
              </w:rPr>
            </w:pPr>
            <w:r w:rsidRPr="0026024A">
              <w:rPr>
                <w:rFonts w:cs="Arial"/>
                <w:color w:val="000000" w:themeColor="accent6"/>
                <w:sz w:val="20"/>
                <w:szCs w:val="20"/>
              </w:rPr>
              <w:t>$5,500</w:t>
            </w:r>
          </w:p>
        </w:tc>
        <w:tc>
          <w:tcPr>
            <w:tcW w:w="1304"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tcPr>
          <w:p w14:paraId="67B86222" w14:textId="77777777" w:rsidR="00120DFC" w:rsidRPr="007C1E37" w:rsidRDefault="00120DFC" w:rsidP="001E519A">
            <w:pPr>
              <w:spacing w:before="60" w:after="60"/>
              <w:jc w:val="right"/>
              <w:rPr>
                <w:rFonts w:cs="Arial"/>
                <w:sz w:val="20"/>
                <w:szCs w:val="20"/>
              </w:rPr>
            </w:pPr>
            <w:r w:rsidRPr="007C1E37">
              <w:rPr>
                <w:rFonts w:cs="Arial"/>
                <w:sz w:val="20"/>
                <w:szCs w:val="20"/>
              </w:rPr>
              <w:t>1%</w:t>
            </w:r>
          </w:p>
        </w:tc>
      </w:tr>
      <w:tr w:rsidR="00120DFC" w:rsidRPr="007C1E37" w14:paraId="552D9FE4" w14:textId="77777777" w:rsidTr="001E519A">
        <w:trPr>
          <w:trHeight w:val="397"/>
        </w:trPr>
        <w:tc>
          <w:tcPr>
            <w:tcW w:w="226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tcPr>
          <w:p w14:paraId="4A4D7255" w14:textId="77777777" w:rsidR="00120DFC" w:rsidRPr="007C1E37" w:rsidRDefault="00120DFC" w:rsidP="001E519A">
            <w:pPr>
              <w:spacing w:before="60" w:after="60"/>
              <w:ind w:left="37"/>
              <w:rPr>
                <w:rFonts w:cs="Arial"/>
                <w:b/>
                <w:bCs/>
                <w:sz w:val="20"/>
                <w:szCs w:val="20"/>
                <w:lang w:eastAsia="en-AU"/>
              </w:rPr>
            </w:pPr>
            <w:r w:rsidRPr="007C1E37">
              <w:rPr>
                <w:rFonts w:cs="Arial"/>
                <w:sz w:val="20"/>
                <w:szCs w:val="20"/>
              </w:rPr>
              <w:t>4</w:t>
            </w:r>
          </w:p>
        </w:tc>
        <w:tc>
          <w:tcPr>
            <w:tcW w:w="141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tcPr>
          <w:p w14:paraId="1828042B" w14:textId="77777777" w:rsidR="00120DFC" w:rsidRPr="007C1E37" w:rsidRDefault="00120DFC" w:rsidP="001E519A">
            <w:pPr>
              <w:spacing w:before="60" w:after="60"/>
              <w:jc w:val="right"/>
              <w:rPr>
                <w:rFonts w:cs="Arial"/>
                <w:b/>
                <w:bCs/>
                <w:sz w:val="20"/>
                <w:szCs w:val="20"/>
              </w:rPr>
            </w:pPr>
            <w:r w:rsidRPr="007C1E37">
              <w:rPr>
                <w:rFonts w:cs="Arial"/>
                <w:sz w:val="20"/>
                <w:szCs w:val="20"/>
              </w:rPr>
              <w:t>2,683</w:t>
            </w:r>
          </w:p>
        </w:tc>
        <w:tc>
          <w:tcPr>
            <w:tcW w:w="1701"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bottom"/>
          </w:tcPr>
          <w:p w14:paraId="52349E91" w14:textId="77777777" w:rsidR="00120DFC" w:rsidRPr="0026024A" w:rsidRDefault="00120DFC" w:rsidP="001E519A">
            <w:pPr>
              <w:spacing w:before="60" w:after="60"/>
              <w:jc w:val="right"/>
              <w:rPr>
                <w:rFonts w:cs="Arial"/>
                <w:b/>
                <w:bCs/>
                <w:sz w:val="20"/>
                <w:szCs w:val="20"/>
              </w:rPr>
            </w:pPr>
            <w:r w:rsidRPr="0026024A">
              <w:rPr>
                <w:rFonts w:cs="Arial"/>
                <w:color w:val="000000" w:themeColor="accent6"/>
                <w:sz w:val="20"/>
                <w:szCs w:val="20"/>
              </w:rPr>
              <w:t>$20.2</w:t>
            </w:r>
          </w:p>
        </w:tc>
        <w:tc>
          <w:tcPr>
            <w:tcW w:w="158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bottom"/>
          </w:tcPr>
          <w:p w14:paraId="47B3FC50" w14:textId="77777777" w:rsidR="00120DFC" w:rsidRPr="0026024A" w:rsidRDefault="00120DFC" w:rsidP="001E519A">
            <w:pPr>
              <w:spacing w:before="60" w:after="60"/>
              <w:jc w:val="right"/>
              <w:rPr>
                <w:rFonts w:cs="Arial"/>
                <w:b/>
                <w:bCs/>
                <w:sz w:val="20"/>
                <w:szCs w:val="20"/>
              </w:rPr>
            </w:pPr>
            <w:r w:rsidRPr="0026024A">
              <w:rPr>
                <w:rFonts w:cs="Arial"/>
                <w:color w:val="000000" w:themeColor="accent6"/>
                <w:sz w:val="20"/>
                <w:szCs w:val="20"/>
              </w:rPr>
              <w:t>$7,500</w:t>
            </w:r>
          </w:p>
        </w:tc>
        <w:tc>
          <w:tcPr>
            <w:tcW w:w="1304"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tcPr>
          <w:p w14:paraId="5EE36885" w14:textId="77777777" w:rsidR="00120DFC" w:rsidRPr="007C1E37" w:rsidRDefault="00120DFC" w:rsidP="001E519A">
            <w:pPr>
              <w:spacing w:before="60" w:after="60"/>
              <w:jc w:val="right"/>
              <w:rPr>
                <w:rFonts w:cs="Arial"/>
                <w:b/>
                <w:bCs/>
                <w:sz w:val="20"/>
                <w:szCs w:val="20"/>
              </w:rPr>
            </w:pPr>
            <w:r w:rsidRPr="007C1E37">
              <w:rPr>
                <w:rFonts w:cs="Arial"/>
                <w:sz w:val="20"/>
                <w:szCs w:val="20"/>
              </w:rPr>
              <w:t>1%</w:t>
            </w:r>
          </w:p>
        </w:tc>
      </w:tr>
      <w:tr w:rsidR="00120DFC" w:rsidRPr="007C1E37" w14:paraId="3E371C75" w14:textId="77777777" w:rsidTr="001E519A">
        <w:trPr>
          <w:cnfStyle w:val="000000100000" w:firstRow="0" w:lastRow="0" w:firstColumn="0" w:lastColumn="0" w:oddVBand="0" w:evenVBand="0" w:oddHBand="1" w:evenHBand="0" w:firstRowFirstColumn="0" w:firstRowLastColumn="0" w:lastRowFirstColumn="0" w:lastRowLastColumn="0"/>
          <w:trHeight w:val="397"/>
        </w:trPr>
        <w:tc>
          <w:tcPr>
            <w:tcW w:w="226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tcPr>
          <w:p w14:paraId="525BC50B" w14:textId="77777777" w:rsidR="00120DFC" w:rsidRPr="007C1E37" w:rsidRDefault="00120DFC" w:rsidP="001E519A">
            <w:pPr>
              <w:spacing w:before="60" w:after="60"/>
              <w:ind w:left="37"/>
              <w:rPr>
                <w:rFonts w:cs="Arial"/>
                <w:b/>
                <w:bCs/>
                <w:sz w:val="20"/>
                <w:szCs w:val="20"/>
                <w:lang w:eastAsia="en-AU"/>
              </w:rPr>
            </w:pPr>
            <w:r w:rsidRPr="007C1E37">
              <w:rPr>
                <w:rFonts w:cs="Arial"/>
                <w:sz w:val="20"/>
                <w:szCs w:val="20"/>
              </w:rPr>
              <w:t>5</w:t>
            </w:r>
          </w:p>
        </w:tc>
        <w:tc>
          <w:tcPr>
            <w:tcW w:w="141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tcPr>
          <w:p w14:paraId="25A32152" w14:textId="77777777" w:rsidR="00120DFC" w:rsidRPr="007C1E37" w:rsidRDefault="00120DFC" w:rsidP="001E519A">
            <w:pPr>
              <w:spacing w:before="60" w:after="60"/>
              <w:jc w:val="right"/>
              <w:rPr>
                <w:rFonts w:cs="Arial"/>
                <w:b/>
                <w:bCs/>
                <w:sz w:val="20"/>
                <w:szCs w:val="20"/>
              </w:rPr>
            </w:pPr>
            <w:r w:rsidRPr="007C1E37">
              <w:rPr>
                <w:rFonts w:cs="Arial"/>
                <w:sz w:val="20"/>
                <w:szCs w:val="20"/>
              </w:rPr>
              <w:t>2,163</w:t>
            </w:r>
          </w:p>
        </w:tc>
        <w:tc>
          <w:tcPr>
            <w:tcW w:w="1701"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bottom"/>
          </w:tcPr>
          <w:p w14:paraId="7E4216F5" w14:textId="77777777" w:rsidR="00120DFC" w:rsidRPr="0026024A" w:rsidRDefault="00120DFC" w:rsidP="001E519A">
            <w:pPr>
              <w:spacing w:before="60" w:after="60"/>
              <w:jc w:val="right"/>
              <w:rPr>
                <w:rFonts w:cs="Arial"/>
                <w:b/>
                <w:bCs/>
                <w:sz w:val="20"/>
                <w:szCs w:val="20"/>
              </w:rPr>
            </w:pPr>
            <w:r w:rsidRPr="0026024A">
              <w:rPr>
                <w:rFonts w:cs="Arial"/>
                <w:color w:val="000000" w:themeColor="accent6"/>
                <w:sz w:val="20"/>
                <w:szCs w:val="20"/>
              </w:rPr>
              <w:t>$21.5</w:t>
            </w:r>
          </w:p>
        </w:tc>
        <w:tc>
          <w:tcPr>
            <w:tcW w:w="158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bottom"/>
          </w:tcPr>
          <w:p w14:paraId="4877C2D8" w14:textId="77777777" w:rsidR="00120DFC" w:rsidRPr="0026024A" w:rsidRDefault="00120DFC" w:rsidP="001E519A">
            <w:pPr>
              <w:spacing w:before="60" w:after="60"/>
              <w:jc w:val="right"/>
              <w:rPr>
                <w:rFonts w:cs="Arial"/>
                <w:b/>
                <w:bCs/>
                <w:sz w:val="20"/>
                <w:szCs w:val="20"/>
              </w:rPr>
            </w:pPr>
            <w:r w:rsidRPr="0026024A">
              <w:rPr>
                <w:rFonts w:cs="Arial"/>
                <w:color w:val="000000" w:themeColor="accent6"/>
                <w:sz w:val="20"/>
                <w:szCs w:val="20"/>
              </w:rPr>
              <w:t>$10,000</w:t>
            </w:r>
          </w:p>
        </w:tc>
        <w:tc>
          <w:tcPr>
            <w:tcW w:w="1304"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tcPr>
          <w:p w14:paraId="357AAC77" w14:textId="77777777" w:rsidR="00120DFC" w:rsidRPr="007C1E37" w:rsidRDefault="00120DFC" w:rsidP="001E519A">
            <w:pPr>
              <w:spacing w:before="60" w:after="60"/>
              <w:jc w:val="right"/>
              <w:rPr>
                <w:rFonts w:cs="Arial"/>
                <w:b/>
                <w:bCs/>
                <w:sz w:val="20"/>
                <w:szCs w:val="20"/>
              </w:rPr>
            </w:pPr>
            <w:r w:rsidRPr="007C1E37">
              <w:rPr>
                <w:rFonts w:cs="Arial"/>
                <w:sz w:val="20"/>
                <w:szCs w:val="20"/>
              </w:rPr>
              <w:t>1%</w:t>
            </w:r>
          </w:p>
        </w:tc>
      </w:tr>
      <w:tr w:rsidR="00120DFC" w:rsidRPr="007C1E37" w14:paraId="09C07EE3" w14:textId="77777777" w:rsidTr="001E519A">
        <w:trPr>
          <w:trHeight w:val="397"/>
        </w:trPr>
        <w:tc>
          <w:tcPr>
            <w:tcW w:w="226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tcPr>
          <w:p w14:paraId="634B9C6D" w14:textId="77777777" w:rsidR="00120DFC" w:rsidRPr="007C1E37" w:rsidRDefault="00120DFC" w:rsidP="001E519A">
            <w:pPr>
              <w:spacing w:before="60" w:after="60"/>
              <w:ind w:left="37"/>
              <w:rPr>
                <w:rFonts w:cs="Arial"/>
                <w:b/>
                <w:bCs/>
                <w:sz w:val="20"/>
                <w:szCs w:val="20"/>
                <w:lang w:eastAsia="en-AU"/>
              </w:rPr>
            </w:pPr>
            <w:r w:rsidRPr="007C1E37">
              <w:rPr>
                <w:rFonts w:cs="Arial"/>
                <w:sz w:val="20"/>
                <w:szCs w:val="20"/>
              </w:rPr>
              <w:t>6-10</w:t>
            </w:r>
          </w:p>
        </w:tc>
        <w:tc>
          <w:tcPr>
            <w:tcW w:w="141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tcPr>
          <w:p w14:paraId="66BCFF53" w14:textId="77777777" w:rsidR="00120DFC" w:rsidRPr="007C1E37" w:rsidRDefault="00120DFC" w:rsidP="001E519A">
            <w:pPr>
              <w:spacing w:before="60" w:after="60"/>
              <w:jc w:val="right"/>
              <w:rPr>
                <w:rFonts w:cs="Arial"/>
                <w:b/>
                <w:bCs/>
                <w:sz w:val="20"/>
                <w:szCs w:val="20"/>
              </w:rPr>
            </w:pPr>
            <w:r w:rsidRPr="007C1E37">
              <w:rPr>
                <w:rFonts w:cs="Arial"/>
                <w:sz w:val="20"/>
                <w:szCs w:val="20"/>
              </w:rPr>
              <w:t>6,140</w:t>
            </w:r>
          </w:p>
        </w:tc>
        <w:tc>
          <w:tcPr>
            <w:tcW w:w="1701"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bottom"/>
          </w:tcPr>
          <w:p w14:paraId="7B9C0B69" w14:textId="77777777" w:rsidR="00120DFC" w:rsidRPr="0026024A" w:rsidRDefault="00120DFC" w:rsidP="001E519A">
            <w:pPr>
              <w:spacing w:before="60" w:after="60"/>
              <w:jc w:val="right"/>
              <w:rPr>
                <w:rFonts w:cs="Arial"/>
                <w:b/>
                <w:bCs/>
                <w:sz w:val="20"/>
                <w:szCs w:val="20"/>
              </w:rPr>
            </w:pPr>
            <w:r w:rsidRPr="0026024A">
              <w:rPr>
                <w:rFonts w:cs="Arial"/>
                <w:color w:val="000000" w:themeColor="accent6"/>
                <w:sz w:val="20"/>
                <w:szCs w:val="20"/>
              </w:rPr>
              <w:t>$94.3</w:t>
            </w:r>
          </w:p>
        </w:tc>
        <w:tc>
          <w:tcPr>
            <w:tcW w:w="158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bottom"/>
          </w:tcPr>
          <w:p w14:paraId="2C6EA971" w14:textId="77777777" w:rsidR="00120DFC" w:rsidRPr="0026024A" w:rsidRDefault="00120DFC" w:rsidP="001E519A">
            <w:pPr>
              <w:spacing w:before="60" w:after="60"/>
              <w:jc w:val="right"/>
              <w:rPr>
                <w:rFonts w:cs="Arial"/>
                <w:b/>
                <w:bCs/>
                <w:sz w:val="20"/>
                <w:szCs w:val="20"/>
              </w:rPr>
            </w:pPr>
            <w:r w:rsidRPr="0026024A">
              <w:rPr>
                <w:rFonts w:cs="Arial"/>
                <w:color w:val="000000" w:themeColor="accent6"/>
                <w:sz w:val="20"/>
                <w:szCs w:val="20"/>
              </w:rPr>
              <w:t>$15,400</w:t>
            </w:r>
          </w:p>
        </w:tc>
        <w:tc>
          <w:tcPr>
            <w:tcW w:w="1304"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tcPr>
          <w:p w14:paraId="2C6715EA" w14:textId="77777777" w:rsidR="00120DFC" w:rsidRPr="007C1E37" w:rsidRDefault="00120DFC" w:rsidP="001E519A">
            <w:pPr>
              <w:spacing w:before="60" w:after="60"/>
              <w:jc w:val="right"/>
              <w:rPr>
                <w:rFonts w:cs="Arial"/>
                <w:b/>
                <w:bCs/>
                <w:sz w:val="20"/>
                <w:szCs w:val="20"/>
              </w:rPr>
            </w:pPr>
            <w:r w:rsidRPr="007C1E37">
              <w:rPr>
                <w:rFonts w:cs="Arial"/>
                <w:sz w:val="20"/>
                <w:szCs w:val="20"/>
              </w:rPr>
              <w:t>4%</w:t>
            </w:r>
          </w:p>
        </w:tc>
      </w:tr>
      <w:tr w:rsidR="00120DFC" w:rsidRPr="007C1E37" w14:paraId="77F825B6" w14:textId="77777777" w:rsidTr="001E519A">
        <w:trPr>
          <w:cnfStyle w:val="000000100000" w:firstRow="0" w:lastRow="0" w:firstColumn="0" w:lastColumn="0" w:oddVBand="0" w:evenVBand="0" w:oddHBand="1" w:evenHBand="0" w:firstRowFirstColumn="0" w:firstRowLastColumn="0" w:lastRowFirstColumn="0" w:lastRowLastColumn="0"/>
          <w:trHeight w:val="397"/>
        </w:trPr>
        <w:tc>
          <w:tcPr>
            <w:tcW w:w="226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tcPr>
          <w:p w14:paraId="38D08BE1" w14:textId="77777777" w:rsidR="00120DFC" w:rsidRPr="007C1E37" w:rsidRDefault="00120DFC" w:rsidP="001E519A">
            <w:pPr>
              <w:spacing w:before="60" w:after="60"/>
              <w:ind w:left="37"/>
              <w:rPr>
                <w:rFonts w:cs="Arial"/>
                <w:b/>
                <w:bCs/>
                <w:sz w:val="20"/>
                <w:szCs w:val="20"/>
                <w:lang w:eastAsia="en-AU"/>
              </w:rPr>
            </w:pPr>
            <w:r w:rsidRPr="007C1E37">
              <w:rPr>
                <w:rFonts w:cs="Arial"/>
                <w:sz w:val="20"/>
                <w:szCs w:val="20"/>
              </w:rPr>
              <w:t>11-50</w:t>
            </w:r>
          </w:p>
        </w:tc>
        <w:tc>
          <w:tcPr>
            <w:tcW w:w="141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tcPr>
          <w:p w14:paraId="3393002B" w14:textId="77777777" w:rsidR="00120DFC" w:rsidRPr="007C1E37" w:rsidRDefault="00120DFC" w:rsidP="001E519A">
            <w:pPr>
              <w:spacing w:before="60" w:after="60"/>
              <w:jc w:val="right"/>
              <w:rPr>
                <w:rFonts w:cs="Arial"/>
                <w:b/>
                <w:bCs/>
                <w:sz w:val="20"/>
                <w:szCs w:val="20"/>
              </w:rPr>
            </w:pPr>
            <w:r w:rsidRPr="007C1E37">
              <w:rPr>
                <w:rFonts w:cs="Arial"/>
                <w:sz w:val="20"/>
                <w:szCs w:val="20"/>
              </w:rPr>
              <w:t>9,929</w:t>
            </w:r>
          </w:p>
        </w:tc>
        <w:tc>
          <w:tcPr>
            <w:tcW w:w="1701"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bottom"/>
          </w:tcPr>
          <w:p w14:paraId="297A4BC3" w14:textId="77777777" w:rsidR="00120DFC" w:rsidRPr="0026024A" w:rsidRDefault="00120DFC" w:rsidP="001E519A">
            <w:pPr>
              <w:spacing w:before="60" w:after="60"/>
              <w:jc w:val="right"/>
              <w:rPr>
                <w:rFonts w:cs="Arial"/>
                <w:b/>
                <w:bCs/>
                <w:sz w:val="20"/>
                <w:szCs w:val="20"/>
              </w:rPr>
            </w:pPr>
            <w:r w:rsidRPr="0026024A">
              <w:rPr>
                <w:rFonts w:cs="Arial"/>
                <w:color w:val="000000" w:themeColor="accent6"/>
                <w:sz w:val="20"/>
                <w:szCs w:val="20"/>
              </w:rPr>
              <w:t>$488.5</w:t>
            </w:r>
          </w:p>
        </w:tc>
        <w:tc>
          <w:tcPr>
            <w:tcW w:w="158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bottom"/>
          </w:tcPr>
          <w:p w14:paraId="53B93F05" w14:textId="77777777" w:rsidR="00120DFC" w:rsidRPr="0026024A" w:rsidRDefault="00120DFC" w:rsidP="001E519A">
            <w:pPr>
              <w:spacing w:before="60" w:after="60"/>
              <w:jc w:val="right"/>
              <w:rPr>
                <w:rFonts w:cs="Arial"/>
                <w:b/>
                <w:bCs/>
                <w:sz w:val="20"/>
                <w:szCs w:val="20"/>
              </w:rPr>
            </w:pPr>
            <w:r w:rsidRPr="0026024A">
              <w:rPr>
                <w:rFonts w:cs="Arial"/>
                <w:color w:val="000000" w:themeColor="accent6"/>
                <w:sz w:val="20"/>
                <w:szCs w:val="20"/>
              </w:rPr>
              <w:t>$49,200</w:t>
            </w:r>
          </w:p>
        </w:tc>
        <w:tc>
          <w:tcPr>
            <w:tcW w:w="1304"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tcPr>
          <w:p w14:paraId="04B39217" w14:textId="77777777" w:rsidR="00120DFC" w:rsidRPr="007C1E37" w:rsidRDefault="00120DFC" w:rsidP="001E519A">
            <w:pPr>
              <w:spacing w:before="60" w:after="60"/>
              <w:jc w:val="right"/>
              <w:rPr>
                <w:rFonts w:cs="Arial"/>
                <w:b/>
                <w:bCs/>
                <w:sz w:val="20"/>
                <w:szCs w:val="20"/>
              </w:rPr>
            </w:pPr>
            <w:r w:rsidRPr="007C1E37">
              <w:rPr>
                <w:rFonts w:cs="Arial"/>
                <w:sz w:val="20"/>
                <w:szCs w:val="20"/>
              </w:rPr>
              <w:t>20%</w:t>
            </w:r>
          </w:p>
        </w:tc>
      </w:tr>
      <w:tr w:rsidR="00120DFC" w:rsidRPr="007C1E37" w14:paraId="1AD21A59" w14:textId="77777777" w:rsidTr="001E519A">
        <w:trPr>
          <w:trHeight w:val="397"/>
        </w:trPr>
        <w:tc>
          <w:tcPr>
            <w:tcW w:w="226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tcPr>
          <w:p w14:paraId="05CBC183" w14:textId="77777777" w:rsidR="00120DFC" w:rsidRPr="007C1E37" w:rsidRDefault="00120DFC" w:rsidP="001E519A">
            <w:pPr>
              <w:spacing w:before="60" w:after="60"/>
              <w:ind w:left="37"/>
              <w:rPr>
                <w:rFonts w:cs="Arial"/>
                <w:b/>
                <w:bCs/>
                <w:sz w:val="20"/>
                <w:szCs w:val="20"/>
                <w:lang w:eastAsia="en-AU"/>
              </w:rPr>
            </w:pPr>
            <w:r w:rsidRPr="007C1E37">
              <w:rPr>
                <w:rFonts w:cs="Arial"/>
                <w:sz w:val="20"/>
                <w:szCs w:val="20"/>
              </w:rPr>
              <w:t>51-100</w:t>
            </w:r>
          </w:p>
        </w:tc>
        <w:tc>
          <w:tcPr>
            <w:tcW w:w="141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tcPr>
          <w:p w14:paraId="74CB84F2" w14:textId="77777777" w:rsidR="00120DFC" w:rsidRPr="007C1E37" w:rsidRDefault="00120DFC" w:rsidP="001E519A">
            <w:pPr>
              <w:spacing w:before="60" w:after="60"/>
              <w:jc w:val="right"/>
              <w:rPr>
                <w:rFonts w:cs="Arial"/>
                <w:b/>
                <w:bCs/>
                <w:sz w:val="20"/>
                <w:szCs w:val="20"/>
              </w:rPr>
            </w:pPr>
            <w:r w:rsidRPr="007C1E37">
              <w:rPr>
                <w:rFonts w:cs="Arial"/>
                <w:sz w:val="20"/>
                <w:szCs w:val="20"/>
              </w:rPr>
              <w:t>1,624</w:t>
            </w:r>
          </w:p>
        </w:tc>
        <w:tc>
          <w:tcPr>
            <w:tcW w:w="1701"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bottom"/>
          </w:tcPr>
          <w:p w14:paraId="3EB82742" w14:textId="77777777" w:rsidR="00120DFC" w:rsidRPr="0026024A" w:rsidRDefault="00120DFC" w:rsidP="001E519A">
            <w:pPr>
              <w:spacing w:before="60" w:after="60"/>
              <w:jc w:val="right"/>
              <w:rPr>
                <w:rFonts w:cs="Arial"/>
                <w:b/>
                <w:bCs/>
                <w:sz w:val="20"/>
                <w:szCs w:val="20"/>
              </w:rPr>
            </w:pPr>
            <w:r w:rsidRPr="0026024A">
              <w:rPr>
                <w:rFonts w:cs="Arial"/>
                <w:color w:val="000000" w:themeColor="accent6"/>
                <w:sz w:val="20"/>
                <w:szCs w:val="20"/>
              </w:rPr>
              <w:t>$280.7</w:t>
            </w:r>
          </w:p>
        </w:tc>
        <w:tc>
          <w:tcPr>
            <w:tcW w:w="158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bottom"/>
          </w:tcPr>
          <w:p w14:paraId="39C6E5D2" w14:textId="77777777" w:rsidR="00120DFC" w:rsidRPr="0026024A" w:rsidRDefault="00120DFC" w:rsidP="001E519A">
            <w:pPr>
              <w:spacing w:before="60" w:after="60"/>
              <w:jc w:val="right"/>
              <w:rPr>
                <w:rFonts w:cs="Arial"/>
                <w:b/>
                <w:bCs/>
                <w:sz w:val="20"/>
                <w:szCs w:val="20"/>
              </w:rPr>
            </w:pPr>
            <w:r w:rsidRPr="0026024A">
              <w:rPr>
                <w:rFonts w:cs="Arial"/>
                <w:color w:val="000000" w:themeColor="accent6"/>
                <w:sz w:val="20"/>
                <w:szCs w:val="20"/>
              </w:rPr>
              <w:t>$172,800</w:t>
            </w:r>
          </w:p>
        </w:tc>
        <w:tc>
          <w:tcPr>
            <w:tcW w:w="1304"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tcPr>
          <w:p w14:paraId="1E6B70C6" w14:textId="77777777" w:rsidR="00120DFC" w:rsidRPr="007C1E37" w:rsidRDefault="00120DFC" w:rsidP="001E519A">
            <w:pPr>
              <w:spacing w:before="60" w:after="60"/>
              <w:jc w:val="right"/>
              <w:rPr>
                <w:rFonts w:cs="Arial"/>
                <w:b/>
                <w:bCs/>
                <w:sz w:val="20"/>
                <w:szCs w:val="20"/>
              </w:rPr>
            </w:pPr>
            <w:r w:rsidRPr="007C1E37">
              <w:rPr>
                <w:rFonts w:cs="Arial"/>
                <w:sz w:val="20"/>
                <w:szCs w:val="20"/>
              </w:rPr>
              <w:t>12%</w:t>
            </w:r>
          </w:p>
        </w:tc>
      </w:tr>
      <w:tr w:rsidR="00120DFC" w:rsidRPr="007C1E37" w14:paraId="09BB7FD4" w14:textId="77777777" w:rsidTr="001E519A">
        <w:trPr>
          <w:cnfStyle w:val="000000100000" w:firstRow="0" w:lastRow="0" w:firstColumn="0" w:lastColumn="0" w:oddVBand="0" w:evenVBand="0" w:oddHBand="1" w:evenHBand="0" w:firstRowFirstColumn="0" w:firstRowLastColumn="0" w:lastRowFirstColumn="0" w:lastRowLastColumn="0"/>
          <w:trHeight w:val="397"/>
        </w:trPr>
        <w:tc>
          <w:tcPr>
            <w:tcW w:w="226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tcPr>
          <w:p w14:paraId="09498793" w14:textId="77777777" w:rsidR="00120DFC" w:rsidRPr="007C1E37" w:rsidRDefault="00120DFC" w:rsidP="001E519A">
            <w:pPr>
              <w:spacing w:before="60" w:after="60"/>
              <w:ind w:left="37"/>
              <w:rPr>
                <w:rFonts w:cs="Arial"/>
                <w:b/>
                <w:bCs/>
                <w:sz w:val="20"/>
                <w:szCs w:val="20"/>
                <w:lang w:eastAsia="en-AU"/>
              </w:rPr>
            </w:pPr>
            <w:r w:rsidRPr="007C1E37">
              <w:rPr>
                <w:rFonts w:cs="Arial"/>
                <w:sz w:val="20"/>
                <w:szCs w:val="20"/>
              </w:rPr>
              <w:t>101-250</w:t>
            </w:r>
          </w:p>
        </w:tc>
        <w:tc>
          <w:tcPr>
            <w:tcW w:w="141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tcPr>
          <w:p w14:paraId="64E2D191" w14:textId="77777777" w:rsidR="00120DFC" w:rsidRPr="007C1E37" w:rsidRDefault="00120DFC" w:rsidP="001E519A">
            <w:pPr>
              <w:spacing w:before="60" w:after="60"/>
              <w:jc w:val="right"/>
              <w:rPr>
                <w:rFonts w:cs="Arial"/>
                <w:b/>
                <w:bCs/>
                <w:sz w:val="20"/>
                <w:szCs w:val="20"/>
              </w:rPr>
            </w:pPr>
            <w:r w:rsidRPr="007C1E37">
              <w:rPr>
                <w:rFonts w:cs="Arial"/>
                <w:sz w:val="20"/>
                <w:szCs w:val="20"/>
              </w:rPr>
              <w:t>1,048</w:t>
            </w:r>
          </w:p>
        </w:tc>
        <w:tc>
          <w:tcPr>
            <w:tcW w:w="1701"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bottom"/>
          </w:tcPr>
          <w:p w14:paraId="6C8E863C" w14:textId="77777777" w:rsidR="00120DFC" w:rsidRPr="0026024A" w:rsidRDefault="00120DFC" w:rsidP="001E519A">
            <w:pPr>
              <w:spacing w:before="60" w:after="60"/>
              <w:jc w:val="right"/>
              <w:rPr>
                <w:rFonts w:cs="Arial"/>
                <w:b/>
                <w:bCs/>
                <w:sz w:val="20"/>
                <w:szCs w:val="20"/>
              </w:rPr>
            </w:pPr>
            <w:r w:rsidRPr="0026024A">
              <w:rPr>
                <w:rFonts w:cs="Arial"/>
                <w:color w:val="000000" w:themeColor="accent6"/>
                <w:sz w:val="20"/>
                <w:szCs w:val="20"/>
              </w:rPr>
              <w:t>$448.8</w:t>
            </w:r>
          </w:p>
        </w:tc>
        <w:tc>
          <w:tcPr>
            <w:tcW w:w="158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bottom"/>
          </w:tcPr>
          <w:p w14:paraId="32C08E7B" w14:textId="77777777" w:rsidR="00120DFC" w:rsidRPr="0026024A" w:rsidRDefault="00120DFC" w:rsidP="001E519A">
            <w:pPr>
              <w:spacing w:before="60" w:after="60"/>
              <w:jc w:val="right"/>
              <w:rPr>
                <w:rFonts w:cs="Arial"/>
                <w:b/>
                <w:bCs/>
                <w:sz w:val="20"/>
                <w:szCs w:val="20"/>
              </w:rPr>
            </w:pPr>
            <w:r w:rsidRPr="0026024A">
              <w:rPr>
                <w:rFonts w:cs="Arial"/>
                <w:color w:val="000000" w:themeColor="accent6"/>
                <w:sz w:val="20"/>
                <w:szCs w:val="20"/>
              </w:rPr>
              <w:t>$428,300</w:t>
            </w:r>
          </w:p>
        </w:tc>
        <w:tc>
          <w:tcPr>
            <w:tcW w:w="1304"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tcPr>
          <w:p w14:paraId="2026C0B4" w14:textId="77777777" w:rsidR="00120DFC" w:rsidRPr="007C1E37" w:rsidRDefault="00120DFC" w:rsidP="001E519A">
            <w:pPr>
              <w:spacing w:before="60" w:after="60"/>
              <w:jc w:val="right"/>
              <w:rPr>
                <w:rFonts w:cs="Arial"/>
                <w:b/>
                <w:bCs/>
                <w:sz w:val="20"/>
                <w:szCs w:val="20"/>
              </w:rPr>
            </w:pPr>
            <w:r w:rsidRPr="007C1E37">
              <w:rPr>
                <w:rFonts w:cs="Arial"/>
                <w:sz w:val="20"/>
                <w:szCs w:val="20"/>
              </w:rPr>
              <w:t>19%</w:t>
            </w:r>
          </w:p>
        </w:tc>
      </w:tr>
      <w:tr w:rsidR="00120DFC" w:rsidRPr="007C1E37" w14:paraId="09059169" w14:textId="77777777" w:rsidTr="001E519A">
        <w:trPr>
          <w:trHeight w:val="397"/>
        </w:trPr>
        <w:tc>
          <w:tcPr>
            <w:tcW w:w="226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tcPr>
          <w:p w14:paraId="79239199" w14:textId="77777777" w:rsidR="00120DFC" w:rsidRPr="007C1E37" w:rsidRDefault="00120DFC" w:rsidP="001E519A">
            <w:pPr>
              <w:spacing w:before="60" w:after="60"/>
              <w:ind w:left="37"/>
              <w:rPr>
                <w:rFonts w:cs="Arial"/>
                <w:b/>
                <w:bCs/>
                <w:sz w:val="20"/>
                <w:szCs w:val="20"/>
                <w:lang w:eastAsia="en-AU"/>
              </w:rPr>
            </w:pPr>
            <w:r w:rsidRPr="007C1E37">
              <w:rPr>
                <w:rFonts w:cs="Arial"/>
                <w:sz w:val="20"/>
                <w:szCs w:val="20"/>
              </w:rPr>
              <w:t>251-1000</w:t>
            </w:r>
          </w:p>
        </w:tc>
        <w:tc>
          <w:tcPr>
            <w:tcW w:w="141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tcPr>
          <w:p w14:paraId="64959384" w14:textId="77777777" w:rsidR="00120DFC" w:rsidRPr="007C1E37" w:rsidRDefault="00120DFC" w:rsidP="001E519A">
            <w:pPr>
              <w:spacing w:before="60" w:after="60"/>
              <w:jc w:val="right"/>
              <w:rPr>
                <w:rFonts w:cs="Arial"/>
                <w:b/>
                <w:bCs/>
                <w:sz w:val="20"/>
                <w:szCs w:val="20"/>
              </w:rPr>
            </w:pPr>
            <w:r w:rsidRPr="007C1E37">
              <w:rPr>
                <w:rFonts w:cs="Arial"/>
                <w:sz w:val="20"/>
                <w:szCs w:val="20"/>
              </w:rPr>
              <w:t>387</w:t>
            </w:r>
          </w:p>
        </w:tc>
        <w:tc>
          <w:tcPr>
            <w:tcW w:w="1701"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bottom"/>
          </w:tcPr>
          <w:p w14:paraId="59490F62" w14:textId="77777777" w:rsidR="00120DFC" w:rsidRPr="0026024A" w:rsidRDefault="00120DFC" w:rsidP="001E519A">
            <w:pPr>
              <w:spacing w:before="60" w:after="60"/>
              <w:jc w:val="right"/>
              <w:rPr>
                <w:rFonts w:cs="Arial"/>
                <w:b/>
                <w:bCs/>
                <w:sz w:val="20"/>
                <w:szCs w:val="20"/>
              </w:rPr>
            </w:pPr>
            <w:r w:rsidRPr="0026024A">
              <w:rPr>
                <w:rFonts w:cs="Arial"/>
                <w:color w:val="000000" w:themeColor="accent6"/>
                <w:sz w:val="20"/>
                <w:szCs w:val="20"/>
              </w:rPr>
              <w:t>$482.8</w:t>
            </w:r>
          </w:p>
        </w:tc>
        <w:tc>
          <w:tcPr>
            <w:tcW w:w="158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bottom"/>
          </w:tcPr>
          <w:p w14:paraId="62E01A09" w14:textId="77777777" w:rsidR="00120DFC" w:rsidRPr="0026024A" w:rsidRDefault="00120DFC" w:rsidP="001E519A">
            <w:pPr>
              <w:spacing w:before="60" w:after="60"/>
              <w:jc w:val="right"/>
              <w:rPr>
                <w:rFonts w:cs="Arial"/>
                <w:b/>
                <w:bCs/>
                <w:sz w:val="20"/>
                <w:szCs w:val="20"/>
              </w:rPr>
            </w:pPr>
            <w:r w:rsidRPr="0026024A">
              <w:rPr>
                <w:rFonts w:cs="Arial"/>
                <w:color w:val="000000" w:themeColor="accent6"/>
                <w:sz w:val="20"/>
                <w:szCs w:val="20"/>
              </w:rPr>
              <w:t>$1.2m</w:t>
            </w:r>
          </w:p>
        </w:tc>
        <w:tc>
          <w:tcPr>
            <w:tcW w:w="1304"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tcPr>
          <w:p w14:paraId="4A53B9A3" w14:textId="77777777" w:rsidR="00120DFC" w:rsidRPr="007C1E37" w:rsidRDefault="00120DFC" w:rsidP="001E519A">
            <w:pPr>
              <w:spacing w:before="60" w:after="60"/>
              <w:jc w:val="right"/>
              <w:rPr>
                <w:rFonts w:cs="Arial"/>
                <w:b/>
                <w:bCs/>
                <w:sz w:val="20"/>
                <w:szCs w:val="20"/>
              </w:rPr>
            </w:pPr>
            <w:r w:rsidRPr="007C1E37">
              <w:rPr>
                <w:rFonts w:cs="Arial"/>
                <w:sz w:val="20"/>
                <w:szCs w:val="20"/>
              </w:rPr>
              <w:t>20%</w:t>
            </w:r>
          </w:p>
        </w:tc>
      </w:tr>
      <w:tr w:rsidR="00120DFC" w:rsidRPr="007C1E37" w14:paraId="238771B6" w14:textId="77777777" w:rsidTr="001E519A">
        <w:trPr>
          <w:cnfStyle w:val="000000100000" w:firstRow="0" w:lastRow="0" w:firstColumn="0" w:lastColumn="0" w:oddVBand="0" w:evenVBand="0" w:oddHBand="1" w:evenHBand="0" w:firstRowFirstColumn="0" w:firstRowLastColumn="0" w:lastRowFirstColumn="0" w:lastRowLastColumn="0"/>
          <w:trHeight w:val="397"/>
        </w:trPr>
        <w:tc>
          <w:tcPr>
            <w:tcW w:w="226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tcPr>
          <w:p w14:paraId="35A831E7" w14:textId="77777777" w:rsidR="00120DFC" w:rsidRPr="007C1E37" w:rsidRDefault="00120DFC" w:rsidP="001E519A">
            <w:pPr>
              <w:spacing w:before="60" w:after="60"/>
              <w:ind w:left="37"/>
              <w:rPr>
                <w:rFonts w:cs="Arial"/>
                <w:b/>
                <w:bCs/>
                <w:sz w:val="20"/>
                <w:szCs w:val="20"/>
                <w:lang w:eastAsia="en-AU"/>
              </w:rPr>
            </w:pPr>
            <w:r w:rsidRPr="007C1E37">
              <w:rPr>
                <w:rFonts w:cs="Arial"/>
                <w:sz w:val="20"/>
                <w:szCs w:val="20"/>
              </w:rPr>
              <w:t>1000+</w:t>
            </w:r>
          </w:p>
        </w:tc>
        <w:tc>
          <w:tcPr>
            <w:tcW w:w="141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tcPr>
          <w:p w14:paraId="108F2CB5" w14:textId="77777777" w:rsidR="00120DFC" w:rsidRPr="007C1E37" w:rsidRDefault="00120DFC" w:rsidP="001E519A">
            <w:pPr>
              <w:spacing w:before="60" w:after="60"/>
              <w:jc w:val="right"/>
              <w:rPr>
                <w:rFonts w:cs="Arial"/>
                <w:b/>
                <w:bCs/>
                <w:sz w:val="20"/>
                <w:szCs w:val="20"/>
              </w:rPr>
            </w:pPr>
            <w:r w:rsidRPr="007C1E37">
              <w:rPr>
                <w:rFonts w:cs="Arial"/>
                <w:sz w:val="20"/>
                <w:szCs w:val="20"/>
              </w:rPr>
              <w:t>54</w:t>
            </w:r>
          </w:p>
        </w:tc>
        <w:tc>
          <w:tcPr>
            <w:tcW w:w="1701"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bottom"/>
          </w:tcPr>
          <w:p w14:paraId="5FB2E1A9" w14:textId="77777777" w:rsidR="00120DFC" w:rsidRPr="0026024A" w:rsidRDefault="00120DFC" w:rsidP="001E519A">
            <w:pPr>
              <w:spacing w:before="60" w:after="60"/>
              <w:jc w:val="right"/>
              <w:rPr>
                <w:rFonts w:cs="Arial"/>
                <w:b/>
                <w:bCs/>
                <w:sz w:val="20"/>
                <w:szCs w:val="20"/>
              </w:rPr>
            </w:pPr>
            <w:r w:rsidRPr="0026024A">
              <w:rPr>
                <w:rFonts w:cs="Arial"/>
                <w:color w:val="000000" w:themeColor="accent6"/>
                <w:sz w:val="20"/>
                <w:szCs w:val="20"/>
              </w:rPr>
              <w:t>$501.4</w:t>
            </w:r>
          </w:p>
        </w:tc>
        <w:tc>
          <w:tcPr>
            <w:tcW w:w="158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bottom"/>
          </w:tcPr>
          <w:p w14:paraId="6C87FC4A" w14:textId="77777777" w:rsidR="00120DFC" w:rsidRPr="0026024A" w:rsidRDefault="00120DFC" w:rsidP="001E519A">
            <w:pPr>
              <w:spacing w:before="60" w:after="60"/>
              <w:jc w:val="right"/>
              <w:rPr>
                <w:rFonts w:cs="Arial"/>
                <w:b/>
                <w:bCs/>
                <w:sz w:val="20"/>
                <w:szCs w:val="20"/>
              </w:rPr>
            </w:pPr>
            <w:r w:rsidRPr="0026024A">
              <w:rPr>
                <w:rFonts w:cs="Arial"/>
                <w:color w:val="000000" w:themeColor="accent6"/>
                <w:sz w:val="20"/>
                <w:szCs w:val="20"/>
              </w:rPr>
              <w:t>$9.3m</w:t>
            </w:r>
          </w:p>
        </w:tc>
        <w:tc>
          <w:tcPr>
            <w:tcW w:w="1304"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tcPr>
          <w:p w14:paraId="37E6924D" w14:textId="77777777" w:rsidR="00120DFC" w:rsidRPr="007C1E37" w:rsidRDefault="00120DFC" w:rsidP="001E519A">
            <w:pPr>
              <w:spacing w:before="60" w:after="60"/>
              <w:jc w:val="right"/>
              <w:rPr>
                <w:rFonts w:cs="Arial"/>
                <w:b/>
                <w:bCs/>
                <w:sz w:val="20"/>
                <w:szCs w:val="20"/>
              </w:rPr>
            </w:pPr>
            <w:r w:rsidRPr="007C1E37">
              <w:rPr>
                <w:rFonts w:cs="Arial"/>
                <w:sz w:val="20"/>
                <w:szCs w:val="20"/>
              </w:rPr>
              <w:t>21%</w:t>
            </w:r>
          </w:p>
        </w:tc>
      </w:tr>
      <w:tr w:rsidR="00120DFC" w:rsidRPr="007C1E37" w14:paraId="7A8CC996" w14:textId="77777777" w:rsidTr="001E519A">
        <w:trPr>
          <w:trHeight w:val="397"/>
        </w:trPr>
        <w:tc>
          <w:tcPr>
            <w:tcW w:w="226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tcPr>
          <w:p w14:paraId="1E220F83" w14:textId="77777777" w:rsidR="00120DFC" w:rsidRPr="009F7BFB" w:rsidRDefault="00120DFC" w:rsidP="001E519A">
            <w:pPr>
              <w:spacing w:before="60" w:after="60"/>
              <w:ind w:left="37"/>
              <w:rPr>
                <w:rFonts w:cs="Arial"/>
                <w:b/>
                <w:bCs/>
                <w:sz w:val="20"/>
                <w:szCs w:val="20"/>
              </w:rPr>
            </w:pPr>
            <w:r w:rsidRPr="009F7BFB">
              <w:rPr>
                <w:rFonts w:cs="Arial"/>
                <w:b/>
                <w:bCs/>
                <w:sz w:val="20"/>
                <w:szCs w:val="20"/>
              </w:rPr>
              <w:t>Overall</w:t>
            </w:r>
          </w:p>
        </w:tc>
        <w:tc>
          <w:tcPr>
            <w:tcW w:w="141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tcPr>
          <w:p w14:paraId="1BB9D781" w14:textId="77777777" w:rsidR="00120DFC" w:rsidRPr="009F7BFB" w:rsidRDefault="00120DFC" w:rsidP="001E519A">
            <w:pPr>
              <w:spacing w:before="60" w:after="60"/>
              <w:jc w:val="right"/>
              <w:rPr>
                <w:rFonts w:cs="Arial"/>
                <w:b/>
                <w:bCs/>
                <w:sz w:val="20"/>
                <w:szCs w:val="20"/>
              </w:rPr>
            </w:pPr>
            <w:r w:rsidRPr="009F7BFB">
              <w:rPr>
                <w:rFonts w:cs="Arial"/>
                <w:b/>
                <w:bCs/>
                <w:sz w:val="20"/>
                <w:szCs w:val="20"/>
              </w:rPr>
              <w:t>55,370</w:t>
            </w:r>
          </w:p>
        </w:tc>
        <w:tc>
          <w:tcPr>
            <w:tcW w:w="1701"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bottom"/>
          </w:tcPr>
          <w:p w14:paraId="438D2B35" w14:textId="77777777" w:rsidR="00120DFC" w:rsidRPr="0026024A" w:rsidRDefault="00120DFC" w:rsidP="001E519A">
            <w:pPr>
              <w:spacing w:before="60" w:after="60"/>
              <w:jc w:val="right"/>
              <w:rPr>
                <w:rFonts w:cs="Arial"/>
                <w:b/>
                <w:bCs/>
                <w:sz w:val="20"/>
                <w:szCs w:val="20"/>
              </w:rPr>
            </w:pPr>
            <w:r w:rsidRPr="0026024A">
              <w:rPr>
                <w:rFonts w:cs="Arial"/>
                <w:b/>
                <w:color w:val="000000" w:themeColor="accent6"/>
                <w:sz w:val="20"/>
                <w:szCs w:val="20"/>
              </w:rPr>
              <w:t>$2,417.2</w:t>
            </w:r>
          </w:p>
        </w:tc>
        <w:tc>
          <w:tcPr>
            <w:tcW w:w="158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bottom"/>
          </w:tcPr>
          <w:p w14:paraId="19BF64B3" w14:textId="77777777" w:rsidR="00120DFC" w:rsidRPr="0026024A" w:rsidRDefault="00120DFC" w:rsidP="001E519A">
            <w:pPr>
              <w:spacing w:before="60" w:after="60"/>
              <w:jc w:val="right"/>
              <w:rPr>
                <w:rFonts w:cs="Arial"/>
                <w:b/>
                <w:bCs/>
                <w:sz w:val="20"/>
                <w:szCs w:val="20"/>
              </w:rPr>
            </w:pPr>
            <w:r w:rsidRPr="0026024A">
              <w:rPr>
                <w:rFonts w:cs="Arial"/>
                <w:b/>
                <w:color w:val="000000" w:themeColor="accent6"/>
                <w:sz w:val="20"/>
                <w:szCs w:val="20"/>
              </w:rPr>
              <w:t>$43,700</w:t>
            </w:r>
          </w:p>
        </w:tc>
        <w:tc>
          <w:tcPr>
            <w:tcW w:w="1304"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tcPr>
          <w:p w14:paraId="5E86F5B3" w14:textId="77777777" w:rsidR="00120DFC" w:rsidRPr="007C1E37" w:rsidRDefault="00120DFC" w:rsidP="001E519A">
            <w:pPr>
              <w:spacing w:before="60" w:after="60"/>
              <w:jc w:val="right"/>
              <w:rPr>
                <w:rFonts w:cs="Arial"/>
                <w:b/>
                <w:bCs/>
                <w:sz w:val="20"/>
                <w:szCs w:val="20"/>
              </w:rPr>
            </w:pPr>
            <w:r w:rsidRPr="007C1E37">
              <w:rPr>
                <w:rFonts w:cs="Arial"/>
                <w:b/>
                <w:bCs/>
                <w:sz w:val="20"/>
                <w:szCs w:val="20"/>
              </w:rPr>
              <w:t>100%</w:t>
            </w:r>
          </w:p>
        </w:tc>
      </w:tr>
    </w:tbl>
    <w:p w14:paraId="51830BBD" w14:textId="77777777" w:rsidR="00120DFC" w:rsidRPr="008034CE" w:rsidRDefault="00120DFC" w:rsidP="00120DFC">
      <w:pPr>
        <w:pStyle w:val="Sourcefortableorfigure"/>
        <w:spacing w:before="240"/>
      </w:pPr>
      <w:r w:rsidRPr="008034CE">
        <w:t>Source: NDIS internal administrative data</w:t>
      </w:r>
    </w:p>
    <w:p w14:paraId="2B6640C8" w14:textId="77777777" w:rsidR="00120DFC" w:rsidRPr="008034CE" w:rsidRDefault="00120DFC" w:rsidP="00120DFC">
      <w:pPr>
        <w:pStyle w:val="Sourcefortableorfigure"/>
        <w:rPr>
          <w:b w:val="0"/>
          <w:bCs/>
        </w:rPr>
      </w:pPr>
      <w:r w:rsidRPr="008034CE">
        <w:rPr>
          <w:b w:val="0"/>
          <w:bCs/>
        </w:rPr>
        <w:t>Note: Average payment to providers is rounded up to the nearest hundred.</w:t>
      </w:r>
    </w:p>
    <w:p w14:paraId="0CCFFA72" w14:textId="77777777" w:rsidR="00120DFC" w:rsidRPr="008034CE" w:rsidRDefault="00120DFC" w:rsidP="00120DFC">
      <w:pPr>
        <w:pStyle w:val="Notefortableorfigure"/>
      </w:pPr>
    </w:p>
    <w:p w14:paraId="21C7AD53" w14:textId="77777777" w:rsidR="00120DFC" w:rsidRPr="008034CE" w:rsidRDefault="00120DFC" w:rsidP="002961BF">
      <w:pPr>
        <w:pStyle w:val="Heading3"/>
      </w:pPr>
      <w:bookmarkStart w:id="299" w:name="_Toc194939581"/>
      <w:bookmarkStart w:id="300" w:name="_Toc195538928"/>
      <w:bookmarkStart w:id="301" w:name="_Toc195538988"/>
      <w:bookmarkStart w:id="302" w:name="_Toc196754632"/>
      <w:bookmarkStart w:id="303" w:name="_Toc196758234"/>
      <w:bookmarkStart w:id="304" w:name="_Toc197344310"/>
      <w:bookmarkStart w:id="305" w:name="_Toc200271621"/>
      <w:r w:rsidRPr="008034CE">
        <w:t>Business Dynamism</w:t>
      </w:r>
      <w:bookmarkEnd w:id="299"/>
      <w:bookmarkEnd w:id="300"/>
      <w:bookmarkEnd w:id="301"/>
      <w:bookmarkEnd w:id="302"/>
      <w:bookmarkEnd w:id="303"/>
      <w:bookmarkEnd w:id="304"/>
      <w:bookmarkEnd w:id="305"/>
      <w:r w:rsidRPr="008034CE">
        <w:t xml:space="preserve"> </w:t>
      </w:r>
    </w:p>
    <w:p w14:paraId="07CDAD36" w14:textId="415F86DC" w:rsidR="00120DFC" w:rsidRPr="008034CE" w:rsidRDefault="00120DFC" w:rsidP="00120DFC">
      <w:pPr>
        <w:rPr>
          <w:rFonts w:eastAsia="Arial" w:cs="Arial"/>
        </w:rPr>
      </w:pPr>
      <w:r w:rsidRPr="008034CE">
        <w:rPr>
          <w:rFonts w:eastAsia="Arial" w:cs="Arial"/>
        </w:rPr>
        <w:t>This section examines the activity and changes within the market for therapy supports. Business dynamism refers to the rate at which new providers enter the market and existing providers exit. This is one of many indicators which looks at the market’s health, competitiveness, and its capacity to innovate and meet participants’ needs. To understand the dynamism for therapy supports, the NDIA reviewed the</w:t>
      </w:r>
      <w:r w:rsidR="008D60AB">
        <w:rPr>
          <w:rFonts w:eastAsia="Arial" w:cs="Arial"/>
        </w:rPr>
        <w:t xml:space="preserve"> </w:t>
      </w:r>
      <w:r w:rsidRPr="008034CE">
        <w:rPr>
          <w:rFonts w:eastAsia="Arial" w:cs="Arial"/>
        </w:rPr>
        <w:t>payment activities of providers over a three-year period from January 2022 to December 2024.</w:t>
      </w:r>
      <w:r w:rsidRPr="008034CE">
        <w:rPr>
          <w:rStyle w:val="FootnoteReference"/>
          <w:rFonts w:eastAsia="Arial" w:cs="Arial"/>
        </w:rPr>
        <w:footnoteReference w:id="27"/>
      </w:r>
    </w:p>
    <w:p w14:paraId="787AAFC7" w14:textId="77777777" w:rsidR="00120DFC" w:rsidRPr="008034CE" w:rsidRDefault="00120DFC" w:rsidP="00120DFC">
      <w:pPr>
        <w:pStyle w:val="Heading4"/>
        <w:rPr>
          <w:rFonts w:eastAsia="Arial"/>
        </w:rPr>
      </w:pPr>
      <w:bookmarkStart w:id="306" w:name="_Toc195538929"/>
      <w:bookmarkStart w:id="307" w:name="_Toc200103509"/>
      <w:bookmarkStart w:id="308" w:name="_Toc200271622"/>
      <w:r w:rsidRPr="008034CE">
        <w:rPr>
          <w:rFonts w:eastAsia="Arial"/>
        </w:rPr>
        <w:lastRenderedPageBreak/>
        <w:t>Payment Consistency</w:t>
      </w:r>
      <w:bookmarkEnd w:id="306"/>
      <w:bookmarkEnd w:id="307"/>
      <w:bookmarkEnd w:id="308"/>
    </w:p>
    <w:p w14:paraId="15B66A38" w14:textId="34036516" w:rsidR="00120DFC" w:rsidRPr="008034CE" w:rsidRDefault="00120DFC" w:rsidP="00120DFC">
      <w:pPr>
        <w:rPr>
          <w:rFonts w:eastAsia="Arial" w:cs="Arial"/>
        </w:rPr>
      </w:pPr>
      <w:bookmarkStart w:id="309" w:name="_Ref195540746"/>
      <w:r w:rsidRPr="008034CE">
        <w:rPr>
          <w:rFonts w:eastAsia="Arial" w:cs="Arial"/>
        </w:rPr>
        <w:t xml:space="preserve">As shown in </w:t>
      </w:r>
      <w:r w:rsidR="001205C7">
        <w:rPr>
          <w:rFonts w:eastAsia="Arial" w:cs="Arial"/>
        </w:rPr>
        <w:fldChar w:fldCharType="begin"/>
      </w:r>
      <w:r w:rsidR="001205C7">
        <w:rPr>
          <w:rFonts w:eastAsia="Arial" w:cs="Arial"/>
        </w:rPr>
        <w:instrText xml:space="preserve"> REF _Ref197105883 \h </w:instrText>
      </w:r>
      <w:r w:rsidR="001205C7">
        <w:rPr>
          <w:rFonts w:eastAsia="Arial" w:cs="Arial"/>
        </w:rPr>
      </w:r>
      <w:r w:rsidR="001205C7">
        <w:rPr>
          <w:rFonts w:eastAsia="Arial" w:cs="Arial"/>
        </w:rPr>
        <w:fldChar w:fldCharType="separate"/>
      </w:r>
      <w:r w:rsidR="005763F9" w:rsidRPr="008034CE">
        <w:t xml:space="preserve">Figure </w:t>
      </w:r>
      <w:r w:rsidR="005763F9">
        <w:rPr>
          <w:noProof/>
        </w:rPr>
        <w:t>13</w:t>
      </w:r>
      <w:r w:rsidR="001205C7">
        <w:rPr>
          <w:rFonts w:eastAsia="Arial" w:cs="Arial"/>
        </w:rPr>
        <w:fldChar w:fldCharType="end"/>
      </w:r>
      <w:r w:rsidRPr="008034CE">
        <w:rPr>
          <w:rFonts w:eastAsia="Arial" w:cs="Arial"/>
        </w:rPr>
        <w:t xml:space="preserve">, there is a clear distinction between registered and unregistered providers and payment consistencies (how often providers claim and receive payments). Among registered providers, </w:t>
      </w:r>
      <w:proofErr w:type="gramStart"/>
      <w:r w:rsidRPr="008034CE">
        <w:rPr>
          <w:rFonts w:eastAsia="Arial" w:cs="Arial"/>
        </w:rPr>
        <w:t>the majority of</w:t>
      </w:r>
      <w:proofErr w:type="gramEnd"/>
      <w:r w:rsidRPr="008034CE">
        <w:rPr>
          <w:rFonts w:eastAsia="Arial" w:cs="Arial"/>
        </w:rPr>
        <w:t xml:space="preserve"> total payments are concentrated among those that have delivered supports across all six half-year periods at 46% of all registered providers but accounts for over 80% of registered payments. This suggests that registered providers represent a relatively stable base. </w:t>
      </w:r>
    </w:p>
    <w:p w14:paraId="1215A2D0" w14:textId="1C1610C1" w:rsidR="00120DFC" w:rsidRPr="008034CE" w:rsidRDefault="00120DFC" w:rsidP="00120DFC">
      <w:pPr>
        <w:rPr>
          <w:rFonts w:eastAsia="Arial" w:cs="Arial"/>
        </w:rPr>
      </w:pPr>
      <w:r w:rsidRPr="008034CE">
        <w:rPr>
          <w:rFonts w:eastAsia="Arial" w:cs="Arial"/>
        </w:rPr>
        <w:t>Unregistered providers show relatively higher levels of short-term activity with the largest group of unregistered providers active for only one half-year period while accounting for the smallest share of the overall payments. However, there is a relatively stable base of unregistered providers (around 18%) delivering therapy over</w:t>
      </w:r>
      <w:r w:rsidR="008D60AB">
        <w:rPr>
          <w:rFonts w:eastAsia="Arial" w:cs="Arial"/>
        </w:rPr>
        <w:t> </w:t>
      </w:r>
      <w:r w:rsidRPr="008034CE">
        <w:rPr>
          <w:rFonts w:eastAsia="Arial" w:cs="Arial"/>
        </w:rPr>
        <w:t>the six half year periods and claiming over 60% of payments to unregistered</w:t>
      </w:r>
      <w:r w:rsidR="008D60AB">
        <w:rPr>
          <w:rFonts w:eastAsia="Arial" w:cs="Arial"/>
        </w:rPr>
        <w:t> </w:t>
      </w:r>
      <w:r w:rsidRPr="008034CE">
        <w:rPr>
          <w:rFonts w:eastAsia="Arial" w:cs="Arial"/>
        </w:rPr>
        <w:t>providers.</w:t>
      </w:r>
    </w:p>
    <w:p w14:paraId="6313CF71" w14:textId="754D4EE1" w:rsidR="00120DFC" w:rsidRPr="008034CE" w:rsidRDefault="00120DFC" w:rsidP="00120DFC">
      <w:pPr>
        <w:pStyle w:val="Caption"/>
      </w:pPr>
      <w:bookmarkStart w:id="310" w:name="_Ref197105883"/>
      <w:r w:rsidRPr="008034CE">
        <w:t xml:space="preserve">Figure </w:t>
      </w:r>
      <w:r w:rsidR="005763F9">
        <w:fldChar w:fldCharType="begin"/>
      </w:r>
      <w:r w:rsidR="005763F9">
        <w:instrText xml:space="preserve"> SEQ Figure \* ARABIC </w:instrText>
      </w:r>
      <w:r w:rsidR="005763F9">
        <w:fldChar w:fldCharType="separate"/>
      </w:r>
      <w:r w:rsidR="005763F9">
        <w:rPr>
          <w:noProof/>
        </w:rPr>
        <w:t>13</w:t>
      </w:r>
      <w:r w:rsidR="005763F9">
        <w:rPr>
          <w:noProof/>
        </w:rPr>
        <w:fldChar w:fldCharType="end"/>
      </w:r>
      <w:bookmarkEnd w:id="309"/>
      <w:bookmarkEnd w:id="310"/>
      <w:r w:rsidRPr="008034CE">
        <w:t>: Provider Continuity for Therapy Supports by Registration Status and Percentage of Total Payments, January 2022 to December 2024</w:t>
      </w:r>
    </w:p>
    <w:p w14:paraId="0A09FFA4" w14:textId="79DC4869" w:rsidR="00120DFC" w:rsidRPr="008034CE" w:rsidRDefault="00120DFC" w:rsidP="00981E26">
      <w:pPr>
        <w:jc w:val="center"/>
      </w:pPr>
      <w:r w:rsidRPr="008034CE">
        <w:t>Registered Providers</w:t>
      </w:r>
      <w:r w:rsidR="00981E26">
        <w:tab/>
      </w:r>
      <w:r w:rsidR="00981E26">
        <w:tab/>
      </w:r>
      <w:r w:rsidR="00981E26">
        <w:tab/>
      </w:r>
      <w:r w:rsidRPr="008034CE">
        <w:t>Unregistered Providers</w:t>
      </w:r>
    </w:p>
    <w:p w14:paraId="3CA0E509" w14:textId="77777777" w:rsidR="00120DFC" w:rsidRPr="008034CE" w:rsidRDefault="00120DFC" w:rsidP="00120DFC">
      <w:r w:rsidRPr="008034CE">
        <w:rPr>
          <w:noProof/>
        </w:rPr>
        <w:drawing>
          <wp:inline distT="0" distB="0" distL="0" distR="0" wp14:anchorId="70BDC049" wp14:editId="3A86A868">
            <wp:extent cx="2737485" cy="1914525"/>
            <wp:effectExtent l="0" t="0" r="5715" b="9525"/>
            <wp:docPr id="265763774" name="Picture 1" descr="The first image (left) is a column and dot graph showing the number of half years with payment, compared to the percentage of total payments, amongst registered providers from January 2022 to December 2024.&#10;&#10;Most registered providers (roughly 6,500) had payments in all 6 of the last half years. These providers made up roughly 90% of total payments.&#10;&#10;Each of the remaining categories (1, 2, 3, 4, and 5 half years with payments) each had roughly between 1,100 to 2,300 registered providers, and collectively made up roughly 10% of total pay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763774" name="Picture 1" descr="The first image (left) is a column and dot graph showing the number of half years with payment, compared to the percentage of total payments, amongst registered providers from January 2022 to December 2024.&#10;&#10;Most registered providers (roughly 6,500) had payments in all 6 of the last half years. These providers made up roughly 90% of total payments.&#10;&#10;Each of the remaining categories (1, 2, 3, 4, and 5 half years with payments) each had roughly between 1,100 to 2,300 registered providers, and collectively made up roughly 10% of total payment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37485" cy="1914525"/>
                    </a:xfrm>
                    <a:prstGeom prst="rect">
                      <a:avLst/>
                    </a:prstGeom>
                    <a:noFill/>
                  </pic:spPr>
                </pic:pic>
              </a:graphicData>
            </a:graphic>
          </wp:inline>
        </w:drawing>
      </w:r>
      <w:r w:rsidRPr="008034CE">
        <w:rPr>
          <w:noProof/>
        </w:rPr>
        <w:drawing>
          <wp:inline distT="0" distB="0" distL="0" distR="0" wp14:anchorId="5AF7693C" wp14:editId="608CF943">
            <wp:extent cx="2719070" cy="1914525"/>
            <wp:effectExtent l="0" t="0" r="5080" b="9525"/>
            <wp:docPr id="166745949" name="Picture 2" descr="The second image (right) is a column and dot graph showing the number of half years with payment, compared to the percentage of total payments, amongst registered providers from January 2022 to December 2024.&#10;&#10;Most unregistered providers (roughly 30,000) had only 1 half year with payments. These providers made up roughly less than 5% of total payments.&#10;&#10;There were roughly 16,000 unregistered providers who had payments in all 6 half years. These providers made up roughly 60% of total payments.&#10;&#10;Each of the remaining categories (2, 3, 4, and 5 half years with payments) each had roughly between 6,000 to 16,000 unregistered providers, and each made up roughly between 5 to 20% of total payments.&#10;&#10;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45949" name="Picture 2" descr="The second image (right) is a column and dot graph showing the number of half years with payment, compared to the percentage of total payments, amongst registered providers from January 2022 to December 2024.&#10;&#10;Most unregistered providers (roughly 30,000) had only 1 half year with payments. These providers made up roughly less than 5% of total payments.&#10;&#10;There were roughly 16,000 unregistered providers who had payments in all 6 half years. These providers made up roughly 60% of total payments.&#10;&#10;Each of the remaining categories (2, 3, 4, and 5 half years with payments) each had roughly between 6,000 to 16,000 unregistered providers, and each made up roughly between 5 to 20% of total payments.&#10;&#10;Source: NDIS internal administrative data."/>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19070" cy="1914525"/>
                    </a:xfrm>
                    <a:prstGeom prst="rect">
                      <a:avLst/>
                    </a:prstGeom>
                    <a:noFill/>
                  </pic:spPr>
                </pic:pic>
              </a:graphicData>
            </a:graphic>
          </wp:inline>
        </w:drawing>
      </w:r>
    </w:p>
    <w:p w14:paraId="037F556D" w14:textId="77777777" w:rsidR="00120DFC" w:rsidRPr="008034CE" w:rsidRDefault="00120DFC" w:rsidP="00120DFC">
      <w:pPr>
        <w:pStyle w:val="Heading4"/>
        <w:keepLines/>
      </w:pPr>
      <w:bookmarkStart w:id="311" w:name="_Toc195538930"/>
      <w:bookmarkStart w:id="312" w:name="_Toc200103510"/>
      <w:bookmarkStart w:id="313" w:name="_Toc200271623"/>
      <w:r w:rsidRPr="008034CE">
        <w:t>Comparison of provider payments for ‘new activity’ and ‘inactivity’</w:t>
      </w:r>
      <w:bookmarkEnd w:id="311"/>
      <w:bookmarkEnd w:id="312"/>
      <w:bookmarkEnd w:id="313"/>
    </w:p>
    <w:p w14:paraId="090DFBCC" w14:textId="7C76D9EA" w:rsidR="00F5304E" w:rsidRDefault="00120DFC" w:rsidP="00120DFC">
      <w:pPr>
        <w:rPr>
          <w:rFonts w:eastAsia="Arial" w:cs="Arial"/>
        </w:rPr>
      </w:pPr>
      <w:r w:rsidRPr="008034CE">
        <w:rPr>
          <w:rFonts w:eastAsia="Arial" w:cs="Arial"/>
        </w:rPr>
        <w:fldChar w:fldCharType="begin"/>
      </w:r>
      <w:r w:rsidRPr="008034CE">
        <w:rPr>
          <w:rFonts w:eastAsia="Arial" w:cs="Arial"/>
        </w:rPr>
        <w:instrText xml:space="preserve"> REF _Ref195540756 \h  \* MERGEFORMAT </w:instrText>
      </w:r>
      <w:r w:rsidRPr="008034CE">
        <w:rPr>
          <w:rFonts w:eastAsia="Arial" w:cs="Arial"/>
        </w:rPr>
      </w:r>
      <w:r w:rsidRPr="008034CE">
        <w:rPr>
          <w:rFonts w:eastAsia="Arial" w:cs="Arial"/>
        </w:rPr>
        <w:fldChar w:fldCharType="separate"/>
      </w:r>
      <w:r w:rsidR="005763F9" w:rsidRPr="008034CE">
        <w:t xml:space="preserve">Figure </w:t>
      </w:r>
      <w:r w:rsidR="005763F9">
        <w:t>14</w:t>
      </w:r>
      <w:r w:rsidRPr="008034CE">
        <w:rPr>
          <w:rFonts w:eastAsia="Arial" w:cs="Arial"/>
        </w:rPr>
        <w:fldChar w:fldCharType="end"/>
      </w:r>
      <w:r w:rsidRPr="008034CE">
        <w:rPr>
          <w:rFonts w:eastAsia="Arial" w:cs="Arial"/>
        </w:rPr>
        <w:t xml:space="preserve"> shows that new provider activity consistently exceeded inactivity since January 2022, indicating new activity within the therapy provider market. Newly</w:t>
      </w:r>
    </w:p>
    <w:p w14:paraId="5F559507" w14:textId="77777777" w:rsidR="003D3626" w:rsidRPr="008034CE" w:rsidRDefault="003D3626" w:rsidP="003D3626">
      <w:pPr>
        <w:rPr>
          <w:rStyle w:val="CaptionChar"/>
          <w:rFonts w:eastAsia="Arial" w:cs="Arial"/>
          <w:i w:val="0"/>
        </w:rPr>
      </w:pPr>
      <w:r w:rsidRPr="008034CE">
        <w:rPr>
          <w:rFonts w:eastAsia="Arial" w:cs="Arial"/>
        </w:rPr>
        <w:t>active registered providers accounted for between 0.6% and 1.2% of payments in each half year period. This has generally been at least doubled that of inactive registered providers, who represented just 0.3% or 0.4% of payments over the half-year periods.</w:t>
      </w:r>
    </w:p>
    <w:p w14:paraId="714317DD" w14:textId="07BEC0C8" w:rsidR="003D3626" w:rsidRPr="008034CE" w:rsidRDefault="003D3626" w:rsidP="003D3626">
      <w:pPr>
        <w:pStyle w:val="Caption"/>
      </w:pPr>
      <w:bookmarkStart w:id="314" w:name="_Ref195540756"/>
      <w:r w:rsidRPr="008034CE">
        <w:lastRenderedPageBreak/>
        <w:t xml:space="preserve">Figure </w:t>
      </w:r>
      <w:r w:rsidR="005763F9">
        <w:fldChar w:fldCharType="begin"/>
      </w:r>
      <w:r w:rsidR="005763F9">
        <w:instrText xml:space="preserve"> SEQ Figure \* ARABIC </w:instrText>
      </w:r>
      <w:r w:rsidR="005763F9">
        <w:fldChar w:fldCharType="separate"/>
      </w:r>
      <w:r w:rsidR="005763F9">
        <w:rPr>
          <w:noProof/>
        </w:rPr>
        <w:t>14</w:t>
      </w:r>
      <w:r w:rsidR="005763F9">
        <w:rPr>
          <w:noProof/>
        </w:rPr>
        <w:fldChar w:fldCharType="end"/>
      </w:r>
      <w:bookmarkEnd w:id="314"/>
      <w:r w:rsidRPr="008034CE">
        <w:t>: Registered Therapy Provider Activity Movements, January 2022 to December 2024</w:t>
      </w:r>
    </w:p>
    <w:p w14:paraId="35F76FD3" w14:textId="77777777" w:rsidR="003D3626" w:rsidRPr="008034CE" w:rsidRDefault="003D3626" w:rsidP="003D3626">
      <w:pPr>
        <w:keepNext/>
        <w:keepLines/>
        <w:jc w:val="center"/>
      </w:pPr>
      <w:r w:rsidRPr="008034CE">
        <w:rPr>
          <w:noProof/>
        </w:rPr>
        <w:drawing>
          <wp:inline distT="0" distB="0" distL="0" distR="0" wp14:anchorId="3DDE1182" wp14:editId="0B527DB9">
            <wp:extent cx="5229471" cy="3028950"/>
            <wp:effectExtent l="0" t="0" r="9525" b="0"/>
            <wp:docPr id="1345548777" name="Picture 6" descr="A column graph showing the activity movements of registered therapy providers from January 2022 to December 2024. New activity is measured as percent of total half-year payments, and inactivity is measured as percent of prior total half-year payments.&#10;&#10;From January to June 2022, inactivity was at 0.4% and new activity was at 1.2%.&#10;&#10;From July to December 2022, inactivity was at 0.3% and new activity was at 1.0%.&#10;&#10;From January to June 2023, inactivity was at 0.3% and new activity was at 0.9%.&#10;&#10;From July to December 2023, inactivity was at 0.3% and new activity was at 0.6%.&#10;&#10;From January to June 2024, inactivity was at 0.3% and new activity was at 1.1%.&#10;&#10;From July to December 2024, inactivity was at 0.4% and new activity was at 0.8%.&#10;&#10;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30">
                      <a:extLst>
                        <a:ext uri="{28A0092B-C50C-407E-A947-70E740481C1C}">
                          <a14:useLocalDpi xmlns:a14="http://schemas.microsoft.com/office/drawing/2010/main" val="0"/>
                        </a:ext>
                      </a:extLst>
                    </a:blip>
                    <a:stretch>
                      <a:fillRect/>
                    </a:stretch>
                  </pic:blipFill>
                  <pic:spPr>
                    <a:xfrm>
                      <a:off x="0" y="0"/>
                      <a:ext cx="5229471" cy="3028950"/>
                    </a:xfrm>
                    <a:prstGeom prst="rect">
                      <a:avLst/>
                    </a:prstGeom>
                  </pic:spPr>
                </pic:pic>
              </a:graphicData>
            </a:graphic>
          </wp:inline>
        </w:drawing>
      </w:r>
    </w:p>
    <w:p w14:paraId="7089B2EA" w14:textId="77777777" w:rsidR="003D3626" w:rsidRPr="008034CE" w:rsidRDefault="003D3626" w:rsidP="003D3626">
      <w:pPr>
        <w:rPr>
          <w:rFonts w:eastAsia="Arial" w:cs="Arial"/>
          <w:sz w:val="20"/>
          <w:szCs w:val="20"/>
        </w:rPr>
      </w:pPr>
      <w:r w:rsidRPr="008034CE">
        <w:rPr>
          <w:sz w:val="20"/>
          <w:szCs w:val="20"/>
        </w:rPr>
        <w:t xml:space="preserve">Note: </w:t>
      </w:r>
      <w:r w:rsidRPr="008034CE">
        <w:rPr>
          <w:rFonts w:eastAsia="Arial" w:cs="Arial"/>
          <w:sz w:val="20"/>
          <w:szCs w:val="20"/>
        </w:rPr>
        <w:t>‘New activity’ is characterised by providers receiving payments in the half-year who did not receive payments in the preceding half-year. Conversely, ‘inactivity’ refers to providers not receiving payments in a half-year after having received payments in the previous one. Each provider’s activity is quantified as a percentage of the total payments within that half-year for new activity, of the prior half-year for inactivity.</w:t>
      </w:r>
    </w:p>
    <w:p w14:paraId="6DA19CDD" w14:textId="77777777" w:rsidR="003D3626" w:rsidRPr="008034CE" w:rsidRDefault="003D3626" w:rsidP="003D3626">
      <w:pPr>
        <w:pStyle w:val="Heading3"/>
      </w:pPr>
      <w:bookmarkStart w:id="315" w:name="_Toc195538931"/>
      <w:bookmarkStart w:id="316" w:name="_Toc195538989"/>
      <w:bookmarkStart w:id="317" w:name="_Toc196754633"/>
      <w:bookmarkStart w:id="318" w:name="_Toc196758235"/>
      <w:bookmarkStart w:id="319" w:name="_Toc197344311"/>
      <w:bookmarkStart w:id="320" w:name="_Toc200271624"/>
      <w:r w:rsidRPr="008034CE">
        <w:t>Benchmarking Approach and Data Sources</w:t>
      </w:r>
      <w:bookmarkEnd w:id="315"/>
      <w:bookmarkEnd w:id="316"/>
      <w:bookmarkEnd w:id="317"/>
      <w:bookmarkEnd w:id="318"/>
      <w:bookmarkEnd w:id="319"/>
      <w:bookmarkEnd w:id="320"/>
    </w:p>
    <w:p w14:paraId="6C0BACD0" w14:textId="77777777" w:rsidR="003D3626" w:rsidRPr="008034CE" w:rsidRDefault="003D3626" w:rsidP="003D3626">
      <w:pPr>
        <w:pStyle w:val="Heading4"/>
      </w:pPr>
      <w:bookmarkStart w:id="321" w:name="_Toc195538932"/>
      <w:bookmarkStart w:id="322" w:name="_Toc200103512"/>
      <w:bookmarkStart w:id="323" w:name="_Toc200271625"/>
      <w:r w:rsidRPr="008034CE">
        <w:t>Benchmarking Approach and Improved Data Sources</w:t>
      </w:r>
      <w:bookmarkEnd w:id="321"/>
      <w:bookmarkEnd w:id="322"/>
      <w:bookmarkEnd w:id="323"/>
      <w:r w:rsidRPr="008034CE">
        <w:t xml:space="preserve"> </w:t>
      </w:r>
    </w:p>
    <w:p w14:paraId="16F1A25F" w14:textId="77777777" w:rsidR="003D3626" w:rsidRPr="008034CE" w:rsidRDefault="003D3626" w:rsidP="003D3626">
      <w:r w:rsidRPr="008034CE">
        <w:t xml:space="preserve">Benchmarking is an important input to inform the NDIA’s therapy pricing recommendations. It helps ensure that the NDIS therapy price limits remain fair and comparable to other services in the therapy markets. By comparing the NDIS price limits to prices charged in other systems, the NDIA assesses whether price limits continue to remain competitive, support quality, and provide value for money. </w:t>
      </w:r>
    </w:p>
    <w:p w14:paraId="2C27C798" w14:textId="22CD31D0" w:rsidR="004D29C4" w:rsidRPr="008034CE" w:rsidRDefault="003D3626" w:rsidP="004D29C4">
      <w:r w:rsidRPr="008034CE">
        <w:t>This year, the NDIA expanded the volume and quality of data on therapy rates to inform decision-making. This built upon previous data sources in website listings and comparable government funding schemes, which remain in this year’s analysis. The</w:t>
      </w:r>
      <w:r w:rsidR="008D60AB">
        <w:t xml:space="preserve"> </w:t>
      </w:r>
      <w:r w:rsidR="004D29C4" w:rsidRPr="008034CE">
        <w:t>new Medicare Benefits Schedule (MBS) billing and Private Health Insurance (P</w:t>
      </w:r>
      <w:r w:rsidR="004D29C4" w:rsidRPr="008034CE">
        <w:rPr>
          <w:spacing w:val="-60"/>
        </w:rPr>
        <w:t xml:space="preserve"> </w:t>
      </w:r>
      <w:r w:rsidR="004D29C4" w:rsidRPr="008034CE">
        <w:t>H</w:t>
      </w:r>
      <w:r w:rsidR="004D29C4" w:rsidRPr="008034CE">
        <w:rPr>
          <w:spacing w:val="-60"/>
        </w:rPr>
        <w:t xml:space="preserve"> </w:t>
      </w:r>
      <w:r w:rsidR="004D29C4" w:rsidRPr="008034CE">
        <w:t xml:space="preserve">I) data allow for greater insight into the actual transactions that occur within the broader marketplace and thus significantly improve the accuracy and coverage of analyses than were previously done. The NDIA is committed to continuous improvement of pricing methodology, as well as better data sources to inform greater </w:t>
      </w:r>
      <w:r w:rsidR="004D29C4" w:rsidRPr="008034CE">
        <w:lastRenderedPageBreak/>
        <w:t xml:space="preserve">market monitoring and transparent pricing. This also in turn informs NDIS pricing impacts on the broader care sector. </w:t>
      </w:r>
    </w:p>
    <w:p w14:paraId="1D89C8DC" w14:textId="77777777" w:rsidR="00A97372" w:rsidRDefault="00A97372" w:rsidP="004D29C4">
      <w:r w:rsidRPr="00A97372">
        <w:t>The benchmarking analysis uses the 75</w:t>
      </w:r>
      <w:r w:rsidRPr="00A97372">
        <w:rPr>
          <w:vertAlign w:val="superscript"/>
        </w:rPr>
        <w:t>th</w:t>
      </w:r>
      <w:r w:rsidRPr="00A97372">
        <w:t xml:space="preserve"> percentile of observed pricing as a reference point for comparing NDIS price limits to broader market rates. It does not represent a pricing target. Rather, the NDIA uses this benchmark to understand where NDIS price limits sit in the market and to inform where changes are supported by sufficient and reliable evidence. Any adjustments are being made incrementally and with the impacts on markets to be monitored.</w:t>
      </w:r>
      <w:r>
        <w:t xml:space="preserve"> </w:t>
      </w:r>
    </w:p>
    <w:p w14:paraId="4282D354" w14:textId="1E64D69B" w:rsidR="004D29C4" w:rsidRPr="008034CE" w:rsidRDefault="004D29C4" w:rsidP="004D29C4">
      <w:r w:rsidRPr="008034CE">
        <w:t>It is important to note that benchmarking analysis provides a market comparison, however, it is not intended to be a costing exercise. This analysis reflects the final price providers charge – not the costs of service delivery. In setting prices, the NDIA also considers how pricing influences provider behaviour, shapes market structure, supports market development, and ensures that services remain available and responsive to participant needs.</w:t>
      </w:r>
    </w:p>
    <w:p w14:paraId="2FF21CE7" w14:textId="6746B94F" w:rsidR="004D29C4" w:rsidRPr="008034CE" w:rsidRDefault="004D29C4" w:rsidP="004D29C4">
      <w:r w:rsidRPr="008034CE">
        <w:t>In this review, benchmarking forms the evidence base for decisions about whether prices should be maintained, revised, or restructured for the 2025-26 financial year. To ensure robust market comparisons, this review draws on four complementary sources:</w:t>
      </w:r>
    </w:p>
    <w:p w14:paraId="764B8628" w14:textId="77777777" w:rsidR="004D29C4" w:rsidRPr="008034CE" w:rsidRDefault="004D29C4" w:rsidP="0010695B">
      <w:pPr>
        <w:pStyle w:val="ListParagraph"/>
        <w:numPr>
          <w:ilvl w:val="0"/>
          <w:numId w:val="27"/>
        </w:numPr>
        <w:spacing w:line="288" w:lineRule="auto"/>
      </w:pPr>
      <w:r w:rsidRPr="008034CE">
        <w:rPr>
          <w:b/>
          <w:bCs/>
        </w:rPr>
        <w:t xml:space="preserve">Medicare Benefits Schedule (MBS) Full Fee Data: </w:t>
      </w:r>
      <w:r w:rsidRPr="008034CE">
        <w:t>The NDIA accessed de-identified, aggregated data showing the full fee charged to patients, inclusive of both the government rebate and the patient’s co-payment. This provides an accurate reflection of the market rate set by providers. The data was provided in aggregated form across therapy types, presented in quartiles (25</w:t>
      </w:r>
      <w:r w:rsidRPr="008034CE">
        <w:rPr>
          <w:vertAlign w:val="superscript"/>
        </w:rPr>
        <w:t>th</w:t>
      </w:r>
      <w:r w:rsidRPr="008034CE">
        <w:t>, median, 75</w:t>
      </w:r>
      <w:r w:rsidRPr="008034CE">
        <w:rPr>
          <w:vertAlign w:val="superscript"/>
        </w:rPr>
        <w:t>th</w:t>
      </w:r>
      <w:r w:rsidRPr="008034CE">
        <w:t xml:space="preserve"> percentile), which supports benchmarking against typical and upper-end provider charges. </w:t>
      </w:r>
    </w:p>
    <w:p w14:paraId="4A66AE3B" w14:textId="1C95985E" w:rsidR="004D29C4" w:rsidRDefault="004D29C4" w:rsidP="0010695B">
      <w:pPr>
        <w:pStyle w:val="ListParagraph"/>
        <w:numPr>
          <w:ilvl w:val="0"/>
          <w:numId w:val="27"/>
        </w:numPr>
        <w:spacing w:line="288" w:lineRule="auto"/>
      </w:pPr>
      <w:r w:rsidRPr="008034CE">
        <w:rPr>
          <w:b/>
          <w:bCs/>
        </w:rPr>
        <w:t>Private Health Insurance (P</w:t>
      </w:r>
      <w:r w:rsidRPr="008034CE">
        <w:rPr>
          <w:b/>
          <w:bCs/>
          <w:spacing w:val="-60"/>
        </w:rPr>
        <w:t xml:space="preserve"> </w:t>
      </w:r>
      <w:r w:rsidRPr="008034CE">
        <w:rPr>
          <w:b/>
          <w:bCs/>
        </w:rPr>
        <w:t>H</w:t>
      </w:r>
      <w:r w:rsidRPr="008034CE">
        <w:rPr>
          <w:b/>
          <w:bCs/>
          <w:spacing w:val="-60"/>
        </w:rPr>
        <w:t xml:space="preserve"> </w:t>
      </w:r>
      <w:r w:rsidRPr="008034CE">
        <w:rPr>
          <w:b/>
          <w:bCs/>
        </w:rPr>
        <w:t>I) Claims Data:</w:t>
      </w:r>
      <w:r w:rsidRPr="008034CE">
        <w:t xml:space="preserve"> Based on de-identified transaction data from a major insurer, this source reflects typical provider charges across different therapies in the private sector. Data is similarly presented in aggregated quartiles. </w:t>
      </w:r>
    </w:p>
    <w:p w14:paraId="0189EEF0" w14:textId="77777777" w:rsidR="004D29C4" w:rsidRPr="008034CE" w:rsidRDefault="004D29C4" w:rsidP="0010695B">
      <w:pPr>
        <w:pStyle w:val="ListParagraph"/>
        <w:numPr>
          <w:ilvl w:val="0"/>
          <w:numId w:val="27"/>
        </w:numPr>
        <w:spacing w:line="288" w:lineRule="auto"/>
      </w:pPr>
      <w:r w:rsidRPr="008034CE">
        <w:rPr>
          <w:b/>
          <w:bCs/>
        </w:rPr>
        <w:t>Website listings:</w:t>
      </w:r>
      <w:r w:rsidRPr="008034CE">
        <w:t xml:space="preserve"> Previously developed in the Annual Pricing Review (named as private billing rates), a sample of published fees on provider websites, is used to supplement other sources. These are not transaction-based and may reflect NDIS price limit anchoring or high-visibility pricing strategies.</w:t>
      </w:r>
    </w:p>
    <w:p w14:paraId="71A06D71" w14:textId="77777777" w:rsidR="008D60AB" w:rsidRDefault="008D60AB">
      <w:pPr>
        <w:spacing w:before="120" w:after="120"/>
        <w:rPr>
          <w:b/>
          <w:bCs/>
        </w:rPr>
      </w:pPr>
      <w:r>
        <w:rPr>
          <w:b/>
          <w:bCs/>
        </w:rPr>
        <w:br w:type="page"/>
      </w:r>
    </w:p>
    <w:p w14:paraId="23A02024" w14:textId="1F3FE77D" w:rsidR="004D29C4" w:rsidRPr="008034CE" w:rsidRDefault="004D29C4" w:rsidP="0010695B">
      <w:pPr>
        <w:pStyle w:val="ListParagraph"/>
        <w:numPr>
          <w:ilvl w:val="0"/>
          <w:numId w:val="27"/>
        </w:numPr>
        <w:spacing w:line="288" w:lineRule="auto"/>
      </w:pPr>
      <w:r w:rsidRPr="008034CE">
        <w:rPr>
          <w:b/>
          <w:bCs/>
        </w:rPr>
        <w:lastRenderedPageBreak/>
        <w:t>Comparable Government Schemes:</w:t>
      </w:r>
      <w:r w:rsidRPr="008034CE">
        <w:t xml:space="preserve"> Pricing data from 13 Commonwealth and State schemes, including Transport Accident Commission (T</w:t>
      </w:r>
      <w:r w:rsidRPr="008034CE">
        <w:rPr>
          <w:spacing w:val="-60"/>
        </w:rPr>
        <w:t xml:space="preserve"> </w:t>
      </w:r>
      <w:r w:rsidRPr="008034CE">
        <w:t>A</w:t>
      </w:r>
      <w:r w:rsidRPr="008034CE">
        <w:rPr>
          <w:spacing w:val="-60"/>
        </w:rPr>
        <w:t xml:space="preserve"> </w:t>
      </w:r>
      <w:r w:rsidRPr="008034CE">
        <w:t>C), State Insurance Regulatory Authority New South Wales (S</w:t>
      </w:r>
      <w:r w:rsidRPr="008034CE">
        <w:rPr>
          <w:spacing w:val="-60"/>
        </w:rPr>
        <w:t xml:space="preserve"> </w:t>
      </w:r>
      <w:r w:rsidRPr="008034CE">
        <w:t>I</w:t>
      </w:r>
      <w:r w:rsidRPr="008034CE">
        <w:rPr>
          <w:spacing w:val="-60"/>
        </w:rPr>
        <w:t xml:space="preserve"> </w:t>
      </w:r>
      <w:r w:rsidRPr="008034CE">
        <w:t>R</w:t>
      </w:r>
      <w:r w:rsidRPr="008034CE">
        <w:rPr>
          <w:spacing w:val="-60"/>
        </w:rPr>
        <w:t xml:space="preserve"> </w:t>
      </w:r>
      <w:r w:rsidRPr="008034CE">
        <w:t>A), and Department of Veteran’s Affairs (DVA). These benchmarks reflect price limits in other regulated non-NDIS environments.</w:t>
      </w:r>
    </w:p>
    <w:p w14:paraId="50FDCC56" w14:textId="77777777" w:rsidR="004D29C4" w:rsidRPr="008034CE" w:rsidRDefault="004D29C4" w:rsidP="004D29C4">
      <w:r w:rsidRPr="008034CE">
        <w:t>Together, these sources provide a broader comparison of how therapy services are priced across a range of funding contexts.</w:t>
      </w:r>
    </w:p>
    <w:p w14:paraId="3394DA9E" w14:textId="77777777" w:rsidR="004D29C4" w:rsidRPr="008034CE" w:rsidRDefault="004D29C4" w:rsidP="004D29C4">
      <w:pPr>
        <w:pStyle w:val="Heading4"/>
      </w:pPr>
      <w:bookmarkStart w:id="324" w:name="_Toc200103513"/>
      <w:bookmarkStart w:id="325" w:name="_Toc200271626"/>
      <w:bookmarkStart w:id="326" w:name="_Toc195538933"/>
      <w:r w:rsidRPr="008034CE">
        <w:t>Estimating Hourly Rates from Session Based Pricing</w:t>
      </w:r>
      <w:bookmarkEnd w:id="324"/>
      <w:bookmarkEnd w:id="325"/>
      <w:r w:rsidRPr="008034CE">
        <w:t xml:space="preserve"> </w:t>
      </w:r>
      <w:bookmarkEnd w:id="326"/>
    </w:p>
    <w:p w14:paraId="7093B99C" w14:textId="77777777" w:rsidR="004D29C4" w:rsidRPr="008034CE" w:rsidRDefault="004D29C4" w:rsidP="004D29C4">
      <w:r w:rsidRPr="008034CE">
        <w:t xml:space="preserve">Approaches to therapy pricing differ across systems in the care sector. While the NDIS uses hourly price limits that account for both direct and indirect time, other systems typically pay for shorter, direct-care sessions. To enable meaningful comparison, the NDIA uses statistical methods to estimate the implied hourly rates. </w:t>
      </w:r>
    </w:p>
    <w:p w14:paraId="6E448A2F" w14:textId="08D39C84" w:rsidR="004D29C4" w:rsidRPr="008034CE" w:rsidRDefault="004D29C4" w:rsidP="004D29C4">
      <w:r w:rsidRPr="008034CE">
        <w:t>Given that both MBS and P</w:t>
      </w:r>
      <w:r w:rsidRPr="008034CE">
        <w:rPr>
          <w:spacing w:val="-60"/>
        </w:rPr>
        <w:t xml:space="preserve"> </w:t>
      </w:r>
      <w:r w:rsidRPr="008034CE">
        <w:t>H</w:t>
      </w:r>
      <w:r w:rsidRPr="008034CE">
        <w:rPr>
          <w:spacing w:val="-60"/>
        </w:rPr>
        <w:t xml:space="preserve"> </w:t>
      </w:r>
      <w:r w:rsidRPr="008034CE">
        <w:t>I data lack actual session length data, a regression analysis of 1,738 published website listings (combining 2024 and 2025 collections for 8 therapy types) is undertaken to estimate the implied session length. The model examined the relationship between listed price and session length, was then cross validated using MBS and P</w:t>
      </w:r>
      <w:r w:rsidRPr="008034CE">
        <w:rPr>
          <w:spacing w:val="-60"/>
        </w:rPr>
        <w:t xml:space="preserve"> </w:t>
      </w:r>
      <w:r w:rsidRPr="008034CE">
        <w:t>H</w:t>
      </w:r>
      <w:r w:rsidRPr="008034CE">
        <w:rPr>
          <w:spacing w:val="-60"/>
        </w:rPr>
        <w:t xml:space="preserve"> </w:t>
      </w:r>
      <w:r w:rsidRPr="008034CE">
        <w:t>I item descriptors (detailed descriptions of the specific services or procedures covered by the appropriate item code). The NDIA also consulted with allied health peak bodies and providers to gain specific insights. This information allows the NDIA to estimate durations at key percentiles (25</w:t>
      </w:r>
      <w:r w:rsidRPr="008034CE">
        <w:rPr>
          <w:vertAlign w:val="superscript"/>
        </w:rPr>
        <w:t>th</w:t>
      </w:r>
      <w:r w:rsidRPr="008034CE">
        <w:t>, median, 75</w:t>
      </w:r>
      <w:r w:rsidRPr="008034CE">
        <w:rPr>
          <w:vertAlign w:val="superscript"/>
        </w:rPr>
        <w:t>th</w:t>
      </w:r>
      <w:r w:rsidRPr="008034CE">
        <w:t>) for each therapy and across different data sources (</w:t>
      </w:r>
      <w:r w:rsidRPr="008034CE">
        <w:fldChar w:fldCharType="begin"/>
      </w:r>
      <w:r w:rsidRPr="008034CE">
        <w:instrText xml:space="preserve"> REF _Ref195540271 \h  \* MERGEFORMAT </w:instrText>
      </w:r>
      <w:r w:rsidRPr="008034CE">
        <w:fldChar w:fldCharType="separate"/>
      </w:r>
      <w:r w:rsidR="005763F9" w:rsidRPr="008034CE">
        <w:t xml:space="preserve">Table </w:t>
      </w:r>
      <w:r w:rsidR="005763F9">
        <w:t>21</w:t>
      </w:r>
      <w:r w:rsidRPr="008034CE">
        <w:fldChar w:fldCharType="end"/>
      </w:r>
      <w:r w:rsidRPr="008034CE">
        <w:t xml:space="preserve">). </w:t>
      </w:r>
    </w:p>
    <w:p w14:paraId="5676184C" w14:textId="77777777" w:rsidR="004D29C4" w:rsidRPr="008034CE" w:rsidRDefault="004D29C4" w:rsidP="004D29C4">
      <w:r w:rsidRPr="008034CE">
        <w:t>The estimated durations were then paired with MBS and P</w:t>
      </w:r>
      <w:r w:rsidRPr="008034CE">
        <w:rPr>
          <w:spacing w:val="-60"/>
        </w:rPr>
        <w:t xml:space="preserve"> </w:t>
      </w:r>
      <w:r w:rsidRPr="008034CE">
        <w:t>H</w:t>
      </w:r>
      <w:r w:rsidRPr="008034CE">
        <w:rPr>
          <w:spacing w:val="-60"/>
        </w:rPr>
        <w:t xml:space="preserve"> </w:t>
      </w:r>
      <w:r w:rsidRPr="008034CE">
        <w:t>I quartiles to derive hourly equivalents. For example, if the median MBS price for dietetics is $58 with an estimated session duration of 30 minutes, this equates to an hourly rate of $116. If the 75</w:t>
      </w:r>
      <w:r w:rsidRPr="008034CE">
        <w:rPr>
          <w:vertAlign w:val="superscript"/>
        </w:rPr>
        <w:t>th</w:t>
      </w:r>
      <w:r w:rsidRPr="008034CE">
        <w:t xml:space="preserve"> percentile is $88 with a 38-minute session, the estimated hourly rate becomes $141. </w:t>
      </w:r>
    </w:p>
    <w:p w14:paraId="0B8EF2C1" w14:textId="77777777" w:rsidR="004D29C4" w:rsidRPr="008034CE" w:rsidRDefault="004D29C4" w:rsidP="004D29C4">
      <w:r w:rsidRPr="008034CE">
        <w:t xml:space="preserve">This process allows NDIS price limits, which are uniquely set at hourly, to be meaningfully compared to other session-based pricing approaches. With the additional information and data received by the NDIA this year, the benchmarking analysis provides a better reflection of real transactions that occur in the therapy market, outside of the NDIS. These new sources of information provide greater confidence in the APR and its pricing consideration. </w:t>
      </w:r>
    </w:p>
    <w:p w14:paraId="0A4BE4CF" w14:textId="58F9C6D1" w:rsidR="004D29C4" w:rsidRDefault="004D29C4">
      <w:pPr>
        <w:spacing w:before="120" w:after="120"/>
      </w:pPr>
      <w:r>
        <w:br w:type="page"/>
      </w:r>
    </w:p>
    <w:p w14:paraId="4C861D0B" w14:textId="77777777" w:rsidR="00ED232E" w:rsidRPr="008034CE" w:rsidRDefault="00ED232E" w:rsidP="00ED232E">
      <w:r w:rsidRPr="008034CE">
        <w:lastRenderedPageBreak/>
        <w:t xml:space="preserve">The NDIA acknowledges that the therapy </w:t>
      </w:r>
      <w:r w:rsidRPr="008034CE" w:rsidDel="002E1869">
        <w:t>market</w:t>
      </w:r>
      <w:r w:rsidRPr="008034CE">
        <w:t xml:space="preserve"> is maturer than most other disability support markets, with much higher degree of competition for therapy services from consumers outside of the NDIS. As such, the NDIA considers it is appropriate that the 75th percentile in terms of session length is used as the key benchmark for comparisons to MBS and P</w:t>
      </w:r>
      <w:r w:rsidRPr="008034CE">
        <w:rPr>
          <w:spacing w:val="-60"/>
        </w:rPr>
        <w:t xml:space="preserve"> </w:t>
      </w:r>
      <w:r w:rsidRPr="008034CE">
        <w:t>H</w:t>
      </w:r>
      <w:r w:rsidRPr="008034CE">
        <w:rPr>
          <w:spacing w:val="-60"/>
        </w:rPr>
        <w:t xml:space="preserve"> </w:t>
      </w:r>
      <w:r w:rsidRPr="008034CE">
        <w:t xml:space="preserve">I datasets as it reflects the upper range of observed market pricing, without being distorted by outliers. This continues to balance participant choice, allowing a diverse provider market, and value-for-money. </w:t>
      </w:r>
    </w:p>
    <w:p w14:paraId="50150709" w14:textId="276EEB15" w:rsidR="00ED232E" w:rsidRPr="008034CE" w:rsidRDefault="00ED232E" w:rsidP="00ED232E">
      <w:pPr>
        <w:pStyle w:val="Caption"/>
      </w:pPr>
      <w:bookmarkStart w:id="327" w:name="_Ref195540271"/>
      <w:r w:rsidRPr="008034CE">
        <w:t xml:space="preserve">Table </w:t>
      </w:r>
      <w:r w:rsidR="005763F9">
        <w:fldChar w:fldCharType="begin"/>
      </w:r>
      <w:r w:rsidR="005763F9">
        <w:instrText xml:space="preserve"> SEQ Table \* ARABIC </w:instrText>
      </w:r>
      <w:r w:rsidR="005763F9">
        <w:fldChar w:fldCharType="separate"/>
      </w:r>
      <w:r w:rsidR="005763F9">
        <w:rPr>
          <w:noProof/>
        </w:rPr>
        <w:t>21</w:t>
      </w:r>
      <w:r w:rsidR="005763F9">
        <w:rPr>
          <w:noProof/>
        </w:rPr>
        <w:fldChar w:fldCharType="end"/>
      </w:r>
      <w:bookmarkEnd w:id="327"/>
      <w:r w:rsidRPr="008034CE">
        <w:t>: Reference session times at selected price quartiles, by P</w:t>
      </w:r>
      <w:r w:rsidRPr="008034CE">
        <w:rPr>
          <w:spacing w:val="-60"/>
        </w:rPr>
        <w:t xml:space="preserve"> </w:t>
      </w:r>
      <w:r w:rsidRPr="008034CE">
        <w:t>H</w:t>
      </w:r>
      <w:r w:rsidRPr="008034CE">
        <w:rPr>
          <w:spacing w:val="-60"/>
        </w:rPr>
        <w:t xml:space="preserve"> </w:t>
      </w:r>
      <w:r w:rsidRPr="008034CE">
        <w:t>I and MBS</w:t>
      </w:r>
    </w:p>
    <w:tbl>
      <w:tblPr>
        <w:tblW w:w="9003" w:type="dxa"/>
        <w:jc w:val="center"/>
        <w:tblLook w:val="04A0" w:firstRow="1" w:lastRow="0" w:firstColumn="1" w:lastColumn="0" w:noHBand="0" w:noVBand="1"/>
      </w:tblPr>
      <w:tblGrid>
        <w:gridCol w:w="2211"/>
        <w:gridCol w:w="1179"/>
        <w:gridCol w:w="1871"/>
        <w:gridCol w:w="1871"/>
        <w:gridCol w:w="1871"/>
      </w:tblGrid>
      <w:tr w:rsidR="00741063" w:rsidRPr="007C1E37" w14:paraId="6880936C" w14:textId="77777777" w:rsidTr="004629FE">
        <w:trPr>
          <w:trHeight w:val="1304"/>
          <w:jc w:val="center"/>
        </w:trPr>
        <w:tc>
          <w:tcPr>
            <w:tcW w:w="2211" w:type="dxa"/>
            <w:tcBorders>
              <w:top w:val="nil"/>
              <w:left w:val="nil"/>
              <w:bottom w:val="dotted" w:sz="4" w:space="0" w:color="auto"/>
              <w:right w:val="single" w:sz="4" w:space="0" w:color="auto"/>
            </w:tcBorders>
            <w:shd w:val="clear" w:color="auto" w:fill="6B2976"/>
            <w:vAlign w:val="center"/>
            <w:hideMark/>
          </w:tcPr>
          <w:p w14:paraId="4E139223" w14:textId="4D889FD5" w:rsidR="009714AA" w:rsidRPr="007C1E37" w:rsidRDefault="00741063" w:rsidP="00741063">
            <w:pPr>
              <w:spacing w:after="0" w:line="240" w:lineRule="auto"/>
              <w:jc w:val="center"/>
              <w:rPr>
                <w:rFonts w:asciiTheme="majorHAnsi" w:hAnsiTheme="majorHAnsi" w:cstheme="majorBidi"/>
                <w:b/>
                <w:color w:val="FFFFFF"/>
                <w:sz w:val="22"/>
                <w:szCs w:val="22"/>
                <w:lang w:eastAsia="en-AU"/>
              </w:rPr>
            </w:pPr>
            <w:r>
              <w:rPr>
                <w:rFonts w:asciiTheme="majorHAnsi" w:hAnsiTheme="majorHAnsi" w:cstheme="majorBidi"/>
                <w:b/>
                <w:color w:val="FFFFFF"/>
                <w:sz w:val="22"/>
                <w:szCs w:val="22"/>
                <w:lang w:eastAsia="en-AU"/>
              </w:rPr>
              <w:t>Therapy</w:t>
            </w:r>
          </w:p>
        </w:tc>
        <w:tc>
          <w:tcPr>
            <w:tcW w:w="1179" w:type="dxa"/>
            <w:tcBorders>
              <w:top w:val="nil"/>
              <w:left w:val="single" w:sz="4" w:space="0" w:color="auto"/>
              <w:right w:val="single" w:sz="4" w:space="0" w:color="auto"/>
            </w:tcBorders>
            <w:shd w:val="clear" w:color="auto" w:fill="6B2976"/>
            <w:noWrap/>
            <w:vAlign w:val="center"/>
            <w:hideMark/>
          </w:tcPr>
          <w:p w14:paraId="5FDA37D5" w14:textId="5D1F51C2" w:rsidR="009714AA" w:rsidRPr="007C1E37" w:rsidRDefault="009714AA" w:rsidP="00741063">
            <w:pPr>
              <w:spacing w:after="0" w:line="240" w:lineRule="auto"/>
              <w:jc w:val="center"/>
              <w:rPr>
                <w:rFonts w:asciiTheme="majorHAnsi" w:hAnsiTheme="majorHAnsi" w:cstheme="majorBidi"/>
                <w:b/>
                <w:color w:val="FFFFFF"/>
                <w:sz w:val="22"/>
                <w:szCs w:val="22"/>
                <w:lang w:eastAsia="en-AU"/>
              </w:rPr>
            </w:pPr>
            <w:r w:rsidRPr="007C1E37">
              <w:rPr>
                <w:rFonts w:asciiTheme="majorHAnsi" w:hAnsiTheme="majorHAnsi" w:cstheme="majorBidi"/>
                <w:b/>
                <w:color w:val="FFFFFF"/>
                <w:sz w:val="22"/>
                <w:szCs w:val="22"/>
                <w:lang w:eastAsia="en-AU"/>
              </w:rPr>
              <w:t>Source</w:t>
            </w:r>
          </w:p>
        </w:tc>
        <w:tc>
          <w:tcPr>
            <w:tcW w:w="1871" w:type="dxa"/>
            <w:tcBorders>
              <w:top w:val="nil"/>
              <w:left w:val="single" w:sz="4" w:space="0" w:color="auto"/>
              <w:right w:val="nil"/>
            </w:tcBorders>
            <w:shd w:val="clear" w:color="auto" w:fill="6B2976"/>
            <w:noWrap/>
            <w:vAlign w:val="center"/>
            <w:hideMark/>
          </w:tcPr>
          <w:p w14:paraId="519CCE87" w14:textId="478164BE" w:rsidR="009714AA" w:rsidRPr="007C1E37" w:rsidRDefault="00741063" w:rsidP="00741063">
            <w:pPr>
              <w:spacing w:after="0" w:line="240" w:lineRule="auto"/>
              <w:jc w:val="center"/>
              <w:rPr>
                <w:rFonts w:asciiTheme="majorHAnsi" w:hAnsiTheme="majorHAnsi" w:cstheme="majorBidi"/>
                <w:b/>
                <w:color w:val="FFFFFF"/>
                <w:sz w:val="22"/>
                <w:szCs w:val="22"/>
                <w:lang w:eastAsia="en-AU"/>
              </w:rPr>
            </w:pPr>
            <w:r w:rsidRPr="007C1E37">
              <w:rPr>
                <w:rFonts w:asciiTheme="majorHAnsi" w:hAnsiTheme="majorHAnsi" w:cstheme="majorBidi"/>
                <w:b/>
                <w:color w:val="FFFFFF"/>
                <w:sz w:val="22"/>
                <w:szCs w:val="22"/>
                <w:lang w:eastAsia="en-AU"/>
              </w:rPr>
              <w:t>Average Session Length (Minutes) at</w:t>
            </w:r>
            <w:r>
              <w:rPr>
                <w:rFonts w:asciiTheme="majorHAnsi" w:hAnsiTheme="majorHAnsi" w:cstheme="majorBidi"/>
                <w:b/>
                <w:color w:val="FFFFFF"/>
                <w:sz w:val="22"/>
                <w:szCs w:val="22"/>
                <w:lang w:eastAsia="en-AU"/>
              </w:rPr>
              <w:t> </w:t>
            </w:r>
            <w:r w:rsidR="009714AA" w:rsidRPr="007C1E37">
              <w:rPr>
                <w:rFonts w:asciiTheme="majorHAnsi" w:hAnsiTheme="majorHAnsi" w:cstheme="majorBidi"/>
                <w:b/>
                <w:color w:val="FFFFFF"/>
                <w:sz w:val="22"/>
                <w:szCs w:val="22"/>
                <w:lang w:eastAsia="en-AU"/>
              </w:rPr>
              <w:t>First Price</w:t>
            </w:r>
            <w:r>
              <w:rPr>
                <w:rFonts w:asciiTheme="majorHAnsi" w:hAnsiTheme="majorHAnsi" w:cstheme="majorBidi"/>
                <w:b/>
                <w:color w:val="FFFFFF"/>
                <w:sz w:val="22"/>
                <w:szCs w:val="22"/>
                <w:lang w:eastAsia="en-AU"/>
              </w:rPr>
              <w:t xml:space="preserve"> </w:t>
            </w:r>
            <w:r w:rsidR="009714AA" w:rsidRPr="007C1E37">
              <w:rPr>
                <w:rFonts w:asciiTheme="majorHAnsi" w:hAnsiTheme="majorHAnsi" w:cstheme="majorBidi"/>
                <w:b/>
                <w:color w:val="FFFFFF"/>
                <w:sz w:val="22"/>
                <w:szCs w:val="22"/>
                <w:lang w:eastAsia="en-AU"/>
              </w:rPr>
              <w:t>Quartile</w:t>
            </w:r>
          </w:p>
        </w:tc>
        <w:tc>
          <w:tcPr>
            <w:tcW w:w="1871" w:type="dxa"/>
            <w:tcBorders>
              <w:top w:val="nil"/>
              <w:left w:val="nil"/>
              <w:right w:val="nil"/>
            </w:tcBorders>
            <w:shd w:val="clear" w:color="auto" w:fill="6B2976"/>
            <w:noWrap/>
            <w:vAlign w:val="center"/>
            <w:hideMark/>
          </w:tcPr>
          <w:p w14:paraId="07ABFD51" w14:textId="09F8154C" w:rsidR="009714AA" w:rsidRPr="007C1E37" w:rsidRDefault="00741063" w:rsidP="00741063">
            <w:pPr>
              <w:spacing w:after="0" w:line="240" w:lineRule="auto"/>
              <w:jc w:val="center"/>
              <w:rPr>
                <w:rFonts w:asciiTheme="majorHAnsi" w:hAnsiTheme="majorHAnsi" w:cstheme="majorBidi"/>
                <w:b/>
                <w:color w:val="FFFFFF"/>
                <w:sz w:val="22"/>
                <w:szCs w:val="22"/>
                <w:lang w:eastAsia="en-AU"/>
              </w:rPr>
            </w:pPr>
            <w:r w:rsidRPr="007C1E37">
              <w:rPr>
                <w:rFonts w:asciiTheme="majorHAnsi" w:hAnsiTheme="majorHAnsi" w:cstheme="majorBidi"/>
                <w:b/>
                <w:color w:val="FFFFFF"/>
                <w:sz w:val="22"/>
                <w:szCs w:val="22"/>
                <w:lang w:eastAsia="en-AU"/>
              </w:rPr>
              <w:t>Average Session Length (Minutes) at</w:t>
            </w:r>
            <w:r>
              <w:rPr>
                <w:rFonts w:asciiTheme="majorHAnsi" w:hAnsiTheme="majorHAnsi" w:cstheme="majorBidi"/>
                <w:b/>
                <w:color w:val="FFFFFF"/>
                <w:sz w:val="22"/>
                <w:szCs w:val="22"/>
                <w:lang w:eastAsia="en-AU"/>
              </w:rPr>
              <w:t xml:space="preserve"> </w:t>
            </w:r>
            <w:r w:rsidR="009714AA" w:rsidRPr="007C1E37">
              <w:rPr>
                <w:rFonts w:asciiTheme="majorHAnsi" w:hAnsiTheme="majorHAnsi" w:cstheme="majorBidi"/>
                <w:b/>
                <w:color w:val="FFFFFF"/>
                <w:sz w:val="22"/>
                <w:szCs w:val="22"/>
                <w:lang w:eastAsia="en-AU"/>
              </w:rPr>
              <w:t>Median Price</w:t>
            </w:r>
          </w:p>
        </w:tc>
        <w:tc>
          <w:tcPr>
            <w:tcW w:w="1871" w:type="dxa"/>
            <w:tcBorders>
              <w:top w:val="nil"/>
              <w:left w:val="nil"/>
            </w:tcBorders>
            <w:shd w:val="clear" w:color="auto" w:fill="6B2976"/>
            <w:noWrap/>
            <w:vAlign w:val="center"/>
            <w:hideMark/>
          </w:tcPr>
          <w:p w14:paraId="6C21D1F5" w14:textId="61BB3E8D" w:rsidR="009714AA" w:rsidRPr="007C1E37" w:rsidRDefault="00741063" w:rsidP="00741063">
            <w:pPr>
              <w:spacing w:after="0" w:line="240" w:lineRule="auto"/>
              <w:jc w:val="center"/>
              <w:rPr>
                <w:rFonts w:asciiTheme="majorHAnsi" w:hAnsiTheme="majorHAnsi" w:cstheme="majorBidi"/>
                <w:b/>
                <w:color w:val="FFFFFF"/>
                <w:sz w:val="22"/>
                <w:szCs w:val="22"/>
                <w:lang w:eastAsia="en-AU"/>
              </w:rPr>
            </w:pPr>
            <w:r w:rsidRPr="007C1E37">
              <w:rPr>
                <w:rFonts w:asciiTheme="majorHAnsi" w:hAnsiTheme="majorHAnsi" w:cstheme="majorBidi"/>
                <w:b/>
                <w:color w:val="FFFFFF"/>
                <w:sz w:val="22"/>
                <w:szCs w:val="22"/>
                <w:lang w:eastAsia="en-AU"/>
              </w:rPr>
              <w:t>Average Session Length (Minutes) at</w:t>
            </w:r>
            <w:r>
              <w:rPr>
                <w:rFonts w:asciiTheme="majorHAnsi" w:hAnsiTheme="majorHAnsi" w:cstheme="majorBidi"/>
                <w:b/>
                <w:color w:val="FFFFFF"/>
                <w:sz w:val="22"/>
                <w:szCs w:val="22"/>
                <w:lang w:eastAsia="en-AU"/>
              </w:rPr>
              <w:t xml:space="preserve"> </w:t>
            </w:r>
            <w:r w:rsidR="009714AA" w:rsidRPr="007C1E37">
              <w:rPr>
                <w:rFonts w:asciiTheme="majorHAnsi" w:hAnsiTheme="majorHAnsi" w:cstheme="majorBidi"/>
                <w:b/>
                <w:color w:val="FFFFFF"/>
                <w:sz w:val="22"/>
                <w:szCs w:val="22"/>
                <w:lang w:eastAsia="en-AU"/>
              </w:rPr>
              <w:t>Third Price Quartile</w:t>
            </w:r>
          </w:p>
        </w:tc>
      </w:tr>
      <w:tr w:rsidR="00741063" w:rsidRPr="007C1E37" w14:paraId="5DAF50C1" w14:textId="77777777" w:rsidTr="0078044C">
        <w:trPr>
          <w:trHeight w:val="249"/>
          <w:jc w:val="center"/>
        </w:trPr>
        <w:tc>
          <w:tcPr>
            <w:tcW w:w="2211" w:type="dxa"/>
            <w:tcBorders>
              <w:top w:val="dotted" w:sz="4" w:space="0" w:color="auto"/>
              <w:left w:val="nil"/>
              <w:right w:val="single" w:sz="4" w:space="0" w:color="auto"/>
            </w:tcBorders>
            <w:shd w:val="clear" w:color="auto" w:fill="6B2976"/>
            <w:vAlign w:val="center"/>
          </w:tcPr>
          <w:p w14:paraId="13923A49" w14:textId="0F48BF69" w:rsidR="00741063" w:rsidRDefault="00741063" w:rsidP="009271CE">
            <w:pPr>
              <w:spacing w:after="0" w:line="240" w:lineRule="auto"/>
              <w:rPr>
                <w:rFonts w:asciiTheme="majorHAnsi" w:hAnsiTheme="majorHAnsi" w:cstheme="majorBidi"/>
                <w:b/>
                <w:color w:val="FFFFFF"/>
                <w:sz w:val="22"/>
                <w:szCs w:val="22"/>
                <w:lang w:eastAsia="en-AU"/>
              </w:rPr>
            </w:pPr>
            <w:r>
              <w:rPr>
                <w:rFonts w:asciiTheme="majorHAnsi" w:hAnsiTheme="majorHAnsi" w:cstheme="majorBidi"/>
                <w:b/>
                <w:color w:val="FFFFFF"/>
                <w:sz w:val="22"/>
                <w:szCs w:val="22"/>
                <w:lang w:eastAsia="en-AU"/>
              </w:rPr>
              <w:t>Physiotherapy</w:t>
            </w:r>
          </w:p>
        </w:tc>
        <w:tc>
          <w:tcPr>
            <w:tcW w:w="1179" w:type="dxa"/>
            <w:tcBorders>
              <w:top w:val="nil"/>
              <w:left w:val="single" w:sz="4" w:space="0" w:color="auto"/>
              <w:right w:val="single" w:sz="4" w:space="0" w:color="auto"/>
            </w:tcBorders>
            <w:shd w:val="clear" w:color="auto" w:fill="auto"/>
            <w:noWrap/>
            <w:vAlign w:val="center"/>
          </w:tcPr>
          <w:p w14:paraId="6BD2C0EF" w14:textId="5EB942D1" w:rsidR="00741063" w:rsidRPr="007C1E37" w:rsidRDefault="009271CE" w:rsidP="00741063">
            <w:pPr>
              <w:spacing w:after="0" w:line="240" w:lineRule="auto"/>
              <w:jc w:val="center"/>
              <w:rPr>
                <w:rFonts w:asciiTheme="majorHAnsi" w:hAnsiTheme="majorHAnsi" w:cstheme="majorBidi"/>
                <w:b/>
                <w:color w:val="FFFFFF"/>
                <w:sz w:val="22"/>
                <w:szCs w:val="22"/>
                <w:lang w:eastAsia="en-AU"/>
              </w:rPr>
            </w:pPr>
            <w:r w:rsidRPr="007C1E37">
              <w:rPr>
                <w:rFonts w:asciiTheme="majorHAnsi" w:hAnsiTheme="majorHAnsi" w:cstheme="majorBidi"/>
                <w:sz w:val="22"/>
                <w:szCs w:val="22"/>
                <w:lang w:eastAsia="en-AU"/>
              </w:rPr>
              <w:t>PHI</w:t>
            </w:r>
          </w:p>
        </w:tc>
        <w:tc>
          <w:tcPr>
            <w:tcW w:w="1871" w:type="dxa"/>
            <w:tcBorders>
              <w:top w:val="nil"/>
              <w:left w:val="single" w:sz="4" w:space="0" w:color="auto"/>
              <w:right w:val="nil"/>
            </w:tcBorders>
            <w:shd w:val="clear" w:color="auto" w:fill="auto"/>
            <w:noWrap/>
            <w:vAlign w:val="center"/>
          </w:tcPr>
          <w:p w14:paraId="0F40766E" w14:textId="3ED4F763" w:rsidR="00741063" w:rsidRPr="007C1E37" w:rsidRDefault="009271CE" w:rsidP="00741063">
            <w:pPr>
              <w:spacing w:after="0" w:line="240" w:lineRule="auto"/>
              <w:jc w:val="center"/>
              <w:rPr>
                <w:rFonts w:asciiTheme="majorHAnsi" w:hAnsiTheme="majorHAnsi" w:cstheme="majorBidi"/>
                <w:b/>
                <w:color w:val="FFFFFF"/>
                <w:sz w:val="22"/>
                <w:szCs w:val="22"/>
                <w:lang w:eastAsia="en-AU"/>
              </w:rPr>
            </w:pPr>
            <w:r w:rsidRPr="007C1E37">
              <w:rPr>
                <w:rFonts w:asciiTheme="majorHAnsi" w:hAnsiTheme="majorHAnsi" w:cstheme="majorBidi"/>
                <w:sz w:val="22"/>
                <w:szCs w:val="22"/>
                <w:lang w:eastAsia="en-AU"/>
              </w:rPr>
              <w:t>43</w:t>
            </w:r>
          </w:p>
        </w:tc>
        <w:tc>
          <w:tcPr>
            <w:tcW w:w="1871" w:type="dxa"/>
            <w:tcBorders>
              <w:top w:val="nil"/>
              <w:left w:val="nil"/>
              <w:right w:val="nil"/>
            </w:tcBorders>
            <w:shd w:val="clear" w:color="auto" w:fill="auto"/>
            <w:noWrap/>
            <w:vAlign w:val="center"/>
          </w:tcPr>
          <w:p w14:paraId="370C1920" w14:textId="1D0666DF" w:rsidR="00741063" w:rsidRPr="007C1E37" w:rsidRDefault="009271CE" w:rsidP="00741063">
            <w:pPr>
              <w:spacing w:after="0" w:line="240" w:lineRule="auto"/>
              <w:jc w:val="center"/>
              <w:rPr>
                <w:rFonts w:asciiTheme="majorHAnsi" w:hAnsiTheme="majorHAnsi" w:cstheme="majorBidi"/>
                <w:b/>
                <w:color w:val="FFFFFF"/>
                <w:sz w:val="22"/>
                <w:szCs w:val="22"/>
                <w:lang w:eastAsia="en-AU"/>
              </w:rPr>
            </w:pPr>
            <w:r w:rsidRPr="007C1E37">
              <w:rPr>
                <w:rFonts w:asciiTheme="majorHAnsi" w:hAnsiTheme="majorHAnsi" w:cstheme="majorBidi"/>
                <w:sz w:val="22"/>
                <w:szCs w:val="22"/>
                <w:lang w:eastAsia="en-AU"/>
              </w:rPr>
              <w:t>45</w:t>
            </w:r>
          </w:p>
        </w:tc>
        <w:tc>
          <w:tcPr>
            <w:tcW w:w="1871" w:type="dxa"/>
            <w:tcBorders>
              <w:top w:val="nil"/>
              <w:left w:val="nil"/>
              <w:right w:val="single" w:sz="4" w:space="0" w:color="auto"/>
            </w:tcBorders>
            <w:shd w:val="clear" w:color="auto" w:fill="auto"/>
            <w:noWrap/>
            <w:vAlign w:val="center"/>
          </w:tcPr>
          <w:p w14:paraId="662CBF2F" w14:textId="6CBCCC39" w:rsidR="00741063" w:rsidRPr="007C1E37" w:rsidRDefault="009271CE" w:rsidP="00741063">
            <w:pPr>
              <w:spacing w:after="0" w:line="240" w:lineRule="auto"/>
              <w:jc w:val="center"/>
              <w:rPr>
                <w:rFonts w:asciiTheme="majorHAnsi" w:hAnsiTheme="majorHAnsi" w:cstheme="majorBidi"/>
                <w:b/>
                <w:color w:val="FFFFFF"/>
                <w:sz w:val="22"/>
                <w:szCs w:val="22"/>
                <w:lang w:eastAsia="en-AU"/>
              </w:rPr>
            </w:pPr>
            <w:r w:rsidRPr="007C1E37">
              <w:rPr>
                <w:rFonts w:asciiTheme="majorHAnsi" w:hAnsiTheme="majorHAnsi" w:cstheme="majorBidi"/>
                <w:sz w:val="22"/>
                <w:szCs w:val="22"/>
                <w:lang w:eastAsia="en-AU"/>
              </w:rPr>
              <w:t>47</w:t>
            </w:r>
          </w:p>
        </w:tc>
      </w:tr>
      <w:tr w:rsidR="00741063" w:rsidRPr="007C1E37" w14:paraId="57BCCA80" w14:textId="77777777" w:rsidTr="004629FE">
        <w:trPr>
          <w:trHeight w:val="249"/>
          <w:jc w:val="center"/>
        </w:trPr>
        <w:tc>
          <w:tcPr>
            <w:tcW w:w="2211" w:type="dxa"/>
            <w:tcBorders>
              <w:top w:val="nil"/>
              <w:left w:val="nil"/>
              <w:bottom w:val="dotted" w:sz="4" w:space="0" w:color="auto"/>
              <w:right w:val="single" w:sz="4" w:space="0" w:color="auto"/>
            </w:tcBorders>
            <w:shd w:val="clear" w:color="auto" w:fill="6B2976"/>
            <w:vAlign w:val="center"/>
          </w:tcPr>
          <w:p w14:paraId="018B3FCD" w14:textId="77777777" w:rsidR="00741063" w:rsidRDefault="00741063" w:rsidP="00741063">
            <w:pPr>
              <w:spacing w:after="0" w:line="240" w:lineRule="auto"/>
              <w:jc w:val="center"/>
              <w:rPr>
                <w:rFonts w:asciiTheme="majorHAnsi" w:hAnsiTheme="majorHAnsi" w:cstheme="majorBidi"/>
                <w:b/>
                <w:color w:val="FFFFFF"/>
                <w:sz w:val="22"/>
                <w:szCs w:val="22"/>
                <w:lang w:eastAsia="en-AU"/>
              </w:rPr>
            </w:pPr>
          </w:p>
        </w:tc>
        <w:tc>
          <w:tcPr>
            <w:tcW w:w="1179" w:type="dxa"/>
            <w:tcBorders>
              <w:top w:val="nil"/>
              <w:left w:val="single" w:sz="4" w:space="0" w:color="auto"/>
              <w:bottom w:val="dotted" w:sz="4" w:space="0" w:color="auto"/>
              <w:right w:val="single" w:sz="4" w:space="0" w:color="auto"/>
            </w:tcBorders>
            <w:shd w:val="clear" w:color="auto" w:fill="auto"/>
            <w:noWrap/>
            <w:vAlign w:val="center"/>
          </w:tcPr>
          <w:p w14:paraId="561B5757" w14:textId="3553167D" w:rsidR="00741063" w:rsidRPr="007C1E37" w:rsidRDefault="009271CE" w:rsidP="00741063">
            <w:pPr>
              <w:spacing w:after="0" w:line="240" w:lineRule="auto"/>
              <w:jc w:val="center"/>
              <w:rPr>
                <w:rFonts w:asciiTheme="majorHAnsi" w:hAnsiTheme="majorHAnsi" w:cstheme="majorBidi"/>
                <w:b/>
                <w:color w:val="FFFFFF"/>
                <w:sz w:val="22"/>
                <w:szCs w:val="22"/>
                <w:lang w:eastAsia="en-AU"/>
              </w:rPr>
            </w:pPr>
            <w:r w:rsidRPr="007C1E37">
              <w:rPr>
                <w:rFonts w:asciiTheme="majorHAnsi" w:hAnsiTheme="majorHAnsi" w:cstheme="majorBidi"/>
                <w:sz w:val="22"/>
                <w:szCs w:val="22"/>
                <w:lang w:eastAsia="en-AU"/>
              </w:rPr>
              <w:t>MBS</w:t>
            </w:r>
          </w:p>
        </w:tc>
        <w:tc>
          <w:tcPr>
            <w:tcW w:w="1871" w:type="dxa"/>
            <w:tcBorders>
              <w:top w:val="nil"/>
              <w:left w:val="single" w:sz="4" w:space="0" w:color="auto"/>
              <w:bottom w:val="dotted" w:sz="4" w:space="0" w:color="auto"/>
              <w:right w:val="nil"/>
            </w:tcBorders>
            <w:shd w:val="clear" w:color="auto" w:fill="auto"/>
            <w:noWrap/>
            <w:vAlign w:val="center"/>
          </w:tcPr>
          <w:p w14:paraId="71F28377" w14:textId="3CE8CF95" w:rsidR="00741063" w:rsidRPr="007C1E37" w:rsidRDefault="009271CE" w:rsidP="00741063">
            <w:pPr>
              <w:spacing w:after="0" w:line="240" w:lineRule="auto"/>
              <w:jc w:val="center"/>
              <w:rPr>
                <w:rFonts w:asciiTheme="majorHAnsi" w:hAnsiTheme="majorHAnsi" w:cstheme="majorBidi"/>
                <w:b/>
                <w:color w:val="FFFFFF"/>
                <w:sz w:val="22"/>
                <w:szCs w:val="22"/>
                <w:lang w:eastAsia="en-AU"/>
              </w:rPr>
            </w:pPr>
            <w:r w:rsidRPr="007C1E37">
              <w:rPr>
                <w:rFonts w:asciiTheme="majorHAnsi" w:hAnsiTheme="majorHAnsi" w:cstheme="majorBidi"/>
                <w:sz w:val="22"/>
                <w:szCs w:val="22"/>
                <w:lang w:eastAsia="en-AU"/>
              </w:rPr>
              <w:t>30</w:t>
            </w:r>
          </w:p>
        </w:tc>
        <w:tc>
          <w:tcPr>
            <w:tcW w:w="1871" w:type="dxa"/>
            <w:tcBorders>
              <w:top w:val="nil"/>
              <w:left w:val="nil"/>
              <w:bottom w:val="dotted" w:sz="4" w:space="0" w:color="auto"/>
              <w:right w:val="nil"/>
            </w:tcBorders>
            <w:shd w:val="clear" w:color="auto" w:fill="auto"/>
            <w:noWrap/>
            <w:vAlign w:val="center"/>
          </w:tcPr>
          <w:p w14:paraId="7FAA4FE2" w14:textId="3D928C75" w:rsidR="00741063" w:rsidRPr="007C1E37" w:rsidRDefault="009271CE" w:rsidP="00741063">
            <w:pPr>
              <w:spacing w:after="0" w:line="240" w:lineRule="auto"/>
              <w:jc w:val="center"/>
              <w:rPr>
                <w:rFonts w:asciiTheme="majorHAnsi" w:hAnsiTheme="majorHAnsi" w:cstheme="majorBidi"/>
                <w:b/>
                <w:color w:val="FFFFFF"/>
                <w:sz w:val="22"/>
                <w:szCs w:val="22"/>
                <w:lang w:eastAsia="en-AU"/>
              </w:rPr>
            </w:pPr>
            <w:r w:rsidRPr="007C1E37">
              <w:rPr>
                <w:rFonts w:asciiTheme="majorHAnsi" w:hAnsiTheme="majorHAnsi" w:cstheme="majorBidi"/>
                <w:sz w:val="22"/>
                <w:szCs w:val="22"/>
                <w:lang w:eastAsia="en-AU"/>
              </w:rPr>
              <w:t>30</w:t>
            </w:r>
          </w:p>
        </w:tc>
        <w:tc>
          <w:tcPr>
            <w:tcW w:w="1871" w:type="dxa"/>
            <w:tcBorders>
              <w:top w:val="nil"/>
              <w:left w:val="nil"/>
              <w:bottom w:val="dotted" w:sz="4" w:space="0" w:color="auto"/>
              <w:right w:val="single" w:sz="4" w:space="0" w:color="auto"/>
            </w:tcBorders>
            <w:shd w:val="clear" w:color="auto" w:fill="auto"/>
            <w:noWrap/>
            <w:vAlign w:val="center"/>
          </w:tcPr>
          <w:p w14:paraId="43C7816B" w14:textId="20EBACAE" w:rsidR="00741063" w:rsidRPr="007C1E37" w:rsidRDefault="009271CE" w:rsidP="00741063">
            <w:pPr>
              <w:spacing w:after="0" w:line="240" w:lineRule="auto"/>
              <w:jc w:val="center"/>
              <w:rPr>
                <w:rFonts w:asciiTheme="majorHAnsi" w:hAnsiTheme="majorHAnsi" w:cstheme="majorBidi"/>
                <w:b/>
                <w:color w:val="FFFFFF"/>
                <w:sz w:val="22"/>
                <w:szCs w:val="22"/>
                <w:lang w:eastAsia="en-AU"/>
              </w:rPr>
            </w:pPr>
            <w:r w:rsidRPr="007C1E37">
              <w:rPr>
                <w:rFonts w:asciiTheme="majorHAnsi" w:hAnsiTheme="majorHAnsi" w:cstheme="majorBidi"/>
                <w:sz w:val="22"/>
                <w:szCs w:val="22"/>
                <w:lang w:eastAsia="en-AU"/>
              </w:rPr>
              <w:t>34</w:t>
            </w:r>
          </w:p>
        </w:tc>
      </w:tr>
      <w:tr w:rsidR="00741063" w:rsidRPr="007C1E37" w14:paraId="552DEEC2" w14:textId="77777777" w:rsidTr="004629FE">
        <w:trPr>
          <w:trHeight w:val="251"/>
          <w:jc w:val="center"/>
        </w:trPr>
        <w:tc>
          <w:tcPr>
            <w:tcW w:w="2211" w:type="dxa"/>
            <w:tcBorders>
              <w:top w:val="dotted" w:sz="4" w:space="0" w:color="auto"/>
              <w:left w:val="nil"/>
              <w:right w:val="single" w:sz="4" w:space="0" w:color="auto"/>
            </w:tcBorders>
            <w:shd w:val="clear" w:color="auto" w:fill="6B2976"/>
            <w:hideMark/>
          </w:tcPr>
          <w:p w14:paraId="0174C032" w14:textId="77777777" w:rsidR="009714AA" w:rsidRPr="007C1E37" w:rsidRDefault="009714AA" w:rsidP="001E519A">
            <w:pPr>
              <w:spacing w:after="0" w:line="240" w:lineRule="auto"/>
              <w:rPr>
                <w:rFonts w:asciiTheme="majorHAnsi" w:hAnsiTheme="majorHAnsi" w:cstheme="majorBidi"/>
                <w:b/>
                <w:color w:val="FFFFFF"/>
                <w:sz w:val="22"/>
                <w:szCs w:val="22"/>
                <w:lang w:eastAsia="en-AU"/>
              </w:rPr>
            </w:pPr>
            <w:r w:rsidRPr="007C1E37">
              <w:rPr>
                <w:rFonts w:asciiTheme="majorHAnsi" w:hAnsiTheme="majorHAnsi" w:cstheme="majorBidi"/>
                <w:b/>
                <w:color w:val="FFFFFF"/>
                <w:sz w:val="22"/>
                <w:szCs w:val="22"/>
                <w:lang w:eastAsia="en-AU"/>
              </w:rPr>
              <w:t>Dietetics</w:t>
            </w:r>
          </w:p>
        </w:tc>
        <w:tc>
          <w:tcPr>
            <w:tcW w:w="1179" w:type="dxa"/>
            <w:tcBorders>
              <w:top w:val="dotted" w:sz="4" w:space="0" w:color="auto"/>
              <w:left w:val="single" w:sz="4" w:space="0" w:color="auto"/>
              <w:right w:val="single" w:sz="4" w:space="0" w:color="auto"/>
            </w:tcBorders>
            <w:shd w:val="clear" w:color="auto" w:fill="FFFFFF"/>
            <w:noWrap/>
            <w:vAlign w:val="bottom"/>
            <w:hideMark/>
          </w:tcPr>
          <w:p w14:paraId="76FDE50C" w14:textId="77777777" w:rsidR="009714AA" w:rsidRPr="007C1E37" w:rsidRDefault="009714AA" w:rsidP="001E519A">
            <w:pPr>
              <w:spacing w:after="0" w:line="240" w:lineRule="auto"/>
              <w:jc w:val="center"/>
              <w:rPr>
                <w:rFonts w:asciiTheme="majorHAnsi" w:hAnsiTheme="majorHAnsi" w:cstheme="majorBidi"/>
                <w:sz w:val="22"/>
                <w:szCs w:val="22"/>
                <w:lang w:eastAsia="en-AU"/>
              </w:rPr>
            </w:pPr>
            <w:r w:rsidRPr="007C1E37">
              <w:rPr>
                <w:rFonts w:asciiTheme="majorHAnsi" w:hAnsiTheme="majorHAnsi" w:cstheme="majorBidi"/>
                <w:sz w:val="22"/>
                <w:szCs w:val="22"/>
                <w:lang w:eastAsia="en-AU"/>
              </w:rPr>
              <w:t>PHI</w:t>
            </w:r>
          </w:p>
        </w:tc>
        <w:tc>
          <w:tcPr>
            <w:tcW w:w="1871" w:type="dxa"/>
            <w:tcBorders>
              <w:top w:val="dotted" w:sz="4" w:space="0" w:color="auto"/>
              <w:left w:val="single" w:sz="4" w:space="0" w:color="auto"/>
              <w:right w:val="nil"/>
            </w:tcBorders>
            <w:shd w:val="clear" w:color="auto" w:fill="FFFFFF"/>
            <w:noWrap/>
            <w:vAlign w:val="bottom"/>
            <w:hideMark/>
          </w:tcPr>
          <w:p w14:paraId="054907FB" w14:textId="77777777" w:rsidR="009714AA" w:rsidRPr="007C1E37" w:rsidRDefault="009714AA" w:rsidP="001E519A">
            <w:pPr>
              <w:spacing w:after="0" w:line="240" w:lineRule="auto"/>
              <w:jc w:val="center"/>
              <w:rPr>
                <w:rFonts w:asciiTheme="majorHAnsi" w:hAnsiTheme="majorHAnsi" w:cstheme="majorBidi"/>
                <w:sz w:val="22"/>
                <w:szCs w:val="22"/>
                <w:lang w:eastAsia="en-AU"/>
              </w:rPr>
            </w:pPr>
            <w:r w:rsidRPr="007C1E37">
              <w:rPr>
                <w:rFonts w:asciiTheme="majorHAnsi" w:hAnsiTheme="majorHAnsi" w:cstheme="majorBidi"/>
                <w:sz w:val="22"/>
                <w:szCs w:val="22"/>
                <w:lang w:eastAsia="en-AU"/>
              </w:rPr>
              <w:t>44</w:t>
            </w:r>
          </w:p>
        </w:tc>
        <w:tc>
          <w:tcPr>
            <w:tcW w:w="1871" w:type="dxa"/>
            <w:tcBorders>
              <w:top w:val="dotted" w:sz="4" w:space="0" w:color="auto"/>
              <w:left w:val="nil"/>
              <w:right w:val="nil"/>
            </w:tcBorders>
            <w:shd w:val="clear" w:color="auto" w:fill="FFFFFF"/>
            <w:noWrap/>
            <w:vAlign w:val="bottom"/>
            <w:hideMark/>
          </w:tcPr>
          <w:p w14:paraId="5DC3E88C" w14:textId="77777777" w:rsidR="009714AA" w:rsidRPr="007C1E37" w:rsidRDefault="009714AA" w:rsidP="001E519A">
            <w:pPr>
              <w:spacing w:after="0" w:line="240" w:lineRule="auto"/>
              <w:jc w:val="center"/>
              <w:rPr>
                <w:rFonts w:asciiTheme="majorHAnsi" w:hAnsiTheme="majorHAnsi" w:cstheme="majorBidi"/>
                <w:sz w:val="22"/>
                <w:szCs w:val="22"/>
                <w:lang w:eastAsia="en-AU"/>
              </w:rPr>
            </w:pPr>
            <w:r w:rsidRPr="007C1E37">
              <w:rPr>
                <w:rFonts w:asciiTheme="majorHAnsi" w:hAnsiTheme="majorHAnsi" w:cstheme="majorBidi"/>
                <w:sz w:val="22"/>
                <w:szCs w:val="22"/>
                <w:lang w:eastAsia="en-AU"/>
              </w:rPr>
              <w:t>50</w:t>
            </w:r>
          </w:p>
        </w:tc>
        <w:tc>
          <w:tcPr>
            <w:tcW w:w="1871" w:type="dxa"/>
            <w:tcBorders>
              <w:top w:val="dotted" w:sz="4" w:space="0" w:color="auto"/>
              <w:left w:val="nil"/>
              <w:right w:val="single" w:sz="4" w:space="0" w:color="auto"/>
            </w:tcBorders>
            <w:shd w:val="clear" w:color="auto" w:fill="FFFFFF"/>
            <w:noWrap/>
            <w:vAlign w:val="bottom"/>
            <w:hideMark/>
          </w:tcPr>
          <w:p w14:paraId="3FBD1DD3" w14:textId="77777777" w:rsidR="009714AA" w:rsidRPr="007C1E37" w:rsidRDefault="009714AA" w:rsidP="001E519A">
            <w:pPr>
              <w:spacing w:after="0" w:line="240" w:lineRule="auto"/>
              <w:jc w:val="center"/>
              <w:rPr>
                <w:rFonts w:asciiTheme="majorHAnsi" w:hAnsiTheme="majorHAnsi" w:cstheme="majorBidi"/>
                <w:sz w:val="22"/>
                <w:szCs w:val="22"/>
                <w:lang w:eastAsia="en-AU"/>
              </w:rPr>
            </w:pPr>
            <w:r w:rsidRPr="007C1E37">
              <w:rPr>
                <w:rFonts w:asciiTheme="majorHAnsi" w:hAnsiTheme="majorHAnsi" w:cstheme="majorBidi"/>
                <w:sz w:val="22"/>
                <w:szCs w:val="22"/>
                <w:lang w:eastAsia="en-AU"/>
              </w:rPr>
              <w:t>57</w:t>
            </w:r>
          </w:p>
        </w:tc>
      </w:tr>
      <w:tr w:rsidR="00741063" w:rsidRPr="007C1E37" w14:paraId="5AB9E6EF" w14:textId="77777777" w:rsidTr="0078044C">
        <w:trPr>
          <w:trHeight w:val="251"/>
          <w:jc w:val="center"/>
        </w:trPr>
        <w:tc>
          <w:tcPr>
            <w:tcW w:w="2211" w:type="dxa"/>
            <w:tcBorders>
              <w:top w:val="nil"/>
              <w:left w:val="nil"/>
              <w:bottom w:val="dotted" w:sz="4" w:space="0" w:color="auto"/>
              <w:right w:val="single" w:sz="4" w:space="0" w:color="auto"/>
            </w:tcBorders>
            <w:shd w:val="clear" w:color="auto" w:fill="6B2976"/>
            <w:hideMark/>
          </w:tcPr>
          <w:p w14:paraId="5E2D70C6" w14:textId="0C4C5FFD" w:rsidR="009714AA" w:rsidRPr="007C1E37" w:rsidRDefault="009714AA" w:rsidP="001E519A">
            <w:pPr>
              <w:spacing w:after="0" w:line="240" w:lineRule="auto"/>
              <w:rPr>
                <w:rFonts w:asciiTheme="majorHAnsi" w:hAnsiTheme="majorHAnsi" w:cstheme="majorBidi"/>
                <w:b/>
                <w:color w:val="FFFFFF"/>
                <w:sz w:val="22"/>
                <w:szCs w:val="22"/>
                <w:lang w:eastAsia="en-AU"/>
              </w:rPr>
            </w:pPr>
          </w:p>
        </w:tc>
        <w:tc>
          <w:tcPr>
            <w:tcW w:w="1179" w:type="dxa"/>
            <w:tcBorders>
              <w:top w:val="nil"/>
              <w:left w:val="single" w:sz="4" w:space="0" w:color="auto"/>
              <w:bottom w:val="dotted" w:sz="4" w:space="0" w:color="auto"/>
              <w:right w:val="single" w:sz="4" w:space="0" w:color="auto"/>
            </w:tcBorders>
            <w:shd w:val="clear" w:color="auto" w:fill="FFFFFF"/>
            <w:noWrap/>
            <w:vAlign w:val="bottom"/>
            <w:hideMark/>
          </w:tcPr>
          <w:p w14:paraId="104C5624" w14:textId="77777777" w:rsidR="009714AA" w:rsidRPr="007C1E37" w:rsidRDefault="009714AA" w:rsidP="001E519A">
            <w:pPr>
              <w:spacing w:after="0" w:line="240" w:lineRule="auto"/>
              <w:jc w:val="center"/>
              <w:rPr>
                <w:rFonts w:asciiTheme="majorHAnsi" w:hAnsiTheme="majorHAnsi" w:cstheme="majorBidi"/>
                <w:sz w:val="22"/>
                <w:szCs w:val="22"/>
                <w:lang w:eastAsia="en-AU"/>
              </w:rPr>
            </w:pPr>
            <w:r w:rsidRPr="007C1E37">
              <w:rPr>
                <w:rFonts w:asciiTheme="majorHAnsi" w:hAnsiTheme="majorHAnsi" w:cstheme="majorBidi"/>
                <w:sz w:val="22"/>
                <w:szCs w:val="22"/>
                <w:lang w:eastAsia="en-AU"/>
              </w:rPr>
              <w:t>MBS</w:t>
            </w:r>
          </w:p>
        </w:tc>
        <w:tc>
          <w:tcPr>
            <w:tcW w:w="1871" w:type="dxa"/>
            <w:tcBorders>
              <w:top w:val="nil"/>
              <w:left w:val="single" w:sz="4" w:space="0" w:color="auto"/>
              <w:bottom w:val="dotted" w:sz="4" w:space="0" w:color="auto"/>
              <w:right w:val="nil"/>
            </w:tcBorders>
            <w:shd w:val="clear" w:color="auto" w:fill="FFFFFF"/>
            <w:noWrap/>
            <w:vAlign w:val="bottom"/>
            <w:hideMark/>
          </w:tcPr>
          <w:p w14:paraId="5B91605E" w14:textId="77777777" w:rsidR="009714AA" w:rsidRPr="007C1E37" w:rsidRDefault="009714AA" w:rsidP="001E519A">
            <w:pPr>
              <w:spacing w:after="0" w:line="240" w:lineRule="auto"/>
              <w:jc w:val="center"/>
              <w:rPr>
                <w:rFonts w:asciiTheme="majorHAnsi" w:hAnsiTheme="majorHAnsi" w:cstheme="majorBidi"/>
                <w:sz w:val="22"/>
                <w:szCs w:val="22"/>
                <w:lang w:eastAsia="en-AU"/>
              </w:rPr>
            </w:pPr>
            <w:r w:rsidRPr="007C1E37">
              <w:rPr>
                <w:rFonts w:asciiTheme="majorHAnsi" w:hAnsiTheme="majorHAnsi" w:cstheme="majorBidi"/>
                <w:sz w:val="22"/>
                <w:szCs w:val="22"/>
                <w:lang w:eastAsia="en-AU"/>
              </w:rPr>
              <w:t>30</w:t>
            </w:r>
          </w:p>
        </w:tc>
        <w:tc>
          <w:tcPr>
            <w:tcW w:w="1871" w:type="dxa"/>
            <w:tcBorders>
              <w:top w:val="nil"/>
              <w:left w:val="nil"/>
              <w:bottom w:val="dotted" w:sz="4" w:space="0" w:color="auto"/>
              <w:right w:val="nil"/>
            </w:tcBorders>
            <w:shd w:val="clear" w:color="auto" w:fill="FFFFFF"/>
            <w:noWrap/>
            <w:vAlign w:val="bottom"/>
            <w:hideMark/>
          </w:tcPr>
          <w:p w14:paraId="732AE650" w14:textId="77777777" w:rsidR="009714AA" w:rsidRPr="007C1E37" w:rsidRDefault="009714AA" w:rsidP="001E519A">
            <w:pPr>
              <w:spacing w:after="0" w:line="240" w:lineRule="auto"/>
              <w:jc w:val="center"/>
              <w:rPr>
                <w:rFonts w:asciiTheme="majorHAnsi" w:hAnsiTheme="majorHAnsi" w:cstheme="majorBidi"/>
                <w:sz w:val="22"/>
                <w:szCs w:val="22"/>
                <w:lang w:eastAsia="en-AU"/>
              </w:rPr>
            </w:pPr>
            <w:r w:rsidRPr="007C1E37">
              <w:rPr>
                <w:rFonts w:asciiTheme="majorHAnsi" w:hAnsiTheme="majorHAnsi" w:cstheme="majorBidi"/>
                <w:sz w:val="22"/>
                <w:szCs w:val="22"/>
                <w:lang w:eastAsia="en-AU"/>
              </w:rPr>
              <w:t>30</w:t>
            </w:r>
          </w:p>
        </w:tc>
        <w:tc>
          <w:tcPr>
            <w:tcW w:w="1871" w:type="dxa"/>
            <w:tcBorders>
              <w:top w:val="nil"/>
              <w:left w:val="nil"/>
              <w:bottom w:val="dotted" w:sz="4" w:space="0" w:color="auto"/>
              <w:right w:val="single" w:sz="4" w:space="0" w:color="auto"/>
            </w:tcBorders>
            <w:shd w:val="clear" w:color="auto" w:fill="FFFFFF"/>
            <w:noWrap/>
            <w:vAlign w:val="bottom"/>
            <w:hideMark/>
          </w:tcPr>
          <w:p w14:paraId="4FD2880B" w14:textId="77777777" w:rsidR="009714AA" w:rsidRPr="007C1E37" w:rsidRDefault="009714AA" w:rsidP="001E519A">
            <w:pPr>
              <w:spacing w:after="0" w:line="240" w:lineRule="auto"/>
              <w:jc w:val="center"/>
              <w:rPr>
                <w:rFonts w:asciiTheme="majorHAnsi" w:hAnsiTheme="majorHAnsi" w:cstheme="majorBidi"/>
                <w:sz w:val="22"/>
                <w:szCs w:val="22"/>
                <w:lang w:eastAsia="en-AU"/>
              </w:rPr>
            </w:pPr>
            <w:r w:rsidRPr="007C1E37">
              <w:rPr>
                <w:rFonts w:asciiTheme="majorHAnsi" w:hAnsiTheme="majorHAnsi" w:cstheme="majorBidi"/>
                <w:sz w:val="22"/>
                <w:szCs w:val="22"/>
                <w:lang w:eastAsia="en-AU"/>
              </w:rPr>
              <w:t>38</w:t>
            </w:r>
          </w:p>
        </w:tc>
      </w:tr>
      <w:tr w:rsidR="00741063" w:rsidRPr="007C1E37" w14:paraId="498D8A4A" w14:textId="77777777" w:rsidTr="0078044C">
        <w:trPr>
          <w:trHeight w:val="251"/>
          <w:jc w:val="center"/>
        </w:trPr>
        <w:tc>
          <w:tcPr>
            <w:tcW w:w="2211" w:type="dxa"/>
            <w:tcBorders>
              <w:top w:val="dotted" w:sz="4" w:space="0" w:color="auto"/>
              <w:left w:val="nil"/>
              <w:right w:val="single" w:sz="4" w:space="0" w:color="auto"/>
            </w:tcBorders>
            <w:shd w:val="clear" w:color="auto" w:fill="6B2976"/>
            <w:hideMark/>
          </w:tcPr>
          <w:p w14:paraId="28DD4FF8" w14:textId="77777777" w:rsidR="009714AA" w:rsidRPr="007C1E37" w:rsidRDefault="009714AA" w:rsidP="001E519A">
            <w:pPr>
              <w:spacing w:after="0" w:line="240" w:lineRule="auto"/>
              <w:rPr>
                <w:rFonts w:asciiTheme="majorHAnsi" w:hAnsiTheme="majorHAnsi" w:cstheme="majorBidi"/>
                <w:b/>
                <w:color w:val="FFFFFF"/>
                <w:sz w:val="22"/>
                <w:szCs w:val="22"/>
                <w:lang w:eastAsia="en-AU"/>
              </w:rPr>
            </w:pPr>
            <w:r w:rsidRPr="007C1E37">
              <w:rPr>
                <w:rFonts w:asciiTheme="majorHAnsi" w:hAnsiTheme="majorHAnsi" w:cstheme="majorBidi"/>
                <w:b/>
                <w:color w:val="FFFFFF"/>
                <w:sz w:val="22"/>
                <w:szCs w:val="22"/>
                <w:lang w:eastAsia="en-AU"/>
              </w:rPr>
              <w:t>Podiatry</w:t>
            </w:r>
          </w:p>
        </w:tc>
        <w:tc>
          <w:tcPr>
            <w:tcW w:w="1179" w:type="dxa"/>
            <w:tcBorders>
              <w:top w:val="dotted" w:sz="4" w:space="0" w:color="auto"/>
              <w:left w:val="single" w:sz="4" w:space="0" w:color="auto"/>
              <w:right w:val="single" w:sz="4" w:space="0" w:color="auto"/>
            </w:tcBorders>
            <w:shd w:val="clear" w:color="auto" w:fill="FFFFFF"/>
            <w:noWrap/>
            <w:vAlign w:val="bottom"/>
            <w:hideMark/>
          </w:tcPr>
          <w:p w14:paraId="4D519B35" w14:textId="77777777" w:rsidR="009714AA" w:rsidRPr="007C1E37" w:rsidRDefault="009714AA" w:rsidP="001E519A">
            <w:pPr>
              <w:spacing w:after="0" w:line="240" w:lineRule="auto"/>
              <w:jc w:val="center"/>
              <w:rPr>
                <w:rFonts w:asciiTheme="majorHAnsi" w:hAnsiTheme="majorHAnsi" w:cstheme="majorBidi"/>
                <w:sz w:val="22"/>
                <w:szCs w:val="22"/>
                <w:lang w:eastAsia="en-AU"/>
              </w:rPr>
            </w:pPr>
            <w:r w:rsidRPr="007C1E37">
              <w:rPr>
                <w:rFonts w:asciiTheme="majorHAnsi" w:hAnsiTheme="majorHAnsi" w:cstheme="majorBidi"/>
                <w:sz w:val="22"/>
                <w:szCs w:val="22"/>
                <w:lang w:eastAsia="en-AU"/>
              </w:rPr>
              <w:t>PHI</w:t>
            </w:r>
          </w:p>
        </w:tc>
        <w:tc>
          <w:tcPr>
            <w:tcW w:w="1871" w:type="dxa"/>
            <w:tcBorders>
              <w:top w:val="dotted" w:sz="4" w:space="0" w:color="auto"/>
              <w:left w:val="single" w:sz="4" w:space="0" w:color="auto"/>
              <w:right w:val="nil"/>
            </w:tcBorders>
            <w:shd w:val="clear" w:color="auto" w:fill="FFFFFF"/>
            <w:noWrap/>
            <w:vAlign w:val="bottom"/>
            <w:hideMark/>
          </w:tcPr>
          <w:p w14:paraId="4EBC3059" w14:textId="77777777" w:rsidR="009714AA" w:rsidRPr="007C1E37" w:rsidRDefault="009714AA" w:rsidP="001E519A">
            <w:pPr>
              <w:spacing w:after="0" w:line="240" w:lineRule="auto"/>
              <w:jc w:val="center"/>
              <w:rPr>
                <w:rFonts w:asciiTheme="majorHAnsi" w:hAnsiTheme="majorHAnsi" w:cstheme="majorBidi"/>
                <w:sz w:val="22"/>
                <w:szCs w:val="22"/>
                <w:lang w:eastAsia="en-AU"/>
              </w:rPr>
            </w:pPr>
            <w:r w:rsidRPr="007C1E37">
              <w:rPr>
                <w:rFonts w:asciiTheme="majorHAnsi" w:hAnsiTheme="majorHAnsi" w:cstheme="majorBidi"/>
                <w:sz w:val="22"/>
                <w:szCs w:val="22"/>
                <w:lang w:eastAsia="en-AU"/>
              </w:rPr>
              <w:t>28</w:t>
            </w:r>
          </w:p>
        </w:tc>
        <w:tc>
          <w:tcPr>
            <w:tcW w:w="1871" w:type="dxa"/>
            <w:tcBorders>
              <w:top w:val="dotted" w:sz="4" w:space="0" w:color="auto"/>
              <w:left w:val="nil"/>
              <w:right w:val="nil"/>
            </w:tcBorders>
            <w:shd w:val="clear" w:color="auto" w:fill="FFFFFF"/>
            <w:noWrap/>
            <w:vAlign w:val="bottom"/>
            <w:hideMark/>
          </w:tcPr>
          <w:p w14:paraId="249795FC" w14:textId="77777777" w:rsidR="009714AA" w:rsidRPr="007C1E37" w:rsidRDefault="009714AA" w:rsidP="001E519A">
            <w:pPr>
              <w:spacing w:after="0" w:line="240" w:lineRule="auto"/>
              <w:jc w:val="center"/>
              <w:rPr>
                <w:rFonts w:asciiTheme="majorHAnsi" w:hAnsiTheme="majorHAnsi" w:cstheme="majorBidi"/>
                <w:sz w:val="22"/>
                <w:szCs w:val="22"/>
                <w:lang w:eastAsia="en-AU"/>
              </w:rPr>
            </w:pPr>
            <w:r w:rsidRPr="007C1E37">
              <w:rPr>
                <w:rFonts w:asciiTheme="majorHAnsi" w:hAnsiTheme="majorHAnsi" w:cstheme="majorBidi"/>
                <w:sz w:val="22"/>
                <w:szCs w:val="22"/>
                <w:lang w:eastAsia="en-AU"/>
              </w:rPr>
              <w:t>30</w:t>
            </w:r>
          </w:p>
        </w:tc>
        <w:tc>
          <w:tcPr>
            <w:tcW w:w="1871" w:type="dxa"/>
            <w:tcBorders>
              <w:top w:val="dotted" w:sz="4" w:space="0" w:color="auto"/>
              <w:left w:val="nil"/>
              <w:right w:val="single" w:sz="4" w:space="0" w:color="auto"/>
            </w:tcBorders>
            <w:shd w:val="clear" w:color="auto" w:fill="FFFFFF"/>
            <w:noWrap/>
            <w:vAlign w:val="bottom"/>
            <w:hideMark/>
          </w:tcPr>
          <w:p w14:paraId="66619B3E" w14:textId="77777777" w:rsidR="009714AA" w:rsidRPr="007C1E37" w:rsidRDefault="009714AA" w:rsidP="001E519A">
            <w:pPr>
              <w:spacing w:after="0" w:line="240" w:lineRule="auto"/>
              <w:jc w:val="center"/>
              <w:rPr>
                <w:rFonts w:asciiTheme="majorHAnsi" w:hAnsiTheme="majorHAnsi" w:cstheme="majorBidi"/>
                <w:sz w:val="22"/>
                <w:szCs w:val="22"/>
                <w:lang w:eastAsia="en-AU"/>
              </w:rPr>
            </w:pPr>
            <w:r w:rsidRPr="007C1E37">
              <w:rPr>
                <w:rFonts w:asciiTheme="majorHAnsi" w:hAnsiTheme="majorHAnsi" w:cstheme="majorBidi"/>
                <w:sz w:val="22"/>
                <w:szCs w:val="22"/>
                <w:lang w:eastAsia="en-AU"/>
              </w:rPr>
              <w:t>33</w:t>
            </w:r>
          </w:p>
        </w:tc>
      </w:tr>
      <w:tr w:rsidR="00741063" w:rsidRPr="007C1E37" w14:paraId="727D8B97" w14:textId="77777777" w:rsidTr="0078044C">
        <w:trPr>
          <w:trHeight w:val="251"/>
          <w:jc w:val="center"/>
        </w:trPr>
        <w:tc>
          <w:tcPr>
            <w:tcW w:w="2211" w:type="dxa"/>
            <w:tcBorders>
              <w:top w:val="nil"/>
              <w:left w:val="nil"/>
              <w:bottom w:val="dotted" w:sz="4" w:space="0" w:color="auto"/>
              <w:right w:val="single" w:sz="4" w:space="0" w:color="auto"/>
            </w:tcBorders>
            <w:shd w:val="clear" w:color="auto" w:fill="6B2976"/>
            <w:hideMark/>
          </w:tcPr>
          <w:p w14:paraId="55FF20E2" w14:textId="690B190A" w:rsidR="009714AA" w:rsidRPr="007C1E37" w:rsidRDefault="009714AA" w:rsidP="001E519A">
            <w:pPr>
              <w:spacing w:after="0" w:line="240" w:lineRule="auto"/>
              <w:rPr>
                <w:rFonts w:asciiTheme="majorHAnsi" w:hAnsiTheme="majorHAnsi" w:cstheme="majorBidi"/>
                <w:b/>
                <w:color w:val="FFFFFF"/>
                <w:sz w:val="22"/>
                <w:szCs w:val="22"/>
                <w:lang w:eastAsia="en-AU"/>
              </w:rPr>
            </w:pPr>
          </w:p>
        </w:tc>
        <w:tc>
          <w:tcPr>
            <w:tcW w:w="1179" w:type="dxa"/>
            <w:tcBorders>
              <w:top w:val="nil"/>
              <w:left w:val="single" w:sz="4" w:space="0" w:color="auto"/>
              <w:bottom w:val="dotted" w:sz="4" w:space="0" w:color="auto"/>
              <w:right w:val="single" w:sz="4" w:space="0" w:color="auto"/>
            </w:tcBorders>
            <w:shd w:val="clear" w:color="auto" w:fill="FFFFFF"/>
            <w:noWrap/>
            <w:vAlign w:val="bottom"/>
            <w:hideMark/>
          </w:tcPr>
          <w:p w14:paraId="379D5C70" w14:textId="77777777" w:rsidR="009714AA" w:rsidRPr="007C1E37" w:rsidRDefault="009714AA" w:rsidP="001E519A">
            <w:pPr>
              <w:spacing w:after="0" w:line="240" w:lineRule="auto"/>
              <w:jc w:val="center"/>
              <w:rPr>
                <w:rFonts w:asciiTheme="majorHAnsi" w:hAnsiTheme="majorHAnsi" w:cstheme="majorBidi"/>
                <w:sz w:val="22"/>
                <w:szCs w:val="22"/>
                <w:lang w:eastAsia="en-AU"/>
              </w:rPr>
            </w:pPr>
            <w:r w:rsidRPr="007C1E37">
              <w:rPr>
                <w:rFonts w:asciiTheme="majorHAnsi" w:hAnsiTheme="majorHAnsi" w:cstheme="majorBidi"/>
                <w:sz w:val="22"/>
                <w:szCs w:val="22"/>
                <w:lang w:eastAsia="en-AU"/>
              </w:rPr>
              <w:t>MBS</w:t>
            </w:r>
          </w:p>
        </w:tc>
        <w:tc>
          <w:tcPr>
            <w:tcW w:w="1871" w:type="dxa"/>
            <w:tcBorders>
              <w:top w:val="nil"/>
              <w:left w:val="single" w:sz="4" w:space="0" w:color="auto"/>
              <w:bottom w:val="dotted" w:sz="4" w:space="0" w:color="auto"/>
              <w:right w:val="nil"/>
            </w:tcBorders>
            <w:shd w:val="clear" w:color="auto" w:fill="FFFFFF"/>
            <w:noWrap/>
            <w:vAlign w:val="bottom"/>
            <w:hideMark/>
          </w:tcPr>
          <w:p w14:paraId="2AF00277" w14:textId="77777777" w:rsidR="009714AA" w:rsidRPr="007C1E37" w:rsidRDefault="009714AA" w:rsidP="001E519A">
            <w:pPr>
              <w:spacing w:after="0" w:line="240" w:lineRule="auto"/>
              <w:jc w:val="center"/>
              <w:rPr>
                <w:rFonts w:asciiTheme="majorHAnsi" w:hAnsiTheme="majorHAnsi" w:cstheme="majorBidi"/>
                <w:sz w:val="22"/>
                <w:szCs w:val="22"/>
                <w:lang w:eastAsia="en-AU"/>
              </w:rPr>
            </w:pPr>
            <w:r w:rsidRPr="007C1E37">
              <w:rPr>
                <w:rFonts w:asciiTheme="majorHAnsi" w:hAnsiTheme="majorHAnsi" w:cstheme="majorBidi"/>
                <w:sz w:val="22"/>
                <w:szCs w:val="22"/>
                <w:lang w:eastAsia="en-AU"/>
              </w:rPr>
              <w:t>30</w:t>
            </w:r>
          </w:p>
        </w:tc>
        <w:tc>
          <w:tcPr>
            <w:tcW w:w="1871" w:type="dxa"/>
            <w:tcBorders>
              <w:top w:val="nil"/>
              <w:left w:val="nil"/>
              <w:bottom w:val="dotted" w:sz="4" w:space="0" w:color="auto"/>
              <w:right w:val="nil"/>
            </w:tcBorders>
            <w:shd w:val="clear" w:color="auto" w:fill="FFFFFF"/>
            <w:noWrap/>
            <w:vAlign w:val="bottom"/>
            <w:hideMark/>
          </w:tcPr>
          <w:p w14:paraId="549B5789" w14:textId="77777777" w:rsidR="009714AA" w:rsidRPr="007C1E37" w:rsidRDefault="009714AA" w:rsidP="001E519A">
            <w:pPr>
              <w:spacing w:after="0" w:line="240" w:lineRule="auto"/>
              <w:jc w:val="center"/>
              <w:rPr>
                <w:rFonts w:asciiTheme="majorHAnsi" w:hAnsiTheme="majorHAnsi" w:cstheme="majorBidi"/>
                <w:sz w:val="22"/>
                <w:szCs w:val="22"/>
                <w:lang w:eastAsia="en-AU"/>
              </w:rPr>
            </w:pPr>
            <w:r w:rsidRPr="007C1E37">
              <w:rPr>
                <w:rFonts w:asciiTheme="majorHAnsi" w:hAnsiTheme="majorHAnsi" w:cstheme="majorBidi"/>
                <w:sz w:val="22"/>
                <w:szCs w:val="22"/>
                <w:lang w:eastAsia="en-AU"/>
              </w:rPr>
              <w:t>30</w:t>
            </w:r>
          </w:p>
        </w:tc>
        <w:tc>
          <w:tcPr>
            <w:tcW w:w="1871" w:type="dxa"/>
            <w:tcBorders>
              <w:top w:val="nil"/>
              <w:left w:val="nil"/>
              <w:bottom w:val="dotted" w:sz="4" w:space="0" w:color="auto"/>
              <w:right w:val="single" w:sz="4" w:space="0" w:color="auto"/>
            </w:tcBorders>
            <w:shd w:val="clear" w:color="auto" w:fill="FFFFFF"/>
            <w:noWrap/>
            <w:vAlign w:val="bottom"/>
            <w:hideMark/>
          </w:tcPr>
          <w:p w14:paraId="667A0779" w14:textId="77777777" w:rsidR="009714AA" w:rsidRPr="007C1E37" w:rsidRDefault="009714AA" w:rsidP="001E519A">
            <w:pPr>
              <w:spacing w:after="0" w:line="240" w:lineRule="auto"/>
              <w:jc w:val="center"/>
              <w:rPr>
                <w:rFonts w:asciiTheme="majorHAnsi" w:hAnsiTheme="majorHAnsi" w:cstheme="majorBidi"/>
                <w:sz w:val="22"/>
                <w:szCs w:val="22"/>
                <w:lang w:eastAsia="en-AU"/>
              </w:rPr>
            </w:pPr>
            <w:r w:rsidRPr="007C1E37">
              <w:rPr>
                <w:rFonts w:asciiTheme="majorHAnsi" w:hAnsiTheme="majorHAnsi" w:cstheme="majorBidi"/>
                <w:sz w:val="22"/>
                <w:szCs w:val="22"/>
                <w:lang w:eastAsia="en-AU"/>
              </w:rPr>
              <w:t>34</w:t>
            </w:r>
          </w:p>
        </w:tc>
      </w:tr>
      <w:tr w:rsidR="009271CE" w:rsidRPr="007C1E37" w14:paraId="5F0A2AEC" w14:textId="77777777" w:rsidTr="0078044C">
        <w:trPr>
          <w:trHeight w:val="251"/>
          <w:jc w:val="center"/>
        </w:trPr>
        <w:tc>
          <w:tcPr>
            <w:tcW w:w="2211" w:type="dxa"/>
            <w:tcBorders>
              <w:top w:val="dotted" w:sz="4" w:space="0" w:color="auto"/>
              <w:left w:val="nil"/>
              <w:right w:val="single" w:sz="4" w:space="0" w:color="auto"/>
            </w:tcBorders>
            <w:shd w:val="clear" w:color="auto" w:fill="6B2976"/>
          </w:tcPr>
          <w:p w14:paraId="5300D17A" w14:textId="350F39F6" w:rsidR="009271CE" w:rsidRPr="007C1E37" w:rsidRDefault="009271CE" w:rsidP="001E519A">
            <w:pPr>
              <w:spacing w:after="0" w:line="240" w:lineRule="auto"/>
              <w:rPr>
                <w:rFonts w:asciiTheme="majorHAnsi" w:hAnsiTheme="majorHAnsi" w:cstheme="majorBidi"/>
                <w:b/>
                <w:color w:val="FFFFFF"/>
                <w:sz w:val="22"/>
                <w:szCs w:val="22"/>
                <w:lang w:eastAsia="en-AU"/>
              </w:rPr>
            </w:pPr>
            <w:r>
              <w:rPr>
                <w:rFonts w:asciiTheme="majorHAnsi" w:hAnsiTheme="majorHAnsi" w:cstheme="majorBidi"/>
                <w:b/>
                <w:color w:val="FFFFFF"/>
                <w:sz w:val="22"/>
                <w:szCs w:val="22"/>
                <w:lang w:eastAsia="en-AU"/>
              </w:rPr>
              <w:t>Psychology</w:t>
            </w:r>
          </w:p>
        </w:tc>
        <w:tc>
          <w:tcPr>
            <w:tcW w:w="1179" w:type="dxa"/>
            <w:tcBorders>
              <w:top w:val="dotted" w:sz="4" w:space="0" w:color="auto"/>
              <w:left w:val="single" w:sz="4" w:space="0" w:color="auto"/>
              <w:right w:val="single" w:sz="4" w:space="0" w:color="auto"/>
            </w:tcBorders>
            <w:shd w:val="clear" w:color="auto" w:fill="FFFFFF"/>
            <w:noWrap/>
            <w:vAlign w:val="bottom"/>
          </w:tcPr>
          <w:p w14:paraId="61711EBE" w14:textId="2CA9CC80" w:rsidR="009271CE" w:rsidRPr="007C1E37" w:rsidRDefault="009271CE" w:rsidP="001E519A">
            <w:pPr>
              <w:spacing w:after="0" w:line="240" w:lineRule="auto"/>
              <w:jc w:val="center"/>
              <w:rPr>
                <w:rFonts w:asciiTheme="majorHAnsi" w:hAnsiTheme="majorHAnsi" w:cstheme="majorBidi"/>
                <w:sz w:val="22"/>
                <w:szCs w:val="22"/>
                <w:lang w:eastAsia="en-AU"/>
              </w:rPr>
            </w:pPr>
            <w:r w:rsidRPr="007C1E37">
              <w:rPr>
                <w:rFonts w:asciiTheme="majorHAnsi" w:hAnsiTheme="majorHAnsi" w:cstheme="majorBidi"/>
                <w:sz w:val="22"/>
                <w:szCs w:val="22"/>
                <w:lang w:eastAsia="en-AU"/>
              </w:rPr>
              <w:t>PHI</w:t>
            </w:r>
          </w:p>
        </w:tc>
        <w:tc>
          <w:tcPr>
            <w:tcW w:w="1871" w:type="dxa"/>
            <w:tcBorders>
              <w:top w:val="dotted" w:sz="4" w:space="0" w:color="auto"/>
              <w:left w:val="single" w:sz="4" w:space="0" w:color="auto"/>
              <w:right w:val="nil"/>
            </w:tcBorders>
            <w:shd w:val="clear" w:color="auto" w:fill="FFFFFF"/>
            <w:noWrap/>
            <w:vAlign w:val="bottom"/>
          </w:tcPr>
          <w:p w14:paraId="4BB54EAB" w14:textId="07C44216" w:rsidR="009271CE" w:rsidRPr="007C1E37" w:rsidRDefault="009271CE" w:rsidP="001E519A">
            <w:pPr>
              <w:spacing w:after="0" w:line="240" w:lineRule="auto"/>
              <w:jc w:val="center"/>
              <w:rPr>
                <w:rFonts w:asciiTheme="majorHAnsi" w:hAnsiTheme="majorHAnsi" w:cstheme="majorBidi"/>
                <w:sz w:val="22"/>
                <w:szCs w:val="22"/>
                <w:lang w:eastAsia="en-AU"/>
              </w:rPr>
            </w:pPr>
            <w:r w:rsidRPr="007C1E37">
              <w:rPr>
                <w:rFonts w:asciiTheme="majorHAnsi" w:hAnsiTheme="majorHAnsi" w:cstheme="majorBidi"/>
                <w:sz w:val="22"/>
                <w:szCs w:val="22"/>
                <w:lang w:eastAsia="en-AU"/>
              </w:rPr>
              <w:t>60</w:t>
            </w:r>
          </w:p>
        </w:tc>
        <w:tc>
          <w:tcPr>
            <w:tcW w:w="1871" w:type="dxa"/>
            <w:tcBorders>
              <w:top w:val="dotted" w:sz="4" w:space="0" w:color="auto"/>
              <w:left w:val="nil"/>
              <w:right w:val="nil"/>
            </w:tcBorders>
            <w:shd w:val="clear" w:color="auto" w:fill="FFFFFF"/>
            <w:noWrap/>
            <w:vAlign w:val="bottom"/>
          </w:tcPr>
          <w:p w14:paraId="0597C254" w14:textId="6E5A509C" w:rsidR="009271CE" w:rsidRPr="007C1E37" w:rsidRDefault="009271CE" w:rsidP="001E519A">
            <w:pPr>
              <w:spacing w:after="0" w:line="240" w:lineRule="auto"/>
              <w:jc w:val="center"/>
              <w:rPr>
                <w:rFonts w:asciiTheme="majorHAnsi" w:hAnsiTheme="majorHAnsi" w:cstheme="majorBidi"/>
                <w:sz w:val="22"/>
                <w:szCs w:val="22"/>
                <w:lang w:eastAsia="en-AU"/>
              </w:rPr>
            </w:pPr>
            <w:r w:rsidRPr="007C1E37">
              <w:rPr>
                <w:rFonts w:asciiTheme="majorHAnsi" w:hAnsiTheme="majorHAnsi" w:cstheme="majorBidi"/>
                <w:sz w:val="22"/>
                <w:szCs w:val="22"/>
                <w:lang w:eastAsia="en-AU"/>
              </w:rPr>
              <w:t>60</w:t>
            </w:r>
          </w:p>
        </w:tc>
        <w:tc>
          <w:tcPr>
            <w:tcW w:w="1871" w:type="dxa"/>
            <w:tcBorders>
              <w:top w:val="dotted" w:sz="4" w:space="0" w:color="auto"/>
              <w:left w:val="nil"/>
              <w:right w:val="single" w:sz="4" w:space="0" w:color="auto"/>
            </w:tcBorders>
            <w:shd w:val="clear" w:color="auto" w:fill="FFFFFF"/>
            <w:noWrap/>
            <w:vAlign w:val="bottom"/>
          </w:tcPr>
          <w:p w14:paraId="2A06B994" w14:textId="1A109535" w:rsidR="009271CE" w:rsidRPr="007C1E37" w:rsidRDefault="009271CE" w:rsidP="001E519A">
            <w:pPr>
              <w:spacing w:after="0" w:line="240" w:lineRule="auto"/>
              <w:jc w:val="center"/>
              <w:rPr>
                <w:rFonts w:asciiTheme="majorHAnsi" w:hAnsiTheme="majorHAnsi" w:cstheme="majorBidi"/>
                <w:sz w:val="22"/>
                <w:szCs w:val="22"/>
                <w:lang w:eastAsia="en-AU"/>
              </w:rPr>
            </w:pPr>
            <w:r w:rsidRPr="007C1E37">
              <w:rPr>
                <w:rFonts w:asciiTheme="majorHAnsi" w:hAnsiTheme="majorHAnsi" w:cstheme="majorBidi"/>
                <w:sz w:val="22"/>
                <w:szCs w:val="22"/>
                <w:lang w:eastAsia="en-AU"/>
              </w:rPr>
              <w:t>60</w:t>
            </w:r>
          </w:p>
        </w:tc>
      </w:tr>
      <w:tr w:rsidR="009271CE" w:rsidRPr="007C1E37" w14:paraId="38C96447" w14:textId="77777777" w:rsidTr="004629FE">
        <w:trPr>
          <w:trHeight w:val="251"/>
          <w:jc w:val="center"/>
        </w:trPr>
        <w:tc>
          <w:tcPr>
            <w:tcW w:w="2211" w:type="dxa"/>
            <w:tcBorders>
              <w:top w:val="nil"/>
              <w:left w:val="nil"/>
              <w:bottom w:val="dotted" w:sz="4" w:space="0" w:color="auto"/>
              <w:right w:val="single" w:sz="4" w:space="0" w:color="auto"/>
            </w:tcBorders>
            <w:shd w:val="clear" w:color="auto" w:fill="6B2976"/>
          </w:tcPr>
          <w:p w14:paraId="11729815" w14:textId="77777777" w:rsidR="009271CE" w:rsidRPr="007C1E37" w:rsidRDefault="009271CE" w:rsidP="001E519A">
            <w:pPr>
              <w:spacing w:after="0" w:line="240" w:lineRule="auto"/>
              <w:rPr>
                <w:rFonts w:asciiTheme="majorHAnsi" w:hAnsiTheme="majorHAnsi" w:cstheme="majorBidi"/>
                <w:b/>
                <w:color w:val="FFFFFF"/>
                <w:sz w:val="22"/>
                <w:szCs w:val="22"/>
                <w:lang w:eastAsia="en-AU"/>
              </w:rPr>
            </w:pPr>
          </w:p>
        </w:tc>
        <w:tc>
          <w:tcPr>
            <w:tcW w:w="1179" w:type="dxa"/>
            <w:tcBorders>
              <w:top w:val="nil"/>
              <w:left w:val="single" w:sz="4" w:space="0" w:color="auto"/>
              <w:bottom w:val="dotted" w:sz="4" w:space="0" w:color="auto"/>
              <w:right w:val="single" w:sz="4" w:space="0" w:color="auto"/>
            </w:tcBorders>
            <w:shd w:val="clear" w:color="auto" w:fill="FFFFFF"/>
            <w:noWrap/>
            <w:vAlign w:val="bottom"/>
          </w:tcPr>
          <w:p w14:paraId="74410F3B" w14:textId="1FEA1963" w:rsidR="009271CE" w:rsidRPr="007C1E37" w:rsidRDefault="009271CE" w:rsidP="001E519A">
            <w:pPr>
              <w:spacing w:after="0" w:line="240" w:lineRule="auto"/>
              <w:jc w:val="center"/>
              <w:rPr>
                <w:rFonts w:asciiTheme="majorHAnsi" w:hAnsiTheme="majorHAnsi" w:cstheme="majorBidi"/>
                <w:sz w:val="22"/>
                <w:szCs w:val="22"/>
                <w:lang w:eastAsia="en-AU"/>
              </w:rPr>
            </w:pPr>
            <w:r w:rsidRPr="007C1E37">
              <w:rPr>
                <w:rFonts w:asciiTheme="majorHAnsi" w:hAnsiTheme="majorHAnsi" w:cstheme="majorBidi"/>
                <w:sz w:val="22"/>
                <w:szCs w:val="22"/>
                <w:lang w:eastAsia="en-AU"/>
              </w:rPr>
              <w:t>MBS</w:t>
            </w:r>
          </w:p>
        </w:tc>
        <w:tc>
          <w:tcPr>
            <w:tcW w:w="1871" w:type="dxa"/>
            <w:tcBorders>
              <w:top w:val="nil"/>
              <w:left w:val="single" w:sz="4" w:space="0" w:color="auto"/>
              <w:bottom w:val="dotted" w:sz="4" w:space="0" w:color="auto"/>
              <w:right w:val="nil"/>
            </w:tcBorders>
            <w:shd w:val="clear" w:color="auto" w:fill="FFFFFF"/>
            <w:noWrap/>
            <w:vAlign w:val="bottom"/>
          </w:tcPr>
          <w:p w14:paraId="7EF22DB6" w14:textId="14DC8DB0" w:rsidR="009271CE" w:rsidRPr="007C1E37" w:rsidRDefault="009271CE" w:rsidP="001E519A">
            <w:pPr>
              <w:spacing w:after="0" w:line="240" w:lineRule="auto"/>
              <w:jc w:val="center"/>
              <w:rPr>
                <w:rFonts w:asciiTheme="majorHAnsi" w:hAnsiTheme="majorHAnsi" w:cstheme="majorBidi"/>
                <w:sz w:val="22"/>
                <w:szCs w:val="22"/>
                <w:lang w:eastAsia="en-AU"/>
              </w:rPr>
            </w:pPr>
            <w:r w:rsidRPr="007C1E37">
              <w:rPr>
                <w:rFonts w:asciiTheme="majorHAnsi" w:hAnsiTheme="majorHAnsi" w:cstheme="majorBidi"/>
                <w:sz w:val="22"/>
                <w:szCs w:val="22"/>
                <w:lang w:eastAsia="en-AU"/>
              </w:rPr>
              <w:t>60</w:t>
            </w:r>
          </w:p>
        </w:tc>
        <w:tc>
          <w:tcPr>
            <w:tcW w:w="1871" w:type="dxa"/>
            <w:tcBorders>
              <w:top w:val="nil"/>
              <w:left w:val="nil"/>
              <w:bottom w:val="dotted" w:sz="4" w:space="0" w:color="auto"/>
              <w:right w:val="nil"/>
            </w:tcBorders>
            <w:shd w:val="clear" w:color="auto" w:fill="FFFFFF"/>
            <w:noWrap/>
            <w:vAlign w:val="bottom"/>
          </w:tcPr>
          <w:p w14:paraId="2BD092E2" w14:textId="2818EC88" w:rsidR="009271CE" w:rsidRPr="007C1E37" w:rsidRDefault="009271CE" w:rsidP="001E519A">
            <w:pPr>
              <w:spacing w:after="0" w:line="240" w:lineRule="auto"/>
              <w:jc w:val="center"/>
              <w:rPr>
                <w:rFonts w:asciiTheme="majorHAnsi" w:hAnsiTheme="majorHAnsi" w:cstheme="majorBidi"/>
                <w:sz w:val="22"/>
                <w:szCs w:val="22"/>
                <w:lang w:eastAsia="en-AU"/>
              </w:rPr>
            </w:pPr>
            <w:r w:rsidRPr="007C1E37">
              <w:rPr>
                <w:rFonts w:asciiTheme="majorHAnsi" w:hAnsiTheme="majorHAnsi" w:cstheme="majorBidi"/>
                <w:sz w:val="22"/>
                <w:szCs w:val="22"/>
                <w:lang w:eastAsia="en-AU"/>
              </w:rPr>
              <w:t>60</w:t>
            </w:r>
          </w:p>
        </w:tc>
        <w:tc>
          <w:tcPr>
            <w:tcW w:w="1871" w:type="dxa"/>
            <w:tcBorders>
              <w:top w:val="nil"/>
              <w:left w:val="nil"/>
              <w:bottom w:val="dotted" w:sz="4" w:space="0" w:color="auto"/>
              <w:right w:val="single" w:sz="4" w:space="0" w:color="auto"/>
            </w:tcBorders>
            <w:shd w:val="clear" w:color="auto" w:fill="FFFFFF"/>
            <w:noWrap/>
            <w:vAlign w:val="bottom"/>
          </w:tcPr>
          <w:p w14:paraId="7B9FB400" w14:textId="2942B737" w:rsidR="009271CE" w:rsidRPr="007C1E37" w:rsidRDefault="009271CE" w:rsidP="001E519A">
            <w:pPr>
              <w:spacing w:after="0" w:line="240" w:lineRule="auto"/>
              <w:jc w:val="center"/>
              <w:rPr>
                <w:rFonts w:asciiTheme="majorHAnsi" w:hAnsiTheme="majorHAnsi" w:cstheme="majorBidi"/>
                <w:sz w:val="22"/>
                <w:szCs w:val="22"/>
                <w:lang w:eastAsia="en-AU"/>
              </w:rPr>
            </w:pPr>
            <w:r w:rsidRPr="007C1E37">
              <w:rPr>
                <w:rFonts w:asciiTheme="majorHAnsi" w:hAnsiTheme="majorHAnsi" w:cstheme="majorBidi"/>
                <w:sz w:val="22"/>
                <w:szCs w:val="22"/>
                <w:lang w:eastAsia="en-AU"/>
              </w:rPr>
              <w:t>60</w:t>
            </w:r>
          </w:p>
        </w:tc>
      </w:tr>
      <w:tr w:rsidR="00741063" w:rsidRPr="007C1E37" w14:paraId="5314C837" w14:textId="77777777" w:rsidTr="004629FE">
        <w:trPr>
          <w:trHeight w:val="251"/>
          <w:jc w:val="center"/>
        </w:trPr>
        <w:tc>
          <w:tcPr>
            <w:tcW w:w="2211" w:type="dxa"/>
            <w:tcBorders>
              <w:top w:val="dotted" w:sz="4" w:space="0" w:color="auto"/>
              <w:left w:val="nil"/>
              <w:right w:val="single" w:sz="4" w:space="0" w:color="auto"/>
            </w:tcBorders>
            <w:shd w:val="clear" w:color="auto" w:fill="6B2976"/>
            <w:hideMark/>
          </w:tcPr>
          <w:p w14:paraId="7891214A" w14:textId="77777777" w:rsidR="009714AA" w:rsidRPr="007C1E37" w:rsidRDefault="009714AA" w:rsidP="001E519A">
            <w:pPr>
              <w:spacing w:after="0" w:line="240" w:lineRule="auto"/>
              <w:rPr>
                <w:rFonts w:asciiTheme="majorHAnsi" w:hAnsiTheme="majorHAnsi" w:cstheme="majorBidi"/>
                <w:b/>
                <w:color w:val="FFFFFF"/>
                <w:sz w:val="22"/>
                <w:szCs w:val="22"/>
                <w:lang w:eastAsia="en-AU"/>
              </w:rPr>
            </w:pPr>
            <w:r w:rsidRPr="007C1E37">
              <w:rPr>
                <w:rFonts w:asciiTheme="majorHAnsi" w:hAnsiTheme="majorHAnsi" w:cstheme="majorBidi"/>
                <w:b/>
                <w:color w:val="FFFFFF"/>
                <w:sz w:val="22"/>
                <w:szCs w:val="22"/>
                <w:lang w:eastAsia="en-AU"/>
              </w:rPr>
              <w:t>Exercise Physiology</w:t>
            </w:r>
          </w:p>
        </w:tc>
        <w:tc>
          <w:tcPr>
            <w:tcW w:w="1179" w:type="dxa"/>
            <w:tcBorders>
              <w:top w:val="dotted" w:sz="4" w:space="0" w:color="auto"/>
              <w:left w:val="single" w:sz="4" w:space="0" w:color="auto"/>
              <w:right w:val="single" w:sz="4" w:space="0" w:color="auto"/>
            </w:tcBorders>
            <w:shd w:val="clear" w:color="auto" w:fill="FFFFFF"/>
            <w:noWrap/>
            <w:vAlign w:val="bottom"/>
          </w:tcPr>
          <w:p w14:paraId="72B7150E" w14:textId="77777777" w:rsidR="009714AA" w:rsidRPr="007C1E37" w:rsidRDefault="009714AA" w:rsidP="001E519A">
            <w:pPr>
              <w:spacing w:after="0" w:line="240" w:lineRule="auto"/>
              <w:jc w:val="center"/>
              <w:rPr>
                <w:rFonts w:asciiTheme="majorHAnsi" w:hAnsiTheme="majorHAnsi" w:cstheme="majorBidi"/>
                <w:sz w:val="22"/>
                <w:szCs w:val="22"/>
                <w:lang w:eastAsia="en-AU"/>
              </w:rPr>
            </w:pPr>
            <w:r w:rsidRPr="007C1E37">
              <w:rPr>
                <w:rFonts w:asciiTheme="majorHAnsi" w:hAnsiTheme="majorHAnsi" w:cstheme="majorBidi"/>
                <w:sz w:val="22"/>
                <w:szCs w:val="22"/>
                <w:lang w:eastAsia="en-AU"/>
              </w:rPr>
              <w:t>PHI</w:t>
            </w:r>
          </w:p>
        </w:tc>
        <w:tc>
          <w:tcPr>
            <w:tcW w:w="1871" w:type="dxa"/>
            <w:tcBorders>
              <w:top w:val="dotted" w:sz="4" w:space="0" w:color="auto"/>
              <w:left w:val="single" w:sz="4" w:space="0" w:color="auto"/>
              <w:right w:val="nil"/>
            </w:tcBorders>
            <w:shd w:val="clear" w:color="auto" w:fill="FFFFFF"/>
            <w:noWrap/>
            <w:vAlign w:val="bottom"/>
          </w:tcPr>
          <w:p w14:paraId="74AFBFFB" w14:textId="77777777" w:rsidR="009714AA" w:rsidRPr="007C1E37" w:rsidRDefault="009714AA" w:rsidP="001E519A">
            <w:pPr>
              <w:spacing w:after="0" w:line="240" w:lineRule="auto"/>
              <w:jc w:val="center"/>
              <w:rPr>
                <w:rFonts w:asciiTheme="majorHAnsi" w:hAnsiTheme="majorHAnsi" w:cstheme="majorBidi"/>
                <w:sz w:val="22"/>
                <w:szCs w:val="22"/>
                <w:lang w:eastAsia="en-AU"/>
              </w:rPr>
            </w:pPr>
            <w:r w:rsidRPr="007C1E37">
              <w:rPr>
                <w:rFonts w:asciiTheme="majorHAnsi" w:hAnsiTheme="majorHAnsi" w:cstheme="majorBidi"/>
                <w:sz w:val="22"/>
                <w:szCs w:val="22"/>
                <w:lang w:eastAsia="en-AU"/>
              </w:rPr>
              <w:t>n/a</w:t>
            </w:r>
          </w:p>
        </w:tc>
        <w:tc>
          <w:tcPr>
            <w:tcW w:w="1871" w:type="dxa"/>
            <w:tcBorders>
              <w:top w:val="dotted" w:sz="4" w:space="0" w:color="auto"/>
              <w:left w:val="nil"/>
              <w:right w:val="nil"/>
            </w:tcBorders>
            <w:shd w:val="clear" w:color="auto" w:fill="FFFFFF"/>
            <w:noWrap/>
            <w:vAlign w:val="bottom"/>
          </w:tcPr>
          <w:p w14:paraId="1564F0CE" w14:textId="77777777" w:rsidR="009714AA" w:rsidRPr="007C1E37" w:rsidRDefault="009714AA" w:rsidP="001E519A">
            <w:pPr>
              <w:spacing w:after="0" w:line="240" w:lineRule="auto"/>
              <w:jc w:val="center"/>
              <w:rPr>
                <w:rFonts w:asciiTheme="majorHAnsi" w:hAnsiTheme="majorHAnsi" w:cstheme="majorBidi"/>
                <w:sz w:val="22"/>
                <w:szCs w:val="22"/>
                <w:lang w:eastAsia="en-AU"/>
              </w:rPr>
            </w:pPr>
            <w:r w:rsidRPr="007C1E37">
              <w:rPr>
                <w:rFonts w:asciiTheme="majorHAnsi" w:hAnsiTheme="majorHAnsi" w:cstheme="majorBidi"/>
                <w:sz w:val="22"/>
                <w:szCs w:val="22"/>
                <w:lang w:eastAsia="en-AU"/>
              </w:rPr>
              <w:t>n/a</w:t>
            </w:r>
          </w:p>
        </w:tc>
        <w:tc>
          <w:tcPr>
            <w:tcW w:w="1871" w:type="dxa"/>
            <w:tcBorders>
              <w:top w:val="dotted" w:sz="4" w:space="0" w:color="auto"/>
              <w:left w:val="nil"/>
              <w:right w:val="single" w:sz="4" w:space="0" w:color="auto"/>
            </w:tcBorders>
            <w:shd w:val="clear" w:color="auto" w:fill="FFFFFF"/>
            <w:noWrap/>
            <w:vAlign w:val="bottom"/>
          </w:tcPr>
          <w:p w14:paraId="5C76C29C" w14:textId="77777777" w:rsidR="009714AA" w:rsidRPr="007C1E37" w:rsidRDefault="009714AA" w:rsidP="001E519A">
            <w:pPr>
              <w:spacing w:after="0" w:line="240" w:lineRule="auto"/>
              <w:jc w:val="center"/>
              <w:rPr>
                <w:rFonts w:asciiTheme="majorHAnsi" w:hAnsiTheme="majorHAnsi" w:cstheme="majorBidi"/>
                <w:sz w:val="22"/>
                <w:szCs w:val="22"/>
                <w:lang w:eastAsia="en-AU"/>
              </w:rPr>
            </w:pPr>
            <w:r w:rsidRPr="007C1E37">
              <w:rPr>
                <w:rFonts w:asciiTheme="majorHAnsi" w:hAnsiTheme="majorHAnsi" w:cstheme="majorBidi"/>
                <w:sz w:val="22"/>
                <w:szCs w:val="22"/>
                <w:lang w:eastAsia="en-AU"/>
              </w:rPr>
              <w:t>n/a</w:t>
            </w:r>
          </w:p>
        </w:tc>
      </w:tr>
      <w:tr w:rsidR="00741063" w:rsidRPr="007C1E37" w14:paraId="39E94167" w14:textId="77777777" w:rsidTr="004629FE">
        <w:trPr>
          <w:trHeight w:val="251"/>
          <w:jc w:val="center"/>
        </w:trPr>
        <w:tc>
          <w:tcPr>
            <w:tcW w:w="2211" w:type="dxa"/>
            <w:tcBorders>
              <w:top w:val="nil"/>
              <w:left w:val="nil"/>
              <w:bottom w:val="dotted" w:sz="4" w:space="0" w:color="auto"/>
              <w:right w:val="single" w:sz="4" w:space="0" w:color="auto"/>
            </w:tcBorders>
            <w:shd w:val="clear" w:color="auto" w:fill="6B2976"/>
          </w:tcPr>
          <w:p w14:paraId="5F51D53F" w14:textId="77777777" w:rsidR="009714AA" w:rsidRPr="007C1E37" w:rsidRDefault="009714AA" w:rsidP="001E519A">
            <w:pPr>
              <w:spacing w:after="0" w:line="240" w:lineRule="auto"/>
              <w:rPr>
                <w:rFonts w:asciiTheme="majorHAnsi" w:hAnsiTheme="majorHAnsi" w:cstheme="majorBidi"/>
                <w:b/>
                <w:color w:val="FFFFFF"/>
                <w:sz w:val="22"/>
                <w:szCs w:val="22"/>
                <w:lang w:eastAsia="en-AU"/>
              </w:rPr>
            </w:pPr>
          </w:p>
        </w:tc>
        <w:tc>
          <w:tcPr>
            <w:tcW w:w="1179" w:type="dxa"/>
            <w:tcBorders>
              <w:top w:val="nil"/>
              <w:left w:val="single" w:sz="4" w:space="0" w:color="auto"/>
              <w:bottom w:val="dotted" w:sz="4" w:space="0" w:color="auto"/>
              <w:right w:val="single" w:sz="4" w:space="0" w:color="auto"/>
            </w:tcBorders>
            <w:shd w:val="clear" w:color="auto" w:fill="FFFFFF"/>
            <w:noWrap/>
            <w:vAlign w:val="bottom"/>
          </w:tcPr>
          <w:p w14:paraId="616EC7F9" w14:textId="77777777" w:rsidR="009714AA" w:rsidRPr="007C1E37" w:rsidRDefault="009714AA" w:rsidP="001E519A">
            <w:pPr>
              <w:spacing w:after="0" w:line="240" w:lineRule="auto"/>
              <w:jc w:val="center"/>
              <w:rPr>
                <w:rFonts w:asciiTheme="majorHAnsi" w:hAnsiTheme="majorHAnsi" w:cstheme="majorBidi"/>
                <w:sz w:val="22"/>
                <w:szCs w:val="22"/>
                <w:lang w:eastAsia="en-AU"/>
              </w:rPr>
            </w:pPr>
            <w:r w:rsidRPr="007C1E37">
              <w:rPr>
                <w:rFonts w:asciiTheme="majorHAnsi" w:hAnsiTheme="majorHAnsi" w:cstheme="majorBidi"/>
                <w:sz w:val="22"/>
                <w:szCs w:val="22"/>
                <w:lang w:eastAsia="en-AU"/>
              </w:rPr>
              <w:t>MBS</w:t>
            </w:r>
          </w:p>
        </w:tc>
        <w:tc>
          <w:tcPr>
            <w:tcW w:w="1871" w:type="dxa"/>
            <w:tcBorders>
              <w:top w:val="nil"/>
              <w:left w:val="single" w:sz="4" w:space="0" w:color="auto"/>
              <w:bottom w:val="dotted" w:sz="4" w:space="0" w:color="auto"/>
              <w:right w:val="nil"/>
            </w:tcBorders>
            <w:shd w:val="clear" w:color="auto" w:fill="FFFFFF"/>
            <w:noWrap/>
            <w:vAlign w:val="bottom"/>
          </w:tcPr>
          <w:p w14:paraId="71FA7F7C" w14:textId="77777777" w:rsidR="009714AA" w:rsidRPr="007C1E37" w:rsidRDefault="009714AA" w:rsidP="001E519A">
            <w:pPr>
              <w:spacing w:after="0" w:line="240" w:lineRule="auto"/>
              <w:jc w:val="center"/>
              <w:rPr>
                <w:rFonts w:asciiTheme="majorHAnsi" w:hAnsiTheme="majorHAnsi" w:cstheme="majorBidi"/>
                <w:sz w:val="22"/>
                <w:szCs w:val="22"/>
                <w:lang w:eastAsia="en-AU"/>
              </w:rPr>
            </w:pPr>
            <w:r w:rsidRPr="007C1E37">
              <w:rPr>
                <w:rFonts w:asciiTheme="majorHAnsi" w:hAnsiTheme="majorHAnsi" w:cstheme="majorBidi"/>
                <w:sz w:val="22"/>
                <w:szCs w:val="22"/>
                <w:lang w:eastAsia="en-AU"/>
              </w:rPr>
              <w:t>30</w:t>
            </w:r>
          </w:p>
        </w:tc>
        <w:tc>
          <w:tcPr>
            <w:tcW w:w="1871" w:type="dxa"/>
            <w:tcBorders>
              <w:top w:val="nil"/>
              <w:left w:val="nil"/>
              <w:bottom w:val="dotted" w:sz="4" w:space="0" w:color="auto"/>
              <w:right w:val="nil"/>
            </w:tcBorders>
            <w:shd w:val="clear" w:color="auto" w:fill="FFFFFF"/>
            <w:noWrap/>
            <w:vAlign w:val="bottom"/>
          </w:tcPr>
          <w:p w14:paraId="31F9A4B2" w14:textId="77777777" w:rsidR="009714AA" w:rsidRPr="007C1E37" w:rsidRDefault="009714AA" w:rsidP="001E519A">
            <w:pPr>
              <w:spacing w:after="0" w:line="240" w:lineRule="auto"/>
              <w:jc w:val="center"/>
              <w:rPr>
                <w:rFonts w:asciiTheme="majorHAnsi" w:hAnsiTheme="majorHAnsi" w:cstheme="majorBidi"/>
                <w:sz w:val="22"/>
                <w:szCs w:val="22"/>
                <w:lang w:eastAsia="en-AU"/>
              </w:rPr>
            </w:pPr>
            <w:r w:rsidRPr="007C1E37">
              <w:rPr>
                <w:rFonts w:asciiTheme="majorHAnsi" w:hAnsiTheme="majorHAnsi" w:cstheme="majorBidi"/>
                <w:sz w:val="22"/>
                <w:szCs w:val="22"/>
                <w:lang w:eastAsia="en-AU"/>
              </w:rPr>
              <w:t>30</w:t>
            </w:r>
          </w:p>
        </w:tc>
        <w:tc>
          <w:tcPr>
            <w:tcW w:w="1871" w:type="dxa"/>
            <w:tcBorders>
              <w:top w:val="nil"/>
              <w:left w:val="nil"/>
              <w:bottom w:val="dotted" w:sz="4" w:space="0" w:color="auto"/>
              <w:right w:val="single" w:sz="4" w:space="0" w:color="auto"/>
            </w:tcBorders>
            <w:shd w:val="clear" w:color="auto" w:fill="FFFFFF"/>
            <w:noWrap/>
            <w:vAlign w:val="bottom"/>
          </w:tcPr>
          <w:p w14:paraId="513002D3" w14:textId="77777777" w:rsidR="009714AA" w:rsidRPr="007C1E37" w:rsidRDefault="009714AA" w:rsidP="001E519A">
            <w:pPr>
              <w:spacing w:after="0" w:line="240" w:lineRule="auto"/>
              <w:jc w:val="center"/>
              <w:rPr>
                <w:rFonts w:asciiTheme="majorHAnsi" w:hAnsiTheme="majorHAnsi" w:cstheme="majorBidi"/>
                <w:sz w:val="22"/>
                <w:szCs w:val="22"/>
                <w:lang w:eastAsia="en-AU"/>
              </w:rPr>
            </w:pPr>
            <w:r w:rsidRPr="007C1E37">
              <w:rPr>
                <w:rFonts w:asciiTheme="majorHAnsi" w:hAnsiTheme="majorHAnsi" w:cstheme="majorBidi"/>
                <w:sz w:val="22"/>
                <w:szCs w:val="22"/>
                <w:lang w:eastAsia="en-AU"/>
              </w:rPr>
              <w:t>38</w:t>
            </w:r>
          </w:p>
        </w:tc>
      </w:tr>
      <w:tr w:rsidR="00741063" w:rsidRPr="007C1E37" w14:paraId="1D36B54A" w14:textId="77777777" w:rsidTr="004629FE">
        <w:trPr>
          <w:trHeight w:val="251"/>
          <w:jc w:val="center"/>
        </w:trPr>
        <w:tc>
          <w:tcPr>
            <w:tcW w:w="2211" w:type="dxa"/>
            <w:tcBorders>
              <w:top w:val="dotted" w:sz="4" w:space="0" w:color="auto"/>
              <w:left w:val="nil"/>
              <w:right w:val="single" w:sz="4" w:space="0" w:color="auto"/>
            </w:tcBorders>
            <w:shd w:val="clear" w:color="auto" w:fill="6B2976"/>
            <w:hideMark/>
          </w:tcPr>
          <w:p w14:paraId="447EE3B6" w14:textId="77777777" w:rsidR="009714AA" w:rsidRPr="007C1E37" w:rsidRDefault="009714AA" w:rsidP="001E519A">
            <w:pPr>
              <w:spacing w:after="0" w:line="240" w:lineRule="auto"/>
              <w:rPr>
                <w:rFonts w:asciiTheme="majorHAnsi" w:hAnsiTheme="majorHAnsi" w:cstheme="majorBidi"/>
                <w:b/>
                <w:color w:val="FFFFFF"/>
                <w:sz w:val="22"/>
                <w:szCs w:val="22"/>
                <w:lang w:eastAsia="en-AU"/>
              </w:rPr>
            </w:pPr>
            <w:r w:rsidRPr="007C1E37">
              <w:rPr>
                <w:rFonts w:asciiTheme="majorHAnsi" w:hAnsiTheme="majorHAnsi" w:cstheme="majorBidi"/>
                <w:b/>
                <w:color w:val="FFFFFF"/>
                <w:sz w:val="22"/>
                <w:szCs w:val="22"/>
                <w:lang w:eastAsia="en-AU"/>
              </w:rPr>
              <w:t>Occupational Therapy</w:t>
            </w:r>
          </w:p>
        </w:tc>
        <w:tc>
          <w:tcPr>
            <w:tcW w:w="1179" w:type="dxa"/>
            <w:tcBorders>
              <w:top w:val="dotted" w:sz="4" w:space="0" w:color="auto"/>
              <w:left w:val="single" w:sz="4" w:space="0" w:color="auto"/>
              <w:right w:val="single" w:sz="4" w:space="0" w:color="auto"/>
            </w:tcBorders>
            <w:shd w:val="clear" w:color="auto" w:fill="FFFFFF"/>
            <w:noWrap/>
            <w:vAlign w:val="bottom"/>
            <w:hideMark/>
          </w:tcPr>
          <w:p w14:paraId="52F2880B" w14:textId="77777777" w:rsidR="009714AA" w:rsidRPr="007C1E37" w:rsidRDefault="009714AA" w:rsidP="001E519A">
            <w:pPr>
              <w:spacing w:after="0" w:line="240" w:lineRule="auto"/>
              <w:jc w:val="center"/>
              <w:rPr>
                <w:rFonts w:asciiTheme="majorHAnsi" w:hAnsiTheme="majorHAnsi" w:cstheme="majorBidi"/>
                <w:sz w:val="22"/>
                <w:szCs w:val="22"/>
                <w:lang w:eastAsia="en-AU"/>
              </w:rPr>
            </w:pPr>
            <w:r w:rsidRPr="007C1E37">
              <w:rPr>
                <w:rFonts w:asciiTheme="majorHAnsi" w:hAnsiTheme="majorHAnsi" w:cstheme="majorBidi"/>
                <w:sz w:val="22"/>
                <w:szCs w:val="22"/>
                <w:lang w:eastAsia="en-AU"/>
              </w:rPr>
              <w:t>PHI</w:t>
            </w:r>
          </w:p>
        </w:tc>
        <w:tc>
          <w:tcPr>
            <w:tcW w:w="1871" w:type="dxa"/>
            <w:tcBorders>
              <w:top w:val="dotted" w:sz="4" w:space="0" w:color="auto"/>
              <w:left w:val="single" w:sz="4" w:space="0" w:color="auto"/>
              <w:right w:val="nil"/>
            </w:tcBorders>
            <w:shd w:val="clear" w:color="auto" w:fill="FFFFFF"/>
            <w:noWrap/>
            <w:vAlign w:val="bottom"/>
            <w:hideMark/>
          </w:tcPr>
          <w:p w14:paraId="3D5A0069" w14:textId="77777777" w:rsidR="009714AA" w:rsidRPr="007C1E37" w:rsidRDefault="009714AA" w:rsidP="001E519A">
            <w:pPr>
              <w:spacing w:after="0" w:line="240" w:lineRule="auto"/>
              <w:jc w:val="center"/>
              <w:rPr>
                <w:rFonts w:asciiTheme="majorHAnsi" w:hAnsiTheme="majorHAnsi" w:cstheme="majorBidi"/>
                <w:sz w:val="22"/>
                <w:szCs w:val="22"/>
                <w:lang w:eastAsia="en-AU"/>
              </w:rPr>
            </w:pPr>
            <w:r w:rsidRPr="007C1E37">
              <w:rPr>
                <w:rFonts w:asciiTheme="majorHAnsi" w:hAnsiTheme="majorHAnsi" w:cstheme="majorBidi"/>
                <w:sz w:val="22"/>
                <w:szCs w:val="22"/>
                <w:lang w:eastAsia="en-AU"/>
              </w:rPr>
              <w:t>43</w:t>
            </w:r>
          </w:p>
        </w:tc>
        <w:tc>
          <w:tcPr>
            <w:tcW w:w="1871" w:type="dxa"/>
            <w:tcBorders>
              <w:top w:val="dotted" w:sz="4" w:space="0" w:color="auto"/>
              <w:left w:val="nil"/>
              <w:right w:val="nil"/>
            </w:tcBorders>
            <w:shd w:val="clear" w:color="auto" w:fill="FFFFFF"/>
            <w:noWrap/>
            <w:vAlign w:val="bottom"/>
            <w:hideMark/>
          </w:tcPr>
          <w:p w14:paraId="40CEA3FF" w14:textId="77777777" w:rsidR="009714AA" w:rsidRPr="007C1E37" w:rsidRDefault="009714AA" w:rsidP="001E519A">
            <w:pPr>
              <w:spacing w:after="0" w:line="240" w:lineRule="auto"/>
              <w:jc w:val="center"/>
              <w:rPr>
                <w:rFonts w:asciiTheme="majorHAnsi" w:hAnsiTheme="majorHAnsi" w:cstheme="majorBidi"/>
                <w:sz w:val="22"/>
                <w:szCs w:val="22"/>
                <w:lang w:eastAsia="en-AU"/>
              </w:rPr>
            </w:pPr>
            <w:r w:rsidRPr="007C1E37">
              <w:rPr>
                <w:rFonts w:asciiTheme="majorHAnsi" w:hAnsiTheme="majorHAnsi" w:cstheme="majorBidi"/>
                <w:sz w:val="22"/>
                <w:szCs w:val="22"/>
                <w:lang w:eastAsia="en-AU"/>
              </w:rPr>
              <w:t>45</w:t>
            </w:r>
          </w:p>
        </w:tc>
        <w:tc>
          <w:tcPr>
            <w:tcW w:w="1871" w:type="dxa"/>
            <w:tcBorders>
              <w:top w:val="dotted" w:sz="4" w:space="0" w:color="auto"/>
              <w:left w:val="nil"/>
              <w:right w:val="single" w:sz="4" w:space="0" w:color="auto"/>
            </w:tcBorders>
            <w:shd w:val="clear" w:color="auto" w:fill="FFFFFF"/>
            <w:noWrap/>
            <w:vAlign w:val="bottom"/>
            <w:hideMark/>
          </w:tcPr>
          <w:p w14:paraId="52763E09" w14:textId="77777777" w:rsidR="009714AA" w:rsidRPr="007C1E37" w:rsidRDefault="009714AA" w:rsidP="001E519A">
            <w:pPr>
              <w:spacing w:after="0" w:line="240" w:lineRule="auto"/>
              <w:jc w:val="center"/>
              <w:rPr>
                <w:rFonts w:asciiTheme="majorHAnsi" w:hAnsiTheme="majorHAnsi" w:cstheme="majorBidi"/>
                <w:sz w:val="22"/>
                <w:szCs w:val="22"/>
                <w:lang w:eastAsia="en-AU"/>
              </w:rPr>
            </w:pPr>
            <w:r w:rsidRPr="007C1E37">
              <w:rPr>
                <w:rFonts w:asciiTheme="majorHAnsi" w:hAnsiTheme="majorHAnsi" w:cstheme="majorBidi"/>
                <w:sz w:val="22"/>
                <w:szCs w:val="22"/>
                <w:lang w:eastAsia="en-AU"/>
              </w:rPr>
              <w:t>49</w:t>
            </w:r>
          </w:p>
        </w:tc>
      </w:tr>
      <w:tr w:rsidR="00741063" w:rsidRPr="007C1E37" w14:paraId="72FB942D" w14:textId="77777777" w:rsidTr="0078044C">
        <w:trPr>
          <w:trHeight w:val="251"/>
          <w:jc w:val="center"/>
        </w:trPr>
        <w:tc>
          <w:tcPr>
            <w:tcW w:w="2211" w:type="dxa"/>
            <w:tcBorders>
              <w:top w:val="nil"/>
              <w:left w:val="nil"/>
              <w:bottom w:val="dotted" w:sz="4" w:space="0" w:color="auto"/>
              <w:right w:val="single" w:sz="4" w:space="0" w:color="auto"/>
            </w:tcBorders>
            <w:shd w:val="clear" w:color="auto" w:fill="6B2976"/>
            <w:hideMark/>
          </w:tcPr>
          <w:p w14:paraId="56D59F70" w14:textId="69CC944F" w:rsidR="009714AA" w:rsidRPr="007C1E37" w:rsidRDefault="009714AA" w:rsidP="001E519A">
            <w:pPr>
              <w:spacing w:after="0" w:line="240" w:lineRule="auto"/>
              <w:rPr>
                <w:rFonts w:asciiTheme="majorHAnsi" w:hAnsiTheme="majorHAnsi" w:cstheme="majorBidi"/>
                <w:b/>
                <w:color w:val="FFFFFF"/>
                <w:sz w:val="22"/>
                <w:szCs w:val="22"/>
                <w:lang w:eastAsia="en-AU"/>
              </w:rPr>
            </w:pPr>
          </w:p>
        </w:tc>
        <w:tc>
          <w:tcPr>
            <w:tcW w:w="1179" w:type="dxa"/>
            <w:tcBorders>
              <w:top w:val="nil"/>
              <w:left w:val="single" w:sz="4" w:space="0" w:color="auto"/>
              <w:bottom w:val="dotted" w:sz="4" w:space="0" w:color="auto"/>
              <w:right w:val="single" w:sz="4" w:space="0" w:color="auto"/>
            </w:tcBorders>
            <w:shd w:val="clear" w:color="auto" w:fill="FFFFFF"/>
            <w:noWrap/>
            <w:vAlign w:val="bottom"/>
            <w:hideMark/>
          </w:tcPr>
          <w:p w14:paraId="5C52776F" w14:textId="77777777" w:rsidR="009714AA" w:rsidRPr="007C1E37" w:rsidRDefault="009714AA" w:rsidP="001E519A">
            <w:pPr>
              <w:spacing w:after="0" w:line="240" w:lineRule="auto"/>
              <w:jc w:val="center"/>
              <w:rPr>
                <w:rFonts w:asciiTheme="majorHAnsi" w:hAnsiTheme="majorHAnsi" w:cstheme="majorBidi"/>
                <w:sz w:val="22"/>
                <w:szCs w:val="22"/>
                <w:lang w:eastAsia="en-AU"/>
              </w:rPr>
            </w:pPr>
            <w:r w:rsidRPr="007C1E37">
              <w:rPr>
                <w:rFonts w:asciiTheme="majorHAnsi" w:hAnsiTheme="majorHAnsi" w:cstheme="majorBidi"/>
                <w:sz w:val="22"/>
                <w:szCs w:val="22"/>
                <w:lang w:eastAsia="en-AU"/>
              </w:rPr>
              <w:t>MBS</w:t>
            </w:r>
          </w:p>
        </w:tc>
        <w:tc>
          <w:tcPr>
            <w:tcW w:w="1871" w:type="dxa"/>
            <w:tcBorders>
              <w:top w:val="nil"/>
              <w:left w:val="single" w:sz="4" w:space="0" w:color="auto"/>
              <w:bottom w:val="dotted" w:sz="4" w:space="0" w:color="auto"/>
              <w:right w:val="nil"/>
            </w:tcBorders>
            <w:shd w:val="clear" w:color="auto" w:fill="FFFFFF"/>
            <w:noWrap/>
            <w:vAlign w:val="bottom"/>
            <w:hideMark/>
          </w:tcPr>
          <w:p w14:paraId="62BCBECE" w14:textId="77777777" w:rsidR="009714AA" w:rsidRPr="007C1E37" w:rsidRDefault="009714AA" w:rsidP="001E519A">
            <w:pPr>
              <w:spacing w:after="0" w:line="240" w:lineRule="auto"/>
              <w:jc w:val="center"/>
              <w:rPr>
                <w:rFonts w:asciiTheme="majorHAnsi" w:hAnsiTheme="majorHAnsi" w:cstheme="majorBidi"/>
                <w:sz w:val="22"/>
                <w:szCs w:val="22"/>
                <w:lang w:eastAsia="en-AU"/>
              </w:rPr>
            </w:pPr>
            <w:r w:rsidRPr="007C1E37">
              <w:rPr>
                <w:rFonts w:asciiTheme="majorHAnsi" w:hAnsiTheme="majorHAnsi" w:cstheme="majorBidi"/>
                <w:sz w:val="22"/>
                <w:szCs w:val="22"/>
                <w:lang w:eastAsia="en-AU"/>
              </w:rPr>
              <w:t>33</w:t>
            </w:r>
          </w:p>
        </w:tc>
        <w:tc>
          <w:tcPr>
            <w:tcW w:w="1871" w:type="dxa"/>
            <w:tcBorders>
              <w:top w:val="nil"/>
              <w:left w:val="nil"/>
              <w:bottom w:val="dotted" w:sz="4" w:space="0" w:color="auto"/>
              <w:right w:val="nil"/>
            </w:tcBorders>
            <w:shd w:val="clear" w:color="auto" w:fill="FFFFFF"/>
            <w:noWrap/>
            <w:vAlign w:val="bottom"/>
            <w:hideMark/>
          </w:tcPr>
          <w:p w14:paraId="7DF0CABC" w14:textId="77777777" w:rsidR="009714AA" w:rsidRPr="007C1E37" w:rsidRDefault="009714AA" w:rsidP="001E519A">
            <w:pPr>
              <w:spacing w:after="0" w:line="240" w:lineRule="auto"/>
              <w:jc w:val="center"/>
              <w:rPr>
                <w:rFonts w:asciiTheme="majorHAnsi" w:hAnsiTheme="majorHAnsi" w:cstheme="majorBidi"/>
                <w:sz w:val="22"/>
                <w:szCs w:val="22"/>
                <w:lang w:eastAsia="en-AU"/>
              </w:rPr>
            </w:pPr>
            <w:r w:rsidRPr="007C1E37">
              <w:rPr>
                <w:rFonts w:asciiTheme="majorHAnsi" w:hAnsiTheme="majorHAnsi" w:cstheme="majorBidi"/>
                <w:sz w:val="22"/>
                <w:szCs w:val="22"/>
                <w:lang w:eastAsia="en-AU"/>
              </w:rPr>
              <w:t>40</w:t>
            </w:r>
          </w:p>
        </w:tc>
        <w:tc>
          <w:tcPr>
            <w:tcW w:w="1871" w:type="dxa"/>
            <w:tcBorders>
              <w:top w:val="nil"/>
              <w:left w:val="nil"/>
              <w:bottom w:val="dotted" w:sz="4" w:space="0" w:color="auto"/>
              <w:right w:val="single" w:sz="4" w:space="0" w:color="auto"/>
            </w:tcBorders>
            <w:shd w:val="clear" w:color="auto" w:fill="FFFFFF"/>
            <w:noWrap/>
            <w:vAlign w:val="bottom"/>
            <w:hideMark/>
          </w:tcPr>
          <w:p w14:paraId="199E8FB3" w14:textId="77777777" w:rsidR="009714AA" w:rsidRPr="007C1E37" w:rsidRDefault="009714AA" w:rsidP="001E519A">
            <w:pPr>
              <w:spacing w:after="0" w:line="240" w:lineRule="auto"/>
              <w:jc w:val="center"/>
              <w:rPr>
                <w:rFonts w:asciiTheme="majorHAnsi" w:hAnsiTheme="majorHAnsi" w:cstheme="majorBidi"/>
                <w:sz w:val="22"/>
                <w:szCs w:val="22"/>
                <w:lang w:eastAsia="en-AU"/>
              </w:rPr>
            </w:pPr>
            <w:r w:rsidRPr="007C1E37">
              <w:rPr>
                <w:rFonts w:asciiTheme="majorHAnsi" w:hAnsiTheme="majorHAnsi" w:cstheme="majorBidi"/>
                <w:sz w:val="22"/>
                <w:szCs w:val="22"/>
                <w:lang w:eastAsia="en-AU"/>
              </w:rPr>
              <w:t>53</w:t>
            </w:r>
          </w:p>
        </w:tc>
      </w:tr>
      <w:tr w:rsidR="00741063" w:rsidRPr="007C1E37" w14:paraId="5B3C9B91" w14:textId="77777777" w:rsidTr="0078044C">
        <w:trPr>
          <w:trHeight w:val="251"/>
          <w:jc w:val="center"/>
        </w:trPr>
        <w:tc>
          <w:tcPr>
            <w:tcW w:w="2211" w:type="dxa"/>
            <w:tcBorders>
              <w:top w:val="dotted" w:sz="4" w:space="0" w:color="auto"/>
              <w:left w:val="nil"/>
              <w:right w:val="single" w:sz="4" w:space="0" w:color="auto"/>
            </w:tcBorders>
            <w:shd w:val="clear" w:color="auto" w:fill="6B2976"/>
            <w:hideMark/>
          </w:tcPr>
          <w:p w14:paraId="38706D7F" w14:textId="77777777" w:rsidR="009714AA" w:rsidRPr="007C1E37" w:rsidRDefault="009714AA" w:rsidP="001E519A">
            <w:pPr>
              <w:spacing w:after="0" w:line="240" w:lineRule="auto"/>
              <w:rPr>
                <w:rFonts w:asciiTheme="majorHAnsi" w:hAnsiTheme="majorHAnsi" w:cstheme="majorBidi"/>
                <w:b/>
                <w:color w:val="FFFFFF"/>
                <w:sz w:val="22"/>
                <w:szCs w:val="22"/>
                <w:lang w:eastAsia="en-AU"/>
              </w:rPr>
            </w:pPr>
            <w:r w:rsidRPr="007C1E37">
              <w:rPr>
                <w:rFonts w:asciiTheme="majorHAnsi" w:hAnsiTheme="majorHAnsi" w:cstheme="majorBidi"/>
                <w:b/>
                <w:color w:val="FFFFFF"/>
                <w:sz w:val="22"/>
                <w:szCs w:val="22"/>
                <w:lang w:eastAsia="en-AU"/>
              </w:rPr>
              <w:t>Audiology</w:t>
            </w:r>
          </w:p>
        </w:tc>
        <w:tc>
          <w:tcPr>
            <w:tcW w:w="1179" w:type="dxa"/>
            <w:tcBorders>
              <w:top w:val="dotted" w:sz="4" w:space="0" w:color="auto"/>
              <w:left w:val="single" w:sz="4" w:space="0" w:color="auto"/>
              <w:right w:val="single" w:sz="4" w:space="0" w:color="auto"/>
            </w:tcBorders>
            <w:shd w:val="clear" w:color="auto" w:fill="FFFFFF"/>
            <w:noWrap/>
            <w:vAlign w:val="bottom"/>
            <w:hideMark/>
          </w:tcPr>
          <w:p w14:paraId="4C257162" w14:textId="77777777" w:rsidR="009714AA" w:rsidRPr="007C1E37" w:rsidRDefault="009714AA" w:rsidP="001E519A">
            <w:pPr>
              <w:spacing w:after="0" w:line="240" w:lineRule="auto"/>
              <w:jc w:val="center"/>
              <w:rPr>
                <w:rFonts w:asciiTheme="majorHAnsi" w:hAnsiTheme="majorHAnsi" w:cstheme="majorBidi"/>
                <w:sz w:val="22"/>
                <w:szCs w:val="22"/>
                <w:lang w:eastAsia="en-AU"/>
              </w:rPr>
            </w:pPr>
            <w:r w:rsidRPr="007C1E37">
              <w:rPr>
                <w:rFonts w:asciiTheme="majorHAnsi" w:hAnsiTheme="majorHAnsi" w:cstheme="majorBidi"/>
                <w:sz w:val="22"/>
                <w:szCs w:val="22"/>
                <w:lang w:eastAsia="en-AU"/>
              </w:rPr>
              <w:t>PHI</w:t>
            </w:r>
          </w:p>
        </w:tc>
        <w:tc>
          <w:tcPr>
            <w:tcW w:w="1871" w:type="dxa"/>
            <w:tcBorders>
              <w:top w:val="dotted" w:sz="4" w:space="0" w:color="auto"/>
              <w:left w:val="single" w:sz="4" w:space="0" w:color="auto"/>
              <w:right w:val="nil"/>
            </w:tcBorders>
            <w:shd w:val="clear" w:color="auto" w:fill="FFFFFF"/>
            <w:noWrap/>
            <w:vAlign w:val="bottom"/>
            <w:hideMark/>
          </w:tcPr>
          <w:p w14:paraId="537BAB0C" w14:textId="77777777" w:rsidR="009714AA" w:rsidRPr="007C1E37" w:rsidRDefault="009714AA" w:rsidP="001E519A">
            <w:pPr>
              <w:spacing w:after="0" w:line="240" w:lineRule="auto"/>
              <w:jc w:val="center"/>
              <w:rPr>
                <w:rFonts w:asciiTheme="majorHAnsi" w:hAnsiTheme="majorHAnsi" w:cstheme="majorBidi"/>
                <w:sz w:val="22"/>
                <w:szCs w:val="22"/>
                <w:lang w:eastAsia="en-AU"/>
              </w:rPr>
            </w:pPr>
            <w:r w:rsidRPr="007C1E37">
              <w:rPr>
                <w:rFonts w:asciiTheme="majorHAnsi" w:hAnsiTheme="majorHAnsi" w:cstheme="majorBidi"/>
                <w:sz w:val="22"/>
                <w:szCs w:val="22"/>
                <w:lang w:eastAsia="en-AU"/>
              </w:rPr>
              <w:t>45</w:t>
            </w:r>
          </w:p>
        </w:tc>
        <w:tc>
          <w:tcPr>
            <w:tcW w:w="1871" w:type="dxa"/>
            <w:tcBorders>
              <w:top w:val="dotted" w:sz="4" w:space="0" w:color="auto"/>
              <w:left w:val="nil"/>
              <w:right w:val="nil"/>
            </w:tcBorders>
            <w:shd w:val="clear" w:color="auto" w:fill="FFFFFF"/>
            <w:noWrap/>
            <w:vAlign w:val="bottom"/>
            <w:hideMark/>
          </w:tcPr>
          <w:p w14:paraId="4A5DBB28" w14:textId="77777777" w:rsidR="009714AA" w:rsidRPr="007C1E37" w:rsidRDefault="009714AA" w:rsidP="001E519A">
            <w:pPr>
              <w:spacing w:after="0" w:line="240" w:lineRule="auto"/>
              <w:jc w:val="center"/>
              <w:rPr>
                <w:rFonts w:asciiTheme="majorHAnsi" w:hAnsiTheme="majorHAnsi" w:cstheme="majorBidi"/>
                <w:sz w:val="22"/>
                <w:szCs w:val="22"/>
                <w:lang w:eastAsia="en-AU"/>
              </w:rPr>
            </w:pPr>
            <w:r w:rsidRPr="007C1E37">
              <w:rPr>
                <w:rFonts w:asciiTheme="majorHAnsi" w:hAnsiTheme="majorHAnsi" w:cstheme="majorBidi"/>
                <w:sz w:val="22"/>
                <w:szCs w:val="22"/>
                <w:lang w:eastAsia="en-AU"/>
              </w:rPr>
              <w:t>45</w:t>
            </w:r>
          </w:p>
        </w:tc>
        <w:tc>
          <w:tcPr>
            <w:tcW w:w="1871" w:type="dxa"/>
            <w:tcBorders>
              <w:top w:val="dotted" w:sz="4" w:space="0" w:color="auto"/>
              <w:left w:val="nil"/>
              <w:right w:val="single" w:sz="4" w:space="0" w:color="auto"/>
            </w:tcBorders>
            <w:shd w:val="clear" w:color="auto" w:fill="FFFFFF"/>
            <w:noWrap/>
            <w:vAlign w:val="bottom"/>
            <w:hideMark/>
          </w:tcPr>
          <w:p w14:paraId="08E1D888" w14:textId="77777777" w:rsidR="009714AA" w:rsidRPr="007C1E37" w:rsidRDefault="009714AA" w:rsidP="001E519A">
            <w:pPr>
              <w:spacing w:after="0" w:line="240" w:lineRule="auto"/>
              <w:jc w:val="center"/>
              <w:rPr>
                <w:rFonts w:asciiTheme="majorHAnsi" w:hAnsiTheme="majorHAnsi" w:cstheme="majorBidi"/>
                <w:sz w:val="22"/>
                <w:szCs w:val="22"/>
                <w:lang w:eastAsia="en-AU"/>
              </w:rPr>
            </w:pPr>
            <w:r w:rsidRPr="007C1E37">
              <w:rPr>
                <w:rFonts w:asciiTheme="majorHAnsi" w:hAnsiTheme="majorHAnsi" w:cstheme="majorBidi"/>
                <w:sz w:val="22"/>
                <w:szCs w:val="22"/>
                <w:lang w:eastAsia="en-AU"/>
              </w:rPr>
              <w:t>45</w:t>
            </w:r>
          </w:p>
        </w:tc>
      </w:tr>
      <w:tr w:rsidR="00741063" w:rsidRPr="007C1E37" w14:paraId="4C818897" w14:textId="77777777" w:rsidTr="004629FE">
        <w:trPr>
          <w:trHeight w:val="251"/>
          <w:jc w:val="center"/>
        </w:trPr>
        <w:tc>
          <w:tcPr>
            <w:tcW w:w="2211" w:type="dxa"/>
            <w:tcBorders>
              <w:top w:val="nil"/>
              <w:left w:val="nil"/>
              <w:bottom w:val="dotted" w:sz="4" w:space="0" w:color="auto"/>
              <w:right w:val="single" w:sz="4" w:space="0" w:color="auto"/>
            </w:tcBorders>
            <w:shd w:val="clear" w:color="auto" w:fill="6B2976"/>
            <w:hideMark/>
          </w:tcPr>
          <w:p w14:paraId="3F28F26D" w14:textId="68628851" w:rsidR="009714AA" w:rsidRPr="007C1E37" w:rsidRDefault="009714AA" w:rsidP="001E519A">
            <w:pPr>
              <w:spacing w:after="0" w:line="240" w:lineRule="auto"/>
              <w:rPr>
                <w:rFonts w:asciiTheme="majorHAnsi" w:hAnsiTheme="majorHAnsi" w:cstheme="majorBidi"/>
                <w:b/>
                <w:color w:val="FFFFFF"/>
                <w:sz w:val="22"/>
                <w:szCs w:val="22"/>
                <w:lang w:eastAsia="en-AU"/>
              </w:rPr>
            </w:pPr>
          </w:p>
        </w:tc>
        <w:tc>
          <w:tcPr>
            <w:tcW w:w="1179" w:type="dxa"/>
            <w:tcBorders>
              <w:top w:val="nil"/>
              <w:left w:val="single" w:sz="4" w:space="0" w:color="auto"/>
              <w:bottom w:val="dotted" w:sz="4" w:space="0" w:color="auto"/>
              <w:right w:val="single" w:sz="4" w:space="0" w:color="auto"/>
            </w:tcBorders>
            <w:shd w:val="clear" w:color="auto" w:fill="FFFFFF"/>
            <w:noWrap/>
            <w:vAlign w:val="bottom"/>
            <w:hideMark/>
          </w:tcPr>
          <w:p w14:paraId="20E916E4" w14:textId="77777777" w:rsidR="009714AA" w:rsidRPr="007C1E37" w:rsidRDefault="009714AA" w:rsidP="001E519A">
            <w:pPr>
              <w:spacing w:after="0" w:line="240" w:lineRule="auto"/>
              <w:jc w:val="center"/>
              <w:rPr>
                <w:rFonts w:asciiTheme="majorHAnsi" w:hAnsiTheme="majorHAnsi" w:cstheme="majorBidi"/>
                <w:sz w:val="22"/>
                <w:szCs w:val="22"/>
                <w:lang w:eastAsia="en-AU"/>
              </w:rPr>
            </w:pPr>
            <w:r w:rsidRPr="007C1E37">
              <w:rPr>
                <w:rFonts w:asciiTheme="majorHAnsi" w:hAnsiTheme="majorHAnsi" w:cstheme="majorBidi"/>
                <w:sz w:val="22"/>
                <w:szCs w:val="22"/>
                <w:lang w:eastAsia="en-AU"/>
              </w:rPr>
              <w:t>MBS</w:t>
            </w:r>
          </w:p>
        </w:tc>
        <w:tc>
          <w:tcPr>
            <w:tcW w:w="1871" w:type="dxa"/>
            <w:tcBorders>
              <w:top w:val="nil"/>
              <w:left w:val="single" w:sz="4" w:space="0" w:color="auto"/>
              <w:bottom w:val="dotted" w:sz="4" w:space="0" w:color="auto"/>
              <w:right w:val="nil"/>
            </w:tcBorders>
            <w:shd w:val="clear" w:color="auto" w:fill="FFFFFF"/>
            <w:noWrap/>
            <w:vAlign w:val="bottom"/>
            <w:hideMark/>
          </w:tcPr>
          <w:p w14:paraId="291FF3C2" w14:textId="77777777" w:rsidR="009714AA" w:rsidRPr="007C1E37" w:rsidRDefault="009714AA" w:rsidP="001E519A">
            <w:pPr>
              <w:spacing w:after="0" w:line="240" w:lineRule="auto"/>
              <w:jc w:val="center"/>
              <w:rPr>
                <w:rFonts w:asciiTheme="majorHAnsi" w:hAnsiTheme="majorHAnsi" w:cstheme="majorBidi"/>
                <w:sz w:val="22"/>
                <w:szCs w:val="22"/>
                <w:lang w:eastAsia="en-AU"/>
              </w:rPr>
            </w:pPr>
            <w:r w:rsidRPr="007C1E37">
              <w:rPr>
                <w:rFonts w:asciiTheme="majorHAnsi" w:hAnsiTheme="majorHAnsi" w:cstheme="majorBidi"/>
                <w:sz w:val="22"/>
                <w:szCs w:val="22"/>
                <w:lang w:eastAsia="en-AU"/>
              </w:rPr>
              <w:t>30</w:t>
            </w:r>
          </w:p>
        </w:tc>
        <w:tc>
          <w:tcPr>
            <w:tcW w:w="1871" w:type="dxa"/>
            <w:tcBorders>
              <w:top w:val="nil"/>
              <w:left w:val="nil"/>
              <w:bottom w:val="dotted" w:sz="4" w:space="0" w:color="auto"/>
              <w:right w:val="nil"/>
            </w:tcBorders>
            <w:shd w:val="clear" w:color="auto" w:fill="FFFFFF"/>
            <w:noWrap/>
            <w:vAlign w:val="bottom"/>
            <w:hideMark/>
          </w:tcPr>
          <w:p w14:paraId="49D72587" w14:textId="77777777" w:rsidR="009714AA" w:rsidRPr="007C1E37" w:rsidRDefault="009714AA" w:rsidP="001E519A">
            <w:pPr>
              <w:spacing w:after="0" w:line="240" w:lineRule="auto"/>
              <w:jc w:val="center"/>
              <w:rPr>
                <w:rFonts w:asciiTheme="majorHAnsi" w:hAnsiTheme="majorHAnsi" w:cstheme="majorBidi"/>
                <w:sz w:val="22"/>
                <w:szCs w:val="22"/>
                <w:lang w:eastAsia="en-AU"/>
              </w:rPr>
            </w:pPr>
            <w:r w:rsidRPr="007C1E37">
              <w:rPr>
                <w:rFonts w:asciiTheme="majorHAnsi" w:hAnsiTheme="majorHAnsi" w:cstheme="majorBidi"/>
                <w:sz w:val="22"/>
                <w:szCs w:val="22"/>
                <w:lang w:eastAsia="en-AU"/>
              </w:rPr>
              <w:t>30</w:t>
            </w:r>
          </w:p>
        </w:tc>
        <w:tc>
          <w:tcPr>
            <w:tcW w:w="1871" w:type="dxa"/>
            <w:tcBorders>
              <w:top w:val="nil"/>
              <w:left w:val="nil"/>
              <w:bottom w:val="dotted" w:sz="4" w:space="0" w:color="auto"/>
              <w:right w:val="single" w:sz="4" w:space="0" w:color="auto"/>
            </w:tcBorders>
            <w:shd w:val="clear" w:color="auto" w:fill="FFFFFF"/>
            <w:noWrap/>
            <w:vAlign w:val="bottom"/>
            <w:hideMark/>
          </w:tcPr>
          <w:p w14:paraId="5DC793E4" w14:textId="77777777" w:rsidR="009714AA" w:rsidRPr="007C1E37" w:rsidRDefault="009714AA" w:rsidP="001E519A">
            <w:pPr>
              <w:spacing w:after="0" w:line="240" w:lineRule="auto"/>
              <w:jc w:val="center"/>
              <w:rPr>
                <w:rFonts w:asciiTheme="majorHAnsi" w:hAnsiTheme="majorHAnsi" w:cstheme="majorBidi"/>
                <w:sz w:val="22"/>
                <w:szCs w:val="22"/>
                <w:lang w:eastAsia="en-AU"/>
              </w:rPr>
            </w:pPr>
            <w:r w:rsidRPr="007C1E37">
              <w:rPr>
                <w:rFonts w:asciiTheme="majorHAnsi" w:hAnsiTheme="majorHAnsi" w:cstheme="majorBidi"/>
                <w:sz w:val="22"/>
                <w:szCs w:val="22"/>
                <w:lang w:eastAsia="en-AU"/>
              </w:rPr>
              <w:t>45</w:t>
            </w:r>
          </w:p>
        </w:tc>
      </w:tr>
      <w:tr w:rsidR="00741063" w:rsidRPr="007C1E37" w14:paraId="15123791" w14:textId="77777777" w:rsidTr="004629FE">
        <w:trPr>
          <w:trHeight w:val="251"/>
          <w:jc w:val="center"/>
        </w:trPr>
        <w:tc>
          <w:tcPr>
            <w:tcW w:w="2211" w:type="dxa"/>
            <w:tcBorders>
              <w:top w:val="dotted" w:sz="4" w:space="0" w:color="auto"/>
              <w:left w:val="nil"/>
              <w:bottom w:val="nil"/>
              <w:right w:val="single" w:sz="4" w:space="0" w:color="auto"/>
            </w:tcBorders>
            <w:shd w:val="clear" w:color="auto" w:fill="6B2976"/>
            <w:hideMark/>
          </w:tcPr>
          <w:p w14:paraId="2061DEE0" w14:textId="77777777" w:rsidR="009714AA" w:rsidRPr="007C1E37" w:rsidRDefault="009714AA" w:rsidP="001E519A">
            <w:pPr>
              <w:spacing w:after="0" w:line="240" w:lineRule="auto"/>
              <w:rPr>
                <w:rFonts w:asciiTheme="majorHAnsi" w:hAnsiTheme="majorHAnsi" w:cstheme="majorBidi"/>
                <w:b/>
                <w:color w:val="FFFFFF"/>
                <w:sz w:val="22"/>
                <w:szCs w:val="22"/>
                <w:lang w:eastAsia="en-AU"/>
              </w:rPr>
            </w:pPr>
            <w:r w:rsidRPr="007C1E37">
              <w:rPr>
                <w:rFonts w:asciiTheme="majorHAnsi" w:hAnsiTheme="majorHAnsi" w:cstheme="majorBidi"/>
                <w:b/>
                <w:color w:val="FFFFFF"/>
                <w:sz w:val="22"/>
                <w:szCs w:val="22"/>
                <w:lang w:eastAsia="en-AU"/>
              </w:rPr>
              <w:t>Speech Pathology</w:t>
            </w:r>
          </w:p>
        </w:tc>
        <w:tc>
          <w:tcPr>
            <w:tcW w:w="1179" w:type="dxa"/>
            <w:tcBorders>
              <w:top w:val="dotted" w:sz="4" w:space="0" w:color="auto"/>
              <w:left w:val="single" w:sz="4" w:space="0" w:color="auto"/>
              <w:bottom w:val="nil"/>
              <w:right w:val="single" w:sz="4" w:space="0" w:color="auto"/>
            </w:tcBorders>
            <w:shd w:val="clear" w:color="auto" w:fill="FFFFFF"/>
            <w:noWrap/>
            <w:vAlign w:val="bottom"/>
            <w:hideMark/>
          </w:tcPr>
          <w:p w14:paraId="65AFFEEE" w14:textId="77777777" w:rsidR="009714AA" w:rsidRPr="007C1E37" w:rsidRDefault="009714AA" w:rsidP="001E519A">
            <w:pPr>
              <w:spacing w:after="0" w:line="240" w:lineRule="auto"/>
              <w:jc w:val="center"/>
              <w:rPr>
                <w:rFonts w:asciiTheme="majorHAnsi" w:hAnsiTheme="majorHAnsi" w:cstheme="majorBidi"/>
                <w:sz w:val="22"/>
                <w:szCs w:val="22"/>
                <w:lang w:eastAsia="en-AU"/>
              </w:rPr>
            </w:pPr>
            <w:r w:rsidRPr="007C1E37">
              <w:rPr>
                <w:rFonts w:asciiTheme="majorHAnsi" w:hAnsiTheme="majorHAnsi" w:cstheme="majorBidi"/>
                <w:sz w:val="22"/>
                <w:szCs w:val="22"/>
                <w:lang w:eastAsia="en-AU"/>
              </w:rPr>
              <w:t>PHI</w:t>
            </w:r>
          </w:p>
        </w:tc>
        <w:tc>
          <w:tcPr>
            <w:tcW w:w="1871" w:type="dxa"/>
            <w:tcBorders>
              <w:top w:val="dotted" w:sz="4" w:space="0" w:color="auto"/>
              <w:left w:val="single" w:sz="4" w:space="0" w:color="auto"/>
              <w:bottom w:val="nil"/>
              <w:right w:val="nil"/>
            </w:tcBorders>
            <w:shd w:val="clear" w:color="auto" w:fill="FFFFFF"/>
            <w:noWrap/>
            <w:vAlign w:val="bottom"/>
            <w:hideMark/>
          </w:tcPr>
          <w:p w14:paraId="2BD3DC36" w14:textId="77777777" w:rsidR="009714AA" w:rsidRPr="007C1E37" w:rsidRDefault="009714AA" w:rsidP="001E519A">
            <w:pPr>
              <w:spacing w:after="0" w:line="240" w:lineRule="auto"/>
              <w:jc w:val="center"/>
              <w:rPr>
                <w:rFonts w:asciiTheme="majorHAnsi" w:hAnsiTheme="majorHAnsi" w:cstheme="majorBidi"/>
                <w:sz w:val="22"/>
                <w:szCs w:val="22"/>
                <w:lang w:eastAsia="en-AU"/>
              </w:rPr>
            </w:pPr>
            <w:r w:rsidRPr="007C1E37">
              <w:rPr>
                <w:rFonts w:asciiTheme="majorHAnsi" w:hAnsiTheme="majorHAnsi" w:cstheme="majorBidi"/>
                <w:sz w:val="22"/>
                <w:szCs w:val="22"/>
                <w:lang w:eastAsia="en-AU"/>
              </w:rPr>
              <w:t>41</w:t>
            </w:r>
          </w:p>
        </w:tc>
        <w:tc>
          <w:tcPr>
            <w:tcW w:w="1871" w:type="dxa"/>
            <w:tcBorders>
              <w:top w:val="dotted" w:sz="4" w:space="0" w:color="auto"/>
              <w:left w:val="nil"/>
              <w:bottom w:val="nil"/>
              <w:right w:val="nil"/>
            </w:tcBorders>
            <w:shd w:val="clear" w:color="auto" w:fill="FFFFFF"/>
            <w:noWrap/>
            <w:vAlign w:val="bottom"/>
            <w:hideMark/>
          </w:tcPr>
          <w:p w14:paraId="79B3BEBB" w14:textId="77777777" w:rsidR="009714AA" w:rsidRPr="007C1E37" w:rsidRDefault="009714AA" w:rsidP="001E519A">
            <w:pPr>
              <w:spacing w:after="0" w:line="240" w:lineRule="auto"/>
              <w:jc w:val="center"/>
              <w:rPr>
                <w:rFonts w:asciiTheme="majorHAnsi" w:hAnsiTheme="majorHAnsi" w:cstheme="majorBidi"/>
                <w:sz w:val="22"/>
                <w:szCs w:val="22"/>
                <w:lang w:eastAsia="en-AU"/>
              </w:rPr>
            </w:pPr>
            <w:r w:rsidRPr="007C1E37">
              <w:rPr>
                <w:rFonts w:asciiTheme="majorHAnsi" w:hAnsiTheme="majorHAnsi" w:cstheme="majorBidi"/>
                <w:sz w:val="22"/>
                <w:szCs w:val="22"/>
                <w:lang w:eastAsia="en-AU"/>
              </w:rPr>
              <w:t>45</w:t>
            </w:r>
          </w:p>
        </w:tc>
        <w:tc>
          <w:tcPr>
            <w:tcW w:w="1871" w:type="dxa"/>
            <w:tcBorders>
              <w:top w:val="dotted" w:sz="4" w:space="0" w:color="auto"/>
              <w:left w:val="nil"/>
              <w:bottom w:val="nil"/>
              <w:right w:val="single" w:sz="4" w:space="0" w:color="auto"/>
            </w:tcBorders>
            <w:shd w:val="clear" w:color="auto" w:fill="FFFFFF"/>
            <w:noWrap/>
            <w:vAlign w:val="bottom"/>
            <w:hideMark/>
          </w:tcPr>
          <w:p w14:paraId="7FA91832" w14:textId="77777777" w:rsidR="009714AA" w:rsidRPr="007C1E37" w:rsidRDefault="009714AA" w:rsidP="001E519A">
            <w:pPr>
              <w:spacing w:after="0" w:line="240" w:lineRule="auto"/>
              <w:jc w:val="center"/>
              <w:rPr>
                <w:rFonts w:asciiTheme="majorHAnsi" w:hAnsiTheme="majorHAnsi" w:cstheme="majorBidi"/>
                <w:sz w:val="22"/>
                <w:szCs w:val="22"/>
                <w:lang w:eastAsia="en-AU"/>
              </w:rPr>
            </w:pPr>
            <w:r w:rsidRPr="007C1E37">
              <w:rPr>
                <w:rFonts w:asciiTheme="majorHAnsi" w:hAnsiTheme="majorHAnsi" w:cstheme="majorBidi"/>
                <w:sz w:val="22"/>
                <w:szCs w:val="22"/>
                <w:lang w:eastAsia="en-AU"/>
              </w:rPr>
              <w:t>51</w:t>
            </w:r>
          </w:p>
        </w:tc>
      </w:tr>
      <w:tr w:rsidR="00741063" w:rsidRPr="007C1E37" w14:paraId="2DE79D36" w14:textId="77777777" w:rsidTr="009271CE">
        <w:trPr>
          <w:trHeight w:val="251"/>
          <w:jc w:val="center"/>
        </w:trPr>
        <w:tc>
          <w:tcPr>
            <w:tcW w:w="2211" w:type="dxa"/>
            <w:tcBorders>
              <w:top w:val="nil"/>
              <w:left w:val="nil"/>
              <w:right w:val="single" w:sz="4" w:space="0" w:color="auto"/>
            </w:tcBorders>
            <w:shd w:val="clear" w:color="auto" w:fill="6B2976"/>
            <w:hideMark/>
          </w:tcPr>
          <w:p w14:paraId="76EA83D3" w14:textId="271481AA" w:rsidR="009714AA" w:rsidRPr="007C1E37" w:rsidRDefault="009714AA" w:rsidP="001E519A">
            <w:pPr>
              <w:spacing w:after="0" w:line="240" w:lineRule="auto"/>
              <w:rPr>
                <w:rFonts w:asciiTheme="majorHAnsi" w:hAnsiTheme="majorHAnsi" w:cstheme="majorBidi"/>
                <w:b/>
                <w:color w:val="FFFFFF"/>
                <w:sz w:val="22"/>
                <w:szCs w:val="22"/>
                <w:lang w:eastAsia="en-AU"/>
              </w:rPr>
            </w:pPr>
          </w:p>
        </w:tc>
        <w:tc>
          <w:tcPr>
            <w:tcW w:w="1179" w:type="dxa"/>
            <w:tcBorders>
              <w:top w:val="nil"/>
              <w:left w:val="single" w:sz="4" w:space="0" w:color="auto"/>
              <w:bottom w:val="single" w:sz="4" w:space="0" w:color="auto"/>
              <w:right w:val="single" w:sz="4" w:space="0" w:color="auto"/>
            </w:tcBorders>
            <w:shd w:val="clear" w:color="auto" w:fill="FFFFFF"/>
            <w:noWrap/>
            <w:vAlign w:val="bottom"/>
            <w:hideMark/>
          </w:tcPr>
          <w:p w14:paraId="1DD020CD" w14:textId="77777777" w:rsidR="009714AA" w:rsidRPr="007C1E37" w:rsidRDefault="009714AA" w:rsidP="001E519A">
            <w:pPr>
              <w:spacing w:after="0" w:line="240" w:lineRule="auto"/>
              <w:jc w:val="center"/>
              <w:rPr>
                <w:rFonts w:asciiTheme="majorHAnsi" w:hAnsiTheme="majorHAnsi" w:cstheme="majorBidi"/>
                <w:sz w:val="22"/>
                <w:szCs w:val="22"/>
                <w:lang w:eastAsia="en-AU"/>
              </w:rPr>
            </w:pPr>
            <w:r w:rsidRPr="007C1E37">
              <w:rPr>
                <w:rFonts w:asciiTheme="majorHAnsi" w:hAnsiTheme="majorHAnsi" w:cstheme="majorBidi"/>
                <w:sz w:val="22"/>
                <w:szCs w:val="22"/>
                <w:lang w:eastAsia="en-AU"/>
              </w:rPr>
              <w:t>MBS</w:t>
            </w:r>
          </w:p>
        </w:tc>
        <w:tc>
          <w:tcPr>
            <w:tcW w:w="1871" w:type="dxa"/>
            <w:tcBorders>
              <w:top w:val="nil"/>
              <w:left w:val="single" w:sz="4" w:space="0" w:color="auto"/>
              <w:bottom w:val="single" w:sz="4" w:space="0" w:color="auto"/>
              <w:right w:val="nil"/>
            </w:tcBorders>
            <w:shd w:val="clear" w:color="auto" w:fill="FFFFFF"/>
            <w:noWrap/>
            <w:vAlign w:val="bottom"/>
            <w:hideMark/>
          </w:tcPr>
          <w:p w14:paraId="548728B8" w14:textId="77777777" w:rsidR="009714AA" w:rsidRPr="007C1E37" w:rsidRDefault="009714AA" w:rsidP="001E519A">
            <w:pPr>
              <w:spacing w:after="0" w:line="240" w:lineRule="auto"/>
              <w:jc w:val="center"/>
              <w:rPr>
                <w:rFonts w:asciiTheme="majorHAnsi" w:hAnsiTheme="majorHAnsi" w:cstheme="majorBidi"/>
                <w:sz w:val="22"/>
                <w:szCs w:val="22"/>
                <w:lang w:eastAsia="en-AU"/>
              </w:rPr>
            </w:pPr>
            <w:r w:rsidRPr="007C1E37">
              <w:rPr>
                <w:rFonts w:asciiTheme="majorHAnsi" w:hAnsiTheme="majorHAnsi" w:cstheme="majorBidi"/>
                <w:sz w:val="22"/>
                <w:szCs w:val="22"/>
                <w:lang w:eastAsia="en-AU"/>
              </w:rPr>
              <w:t>42</w:t>
            </w:r>
          </w:p>
        </w:tc>
        <w:tc>
          <w:tcPr>
            <w:tcW w:w="1871" w:type="dxa"/>
            <w:tcBorders>
              <w:top w:val="nil"/>
              <w:left w:val="nil"/>
              <w:bottom w:val="single" w:sz="4" w:space="0" w:color="auto"/>
              <w:right w:val="nil"/>
            </w:tcBorders>
            <w:shd w:val="clear" w:color="auto" w:fill="FFFFFF"/>
            <w:noWrap/>
            <w:vAlign w:val="bottom"/>
            <w:hideMark/>
          </w:tcPr>
          <w:p w14:paraId="60320949" w14:textId="77777777" w:rsidR="009714AA" w:rsidRPr="007C1E37" w:rsidRDefault="009714AA" w:rsidP="001E519A">
            <w:pPr>
              <w:spacing w:after="0" w:line="240" w:lineRule="auto"/>
              <w:jc w:val="center"/>
              <w:rPr>
                <w:rFonts w:asciiTheme="majorHAnsi" w:hAnsiTheme="majorHAnsi" w:cstheme="majorBidi"/>
                <w:sz w:val="22"/>
                <w:szCs w:val="22"/>
                <w:lang w:eastAsia="en-AU"/>
              </w:rPr>
            </w:pPr>
            <w:r w:rsidRPr="007C1E37">
              <w:rPr>
                <w:rFonts w:asciiTheme="majorHAnsi" w:hAnsiTheme="majorHAnsi" w:cstheme="majorBidi"/>
                <w:sz w:val="22"/>
                <w:szCs w:val="22"/>
                <w:lang w:eastAsia="en-AU"/>
              </w:rPr>
              <w:t>50</w:t>
            </w:r>
          </w:p>
        </w:tc>
        <w:tc>
          <w:tcPr>
            <w:tcW w:w="1871" w:type="dxa"/>
            <w:tcBorders>
              <w:top w:val="nil"/>
              <w:left w:val="nil"/>
              <w:bottom w:val="single" w:sz="4" w:space="0" w:color="auto"/>
              <w:right w:val="single" w:sz="4" w:space="0" w:color="auto"/>
            </w:tcBorders>
            <w:shd w:val="clear" w:color="auto" w:fill="FFFFFF"/>
            <w:noWrap/>
            <w:vAlign w:val="bottom"/>
            <w:hideMark/>
          </w:tcPr>
          <w:p w14:paraId="7A9B2BAE" w14:textId="77777777" w:rsidR="009714AA" w:rsidRPr="007C1E37" w:rsidRDefault="009714AA" w:rsidP="001E519A">
            <w:pPr>
              <w:spacing w:after="0" w:line="240" w:lineRule="auto"/>
              <w:jc w:val="center"/>
              <w:rPr>
                <w:rFonts w:asciiTheme="majorHAnsi" w:hAnsiTheme="majorHAnsi" w:cstheme="majorBidi"/>
                <w:sz w:val="22"/>
                <w:szCs w:val="22"/>
                <w:lang w:eastAsia="en-AU"/>
              </w:rPr>
            </w:pPr>
            <w:r w:rsidRPr="007C1E37">
              <w:rPr>
                <w:rFonts w:asciiTheme="majorHAnsi" w:hAnsiTheme="majorHAnsi" w:cstheme="majorBidi"/>
                <w:sz w:val="22"/>
                <w:szCs w:val="22"/>
                <w:lang w:eastAsia="en-AU"/>
              </w:rPr>
              <w:t>58</w:t>
            </w:r>
          </w:p>
        </w:tc>
      </w:tr>
    </w:tbl>
    <w:p w14:paraId="2CEE8D86" w14:textId="59DD5973" w:rsidR="00ED232E" w:rsidRPr="008034CE" w:rsidRDefault="00ED232E" w:rsidP="00287A35">
      <w:pPr>
        <w:spacing w:before="240"/>
      </w:pPr>
      <w:r w:rsidRPr="008034CE">
        <w:t xml:space="preserve">In general, it is found that higher prices tend to correspond with longer sessions, although differences </w:t>
      </w:r>
      <w:r w:rsidR="00A97372">
        <w:t xml:space="preserve">in average times </w:t>
      </w:r>
      <w:r w:rsidRPr="008034CE">
        <w:t xml:space="preserve">are modest for most therapy types. These assumptions introduce a source of sensitivity into the benchmarking results. While efforts have been made to standardise appropriate comparisons, some data considerations remain. These include assumptions about session duration, variation of in scope services, and the nature of listings against actual transactions. </w:t>
      </w:r>
    </w:p>
    <w:p w14:paraId="56B812EA" w14:textId="0E8A0339" w:rsidR="008D60AB" w:rsidRDefault="00ED232E" w:rsidP="00ED232E">
      <w:r w:rsidRPr="008034CE">
        <w:t>This methodology represents the first step in providing reasonable consideration to best inform meaningful benchmarking comparison. The NDIA considers that this approach is best practice at the time of drafting and is committed to further refine the therapy pricing methodology going forward.</w:t>
      </w:r>
    </w:p>
    <w:p w14:paraId="5FAA6704" w14:textId="77777777" w:rsidR="008D60AB" w:rsidRDefault="008D60AB">
      <w:pPr>
        <w:spacing w:before="120" w:after="120"/>
      </w:pPr>
      <w:r>
        <w:br w:type="page"/>
      </w:r>
    </w:p>
    <w:p w14:paraId="6EBA6E8D" w14:textId="77777777" w:rsidR="00ED232E" w:rsidRPr="008034CE" w:rsidRDefault="00ED232E" w:rsidP="00ED232E">
      <w:pPr>
        <w:pStyle w:val="Heading4"/>
      </w:pPr>
      <w:bookmarkStart w:id="328" w:name="_Toc195538934"/>
      <w:bookmarkStart w:id="329" w:name="_Toc200103514"/>
      <w:bookmarkStart w:id="330" w:name="_Toc200271627"/>
      <w:r w:rsidRPr="008034CE">
        <w:lastRenderedPageBreak/>
        <w:t>Benchmarking Data Coverage</w:t>
      </w:r>
      <w:bookmarkEnd w:id="328"/>
      <w:bookmarkEnd w:id="329"/>
      <w:bookmarkEnd w:id="330"/>
      <w:r w:rsidRPr="008034CE">
        <w:t xml:space="preserve"> </w:t>
      </w:r>
    </w:p>
    <w:p w14:paraId="4649043F" w14:textId="4B13BD2A" w:rsidR="0050192D" w:rsidRPr="008034CE" w:rsidRDefault="0050192D" w:rsidP="0050192D">
      <w:r w:rsidRPr="008034CE">
        <w:fldChar w:fldCharType="begin"/>
      </w:r>
      <w:r w:rsidRPr="008034CE">
        <w:instrText xml:space="preserve"> REF _Ref195540279 \h  \* MERGEFORMAT </w:instrText>
      </w:r>
      <w:r w:rsidRPr="008034CE">
        <w:fldChar w:fldCharType="separate"/>
      </w:r>
      <w:r w:rsidR="005763F9" w:rsidRPr="00C85158">
        <w:t xml:space="preserve">Table </w:t>
      </w:r>
      <w:r w:rsidR="005763F9">
        <w:t>22</w:t>
      </w:r>
      <w:r w:rsidRPr="008034CE">
        <w:fldChar w:fldCharType="end"/>
      </w:r>
      <w:r w:rsidRPr="008034CE">
        <w:t xml:space="preserve"> summarises the number of observations available for each therapy support type across data sources. Coverage varies by therapy support type and data sources, which should be considered when interpreting comparative findings. </w:t>
      </w:r>
    </w:p>
    <w:p w14:paraId="6F3A3382" w14:textId="2E0044FC" w:rsidR="00C85158" w:rsidRPr="00423EA9" w:rsidRDefault="00C85158" w:rsidP="00C85158">
      <w:pPr>
        <w:pStyle w:val="Caption"/>
        <w:rPr>
          <w:highlight w:val="yellow"/>
        </w:rPr>
      </w:pPr>
      <w:bookmarkStart w:id="331" w:name="_Ref195540279"/>
      <w:r w:rsidRPr="00C85158">
        <w:t xml:space="preserve">Table </w:t>
      </w:r>
      <w:r w:rsidR="005763F9">
        <w:fldChar w:fldCharType="begin"/>
      </w:r>
      <w:r w:rsidR="005763F9">
        <w:instrText xml:space="preserve"> SEQ Table \* ARABIC </w:instrText>
      </w:r>
      <w:r w:rsidR="005763F9">
        <w:fldChar w:fldCharType="separate"/>
      </w:r>
      <w:r w:rsidR="005763F9">
        <w:rPr>
          <w:noProof/>
        </w:rPr>
        <w:t>22</w:t>
      </w:r>
      <w:r w:rsidR="005763F9">
        <w:rPr>
          <w:noProof/>
        </w:rPr>
        <w:fldChar w:fldCharType="end"/>
      </w:r>
      <w:bookmarkEnd w:id="331"/>
      <w:r w:rsidRPr="00C85158">
        <w:t>: Number of observations from each source of comparative therapy dataset</w:t>
      </w:r>
    </w:p>
    <w:tbl>
      <w:tblPr>
        <w:tblStyle w:val="GridTable4-Accent12"/>
        <w:tblW w:w="9185" w:type="dxa"/>
        <w:tblInd w:w="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2381"/>
        <w:gridCol w:w="2268"/>
        <w:gridCol w:w="2268"/>
        <w:gridCol w:w="2268"/>
      </w:tblGrid>
      <w:tr w:rsidR="00403C61" w14:paraId="77E644CA" w14:textId="77777777" w:rsidTr="00EE572B">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381" w:type="dxa"/>
            <w:tcBorders>
              <w:top w:val="single" w:sz="4" w:space="0" w:color="auto"/>
              <w:left w:val="none" w:sz="0" w:space="0" w:color="auto"/>
              <w:bottom w:val="none" w:sz="0" w:space="0" w:color="auto"/>
              <w:right w:val="none" w:sz="0" w:space="0" w:color="auto"/>
            </w:tcBorders>
            <w:vAlign w:val="bottom"/>
          </w:tcPr>
          <w:p w14:paraId="631A1E34" w14:textId="5243C9D9" w:rsidR="00403C61" w:rsidRPr="00EE572B" w:rsidRDefault="00403C61" w:rsidP="00403C61">
            <w:pPr>
              <w:spacing w:before="120" w:after="120"/>
              <w:rPr>
                <w:rFonts w:cs="Arial"/>
                <w:sz w:val="22"/>
                <w:szCs w:val="22"/>
              </w:rPr>
            </w:pPr>
            <w:r w:rsidRPr="00EE572B">
              <w:rPr>
                <w:rFonts w:cs="Arial"/>
                <w:sz w:val="22"/>
                <w:szCs w:val="22"/>
              </w:rPr>
              <w:t>Therapy</w:t>
            </w:r>
          </w:p>
        </w:tc>
        <w:tc>
          <w:tcPr>
            <w:tcW w:w="2268" w:type="dxa"/>
            <w:tcBorders>
              <w:top w:val="single" w:sz="4" w:space="0" w:color="auto"/>
              <w:left w:val="none" w:sz="0" w:space="0" w:color="auto"/>
              <w:bottom w:val="nil"/>
              <w:right w:val="none" w:sz="0" w:space="0" w:color="auto"/>
            </w:tcBorders>
            <w:vAlign w:val="bottom"/>
          </w:tcPr>
          <w:p w14:paraId="7C059AD6" w14:textId="52278BFD" w:rsidR="00403C61" w:rsidRPr="00EE572B" w:rsidRDefault="00403C61" w:rsidP="00403C61">
            <w:pPr>
              <w:spacing w:before="120" w:after="120"/>
              <w:jc w:val="center"/>
              <w:cnfStyle w:val="100000000000" w:firstRow="1" w:lastRow="0" w:firstColumn="0" w:lastColumn="0" w:oddVBand="0" w:evenVBand="0" w:oddHBand="0" w:evenHBand="0" w:firstRowFirstColumn="0" w:firstRowLastColumn="0" w:lastRowFirstColumn="0" w:lastRowLastColumn="0"/>
              <w:rPr>
                <w:rFonts w:cs="Arial"/>
                <w:b w:val="0"/>
                <w:bCs w:val="0"/>
                <w:sz w:val="22"/>
                <w:szCs w:val="22"/>
              </w:rPr>
            </w:pPr>
            <w:r w:rsidRPr="00EE572B">
              <w:rPr>
                <w:rFonts w:cs="Arial"/>
                <w:b w:val="0"/>
                <w:bCs w:val="0"/>
                <w:color w:val="FFFFFF"/>
                <w:sz w:val="22"/>
                <w:szCs w:val="22"/>
                <w:lang w:eastAsia="en-AU"/>
              </w:rPr>
              <w:t>MBS* (transactions)</w:t>
            </w:r>
          </w:p>
        </w:tc>
        <w:tc>
          <w:tcPr>
            <w:tcW w:w="2268" w:type="dxa"/>
            <w:tcBorders>
              <w:top w:val="single" w:sz="4" w:space="0" w:color="auto"/>
              <w:left w:val="none" w:sz="0" w:space="0" w:color="auto"/>
              <w:bottom w:val="nil"/>
              <w:right w:val="none" w:sz="0" w:space="0" w:color="auto"/>
            </w:tcBorders>
            <w:vAlign w:val="bottom"/>
          </w:tcPr>
          <w:p w14:paraId="7E11FDCC" w14:textId="702A9EBC" w:rsidR="00403C61" w:rsidRPr="00EE572B" w:rsidRDefault="00403C61" w:rsidP="00403C61">
            <w:pPr>
              <w:spacing w:before="120" w:after="120"/>
              <w:jc w:val="center"/>
              <w:cnfStyle w:val="100000000000" w:firstRow="1" w:lastRow="0" w:firstColumn="0" w:lastColumn="0" w:oddVBand="0" w:evenVBand="0" w:oddHBand="0" w:evenHBand="0" w:firstRowFirstColumn="0" w:firstRowLastColumn="0" w:lastRowFirstColumn="0" w:lastRowLastColumn="0"/>
              <w:rPr>
                <w:rFonts w:cs="Arial"/>
                <w:b w:val="0"/>
                <w:bCs w:val="0"/>
                <w:sz w:val="22"/>
                <w:szCs w:val="22"/>
              </w:rPr>
            </w:pPr>
            <w:r w:rsidRPr="00EE572B">
              <w:rPr>
                <w:rFonts w:cs="Arial"/>
                <w:b w:val="0"/>
                <w:bCs w:val="0"/>
                <w:color w:val="FFFFFF"/>
                <w:sz w:val="22"/>
                <w:szCs w:val="22"/>
                <w:lang w:eastAsia="en-AU"/>
              </w:rPr>
              <w:t>PHI (transactions)</w:t>
            </w:r>
          </w:p>
        </w:tc>
        <w:tc>
          <w:tcPr>
            <w:tcW w:w="2268" w:type="dxa"/>
            <w:tcBorders>
              <w:top w:val="single" w:sz="4" w:space="0" w:color="auto"/>
              <w:left w:val="none" w:sz="0" w:space="0" w:color="auto"/>
              <w:bottom w:val="nil"/>
              <w:right w:val="none" w:sz="0" w:space="0" w:color="auto"/>
            </w:tcBorders>
            <w:vAlign w:val="bottom"/>
          </w:tcPr>
          <w:p w14:paraId="13427745" w14:textId="555B13C2" w:rsidR="00403C61" w:rsidRPr="00EE572B" w:rsidRDefault="00403C61" w:rsidP="00403C61">
            <w:pPr>
              <w:spacing w:before="120" w:after="120"/>
              <w:jc w:val="center"/>
              <w:cnfStyle w:val="100000000000" w:firstRow="1" w:lastRow="0" w:firstColumn="0" w:lastColumn="0" w:oddVBand="0" w:evenVBand="0" w:oddHBand="0" w:evenHBand="0" w:firstRowFirstColumn="0" w:firstRowLastColumn="0" w:lastRowFirstColumn="0" w:lastRowLastColumn="0"/>
              <w:rPr>
                <w:rFonts w:cs="Arial"/>
                <w:b w:val="0"/>
                <w:bCs w:val="0"/>
                <w:sz w:val="22"/>
                <w:szCs w:val="22"/>
              </w:rPr>
            </w:pPr>
            <w:r w:rsidRPr="00EE572B">
              <w:rPr>
                <w:rFonts w:cs="Arial"/>
                <w:b w:val="0"/>
                <w:bCs w:val="0"/>
                <w:color w:val="FFFFFF"/>
                <w:sz w:val="22"/>
                <w:szCs w:val="22"/>
                <w:lang w:eastAsia="en-AU"/>
              </w:rPr>
              <w:t>Other Government schemes***</w:t>
            </w:r>
          </w:p>
        </w:tc>
      </w:tr>
      <w:tr w:rsidR="00403C61" w14:paraId="3417CDA0" w14:textId="77777777" w:rsidTr="00EE572B">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381" w:type="dxa"/>
            <w:shd w:val="clear" w:color="auto" w:fill="6B2876" w:themeFill="text1"/>
            <w:vAlign w:val="center"/>
          </w:tcPr>
          <w:p w14:paraId="57E9F876" w14:textId="7CE06FA2" w:rsidR="00403C61" w:rsidRPr="00EE572B" w:rsidRDefault="00403C61" w:rsidP="00403C61">
            <w:pPr>
              <w:spacing w:after="0"/>
              <w:rPr>
                <w:rFonts w:cs="Arial"/>
                <w:sz w:val="22"/>
                <w:szCs w:val="22"/>
              </w:rPr>
            </w:pPr>
            <w:r w:rsidRPr="00EE572B">
              <w:rPr>
                <w:rFonts w:cs="Arial"/>
                <w:color w:val="F9FAF9" w:themeColor="background2"/>
                <w:sz w:val="22"/>
                <w:szCs w:val="22"/>
              </w:rPr>
              <w:t>Psychology</w:t>
            </w:r>
          </w:p>
        </w:tc>
        <w:tc>
          <w:tcPr>
            <w:tcW w:w="2268" w:type="dxa"/>
            <w:tcBorders>
              <w:top w:val="nil"/>
              <w:bottom w:val="dotted" w:sz="4" w:space="0" w:color="auto"/>
            </w:tcBorders>
            <w:shd w:val="clear" w:color="auto" w:fill="auto"/>
            <w:vAlign w:val="center"/>
          </w:tcPr>
          <w:p w14:paraId="45EDA31B" w14:textId="34D280BC" w:rsidR="00403C61" w:rsidRPr="00EE572B" w:rsidRDefault="00403C61" w:rsidP="00EE572B">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2"/>
                <w:szCs w:val="22"/>
              </w:rPr>
            </w:pPr>
            <w:r w:rsidRPr="00EE572B">
              <w:rPr>
                <w:rFonts w:cs="Arial"/>
                <w:color w:val="000000"/>
                <w:sz w:val="22"/>
                <w:szCs w:val="22"/>
                <w:lang w:eastAsia="en-AU"/>
              </w:rPr>
              <w:t>1,956,161</w:t>
            </w:r>
          </w:p>
        </w:tc>
        <w:tc>
          <w:tcPr>
            <w:tcW w:w="2268" w:type="dxa"/>
            <w:tcBorders>
              <w:top w:val="nil"/>
              <w:bottom w:val="dotted" w:sz="4" w:space="0" w:color="auto"/>
            </w:tcBorders>
            <w:shd w:val="clear" w:color="auto" w:fill="auto"/>
            <w:vAlign w:val="center"/>
          </w:tcPr>
          <w:p w14:paraId="48970D4A" w14:textId="4DBE23D1" w:rsidR="00403C61" w:rsidRPr="00EE572B" w:rsidRDefault="00403C61" w:rsidP="00EE572B">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2"/>
                <w:szCs w:val="22"/>
              </w:rPr>
            </w:pPr>
            <w:r w:rsidRPr="00EE572B">
              <w:rPr>
                <w:rFonts w:cs="Arial"/>
                <w:sz w:val="22"/>
                <w:szCs w:val="22"/>
              </w:rPr>
              <w:t>15,427</w:t>
            </w:r>
          </w:p>
        </w:tc>
        <w:tc>
          <w:tcPr>
            <w:tcW w:w="2268" w:type="dxa"/>
            <w:tcBorders>
              <w:top w:val="nil"/>
              <w:bottom w:val="dotted" w:sz="4" w:space="0" w:color="auto"/>
              <w:right w:val="single" w:sz="4" w:space="0" w:color="auto"/>
            </w:tcBorders>
            <w:shd w:val="clear" w:color="auto" w:fill="auto"/>
            <w:vAlign w:val="center"/>
          </w:tcPr>
          <w:p w14:paraId="65E5987D" w14:textId="740A548A" w:rsidR="00403C61" w:rsidRPr="00EE572B" w:rsidRDefault="00403C61" w:rsidP="00EE572B">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2"/>
                <w:szCs w:val="22"/>
              </w:rPr>
            </w:pPr>
            <w:r w:rsidRPr="00EE572B">
              <w:rPr>
                <w:rFonts w:cs="Arial"/>
                <w:sz w:val="22"/>
                <w:szCs w:val="22"/>
              </w:rPr>
              <w:t>11</w:t>
            </w:r>
          </w:p>
        </w:tc>
      </w:tr>
      <w:tr w:rsidR="00403C61" w14:paraId="3D9F47CA" w14:textId="77777777" w:rsidTr="00EE572B">
        <w:trPr>
          <w:trHeight w:val="312"/>
        </w:trPr>
        <w:tc>
          <w:tcPr>
            <w:cnfStyle w:val="001000000000" w:firstRow="0" w:lastRow="0" w:firstColumn="1" w:lastColumn="0" w:oddVBand="0" w:evenVBand="0" w:oddHBand="0" w:evenHBand="0" w:firstRowFirstColumn="0" w:firstRowLastColumn="0" w:lastRowFirstColumn="0" w:lastRowLastColumn="0"/>
            <w:tcW w:w="2381" w:type="dxa"/>
            <w:shd w:val="clear" w:color="auto" w:fill="6B2876" w:themeFill="text1"/>
            <w:vAlign w:val="center"/>
          </w:tcPr>
          <w:p w14:paraId="10384147" w14:textId="1B66D870" w:rsidR="00403C61" w:rsidRPr="00EE572B" w:rsidRDefault="00403C61" w:rsidP="00403C61">
            <w:pPr>
              <w:spacing w:after="0"/>
              <w:rPr>
                <w:rFonts w:cs="Arial"/>
                <w:color w:val="F9FAF9" w:themeColor="background2"/>
                <w:sz w:val="22"/>
                <w:szCs w:val="22"/>
              </w:rPr>
            </w:pPr>
            <w:r w:rsidRPr="00EE572B">
              <w:rPr>
                <w:rFonts w:cs="Arial"/>
                <w:color w:val="F9FAF9" w:themeColor="background2"/>
                <w:sz w:val="22"/>
                <w:szCs w:val="22"/>
              </w:rPr>
              <w:t>Speech Pathology</w:t>
            </w:r>
          </w:p>
        </w:tc>
        <w:tc>
          <w:tcPr>
            <w:tcW w:w="2268" w:type="dxa"/>
            <w:tcBorders>
              <w:top w:val="dotted" w:sz="4" w:space="0" w:color="auto"/>
              <w:bottom w:val="dotted" w:sz="4" w:space="0" w:color="auto"/>
            </w:tcBorders>
            <w:shd w:val="clear" w:color="auto" w:fill="auto"/>
            <w:vAlign w:val="center"/>
          </w:tcPr>
          <w:p w14:paraId="592D0593" w14:textId="4B20530E" w:rsidR="00403C61" w:rsidRPr="00EE572B" w:rsidRDefault="00403C61" w:rsidP="00EE572B">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EE572B">
              <w:rPr>
                <w:rFonts w:cs="Arial"/>
                <w:sz w:val="22"/>
                <w:szCs w:val="22"/>
              </w:rPr>
              <w:t>86,550</w:t>
            </w:r>
          </w:p>
        </w:tc>
        <w:tc>
          <w:tcPr>
            <w:tcW w:w="2268" w:type="dxa"/>
            <w:tcBorders>
              <w:top w:val="dotted" w:sz="4" w:space="0" w:color="auto"/>
              <w:bottom w:val="dotted" w:sz="4" w:space="0" w:color="auto"/>
            </w:tcBorders>
            <w:shd w:val="clear" w:color="auto" w:fill="auto"/>
            <w:vAlign w:val="center"/>
          </w:tcPr>
          <w:p w14:paraId="2F3BCEDE" w14:textId="3B696AC3" w:rsidR="00403C61" w:rsidRPr="00EE572B" w:rsidRDefault="00403C61" w:rsidP="00EE572B">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EE572B">
              <w:rPr>
                <w:rFonts w:cs="Arial"/>
                <w:sz w:val="22"/>
                <w:szCs w:val="22"/>
              </w:rPr>
              <w:t>4,351</w:t>
            </w:r>
          </w:p>
        </w:tc>
        <w:tc>
          <w:tcPr>
            <w:tcW w:w="2268" w:type="dxa"/>
            <w:tcBorders>
              <w:top w:val="dotted" w:sz="4" w:space="0" w:color="auto"/>
              <w:bottom w:val="dotted" w:sz="4" w:space="0" w:color="auto"/>
              <w:right w:val="single" w:sz="4" w:space="0" w:color="auto"/>
            </w:tcBorders>
            <w:shd w:val="clear" w:color="auto" w:fill="auto"/>
            <w:vAlign w:val="center"/>
          </w:tcPr>
          <w:p w14:paraId="247BD4CB" w14:textId="33EFBDD8" w:rsidR="00403C61" w:rsidRPr="00EE572B" w:rsidRDefault="00403C61" w:rsidP="00EE572B">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EE572B">
              <w:rPr>
                <w:rFonts w:cs="Arial"/>
                <w:sz w:val="22"/>
                <w:szCs w:val="22"/>
              </w:rPr>
              <w:t>8</w:t>
            </w:r>
          </w:p>
        </w:tc>
      </w:tr>
      <w:tr w:rsidR="00EE572B" w14:paraId="343AF71E" w14:textId="77777777" w:rsidTr="00EE572B">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381" w:type="dxa"/>
            <w:shd w:val="clear" w:color="auto" w:fill="6B2876" w:themeFill="text1"/>
            <w:vAlign w:val="center"/>
          </w:tcPr>
          <w:p w14:paraId="2291D445" w14:textId="1F7EDCA9" w:rsidR="00403C61" w:rsidRPr="00EE572B" w:rsidRDefault="00403C61" w:rsidP="00403C61">
            <w:pPr>
              <w:spacing w:after="0"/>
              <w:rPr>
                <w:rFonts w:cs="Arial"/>
                <w:color w:val="F9FAF9" w:themeColor="background2"/>
                <w:sz w:val="22"/>
                <w:szCs w:val="22"/>
              </w:rPr>
            </w:pPr>
            <w:r w:rsidRPr="00EE572B">
              <w:rPr>
                <w:rFonts w:cs="Arial"/>
                <w:color w:val="F9FAF9" w:themeColor="background2"/>
                <w:sz w:val="22"/>
                <w:szCs w:val="22"/>
              </w:rPr>
              <w:t>Occupational Therapy</w:t>
            </w:r>
          </w:p>
        </w:tc>
        <w:tc>
          <w:tcPr>
            <w:tcW w:w="2268" w:type="dxa"/>
            <w:tcBorders>
              <w:top w:val="dotted" w:sz="4" w:space="0" w:color="auto"/>
              <w:bottom w:val="dotted" w:sz="4" w:space="0" w:color="auto"/>
            </w:tcBorders>
            <w:shd w:val="clear" w:color="auto" w:fill="auto"/>
            <w:vAlign w:val="center"/>
          </w:tcPr>
          <w:p w14:paraId="4F892445" w14:textId="1C1E5D65" w:rsidR="00403C61" w:rsidRPr="00EE572B" w:rsidRDefault="00403C61" w:rsidP="00EE572B">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2"/>
                <w:szCs w:val="22"/>
              </w:rPr>
            </w:pPr>
            <w:r w:rsidRPr="00EE572B">
              <w:rPr>
                <w:rFonts w:cs="Arial"/>
                <w:sz w:val="22"/>
                <w:szCs w:val="22"/>
              </w:rPr>
              <w:t>80,008</w:t>
            </w:r>
          </w:p>
        </w:tc>
        <w:tc>
          <w:tcPr>
            <w:tcW w:w="2268" w:type="dxa"/>
            <w:tcBorders>
              <w:top w:val="dotted" w:sz="4" w:space="0" w:color="auto"/>
              <w:bottom w:val="dotted" w:sz="4" w:space="0" w:color="auto"/>
            </w:tcBorders>
            <w:shd w:val="clear" w:color="auto" w:fill="auto"/>
            <w:vAlign w:val="center"/>
          </w:tcPr>
          <w:p w14:paraId="5B4156A9" w14:textId="312E5887" w:rsidR="00403C61" w:rsidRPr="00EE572B" w:rsidRDefault="00403C61" w:rsidP="00EE572B">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2"/>
                <w:szCs w:val="22"/>
              </w:rPr>
            </w:pPr>
            <w:r w:rsidRPr="00EE572B">
              <w:rPr>
                <w:rFonts w:cs="Arial"/>
                <w:sz w:val="22"/>
                <w:szCs w:val="22"/>
              </w:rPr>
              <w:t>6,476</w:t>
            </w:r>
          </w:p>
        </w:tc>
        <w:tc>
          <w:tcPr>
            <w:tcW w:w="2268" w:type="dxa"/>
            <w:tcBorders>
              <w:top w:val="dotted" w:sz="4" w:space="0" w:color="auto"/>
              <w:bottom w:val="dotted" w:sz="4" w:space="0" w:color="auto"/>
              <w:right w:val="single" w:sz="4" w:space="0" w:color="auto"/>
            </w:tcBorders>
            <w:shd w:val="clear" w:color="auto" w:fill="auto"/>
            <w:vAlign w:val="center"/>
          </w:tcPr>
          <w:p w14:paraId="74A68B4D" w14:textId="0F52C464" w:rsidR="00403C61" w:rsidRPr="00EE572B" w:rsidRDefault="00403C61" w:rsidP="00EE572B">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2"/>
                <w:szCs w:val="22"/>
              </w:rPr>
            </w:pPr>
            <w:r w:rsidRPr="00EE572B">
              <w:rPr>
                <w:rFonts w:cs="Arial"/>
                <w:sz w:val="22"/>
                <w:szCs w:val="22"/>
              </w:rPr>
              <w:t>9</w:t>
            </w:r>
          </w:p>
        </w:tc>
      </w:tr>
      <w:tr w:rsidR="00403C61" w14:paraId="215331F4" w14:textId="77777777" w:rsidTr="00EE572B">
        <w:trPr>
          <w:trHeight w:val="312"/>
        </w:trPr>
        <w:tc>
          <w:tcPr>
            <w:cnfStyle w:val="001000000000" w:firstRow="0" w:lastRow="0" w:firstColumn="1" w:lastColumn="0" w:oddVBand="0" w:evenVBand="0" w:oddHBand="0" w:evenHBand="0" w:firstRowFirstColumn="0" w:firstRowLastColumn="0" w:lastRowFirstColumn="0" w:lastRowLastColumn="0"/>
            <w:tcW w:w="2381" w:type="dxa"/>
            <w:shd w:val="clear" w:color="auto" w:fill="6B2876" w:themeFill="text1"/>
            <w:vAlign w:val="center"/>
          </w:tcPr>
          <w:p w14:paraId="55271456" w14:textId="2F7BCEEE" w:rsidR="00403C61" w:rsidRPr="00EE572B" w:rsidRDefault="00403C61" w:rsidP="00403C61">
            <w:pPr>
              <w:spacing w:after="0"/>
              <w:rPr>
                <w:rFonts w:cs="Arial"/>
                <w:color w:val="F9FAF9" w:themeColor="background2"/>
                <w:sz w:val="22"/>
                <w:szCs w:val="22"/>
              </w:rPr>
            </w:pPr>
            <w:r w:rsidRPr="00EE572B">
              <w:rPr>
                <w:rFonts w:cs="Arial"/>
                <w:color w:val="F9FAF9" w:themeColor="background2"/>
                <w:sz w:val="22"/>
                <w:szCs w:val="22"/>
              </w:rPr>
              <w:t>Audiology</w:t>
            </w:r>
          </w:p>
        </w:tc>
        <w:tc>
          <w:tcPr>
            <w:tcW w:w="2268" w:type="dxa"/>
            <w:tcBorders>
              <w:top w:val="dotted" w:sz="4" w:space="0" w:color="auto"/>
              <w:bottom w:val="dotted" w:sz="4" w:space="0" w:color="auto"/>
            </w:tcBorders>
            <w:shd w:val="clear" w:color="auto" w:fill="auto"/>
            <w:vAlign w:val="center"/>
          </w:tcPr>
          <w:p w14:paraId="57440A4C" w14:textId="1E2EDFDE" w:rsidR="00403C61" w:rsidRPr="00EE572B" w:rsidRDefault="00403C61" w:rsidP="00EE572B">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EE572B">
              <w:rPr>
                <w:rFonts w:cs="Arial"/>
                <w:sz w:val="22"/>
                <w:szCs w:val="22"/>
              </w:rPr>
              <w:t>4,490</w:t>
            </w:r>
          </w:p>
        </w:tc>
        <w:tc>
          <w:tcPr>
            <w:tcW w:w="2268" w:type="dxa"/>
            <w:tcBorders>
              <w:top w:val="dotted" w:sz="4" w:space="0" w:color="auto"/>
              <w:bottom w:val="dotted" w:sz="4" w:space="0" w:color="auto"/>
            </w:tcBorders>
            <w:shd w:val="clear" w:color="auto" w:fill="auto"/>
            <w:vAlign w:val="center"/>
          </w:tcPr>
          <w:p w14:paraId="684BE464" w14:textId="06394843" w:rsidR="00403C61" w:rsidRPr="00EE572B" w:rsidRDefault="00403C61" w:rsidP="00EE572B">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EE572B">
              <w:rPr>
                <w:rFonts w:cs="Arial"/>
                <w:sz w:val="22"/>
                <w:szCs w:val="22"/>
              </w:rPr>
              <w:t>190**</w:t>
            </w:r>
          </w:p>
        </w:tc>
        <w:tc>
          <w:tcPr>
            <w:tcW w:w="2268" w:type="dxa"/>
            <w:tcBorders>
              <w:top w:val="dotted" w:sz="4" w:space="0" w:color="auto"/>
              <w:bottom w:val="dotted" w:sz="4" w:space="0" w:color="auto"/>
              <w:right w:val="single" w:sz="4" w:space="0" w:color="auto"/>
            </w:tcBorders>
            <w:shd w:val="clear" w:color="auto" w:fill="auto"/>
            <w:vAlign w:val="center"/>
          </w:tcPr>
          <w:p w14:paraId="4285C7EA" w14:textId="7544D74A" w:rsidR="00403C61" w:rsidRPr="00EE572B" w:rsidRDefault="00403C61" w:rsidP="00EE572B">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EE572B">
              <w:rPr>
                <w:rFonts w:cs="Arial"/>
                <w:sz w:val="22"/>
                <w:szCs w:val="22"/>
              </w:rPr>
              <w:t>0</w:t>
            </w:r>
          </w:p>
        </w:tc>
      </w:tr>
      <w:tr w:rsidR="00EE572B" w14:paraId="50A893C3" w14:textId="77777777" w:rsidTr="00EE572B">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381" w:type="dxa"/>
            <w:shd w:val="clear" w:color="auto" w:fill="6B2876" w:themeFill="text1"/>
            <w:vAlign w:val="center"/>
          </w:tcPr>
          <w:p w14:paraId="0FB01E3B" w14:textId="16DC68E5" w:rsidR="00403C61" w:rsidRPr="00EE572B" w:rsidRDefault="00403C61" w:rsidP="00403C61">
            <w:pPr>
              <w:spacing w:after="0"/>
              <w:rPr>
                <w:rFonts w:cs="Arial"/>
                <w:color w:val="F9FAF9" w:themeColor="background2"/>
                <w:sz w:val="22"/>
                <w:szCs w:val="22"/>
              </w:rPr>
            </w:pPr>
            <w:r w:rsidRPr="00EE572B">
              <w:rPr>
                <w:rFonts w:cs="Arial"/>
                <w:color w:val="F9FAF9" w:themeColor="background2"/>
                <w:sz w:val="22"/>
                <w:szCs w:val="22"/>
              </w:rPr>
              <w:t>Dietetics</w:t>
            </w:r>
          </w:p>
        </w:tc>
        <w:tc>
          <w:tcPr>
            <w:tcW w:w="2268" w:type="dxa"/>
            <w:tcBorders>
              <w:top w:val="dotted" w:sz="4" w:space="0" w:color="auto"/>
              <w:bottom w:val="dotted" w:sz="4" w:space="0" w:color="auto"/>
            </w:tcBorders>
            <w:shd w:val="clear" w:color="auto" w:fill="auto"/>
            <w:vAlign w:val="center"/>
          </w:tcPr>
          <w:p w14:paraId="728486EF" w14:textId="2A40F71D" w:rsidR="00403C61" w:rsidRPr="00EE572B" w:rsidRDefault="00403C61" w:rsidP="00EE572B">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2"/>
                <w:szCs w:val="22"/>
              </w:rPr>
            </w:pPr>
            <w:r w:rsidRPr="00EE572B">
              <w:rPr>
                <w:rFonts w:cs="Arial"/>
                <w:sz w:val="22"/>
                <w:szCs w:val="22"/>
              </w:rPr>
              <w:t>354,508</w:t>
            </w:r>
          </w:p>
        </w:tc>
        <w:tc>
          <w:tcPr>
            <w:tcW w:w="2268" w:type="dxa"/>
            <w:tcBorders>
              <w:top w:val="dotted" w:sz="4" w:space="0" w:color="auto"/>
              <w:bottom w:val="dotted" w:sz="4" w:space="0" w:color="auto"/>
            </w:tcBorders>
            <w:shd w:val="clear" w:color="auto" w:fill="auto"/>
            <w:vAlign w:val="center"/>
          </w:tcPr>
          <w:p w14:paraId="6139864B" w14:textId="51D1B8BF" w:rsidR="00403C61" w:rsidRPr="00EE572B" w:rsidRDefault="00403C61" w:rsidP="00EE572B">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2"/>
                <w:szCs w:val="22"/>
              </w:rPr>
            </w:pPr>
            <w:r w:rsidRPr="00EE572B">
              <w:rPr>
                <w:rFonts w:cs="Arial"/>
                <w:sz w:val="22"/>
                <w:szCs w:val="22"/>
              </w:rPr>
              <w:t>10,525</w:t>
            </w:r>
          </w:p>
        </w:tc>
        <w:tc>
          <w:tcPr>
            <w:tcW w:w="2268" w:type="dxa"/>
            <w:tcBorders>
              <w:top w:val="dotted" w:sz="4" w:space="0" w:color="auto"/>
              <w:bottom w:val="dotted" w:sz="4" w:space="0" w:color="auto"/>
              <w:right w:val="single" w:sz="4" w:space="0" w:color="auto"/>
            </w:tcBorders>
            <w:shd w:val="clear" w:color="auto" w:fill="auto"/>
            <w:vAlign w:val="center"/>
          </w:tcPr>
          <w:p w14:paraId="76E1D4AB" w14:textId="6D041D1A" w:rsidR="00403C61" w:rsidRPr="00EE572B" w:rsidRDefault="00403C61" w:rsidP="00EE572B">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2"/>
                <w:szCs w:val="22"/>
              </w:rPr>
            </w:pPr>
            <w:r w:rsidRPr="00EE572B">
              <w:rPr>
                <w:rFonts w:cs="Arial"/>
                <w:sz w:val="22"/>
                <w:szCs w:val="22"/>
              </w:rPr>
              <w:t>3</w:t>
            </w:r>
          </w:p>
        </w:tc>
      </w:tr>
      <w:tr w:rsidR="00403C61" w14:paraId="0F19CA0C" w14:textId="77777777" w:rsidTr="00EE572B">
        <w:trPr>
          <w:trHeight w:val="312"/>
        </w:trPr>
        <w:tc>
          <w:tcPr>
            <w:cnfStyle w:val="001000000000" w:firstRow="0" w:lastRow="0" w:firstColumn="1" w:lastColumn="0" w:oddVBand="0" w:evenVBand="0" w:oddHBand="0" w:evenHBand="0" w:firstRowFirstColumn="0" w:firstRowLastColumn="0" w:lastRowFirstColumn="0" w:lastRowLastColumn="0"/>
            <w:tcW w:w="2381" w:type="dxa"/>
            <w:shd w:val="clear" w:color="auto" w:fill="6B2876" w:themeFill="text1"/>
            <w:vAlign w:val="center"/>
          </w:tcPr>
          <w:p w14:paraId="6E39928D" w14:textId="2E373855" w:rsidR="00403C61" w:rsidRPr="00EE572B" w:rsidRDefault="00403C61" w:rsidP="00403C61">
            <w:pPr>
              <w:spacing w:after="0"/>
              <w:rPr>
                <w:rFonts w:cs="Arial"/>
                <w:color w:val="F9FAF9" w:themeColor="background2"/>
                <w:sz w:val="22"/>
                <w:szCs w:val="22"/>
              </w:rPr>
            </w:pPr>
            <w:r w:rsidRPr="00EE572B">
              <w:rPr>
                <w:rFonts w:cs="Arial"/>
                <w:color w:val="F9FAF9" w:themeColor="background2"/>
                <w:sz w:val="22"/>
                <w:szCs w:val="22"/>
              </w:rPr>
              <w:t>Podiatry</w:t>
            </w:r>
          </w:p>
        </w:tc>
        <w:tc>
          <w:tcPr>
            <w:tcW w:w="2268" w:type="dxa"/>
            <w:tcBorders>
              <w:top w:val="dotted" w:sz="4" w:space="0" w:color="auto"/>
              <w:bottom w:val="dotted" w:sz="4" w:space="0" w:color="auto"/>
            </w:tcBorders>
            <w:shd w:val="clear" w:color="auto" w:fill="auto"/>
            <w:vAlign w:val="center"/>
          </w:tcPr>
          <w:p w14:paraId="31B82EF3" w14:textId="0ECA9980" w:rsidR="00403C61" w:rsidRPr="00EE572B" w:rsidRDefault="00403C61" w:rsidP="00EE572B">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EE572B">
              <w:rPr>
                <w:rFonts w:cs="Arial"/>
                <w:sz w:val="22"/>
                <w:szCs w:val="22"/>
              </w:rPr>
              <w:t>3,609,036</w:t>
            </w:r>
          </w:p>
        </w:tc>
        <w:tc>
          <w:tcPr>
            <w:tcW w:w="2268" w:type="dxa"/>
            <w:tcBorders>
              <w:top w:val="dotted" w:sz="4" w:space="0" w:color="auto"/>
              <w:bottom w:val="dotted" w:sz="4" w:space="0" w:color="auto"/>
            </w:tcBorders>
            <w:shd w:val="clear" w:color="auto" w:fill="auto"/>
            <w:vAlign w:val="center"/>
          </w:tcPr>
          <w:p w14:paraId="01EDE058" w14:textId="547310E8" w:rsidR="00403C61" w:rsidRPr="00EE572B" w:rsidRDefault="00403C61" w:rsidP="00EE572B">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EE572B">
              <w:rPr>
                <w:rFonts w:cs="Arial"/>
                <w:sz w:val="22"/>
                <w:szCs w:val="22"/>
              </w:rPr>
              <w:t>121,170</w:t>
            </w:r>
          </w:p>
        </w:tc>
        <w:tc>
          <w:tcPr>
            <w:tcW w:w="2268" w:type="dxa"/>
            <w:tcBorders>
              <w:top w:val="dotted" w:sz="4" w:space="0" w:color="auto"/>
              <w:bottom w:val="dotted" w:sz="4" w:space="0" w:color="auto"/>
              <w:right w:val="single" w:sz="4" w:space="0" w:color="auto"/>
            </w:tcBorders>
            <w:shd w:val="clear" w:color="auto" w:fill="auto"/>
            <w:vAlign w:val="center"/>
          </w:tcPr>
          <w:p w14:paraId="1DC44F10" w14:textId="51DD6BF3" w:rsidR="00403C61" w:rsidRPr="00EE572B" w:rsidRDefault="00403C61" w:rsidP="00EE572B">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EE572B">
              <w:rPr>
                <w:rFonts w:cs="Arial"/>
                <w:sz w:val="22"/>
                <w:szCs w:val="22"/>
              </w:rPr>
              <w:t>3</w:t>
            </w:r>
          </w:p>
        </w:tc>
      </w:tr>
      <w:tr w:rsidR="00EE572B" w14:paraId="4203B088" w14:textId="77777777" w:rsidTr="00EE572B">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381" w:type="dxa"/>
            <w:shd w:val="clear" w:color="auto" w:fill="6B2876" w:themeFill="text1"/>
            <w:vAlign w:val="center"/>
          </w:tcPr>
          <w:p w14:paraId="6B68DF6F" w14:textId="66961B03" w:rsidR="00403C61" w:rsidRPr="00EE572B" w:rsidRDefault="00403C61" w:rsidP="00403C61">
            <w:pPr>
              <w:spacing w:after="0"/>
              <w:rPr>
                <w:rFonts w:cs="Arial"/>
                <w:color w:val="F9FAF9" w:themeColor="background2"/>
                <w:sz w:val="22"/>
                <w:szCs w:val="22"/>
              </w:rPr>
            </w:pPr>
            <w:r w:rsidRPr="00EE572B">
              <w:rPr>
                <w:rFonts w:cs="Arial"/>
                <w:color w:val="F9FAF9" w:themeColor="background2"/>
                <w:sz w:val="22"/>
                <w:szCs w:val="22"/>
              </w:rPr>
              <w:t>Physiotherapy</w:t>
            </w:r>
          </w:p>
        </w:tc>
        <w:tc>
          <w:tcPr>
            <w:tcW w:w="2268" w:type="dxa"/>
            <w:tcBorders>
              <w:top w:val="dotted" w:sz="4" w:space="0" w:color="auto"/>
              <w:bottom w:val="dotted" w:sz="4" w:space="0" w:color="auto"/>
            </w:tcBorders>
            <w:shd w:val="clear" w:color="auto" w:fill="auto"/>
            <w:vAlign w:val="center"/>
          </w:tcPr>
          <w:p w14:paraId="3150A48E" w14:textId="2938A26A" w:rsidR="00403C61" w:rsidRPr="00EE572B" w:rsidRDefault="00403C61" w:rsidP="00EE572B">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2"/>
                <w:szCs w:val="22"/>
              </w:rPr>
            </w:pPr>
            <w:r w:rsidRPr="00EE572B">
              <w:rPr>
                <w:rFonts w:cs="Arial"/>
                <w:sz w:val="22"/>
                <w:szCs w:val="22"/>
              </w:rPr>
              <w:t>3,148,452</w:t>
            </w:r>
          </w:p>
        </w:tc>
        <w:tc>
          <w:tcPr>
            <w:tcW w:w="2268" w:type="dxa"/>
            <w:tcBorders>
              <w:top w:val="dotted" w:sz="4" w:space="0" w:color="auto"/>
              <w:bottom w:val="dotted" w:sz="4" w:space="0" w:color="auto"/>
            </w:tcBorders>
            <w:shd w:val="clear" w:color="auto" w:fill="auto"/>
            <w:vAlign w:val="center"/>
          </w:tcPr>
          <w:p w14:paraId="7DC59F8B" w14:textId="0951178D" w:rsidR="00403C61" w:rsidRPr="00EE572B" w:rsidRDefault="00403C61" w:rsidP="00EE572B">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2"/>
                <w:szCs w:val="22"/>
              </w:rPr>
            </w:pPr>
            <w:r w:rsidRPr="00EE572B">
              <w:rPr>
                <w:rFonts w:cs="Arial"/>
                <w:sz w:val="22"/>
                <w:szCs w:val="22"/>
              </w:rPr>
              <w:t>830,021</w:t>
            </w:r>
          </w:p>
        </w:tc>
        <w:tc>
          <w:tcPr>
            <w:tcW w:w="2268" w:type="dxa"/>
            <w:tcBorders>
              <w:top w:val="dotted" w:sz="4" w:space="0" w:color="auto"/>
              <w:bottom w:val="dotted" w:sz="4" w:space="0" w:color="auto"/>
              <w:right w:val="single" w:sz="4" w:space="0" w:color="auto"/>
            </w:tcBorders>
            <w:shd w:val="clear" w:color="auto" w:fill="auto"/>
            <w:vAlign w:val="center"/>
          </w:tcPr>
          <w:p w14:paraId="21868E09" w14:textId="6156F704" w:rsidR="00403C61" w:rsidRPr="00EE572B" w:rsidRDefault="00403C61" w:rsidP="00EE572B">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2"/>
                <w:szCs w:val="22"/>
              </w:rPr>
            </w:pPr>
            <w:r w:rsidRPr="00EE572B">
              <w:rPr>
                <w:rFonts w:cs="Arial"/>
                <w:sz w:val="22"/>
                <w:szCs w:val="22"/>
              </w:rPr>
              <w:t>10</w:t>
            </w:r>
          </w:p>
        </w:tc>
      </w:tr>
      <w:tr w:rsidR="00403C61" w14:paraId="4C8FFAB0" w14:textId="77777777" w:rsidTr="00EE572B">
        <w:trPr>
          <w:trHeight w:val="312"/>
        </w:trPr>
        <w:tc>
          <w:tcPr>
            <w:cnfStyle w:val="001000000000" w:firstRow="0" w:lastRow="0" w:firstColumn="1" w:lastColumn="0" w:oddVBand="0" w:evenVBand="0" w:oddHBand="0" w:evenHBand="0" w:firstRowFirstColumn="0" w:firstRowLastColumn="0" w:lastRowFirstColumn="0" w:lastRowLastColumn="0"/>
            <w:tcW w:w="2381" w:type="dxa"/>
            <w:shd w:val="clear" w:color="auto" w:fill="6B2876" w:themeFill="text1"/>
            <w:vAlign w:val="center"/>
          </w:tcPr>
          <w:p w14:paraId="22983344" w14:textId="11C7A6AD" w:rsidR="00403C61" w:rsidRPr="00EE572B" w:rsidRDefault="00403C61" w:rsidP="00403C61">
            <w:pPr>
              <w:spacing w:after="0"/>
              <w:rPr>
                <w:rFonts w:cs="Arial"/>
                <w:color w:val="F9FAF9" w:themeColor="background2"/>
                <w:sz w:val="22"/>
                <w:szCs w:val="22"/>
              </w:rPr>
            </w:pPr>
            <w:r w:rsidRPr="00EE572B">
              <w:rPr>
                <w:rFonts w:cs="Arial"/>
                <w:color w:val="F9FAF9" w:themeColor="background2"/>
                <w:sz w:val="22"/>
                <w:szCs w:val="22"/>
              </w:rPr>
              <w:t>Social Worker</w:t>
            </w:r>
          </w:p>
        </w:tc>
        <w:tc>
          <w:tcPr>
            <w:tcW w:w="2268" w:type="dxa"/>
            <w:tcBorders>
              <w:top w:val="dotted" w:sz="4" w:space="0" w:color="auto"/>
              <w:bottom w:val="dotted" w:sz="4" w:space="0" w:color="auto"/>
            </w:tcBorders>
            <w:shd w:val="clear" w:color="auto" w:fill="auto"/>
            <w:vAlign w:val="center"/>
          </w:tcPr>
          <w:p w14:paraId="43F373B9" w14:textId="072A3D79" w:rsidR="00403C61" w:rsidRPr="00EE572B" w:rsidRDefault="00403C61" w:rsidP="00EE572B">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EE572B">
              <w:rPr>
                <w:rFonts w:cs="Arial"/>
                <w:sz w:val="22"/>
                <w:szCs w:val="22"/>
              </w:rPr>
              <w:t>n/a</w:t>
            </w:r>
          </w:p>
        </w:tc>
        <w:tc>
          <w:tcPr>
            <w:tcW w:w="2268" w:type="dxa"/>
            <w:tcBorders>
              <w:top w:val="dotted" w:sz="4" w:space="0" w:color="auto"/>
              <w:bottom w:val="dotted" w:sz="4" w:space="0" w:color="auto"/>
            </w:tcBorders>
            <w:shd w:val="clear" w:color="auto" w:fill="auto"/>
            <w:vAlign w:val="center"/>
          </w:tcPr>
          <w:p w14:paraId="6DAB46A3" w14:textId="53800EFE" w:rsidR="00403C61" w:rsidRPr="00EE572B" w:rsidRDefault="00403C61" w:rsidP="00EE572B">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EE572B">
              <w:rPr>
                <w:rFonts w:cs="Arial"/>
                <w:sz w:val="22"/>
                <w:szCs w:val="22"/>
              </w:rPr>
              <w:t>n/a</w:t>
            </w:r>
          </w:p>
        </w:tc>
        <w:tc>
          <w:tcPr>
            <w:tcW w:w="2268" w:type="dxa"/>
            <w:tcBorders>
              <w:top w:val="dotted" w:sz="4" w:space="0" w:color="auto"/>
              <w:bottom w:val="dotted" w:sz="4" w:space="0" w:color="auto"/>
              <w:right w:val="single" w:sz="4" w:space="0" w:color="auto"/>
            </w:tcBorders>
            <w:shd w:val="clear" w:color="auto" w:fill="auto"/>
            <w:vAlign w:val="center"/>
          </w:tcPr>
          <w:p w14:paraId="5EC1D186" w14:textId="604F376F" w:rsidR="00403C61" w:rsidRPr="00EE572B" w:rsidRDefault="00403C61" w:rsidP="00EE572B">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EE572B">
              <w:rPr>
                <w:rFonts w:cs="Arial"/>
                <w:sz w:val="22"/>
                <w:szCs w:val="22"/>
              </w:rPr>
              <w:t>6</w:t>
            </w:r>
          </w:p>
        </w:tc>
      </w:tr>
      <w:tr w:rsidR="00EE572B" w14:paraId="03529438" w14:textId="77777777" w:rsidTr="00EE572B">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381" w:type="dxa"/>
            <w:shd w:val="clear" w:color="auto" w:fill="6B2876" w:themeFill="text1"/>
            <w:vAlign w:val="center"/>
          </w:tcPr>
          <w:p w14:paraId="4A911930" w14:textId="6E23CD7D" w:rsidR="00403C61" w:rsidRPr="00EE572B" w:rsidRDefault="00403C61" w:rsidP="00403C61">
            <w:pPr>
              <w:spacing w:after="0"/>
              <w:rPr>
                <w:rFonts w:cs="Arial"/>
                <w:color w:val="F9FAF9" w:themeColor="background2"/>
                <w:sz w:val="22"/>
                <w:szCs w:val="22"/>
              </w:rPr>
            </w:pPr>
            <w:r w:rsidRPr="00EE572B">
              <w:rPr>
                <w:rFonts w:cs="Arial"/>
                <w:color w:val="F9FAF9" w:themeColor="background2"/>
                <w:sz w:val="22"/>
                <w:szCs w:val="22"/>
              </w:rPr>
              <w:t>Counselling</w:t>
            </w:r>
          </w:p>
        </w:tc>
        <w:tc>
          <w:tcPr>
            <w:tcW w:w="2268" w:type="dxa"/>
            <w:tcBorders>
              <w:top w:val="dotted" w:sz="4" w:space="0" w:color="auto"/>
              <w:bottom w:val="dotted" w:sz="4" w:space="0" w:color="auto"/>
            </w:tcBorders>
            <w:shd w:val="clear" w:color="auto" w:fill="auto"/>
            <w:vAlign w:val="center"/>
          </w:tcPr>
          <w:p w14:paraId="3B802BD1" w14:textId="45589EA8" w:rsidR="00403C61" w:rsidRPr="00EE572B" w:rsidRDefault="00403C61" w:rsidP="00EE572B">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2"/>
                <w:szCs w:val="22"/>
              </w:rPr>
            </w:pPr>
            <w:r w:rsidRPr="00EE572B">
              <w:rPr>
                <w:rFonts w:cs="Arial"/>
                <w:sz w:val="22"/>
                <w:szCs w:val="22"/>
              </w:rPr>
              <w:t>n/a</w:t>
            </w:r>
          </w:p>
        </w:tc>
        <w:tc>
          <w:tcPr>
            <w:tcW w:w="2268" w:type="dxa"/>
            <w:tcBorders>
              <w:top w:val="dotted" w:sz="4" w:space="0" w:color="auto"/>
              <w:bottom w:val="dotted" w:sz="4" w:space="0" w:color="auto"/>
            </w:tcBorders>
            <w:shd w:val="clear" w:color="auto" w:fill="auto"/>
            <w:vAlign w:val="center"/>
          </w:tcPr>
          <w:p w14:paraId="3F1DC18D" w14:textId="2AC73D7E" w:rsidR="00403C61" w:rsidRPr="00EE572B" w:rsidRDefault="00403C61" w:rsidP="00EE572B">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2"/>
                <w:szCs w:val="22"/>
              </w:rPr>
            </w:pPr>
            <w:r w:rsidRPr="00EE572B">
              <w:rPr>
                <w:rFonts w:cs="Arial"/>
                <w:sz w:val="22"/>
                <w:szCs w:val="22"/>
              </w:rPr>
              <w:t>n/a</w:t>
            </w:r>
          </w:p>
        </w:tc>
        <w:tc>
          <w:tcPr>
            <w:tcW w:w="2268" w:type="dxa"/>
            <w:tcBorders>
              <w:top w:val="dotted" w:sz="4" w:space="0" w:color="auto"/>
              <w:bottom w:val="dotted" w:sz="4" w:space="0" w:color="auto"/>
              <w:right w:val="single" w:sz="4" w:space="0" w:color="auto"/>
            </w:tcBorders>
            <w:shd w:val="clear" w:color="auto" w:fill="auto"/>
            <w:vAlign w:val="center"/>
          </w:tcPr>
          <w:p w14:paraId="739702C7" w14:textId="5A0E7524" w:rsidR="00403C61" w:rsidRPr="00EE572B" w:rsidRDefault="00403C61" w:rsidP="00EE572B">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2"/>
                <w:szCs w:val="22"/>
              </w:rPr>
            </w:pPr>
            <w:r w:rsidRPr="00EE572B">
              <w:rPr>
                <w:rFonts w:cs="Arial"/>
                <w:sz w:val="22"/>
                <w:szCs w:val="22"/>
              </w:rPr>
              <w:t>6</w:t>
            </w:r>
          </w:p>
        </w:tc>
      </w:tr>
      <w:tr w:rsidR="00403C61" w14:paraId="3A1EE11D" w14:textId="77777777" w:rsidTr="00EE572B">
        <w:trPr>
          <w:trHeight w:val="312"/>
        </w:trPr>
        <w:tc>
          <w:tcPr>
            <w:cnfStyle w:val="001000000000" w:firstRow="0" w:lastRow="0" w:firstColumn="1" w:lastColumn="0" w:oddVBand="0" w:evenVBand="0" w:oddHBand="0" w:evenHBand="0" w:firstRowFirstColumn="0" w:firstRowLastColumn="0" w:lastRowFirstColumn="0" w:lastRowLastColumn="0"/>
            <w:tcW w:w="2381" w:type="dxa"/>
            <w:shd w:val="clear" w:color="auto" w:fill="6B2876" w:themeFill="text1"/>
            <w:vAlign w:val="center"/>
          </w:tcPr>
          <w:p w14:paraId="120CC8A4" w14:textId="6600F339" w:rsidR="00403C61" w:rsidRPr="00EE572B" w:rsidRDefault="00403C61" w:rsidP="00403C61">
            <w:pPr>
              <w:spacing w:after="0"/>
              <w:rPr>
                <w:rFonts w:cs="Arial"/>
                <w:color w:val="F9FAF9" w:themeColor="background2"/>
                <w:sz w:val="22"/>
                <w:szCs w:val="22"/>
              </w:rPr>
            </w:pPr>
            <w:r w:rsidRPr="00EE572B">
              <w:rPr>
                <w:rFonts w:cs="Arial"/>
                <w:color w:val="F9FAF9" w:themeColor="background2"/>
                <w:sz w:val="22"/>
                <w:szCs w:val="22"/>
              </w:rPr>
              <w:t>Exercise Physiology</w:t>
            </w:r>
          </w:p>
        </w:tc>
        <w:tc>
          <w:tcPr>
            <w:tcW w:w="2268" w:type="dxa"/>
            <w:tcBorders>
              <w:top w:val="dotted" w:sz="4" w:space="0" w:color="auto"/>
              <w:bottom w:val="dotted" w:sz="4" w:space="0" w:color="auto"/>
            </w:tcBorders>
            <w:shd w:val="clear" w:color="auto" w:fill="auto"/>
            <w:vAlign w:val="center"/>
          </w:tcPr>
          <w:p w14:paraId="0F79FA13" w14:textId="50F12E00" w:rsidR="00403C61" w:rsidRPr="00EE572B" w:rsidRDefault="00403C61" w:rsidP="00EE572B">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EE572B">
              <w:rPr>
                <w:rFonts w:cs="Arial"/>
                <w:sz w:val="22"/>
                <w:szCs w:val="22"/>
              </w:rPr>
              <w:t>337,012</w:t>
            </w:r>
          </w:p>
        </w:tc>
        <w:tc>
          <w:tcPr>
            <w:tcW w:w="2268" w:type="dxa"/>
            <w:tcBorders>
              <w:top w:val="dotted" w:sz="4" w:space="0" w:color="auto"/>
              <w:bottom w:val="dotted" w:sz="4" w:space="0" w:color="auto"/>
            </w:tcBorders>
            <w:shd w:val="clear" w:color="auto" w:fill="auto"/>
            <w:vAlign w:val="center"/>
          </w:tcPr>
          <w:p w14:paraId="557B61C0" w14:textId="3DC2044F" w:rsidR="00403C61" w:rsidRPr="00EE572B" w:rsidRDefault="00403C61" w:rsidP="00EE572B">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EE572B">
              <w:rPr>
                <w:rFonts w:cs="Arial"/>
                <w:sz w:val="22"/>
                <w:szCs w:val="22"/>
              </w:rPr>
              <w:t>n/a</w:t>
            </w:r>
          </w:p>
        </w:tc>
        <w:tc>
          <w:tcPr>
            <w:tcW w:w="2268" w:type="dxa"/>
            <w:tcBorders>
              <w:top w:val="dotted" w:sz="4" w:space="0" w:color="auto"/>
              <w:bottom w:val="dotted" w:sz="4" w:space="0" w:color="auto"/>
              <w:right w:val="single" w:sz="4" w:space="0" w:color="auto"/>
            </w:tcBorders>
            <w:shd w:val="clear" w:color="auto" w:fill="auto"/>
            <w:vAlign w:val="center"/>
          </w:tcPr>
          <w:p w14:paraId="7961DB16" w14:textId="5212F3CD" w:rsidR="00403C61" w:rsidRPr="00EE572B" w:rsidRDefault="00403C61" w:rsidP="00EE572B">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EE572B">
              <w:rPr>
                <w:rFonts w:cs="Arial"/>
                <w:sz w:val="22"/>
                <w:szCs w:val="22"/>
              </w:rPr>
              <w:t>10</w:t>
            </w:r>
          </w:p>
        </w:tc>
      </w:tr>
      <w:tr w:rsidR="00403C61" w14:paraId="67B1EEA3" w14:textId="77777777" w:rsidTr="00EE572B">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381" w:type="dxa"/>
            <w:tcBorders>
              <w:bottom w:val="single" w:sz="4" w:space="0" w:color="auto"/>
            </w:tcBorders>
            <w:shd w:val="clear" w:color="auto" w:fill="6B2876" w:themeFill="text1"/>
            <w:vAlign w:val="center"/>
          </w:tcPr>
          <w:p w14:paraId="4DAEF4C5" w14:textId="2AFB234B" w:rsidR="00403C61" w:rsidRPr="00EE572B" w:rsidRDefault="00403C61" w:rsidP="00403C61">
            <w:pPr>
              <w:spacing w:after="0"/>
              <w:rPr>
                <w:rFonts w:cs="Arial"/>
                <w:b/>
                <w:bCs w:val="0"/>
                <w:color w:val="F9FAF9" w:themeColor="background2"/>
                <w:sz w:val="22"/>
                <w:szCs w:val="22"/>
              </w:rPr>
            </w:pPr>
            <w:r w:rsidRPr="00EE572B">
              <w:rPr>
                <w:rFonts w:cs="Arial"/>
                <w:b/>
                <w:bCs w:val="0"/>
                <w:color w:val="F9FAF9" w:themeColor="background2"/>
                <w:sz w:val="22"/>
                <w:szCs w:val="22"/>
              </w:rPr>
              <w:t>Total</w:t>
            </w:r>
          </w:p>
        </w:tc>
        <w:tc>
          <w:tcPr>
            <w:tcW w:w="2268" w:type="dxa"/>
            <w:tcBorders>
              <w:top w:val="dotted" w:sz="4" w:space="0" w:color="auto"/>
              <w:bottom w:val="single" w:sz="4" w:space="0" w:color="auto"/>
            </w:tcBorders>
            <w:shd w:val="clear" w:color="auto" w:fill="auto"/>
            <w:vAlign w:val="center"/>
          </w:tcPr>
          <w:p w14:paraId="4BF0FE3C" w14:textId="340DA270" w:rsidR="00403C61" w:rsidRPr="00EE572B" w:rsidRDefault="00A73937" w:rsidP="00EE572B">
            <w:pPr>
              <w:spacing w:before="20" w:after="20"/>
              <w:jc w:val="center"/>
              <w:cnfStyle w:val="000000100000" w:firstRow="0" w:lastRow="0" w:firstColumn="0" w:lastColumn="0" w:oddVBand="0" w:evenVBand="0" w:oddHBand="1" w:evenHBand="0" w:firstRowFirstColumn="0" w:firstRowLastColumn="0" w:lastRowFirstColumn="0" w:lastRowLastColumn="0"/>
              <w:rPr>
                <w:rFonts w:cs="Arial"/>
                <w:b/>
                <w:bCs/>
                <w:sz w:val="22"/>
                <w:szCs w:val="22"/>
              </w:rPr>
            </w:pPr>
            <w:r>
              <w:rPr>
                <w:rFonts w:cs="Arial"/>
                <w:b/>
                <w:bCs/>
                <w:sz w:val="22"/>
                <w:szCs w:val="22"/>
              </w:rPr>
              <w:t>9</w:t>
            </w:r>
            <w:r w:rsidR="00403C61" w:rsidRPr="00EE572B">
              <w:rPr>
                <w:rFonts w:cs="Arial"/>
                <w:b/>
                <w:bCs/>
                <w:sz w:val="22"/>
                <w:szCs w:val="22"/>
              </w:rPr>
              <w:t>,</w:t>
            </w:r>
            <w:r>
              <w:rPr>
                <w:rFonts w:cs="Arial"/>
                <w:b/>
                <w:bCs/>
                <w:sz w:val="22"/>
                <w:szCs w:val="22"/>
              </w:rPr>
              <w:t>576</w:t>
            </w:r>
            <w:r w:rsidR="00403C61" w:rsidRPr="00EE572B">
              <w:rPr>
                <w:rFonts w:cs="Arial"/>
                <w:b/>
                <w:bCs/>
                <w:sz w:val="22"/>
                <w:szCs w:val="22"/>
              </w:rPr>
              <w:t>,</w:t>
            </w:r>
            <w:r>
              <w:rPr>
                <w:rFonts w:cs="Arial"/>
                <w:b/>
                <w:bCs/>
                <w:sz w:val="22"/>
                <w:szCs w:val="22"/>
              </w:rPr>
              <w:t>217</w:t>
            </w:r>
          </w:p>
        </w:tc>
        <w:tc>
          <w:tcPr>
            <w:tcW w:w="2268" w:type="dxa"/>
            <w:tcBorders>
              <w:top w:val="dotted" w:sz="4" w:space="0" w:color="auto"/>
              <w:bottom w:val="single" w:sz="4" w:space="0" w:color="auto"/>
            </w:tcBorders>
            <w:shd w:val="clear" w:color="auto" w:fill="auto"/>
            <w:vAlign w:val="center"/>
          </w:tcPr>
          <w:p w14:paraId="77562760" w14:textId="25BC83CF" w:rsidR="00403C61" w:rsidRPr="00EE572B" w:rsidRDefault="00403C61" w:rsidP="00EE572B">
            <w:pPr>
              <w:spacing w:before="20" w:after="20"/>
              <w:jc w:val="center"/>
              <w:cnfStyle w:val="000000100000" w:firstRow="0" w:lastRow="0" w:firstColumn="0" w:lastColumn="0" w:oddVBand="0" w:evenVBand="0" w:oddHBand="1" w:evenHBand="0" w:firstRowFirstColumn="0" w:firstRowLastColumn="0" w:lastRowFirstColumn="0" w:lastRowLastColumn="0"/>
              <w:rPr>
                <w:rFonts w:cs="Arial"/>
                <w:b/>
                <w:bCs/>
                <w:sz w:val="22"/>
                <w:szCs w:val="22"/>
              </w:rPr>
            </w:pPr>
            <w:r w:rsidRPr="00EE572B">
              <w:rPr>
                <w:rFonts w:cs="Arial"/>
                <w:b/>
                <w:bCs/>
                <w:sz w:val="22"/>
                <w:szCs w:val="22"/>
              </w:rPr>
              <w:t>9</w:t>
            </w:r>
            <w:r w:rsidR="00A73937">
              <w:rPr>
                <w:rFonts w:cs="Arial"/>
                <w:b/>
                <w:bCs/>
                <w:sz w:val="22"/>
                <w:szCs w:val="22"/>
              </w:rPr>
              <w:t>88</w:t>
            </w:r>
            <w:r w:rsidRPr="00EE572B">
              <w:rPr>
                <w:rFonts w:cs="Arial"/>
                <w:b/>
                <w:bCs/>
                <w:sz w:val="22"/>
                <w:szCs w:val="22"/>
              </w:rPr>
              <w:t>,</w:t>
            </w:r>
            <w:r w:rsidR="00A73937">
              <w:rPr>
                <w:rFonts w:cs="Arial"/>
                <w:b/>
                <w:bCs/>
                <w:sz w:val="22"/>
                <w:szCs w:val="22"/>
              </w:rPr>
              <w:t>160</w:t>
            </w:r>
          </w:p>
        </w:tc>
        <w:tc>
          <w:tcPr>
            <w:tcW w:w="2268" w:type="dxa"/>
            <w:tcBorders>
              <w:top w:val="dotted" w:sz="4" w:space="0" w:color="auto"/>
              <w:bottom w:val="single" w:sz="4" w:space="0" w:color="auto"/>
              <w:right w:val="single" w:sz="4" w:space="0" w:color="auto"/>
            </w:tcBorders>
            <w:shd w:val="clear" w:color="auto" w:fill="auto"/>
            <w:vAlign w:val="center"/>
          </w:tcPr>
          <w:p w14:paraId="3F317713" w14:textId="48496F1C" w:rsidR="00403C61" w:rsidRPr="00EE572B" w:rsidRDefault="00403C61" w:rsidP="00EE572B">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2"/>
                <w:szCs w:val="22"/>
              </w:rPr>
            </w:pPr>
            <w:r w:rsidRPr="00EE572B">
              <w:rPr>
                <w:rFonts w:cs="Arial"/>
                <w:sz w:val="22"/>
                <w:szCs w:val="22"/>
              </w:rPr>
              <w:t>n/a***</w:t>
            </w:r>
          </w:p>
        </w:tc>
      </w:tr>
    </w:tbl>
    <w:p w14:paraId="01B1C7C1" w14:textId="77777777" w:rsidR="0050192D" w:rsidRPr="008034CE" w:rsidRDefault="0050192D" w:rsidP="00EE572B">
      <w:pPr>
        <w:spacing w:before="240" w:after="0"/>
        <w:rPr>
          <w:rFonts w:cs="Arial"/>
          <w:sz w:val="20"/>
          <w:szCs w:val="20"/>
        </w:rPr>
      </w:pPr>
      <w:r w:rsidRPr="008034CE">
        <w:rPr>
          <w:rFonts w:cs="Arial"/>
          <w:sz w:val="20"/>
          <w:szCs w:val="20"/>
        </w:rPr>
        <w:t xml:space="preserve">Note: MBS = Medicare Benefit Scheme, </w:t>
      </w:r>
      <w:r w:rsidRPr="008034CE">
        <w:rPr>
          <w:sz w:val="20"/>
          <w:szCs w:val="20"/>
        </w:rPr>
        <w:t>P</w:t>
      </w:r>
      <w:r w:rsidRPr="008034CE">
        <w:rPr>
          <w:spacing w:val="-60"/>
          <w:sz w:val="20"/>
          <w:szCs w:val="20"/>
        </w:rPr>
        <w:t xml:space="preserve"> </w:t>
      </w:r>
      <w:r w:rsidRPr="008034CE">
        <w:rPr>
          <w:sz w:val="20"/>
          <w:szCs w:val="20"/>
        </w:rPr>
        <w:t>H</w:t>
      </w:r>
      <w:r w:rsidRPr="008034CE">
        <w:rPr>
          <w:spacing w:val="-60"/>
          <w:sz w:val="20"/>
          <w:szCs w:val="20"/>
        </w:rPr>
        <w:t xml:space="preserve"> </w:t>
      </w:r>
      <w:r w:rsidRPr="008034CE">
        <w:rPr>
          <w:sz w:val="20"/>
          <w:szCs w:val="20"/>
        </w:rPr>
        <w:t>I</w:t>
      </w:r>
      <w:r w:rsidRPr="008034CE">
        <w:rPr>
          <w:rFonts w:cs="Arial"/>
          <w:sz w:val="20"/>
          <w:szCs w:val="20"/>
        </w:rPr>
        <w:t xml:space="preserve"> = Private Health Insurance.</w:t>
      </w:r>
    </w:p>
    <w:p w14:paraId="1C48D9BC" w14:textId="77777777" w:rsidR="0050192D" w:rsidRPr="008034CE" w:rsidRDefault="0050192D" w:rsidP="0050192D">
      <w:pPr>
        <w:spacing w:after="0"/>
        <w:rPr>
          <w:rFonts w:cs="Arial"/>
          <w:sz w:val="20"/>
          <w:szCs w:val="20"/>
        </w:rPr>
      </w:pPr>
      <w:r w:rsidRPr="008034CE">
        <w:rPr>
          <w:rFonts w:cs="Arial"/>
          <w:sz w:val="20"/>
          <w:szCs w:val="20"/>
        </w:rPr>
        <w:t>* MBS item codes used in analysis: Psychology 80010, Speech Pathology 10970, Occupational Therapy 10958, Audiology 10952, Dietetics 10954, Podiatry 10962, Physiotherapy 10960, Exercise Physiology 10953</w:t>
      </w:r>
      <w:r w:rsidRPr="008034CE">
        <w:rPr>
          <w:sz w:val="20"/>
          <w:szCs w:val="20"/>
        </w:rPr>
        <w:br/>
      </w:r>
      <w:r w:rsidRPr="008034CE">
        <w:rPr>
          <w:rFonts w:cs="Arial"/>
          <w:sz w:val="20"/>
          <w:szCs w:val="20"/>
        </w:rPr>
        <w:t>** All 190 observations are at a single price point</w:t>
      </w:r>
    </w:p>
    <w:p w14:paraId="31D5B1A1" w14:textId="77777777" w:rsidR="0050192D" w:rsidRPr="008034CE" w:rsidRDefault="0050192D" w:rsidP="0050192D">
      <w:pPr>
        <w:rPr>
          <w:rFonts w:cs="Arial"/>
          <w:sz w:val="20"/>
          <w:szCs w:val="20"/>
        </w:rPr>
      </w:pPr>
      <w:r w:rsidRPr="008034CE">
        <w:rPr>
          <w:rFonts w:cs="Arial"/>
          <w:sz w:val="20"/>
          <w:szCs w:val="20"/>
        </w:rPr>
        <w:t>*** Other Government Schemes observations included are for prices that were able to be formed into comparable pricing to the NDIS price limits. MBS was not included due to more targeted analysis.</w:t>
      </w:r>
    </w:p>
    <w:p w14:paraId="6E0C3E09" w14:textId="77777777" w:rsidR="0050192D" w:rsidRPr="008034CE" w:rsidRDefault="0050192D" w:rsidP="0050192D">
      <w:r w:rsidRPr="008034CE">
        <w:t xml:space="preserve">The MBS data offer the best coverage in terms of pricing of the general population. However, therapy types with sparse data or single-price observations (e.g., audiology in MBS) are still subject to greater data sensitivity due to the small sample size. The NDIA prioritised transparent assumptions and used triangulation across sources to mitigate data gaps where possible. </w:t>
      </w:r>
    </w:p>
    <w:p w14:paraId="66B4C339" w14:textId="77777777" w:rsidR="0050192D" w:rsidRPr="008034CE" w:rsidRDefault="0050192D" w:rsidP="0050192D">
      <w:r w:rsidRPr="008034CE">
        <w:t>The benchmarking results in this chapter are informed by this multi-source comparison and provide the evidence base for the Annual Pricing Review’s recommendations for therapy support price limits.</w:t>
      </w:r>
    </w:p>
    <w:p w14:paraId="3FB24789" w14:textId="77777777" w:rsidR="0050192D" w:rsidRPr="00130C73" w:rsidRDefault="0050192D" w:rsidP="00130C73">
      <w:pPr>
        <w:pStyle w:val="Heading3"/>
        <w:spacing w:before="240"/>
        <w:rPr>
          <w:spacing w:val="-2"/>
        </w:rPr>
      </w:pPr>
      <w:bookmarkStart w:id="332" w:name="_Toc195538935"/>
      <w:bookmarkStart w:id="333" w:name="_Toc195538990"/>
      <w:bookmarkStart w:id="334" w:name="_Toc196754634"/>
      <w:bookmarkStart w:id="335" w:name="_Toc196758236"/>
      <w:bookmarkStart w:id="336" w:name="_Toc197344312"/>
      <w:bookmarkStart w:id="337" w:name="_Toc200271628"/>
      <w:r w:rsidRPr="00130C73">
        <w:rPr>
          <w:spacing w:val="-2"/>
        </w:rPr>
        <w:lastRenderedPageBreak/>
        <w:t>Benchmarking Results and Implications for Price Limits</w:t>
      </w:r>
      <w:bookmarkEnd w:id="332"/>
      <w:bookmarkEnd w:id="333"/>
      <w:bookmarkEnd w:id="334"/>
      <w:bookmarkEnd w:id="335"/>
      <w:bookmarkEnd w:id="336"/>
      <w:bookmarkEnd w:id="337"/>
      <w:r w:rsidRPr="00130C73">
        <w:rPr>
          <w:spacing w:val="-2"/>
        </w:rPr>
        <w:t xml:space="preserve"> </w:t>
      </w:r>
    </w:p>
    <w:p w14:paraId="75BDE66A" w14:textId="2B921E2A" w:rsidR="00214A99" w:rsidRDefault="0050192D" w:rsidP="00130C73">
      <w:pPr>
        <w:pStyle w:val="Heading4"/>
        <w:spacing w:before="240"/>
      </w:pPr>
      <w:bookmarkStart w:id="338" w:name="_Toc195538936"/>
      <w:bookmarkStart w:id="339" w:name="_Toc200103516"/>
      <w:bookmarkStart w:id="340" w:name="_Toc200271629"/>
      <w:r w:rsidRPr="008034CE">
        <w:t>Overview</w:t>
      </w:r>
      <w:bookmarkEnd w:id="338"/>
      <w:bookmarkEnd w:id="339"/>
      <w:bookmarkEnd w:id="340"/>
    </w:p>
    <w:p w14:paraId="18DB74EF" w14:textId="0BDCF1C9" w:rsidR="00037796" w:rsidRPr="008034CE" w:rsidRDefault="00037796" w:rsidP="00037796">
      <w:r w:rsidRPr="008034CE">
        <w:t xml:space="preserve">This section presents the detailed benchmarking results that underpin the 2024-25 therapy pricing recommendations. </w:t>
      </w:r>
      <w:r w:rsidRPr="008034CE">
        <w:fldChar w:fldCharType="begin"/>
      </w:r>
      <w:r w:rsidRPr="008034CE">
        <w:instrText xml:space="preserve"> REF _Ref195540769 \h  \* MERGEFORMAT </w:instrText>
      </w:r>
      <w:r w:rsidRPr="008034CE">
        <w:fldChar w:fldCharType="separate"/>
      </w:r>
      <w:r w:rsidR="005763F9" w:rsidRPr="008034CE">
        <w:t xml:space="preserve">Figure </w:t>
      </w:r>
      <w:r w:rsidR="005763F9">
        <w:t>15</w:t>
      </w:r>
      <w:r w:rsidRPr="008034CE">
        <w:fldChar w:fldCharType="end"/>
      </w:r>
      <w:r w:rsidRPr="008034CE">
        <w:t xml:space="preserve"> below displays the overall results graphically.</w:t>
      </w:r>
    </w:p>
    <w:p w14:paraId="3621AAEC" w14:textId="6EDDBE86" w:rsidR="00037796" w:rsidRPr="008034CE" w:rsidRDefault="00037796" w:rsidP="00037796">
      <w:r w:rsidRPr="008034CE">
        <w:t>In short, MBS and P</w:t>
      </w:r>
      <w:r w:rsidRPr="008034CE">
        <w:rPr>
          <w:spacing w:val="-60"/>
        </w:rPr>
        <w:t xml:space="preserve"> </w:t>
      </w:r>
      <w:r w:rsidRPr="008034CE">
        <w:t>H</w:t>
      </w:r>
      <w:r w:rsidRPr="008034CE">
        <w:rPr>
          <w:spacing w:val="-60"/>
        </w:rPr>
        <w:t xml:space="preserve"> </w:t>
      </w:r>
      <w:r w:rsidRPr="008034CE">
        <w:t>I datasets were considered individually to estimate durations at key percentiles (25</w:t>
      </w:r>
      <w:r w:rsidRPr="008034CE">
        <w:rPr>
          <w:vertAlign w:val="superscript"/>
        </w:rPr>
        <w:t>th</w:t>
      </w:r>
      <w:r w:rsidRPr="008034CE">
        <w:t>, median, 75</w:t>
      </w:r>
      <w:r w:rsidRPr="008034CE">
        <w:rPr>
          <w:vertAlign w:val="superscript"/>
        </w:rPr>
        <w:t>th</w:t>
      </w:r>
      <w:r w:rsidRPr="008034CE">
        <w:t>) for each therapy type. The estimated durations were then paired with corresponding MBS and P</w:t>
      </w:r>
      <w:r w:rsidRPr="008034CE">
        <w:rPr>
          <w:spacing w:val="-60"/>
        </w:rPr>
        <w:t xml:space="preserve"> </w:t>
      </w:r>
      <w:r w:rsidRPr="008034CE">
        <w:t>H</w:t>
      </w:r>
      <w:r w:rsidRPr="008034CE">
        <w:rPr>
          <w:spacing w:val="-60"/>
        </w:rPr>
        <w:t xml:space="preserve"> </w:t>
      </w:r>
      <w:r w:rsidRPr="008034CE">
        <w:t>I quartiles to derive hourly equivalents. MBS and P</w:t>
      </w:r>
      <w:r w:rsidRPr="008034CE">
        <w:rPr>
          <w:spacing w:val="-60"/>
        </w:rPr>
        <w:t xml:space="preserve"> </w:t>
      </w:r>
      <w:r w:rsidRPr="008034CE">
        <w:t>H</w:t>
      </w:r>
      <w:r w:rsidRPr="008034CE">
        <w:rPr>
          <w:spacing w:val="-60"/>
        </w:rPr>
        <w:t xml:space="preserve"> </w:t>
      </w:r>
      <w:r w:rsidRPr="008034CE">
        <w:t xml:space="preserve">I have these results presented individually in </w:t>
      </w:r>
      <w:r w:rsidRPr="008034CE">
        <w:fldChar w:fldCharType="begin"/>
      </w:r>
      <w:r w:rsidRPr="008034CE">
        <w:instrText xml:space="preserve"> REF _Ref195540769 \h  \* MERGEFORMAT </w:instrText>
      </w:r>
      <w:r w:rsidRPr="008034CE">
        <w:fldChar w:fldCharType="separate"/>
      </w:r>
      <w:r w:rsidR="005763F9" w:rsidRPr="008034CE">
        <w:t xml:space="preserve">Figure </w:t>
      </w:r>
      <w:r w:rsidR="005763F9">
        <w:t>15</w:t>
      </w:r>
      <w:r w:rsidRPr="008034CE">
        <w:fldChar w:fldCharType="end"/>
      </w:r>
      <w:r w:rsidRPr="008034CE">
        <w:t>. The coloured sections represent the 25</w:t>
      </w:r>
      <w:r w:rsidRPr="008034CE">
        <w:rPr>
          <w:vertAlign w:val="superscript"/>
        </w:rPr>
        <w:t>th</w:t>
      </w:r>
      <w:r w:rsidRPr="008034CE">
        <w:t>, 50</w:t>
      </w:r>
      <w:r w:rsidRPr="008034CE">
        <w:rPr>
          <w:vertAlign w:val="superscript"/>
        </w:rPr>
        <w:t>th</w:t>
      </w:r>
      <w:r w:rsidRPr="008034CE">
        <w:t xml:space="preserve"> (median) and 75</w:t>
      </w:r>
      <w:r w:rsidRPr="008034CE">
        <w:rPr>
          <w:vertAlign w:val="superscript"/>
        </w:rPr>
        <w:t>th</w:t>
      </w:r>
      <w:r w:rsidRPr="008034CE">
        <w:t xml:space="preserve"> percentiles. The NDIS price limit for the relevant therapy is the corresponding purple line to allow for easier visual comparison.</w:t>
      </w:r>
    </w:p>
    <w:p w14:paraId="44A6FF1E" w14:textId="24E08FD5" w:rsidR="00037796" w:rsidRPr="008034CE" w:rsidRDefault="00037796" w:rsidP="00037796">
      <w:r w:rsidRPr="008034CE">
        <w:t xml:space="preserve">See Appendix B for the corresponding </w:t>
      </w:r>
      <w:r w:rsidRPr="00A17080">
        <w:fldChar w:fldCharType="begin"/>
      </w:r>
      <w:r w:rsidRPr="00A17080">
        <w:instrText xml:space="preserve"> REF _Ref195540307 \h  \* MERGEFORMAT </w:instrText>
      </w:r>
      <w:r w:rsidRPr="00A17080">
        <w:fldChar w:fldCharType="separate"/>
      </w:r>
      <w:r w:rsidR="005763F9" w:rsidRPr="005763F9">
        <w:rPr>
          <w:lang w:val="en-US"/>
        </w:rPr>
        <w:t>Table 37</w:t>
      </w:r>
      <w:r w:rsidRPr="00A17080">
        <w:fldChar w:fldCharType="end"/>
      </w:r>
      <w:r w:rsidRPr="008034CE">
        <w:t xml:space="preserve"> to </w:t>
      </w:r>
      <w:r w:rsidRPr="008034CE">
        <w:fldChar w:fldCharType="begin"/>
      </w:r>
      <w:r w:rsidRPr="008034CE">
        <w:instrText xml:space="preserve"> REF _Ref195540769 \h  \* MERGEFORMAT </w:instrText>
      </w:r>
      <w:r w:rsidRPr="008034CE">
        <w:fldChar w:fldCharType="separate"/>
      </w:r>
      <w:r w:rsidR="005763F9" w:rsidRPr="008034CE">
        <w:t xml:space="preserve">Figure </w:t>
      </w:r>
      <w:r w:rsidR="005763F9">
        <w:t>15</w:t>
      </w:r>
      <w:r w:rsidRPr="008034CE">
        <w:fldChar w:fldCharType="end"/>
      </w:r>
      <w:r w:rsidRPr="008034CE">
        <w:t>, detailing session fee, estimated session minutes and calculated hourly rate for each relevant therapy and</w:t>
      </w:r>
      <w:r w:rsidR="00130C73">
        <w:t> </w:t>
      </w:r>
      <w:r w:rsidRPr="008034CE">
        <w:t>dataset.</w:t>
      </w:r>
    </w:p>
    <w:p w14:paraId="55960481" w14:textId="35338D62" w:rsidR="00130C73" w:rsidRDefault="00037796" w:rsidP="00037796">
      <w:r w:rsidRPr="008034CE">
        <w:fldChar w:fldCharType="begin"/>
      </w:r>
      <w:r w:rsidRPr="008034CE">
        <w:instrText xml:space="preserve"> REF _Ref195540769 \h  \* MERGEFORMAT </w:instrText>
      </w:r>
      <w:r w:rsidRPr="008034CE">
        <w:fldChar w:fldCharType="separate"/>
      </w:r>
      <w:r w:rsidR="005763F9" w:rsidRPr="008034CE">
        <w:t xml:space="preserve">Figure </w:t>
      </w:r>
      <w:r w:rsidR="005763F9">
        <w:t>15</w:t>
      </w:r>
      <w:r w:rsidRPr="008034CE">
        <w:fldChar w:fldCharType="end"/>
      </w:r>
      <w:r w:rsidRPr="008034CE">
        <w:t xml:space="preserve"> shows that NDIS pricing remains broadly comparable or above the broader therapy market. In some instances, the NDIS pricing appears significantly above the prevailing market rates such as for Physiotherapy. The following sections further explore individual therapy types.</w:t>
      </w:r>
    </w:p>
    <w:p w14:paraId="7EB9A684" w14:textId="77777777" w:rsidR="00130C73" w:rsidRDefault="00130C73">
      <w:pPr>
        <w:spacing w:before="120" w:after="120"/>
      </w:pPr>
      <w:r>
        <w:br w:type="page"/>
      </w:r>
    </w:p>
    <w:p w14:paraId="7737A433" w14:textId="3DDE79F1" w:rsidR="00037796" w:rsidRPr="008034CE" w:rsidRDefault="00037796" w:rsidP="00130C73">
      <w:pPr>
        <w:pStyle w:val="Caption"/>
        <w:spacing w:before="240" w:after="120"/>
      </w:pPr>
      <w:bookmarkStart w:id="341" w:name="_Ref195540769"/>
      <w:r w:rsidRPr="008034CE">
        <w:lastRenderedPageBreak/>
        <w:t xml:space="preserve">Figure </w:t>
      </w:r>
      <w:r w:rsidR="005763F9">
        <w:fldChar w:fldCharType="begin"/>
      </w:r>
      <w:r w:rsidR="005763F9">
        <w:instrText xml:space="preserve"> SEQ Figure \* ARABIC </w:instrText>
      </w:r>
      <w:r w:rsidR="005763F9">
        <w:fldChar w:fldCharType="separate"/>
      </w:r>
      <w:r w:rsidR="005763F9">
        <w:rPr>
          <w:noProof/>
        </w:rPr>
        <w:t>15</w:t>
      </w:r>
      <w:r w:rsidR="005763F9">
        <w:rPr>
          <w:noProof/>
        </w:rPr>
        <w:fldChar w:fldCharType="end"/>
      </w:r>
      <w:bookmarkEnd w:id="341"/>
      <w:r w:rsidRPr="008034CE">
        <w:t>: MBS and P</w:t>
      </w:r>
      <w:r w:rsidRPr="008034CE">
        <w:rPr>
          <w:spacing w:val="-60"/>
        </w:rPr>
        <w:t xml:space="preserve"> </w:t>
      </w:r>
      <w:r w:rsidRPr="008034CE">
        <w:t>H</w:t>
      </w:r>
      <w:r w:rsidRPr="008034CE">
        <w:rPr>
          <w:spacing w:val="-60"/>
        </w:rPr>
        <w:t xml:space="preserve"> </w:t>
      </w:r>
      <w:r w:rsidRPr="008034CE">
        <w:t>I Converted Hourly Rates for Therapy Types Compared to the Applicable NDIS Price Limits</w:t>
      </w:r>
    </w:p>
    <w:p w14:paraId="2CA3227A" w14:textId="57BB06FC" w:rsidR="003B74A3" w:rsidRDefault="00037796" w:rsidP="00130C73">
      <w:pPr>
        <w:spacing w:after="0"/>
      </w:pPr>
      <w:r w:rsidRPr="008034CE">
        <w:rPr>
          <w:noProof/>
        </w:rPr>
        <w:drawing>
          <wp:inline distT="0" distB="0" distL="0" distR="0" wp14:anchorId="096E762B" wp14:editId="40AC359F">
            <wp:extent cx="5580000" cy="3721832"/>
            <wp:effectExtent l="0" t="0" r="1905" b="0"/>
            <wp:docPr id="405063160" name="Picture 1" descr="A graph comparing the NDIS price limits for various therapy types to the MBS and PHI markets. &#10;&#10;The graph shows that the NDIS price limit is above market standards for most therapy types, except for psychology, where the NDIS price limit is above market standards in WA, SA, NT and Tas, but is roughly equal to the median rates from both the MBS and PHI datasets in NSW, Vic, QLD and ACT; and occupational therapy, where the NDIS price limit is roughly equal to the median rate from the MBS dataset but is above the rates for PH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063160" name="Picture 1" descr="A graph comparing the NDIS price limits for various therapy types to the MBS and PHI markets. &#10;&#10;The graph shows that the NDIS price limit is above market standards for most therapy types, except for psychology, where the NDIS price limit is above market standards in WA, SA, NT and Tas, but is roughly equal to the median rates from both the MBS and PHI datasets in NSW, Vic, QLD and ACT; and occupational therapy, where the NDIS price limit is roughly equal to the median rate from the MBS dataset but is above the rates for PHI. "/>
                    <pic:cNvPicPr/>
                  </pic:nvPicPr>
                  <pic:blipFill>
                    <a:blip r:embed="rId31">
                      <a:extLst>
                        <a:ext uri="{28A0092B-C50C-407E-A947-70E740481C1C}">
                          <a14:useLocalDpi xmlns:a14="http://schemas.microsoft.com/office/drawing/2010/main" val="0"/>
                        </a:ext>
                      </a:extLst>
                    </a:blip>
                    <a:stretch>
                      <a:fillRect/>
                    </a:stretch>
                  </pic:blipFill>
                  <pic:spPr>
                    <a:xfrm>
                      <a:off x="0" y="0"/>
                      <a:ext cx="5580000" cy="3721832"/>
                    </a:xfrm>
                    <a:prstGeom prst="rect">
                      <a:avLst/>
                    </a:prstGeom>
                  </pic:spPr>
                </pic:pic>
              </a:graphicData>
            </a:graphic>
          </wp:inline>
        </w:drawing>
      </w:r>
    </w:p>
    <w:p w14:paraId="5D90E364" w14:textId="77777777" w:rsidR="003B74A3" w:rsidRPr="008034CE" w:rsidRDefault="003B74A3" w:rsidP="00130C73">
      <w:pPr>
        <w:spacing w:before="240" w:after="0"/>
        <w:rPr>
          <w:rFonts w:cs="Arial"/>
          <w:b/>
          <w:bCs/>
          <w:sz w:val="20"/>
          <w:szCs w:val="20"/>
        </w:rPr>
      </w:pPr>
      <w:r w:rsidRPr="008034CE">
        <w:rPr>
          <w:rFonts w:cs="Arial"/>
          <w:b/>
          <w:bCs/>
          <w:sz w:val="20"/>
          <w:szCs w:val="20"/>
        </w:rPr>
        <w:t>Source: NDIA calculations from MBS and PHI datasets.</w:t>
      </w:r>
    </w:p>
    <w:p w14:paraId="1A706765" w14:textId="6F2D3E85" w:rsidR="00130C73" w:rsidRDefault="003B74A3" w:rsidP="003B74A3">
      <w:pPr>
        <w:spacing w:after="0"/>
        <w:rPr>
          <w:rFonts w:cs="Arial"/>
          <w:sz w:val="20"/>
          <w:szCs w:val="20"/>
        </w:rPr>
      </w:pPr>
      <w:r w:rsidRPr="008034CE">
        <w:rPr>
          <w:rFonts w:cs="Arial"/>
          <w:sz w:val="20"/>
          <w:szCs w:val="20"/>
        </w:rPr>
        <w:t>Note: Portions (darker parts) of the distribution missing from the Figure is due to some therapies having the 25th percentile equal to the median.</w:t>
      </w:r>
    </w:p>
    <w:p w14:paraId="35C455F3" w14:textId="77777777" w:rsidR="00130C73" w:rsidRDefault="00130C73">
      <w:pPr>
        <w:spacing w:before="120" w:after="120"/>
        <w:rPr>
          <w:rFonts w:cs="Arial"/>
          <w:sz w:val="20"/>
          <w:szCs w:val="20"/>
        </w:rPr>
      </w:pPr>
      <w:r>
        <w:rPr>
          <w:rFonts w:cs="Arial"/>
          <w:sz w:val="20"/>
          <w:szCs w:val="20"/>
        </w:rPr>
        <w:br w:type="page"/>
      </w:r>
    </w:p>
    <w:p w14:paraId="653B4F07" w14:textId="77777777" w:rsidR="003B74A3" w:rsidRPr="008034CE" w:rsidRDefault="003B74A3" w:rsidP="003B74A3">
      <w:pPr>
        <w:pStyle w:val="Heading3"/>
      </w:pPr>
      <w:bookmarkStart w:id="342" w:name="_Toc196754635"/>
      <w:bookmarkStart w:id="343" w:name="_Toc196758237"/>
      <w:bookmarkStart w:id="344" w:name="_Toc197344313"/>
      <w:bookmarkStart w:id="345" w:name="_Toc200271630"/>
      <w:bookmarkStart w:id="346" w:name="_Toc195538937"/>
      <w:bookmarkStart w:id="347" w:name="_Toc195538991"/>
      <w:r w:rsidRPr="008034CE">
        <w:lastRenderedPageBreak/>
        <w:t>Interpreting Benchmarking Results</w:t>
      </w:r>
      <w:bookmarkEnd w:id="342"/>
      <w:bookmarkEnd w:id="343"/>
      <w:bookmarkEnd w:id="344"/>
      <w:bookmarkEnd w:id="345"/>
      <w:r w:rsidRPr="008034CE">
        <w:t xml:space="preserve"> </w:t>
      </w:r>
      <w:bookmarkEnd w:id="346"/>
      <w:bookmarkEnd w:id="347"/>
    </w:p>
    <w:p w14:paraId="2F53A85E" w14:textId="77777777" w:rsidR="003B74A3" w:rsidRPr="008034CE" w:rsidRDefault="003B74A3" w:rsidP="003B74A3">
      <w:r w:rsidRPr="008034CE">
        <w:t xml:space="preserve">While benchmarking shows that NDIS price limits for many therapy types exceed rates seen in other funding systems, this does not, on its own, indicate that current price limits are inappropriate. </w:t>
      </w:r>
    </w:p>
    <w:p w14:paraId="376EFC69" w14:textId="77777777" w:rsidR="003B74A3" w:rsidRPr="008034CE" w:rsidRDefault="003B74A3" w:rsidP="003B74A3">
      <w:r w:rsidRPr="008034CE">
        <w:t xml:space="preserve">Several factors may explain price differences: </w:t>
      </w:r>
    </w:p>
    <w:p w14:paraId="37D60EF4" w14:textId="77777777" w:rsidR="003B74A3" w:rsidRPr="008034CE" w:rsidRDefault="003B74A3" w:rsidP="0010695B">
      <w:pPr>
        <w:pStyle w:val="ListParagraph"/>
        <w:numPr>
          <w:ilvl w:val="0"/>
          <w:numId w:val="27"/>
        </w:numPr>
        <w:spacing w:line="288" w:lineRule="auto"/>
      </w:pPr>
      <w:r w:rsidRPr="008034CE">
        <w:t xml:space="preserve">Structural differences in what is funded: NDIS price limits include indirect activities such as note writing, travel, and coordination, whereas MBS and </w:t>
      </w:r>
    </w:p>
    <w:p w14:paraId="2A087312" w14:textId="77777777" w:rsidR="003B74A3" w:rsidRPr="008034CE" w:rsidRDefault="003B74A3" w:rsidP="003B74A3">
      <w:pPr>
        <w:pStyle w:val="ListParagraph"/>
      </w:pPr>
      <w:r w:rsidRPr="008034CE">
        <w:t>P</w:t>
      </w:r>
      <w:r w:rsidRPr="008034CE">
        <w:rPr>
          <w:spacing w:val="-60"/>
        </w:rPr>
        <w:t xml:space="preserve"> </w:t>
      </w:r>
      <w:r w:rsidRPr="008034CE">
        <w:t>H</w:t>
      </w:r>
      <w:r w:rsidRPr="008034CE">
        <w:rPr>
          <w:spacing w:val="-60"/>
        </w:rPr>
        <w:t xml:space="preserve"> </w:t>
      </w:r>
      <w:r w:rsidRPr="008034CE">
        <w:t>I payments typically fund only direct client contact. The NDIA further funds other auxiliary loading such as report writing and a loading for remote and very remote areas, which is not observed for MBS and P</w:t>
      </w:r>
      <w:r w:rsidRPr="008034CE">
        <w:rPr>
          <w:spacing w:val="-60"/>
        </w:rPr>
        <w:t xml:space="preserve"> </w:t>
      </w:r>
      <w:r w:rsidRPr="008034CE">
        <w:t>H</w:t>
      </w:r>
      <w:r w:rsidRPr="008034CE">
        <w:rPr>
          <w:spacing w:val="-60"/>
        </w:rPr>
        <w:t xml:space="preserve"> </w:t>
      </w:r>
      <w:r w:rsidRPr="008034CE">
        <w:t xml:space="preserve">I payments. </w:t>
      </w:r>
    </w:p>
    <w:p w14:paraId="21333782" w14:textId="77777777" w:rsidR="003B74A3" w:rsidRPr="008034CE" w:rsidRDefault="003B74A3" w:rsidP="0010695B">
      <w:pPr>
        <w:pStyle w:val="ListParagraph"/>
        <w:numPr>
          <w:ilvl w:val="0"/>
          <w:numId w:val="27"/>
        </w:numPr>
        <w:spacing w:line="288" w:lineRule="auto"/>
      </w:pPr>
      <w:r w:rsidRPr="008034CE">
        <w:t>Participant complexity: NDIS participants may require longer or more specialised therapy sessions than those seen in general healthcare.</w:t>
      </w:r>
    </w:p>
    <w:p w14:paraId="44E53205" w14:textId="76BCDDA0" w:rsidR="003B74A3" w:rsidRPr="008034CE" w:rsidRDefault="003B74A3" w:rsidP="0010695B">
      <w:pPr>
        <w:pStyle w:val="ListParagraph"/>
        <w:numPr>
          <w:ilvl w:val="0"/>
          <w:numId w:val="27"/>
        </w:numPr>
        <w:spacing w:line="288" w:lineRule="auto"/>
      </w:pPr>
      <w:r w:rsidRPr="008034CE">
        <w:t xml:space="preserve">Regulatory and administrative requirements: Compliance requirements under the NDIS are different relative to </w:t>
      </w:r>
      <w:r w:rsidR="00C85158">
        <w:t>other</w:t>
      </w:r>
      <w:r w:rsidRPr="008034CE">
        <w:t xml:space="preserve"> settings. </w:t>
      </w:r>
    </w:p>
    <w:p w14:paraId="27BCC1B6" w14:textId="77777777" w:rsidR="003B74A3" w:rsidRPr="008034CE" w:rsidRDefault="003B74A3" w:rsidP="003B74A3">
      <w:r w:rsidRPr="008034CE">
        <w:t>Each therapy type is discussed individually where price adjustment is proposed, drawing on observed MBS and P</w:t>
      </w:r>
      <w:r w:rsidRPr="008034CE">
        <w:rPr>
          <w:spacing w:val="-60"/>
        </w:rPr>
        <w:t xml:space="preserve"> </w:t>
      </w:r>
      <w:r w:rsidRPr="008034CE">
        <w:t>H</w:t>
      </w:r>
      <w:r w:rsidRPr="008034CE">
        <w:rPr>
          <w:spacing w:val="-60"/>
        </w:rPr>
        <w:t xml:space="preserve"> </w:t>
      </w:r>
      <w:r w:rsidRPr="008034CE">
        <w:t xml:space="preserve">I quartiles, converted session durations, and hourly rate comparisons. A summary grouping of all other therapies is also provided. </w:t>
      </w:r>
    </w:p>
    <w:p w14:paraId="0F601912" w14:textId="77777777" w:rsidR="003B74A3" w:rsidRPr="008034CE" w:rsidRDefault="003B74A3" w:rsidP="003B74A3">
      <w:pPr>
        <w:pStyle w:val="Heading4"/>
      </w:pPr>
      <w:bookmarkStart w:id="348" w:name="_Toc195538938"/>
      <w:bookmarkStart w:id="349" w:name="_Toc200103518"/>
      <w:bookmarkStart w:id="350" w:name="_Toc200271631"/>
      <w:r w:rsidRPr="008034CE">
        <w:t>Psychology</w:t>
      </w:r>
      <w:bookmarkEnd w:id="348"/>
      <w:bookmarkEnd w:id="349"/>
      <w:bookmarkEnd w:id="350"/>
    </w:p>
    <w:p w14:paraId="74AE729F" w14:textId="77777777" w:rsidR="003B74A3" w:rsidRPr="008034CE" w:rsidRDefault="003B74A3" w:rsidP="003B74A3">
      <w:r w:rsidRPr="008034CE">
        <w:t>The current NDIS price limits for psychology supports are $222.99 per hour in New South Wales (NSW), Victoria (VIC), Queensland (QLD) and Australian Capital Territory (A</w:t>
      </w:r>
      <w:r w:rsidRPr="008034CE">
        <w:rPr>
          <w:spacing w:val="-60"/>
        </w:rPr>
        <w:t xml:space="preserve"> </w:t>
      </w:r>
      <w:r w:rsidRPr="008034CE">
        <w:t>C</w:t>
      </w:r>
      <w:r w:rsidRPr="008034CE">
        <w:rPr>
          <w:spacing w:val="-60"/>
        </w:rPr>
        <w:t xml:space="preserve"> </w:t>
      </w:r>
      <w:r w:rsidRPr="008034CE">
        <w:t>T), and $244.22 per hour in Western Australia (W</w:t>
      </w:r>
      <w:r w:rsidRPr="008034CE">
        <w:rPr>
          <w:spacing w:val="-60"/>
        </w:rPr>
        <w:t xml:space="preserve"> </w:t>
      </w:r>
      <w:r w:rsidRPr="008034CE">
        <w:t xml:space="preserve">A) South Australia </w:t>
      </w:r>
      <w:r w:rsidRPr="008034CE">
        <w:br/>
        <w:t>(S</w:t>
      </w:r>
      <w:r w:rsidRPr="008034CE">
        <w:rPr>
          <w:spacing w:val="-60"/>
        </w:rPr>
        <w:t xml:space="preserve"> </w:t>
      </w:r>
      <w:r w:rsidRPr="008034CE">
        <w:t xml:space="preserve">A), Tasmania (TAS), and Northern Territory (NT). </w:t>
      </w:r>
    </w:p>
    <w:p w14:paraId="6370289C" w14:textId="77777777" w:rsidR="003B74A3" w:rsidRPr="008034CE" w:rsidRDefault="003B74A3" w:rsidP="003B74A3">
      <w:r w:rsidRPr="008034CE">
        <w:t xml:space="preserve">Benchmarking analysis shows that market prices for psychology services exceed the current NDIS price limits in both jurisdictional groupings: </w:t>
      </w:r>
    </w:p>
    <w:p w14:paraId="60D2C369" w14:textId="7DB5C144" w:rsidR="003B74A3" w:rsidRPr="008034CE" w:rsidRDefault="003B74A3" w:rsidP="0010695B">
      <w:pPr>
        <w:pStyle w:val="ListParagraph"/>
        <w:numPr>
          <w:ilvl w:val="0"/>
          <w:numId w:val="27"/>
        </w:numPr>
        <w:spacing w:line="288" w:lineRule="auto"/>
      </w:pPr>
      <w:r w:rsidRPr="008034CE">
        <w:t>The MBS 75</w:t>
      </w:r>
      <w:r w:rsidRPr="008034CE">
        <w:rPr>
          <w:vertAlign w:val="superscript"/>
        </w:rPr>
        <w:t>th</w:t>
      </w:r>
      <w:r w:rsidRPr="008034CE">
        <w:t xml:space="preserve"> percentile hourly rate is $240.00 in W</w:t>
      </w:r>
      <w:r w:rsidRPr="008034CE">
        <w:rPr>
          <w:spacing w:val="-60"/>
        </w:rPr>
        <w:t xml:space="preserve"> </w:t>
      </w:r>
      <w:r w:rsidRPr="008034CE">
        <w:t>A/S</w:t>
      </w:r>
      <w:r w:rsidRPr="008034CE">
        <w:rPr>
          <w:spacing w:val="-60"/>
        </w:rPr>
        <w:t xml:space="preserve"> </w:t>
      </w:r>
      <w:r w:rsidRPr="008034CE">
        <w:t>A/NT/TAS and $251.00 in NSW/VIC/QLD/A</w:t>
      </w:r>
      <w:r w:rsidRPr="008034CE">
        <w:rPr>
          <w:spacing w:val="-60"/>
        </w:rPr>
        <w:t xml:space="preserve"> </w:t>
      </w:r>
      <w:r w:rsidRPr="008034CE">
        <w:t>C</w:t>
      </w:r>
      <w:r w:rsidRPr="008034CE">
        <w:rPr>
          <w:spacing w:val="-60"/>
        </w:rPr>
        <w:t xml:space="preserve"> </w:t>
      </w:r>
      <w:r w:rsidRPr="008034CE">
        <w:t>T. The applicable NDIS Psychologist price limit is 1.8% above for W</w:t>
      </w:r>
      <w:r w:rsidRPr="008034CE">
        <w:rPr>
          <w:spacing w:val="-60"/>
        </w:rPr>
        <w:t xml:space="preserve"> </w:t>
      </w:r>
      <w:r w:rsidRPr="008034CE">
        <w:t>A/SA/NT/TAS but 11.2% below the implied hourly rate for NSW/VIC/QLD</w:t>
      </w:r>
      <w:r w:rsidR="00CA5157">
        <w:t>/</w:t>
      </w:r>
      <w:r w:rsidRPr="008034CE">
        <w:t>A</w:t>
      </w:r>
      <w:r w:rsidRPr="008034CE">
        <w:rPr>
          <w:spacing w:val="-60"/>
        </w:rPr>
        <w:t xml:space="preserve"> </w:t>
      </w:r>
      <w:r w:rsidRPr="008034CE">
        <w:t>C</w:t>
      </w:r>
      <w:r w:rsidRPr="008034CE">
        <w:rPr>
          <w:spacing w:val="-60"/>
        </w:rPr>
        <w:t xml:space="preserve"> </w:t>
      </w:r>
      <w:r w:rsidRPr="008034CE">
        <w:t>T.</w:t>
      </w:r>
    </w:p>
    <w:p w14:paraId="7361B31D" w14:textId="0ECB12B7" w:rsidR="003B74A3" w:rsidRDefault="003B74A3" w:rsidP="00973B27">
      <w:pPr>
        <w:pStyle w:val="ListParagraph"/>
        <w:numPr>
          <w:ilvl w:val="0"/>
          <w:numId w:val="27"/>
        </w:numPr>
      </w:pPr>
      <w:r w:rsidRPr="008034CE">
        <w:t>This is supported by P</w:t>
      </w:r>
      <w:r w:rsidRPr="003B74A3">
        <w:rPr>
          <w:spacing w:val="-60"/>
        </w:rPr>
        <w:t xml:space="preserve"> </w:t>
      </w:r>
      <w:r w:rsidRPr="008034CE">
        <w:t>H</w:t>
      </w:r>
      <w:r w:rsidRPr="003B74A3">
        <w:rPr>
          <w:spacing w:val="-60"/>
        </w:rPr>
        <w:t xml:space="preserve"> </w:t>
      </w:r>
      <w:r w:rsidRPr="008034CE">
        <w:t>I, with the 75</w:t>
      </w:r>
      <w:r w:rsidRPr="003B74A3">
        <w:rPr>
          <w:vertAlign w:val="superscript"/>
        </w:rPr>
        <w:t>th</w:t>
      </w:r>
      <w:r w:rsidRPr="008034CE">
        <w:t xml:space="preserve"> percentile hourly rate for general psychology is $236</w:t>
      </w:r>
      <w:r w:rsidR="00973B27">
        <w:t>.00</w:t>
      </w:r>
      <w:r w:rsidRPr="008034CE">
        <w:t xml:space="preserve"> in W</w:t>
      </w:r>
      <w:r w:rsidRPr="003B74A3">
        <w:rPr>
          <w:spacing w:val="-60"/>
        </w:rPr>
        <w:t xml:space="preserve"> </w:t>
      </w:r>
      <w:r w:rsidRPr="008034CE">
        <w:t>A/S</w:t>
      </w:r>
      <w:r w:rsidRPr="003B74A3">
        <w:rPr>
          <w:spacing w:val="-60"/>
        </w:rPr>
        <w:t xml:space="preserve"> </w:t>
      </w:r>
      <w:r w:rsidRPr="008034CE">
        <w:t>A</w:t>
      </w:r>
      <w:r w:rsidR="00CA5157">
        <w:t>/</w:t>
      </w:r>
      <w:r w:rsidRPr="008034CE">
        <w:t>NT/TAS and $247.00 in NSW/VIC/QLD</w:t>
      </w:r>
      <w:r w:rsidR="001C7FBB">
        <w:t>/</w:t>
      </w:r>
      <w:r w:rsidRPr="008034CE">
        <w:t xml:space="preserve"> A</w:t>
      </w:r>
      <w:r w:rsidR="00973B27">
        <w:rPr>
          <w:spacing w:val="-60"/>
        </w:rPr>
        <w:t> </w:t>
      </w:r>
      <w:r w:rsidRPr="008034CE">
        <w:t>C</w:t>
      </w:r>
      <w:r w:rsidR="00973B27">
        <w:rPr>
          <w:spacing w:val="-60"/>
        </w:rPr>
        <w:t> </w:t>
      </w:r>
      <w:r w:rsidRPr="008034CE">
        <w:t>T.</w:t>
      </w:r>
      <w:r w:rsidR="00973B27">
        <w:t xml:space="preserve"> </w:t>
      </w:r>
      <w:r w:rsidRPr="008034CE">
        <w:t>The applicable NDIS Psychologist price limit is 3.5% above for W</w:t>
      </w:r>
      <w:r w:rsidRPr="00973B27">
        <w:rPr>
          <w:spacing w:val="-60"/>
        </w:rPr>
        <w:t xml:space="preserve"> </w:t>
      </w:r>
      <w:r w:rsidRPr="008034CE">
        <w:t>A/</w:t>
      </w:r>
      <w:r w:rsidR="00CA5157">
        <w:br/>
      </w:r>
      <w:r w:rsidRPr="008034CE">
        <w:t>SA/NT/TAS but 9.7% below the implied hourly rate for NSW/VIC/QLD/A</w:t>
      </w:r>
      <w:r w:rsidRPr="00973B27">
        <w:rPr>
          <w:spacing w:val="-60"/>
        </w:rPr>
        <w:t xml:space="preserve"> </w:t>
      </w:r>
      <w:r w:rsidRPr="008034CE">
        <w:t>C</w:t>
      </w:r>
      <w:r w:rsidRPr="00973B27">
        <w:rPr>
          <w:spacing w:val="-60"/>
        </w:rPr>
        <w:t xml:space="preserve"> </w:t>
      </w:r>
      <w:r w:rsidRPr="008034CE">
        <w:t>T</w:t>
      </w:r>
      <w:r w:rsidR="00130C73">
        <w:t>.</w:t>
      </w:r>
    </w:p>
    <w:p w14:paraId="2F1B7D20" w14:textId="77777777" w:rsidR="00130C73" w:rsidRDefault="00130C73">
      <w:pPr>
        <w:spacing w:before="120" w:after="120"/>
      </w:pPr>
      <w:r>
        <w:br w:type="page"/>
      </w:r>
    </w:p>
    <w:p w14:paraId="17DB9994" w14:textId="04D9B5AE" w:rsidR="003B74A3" w:rsidRPr="008034CE" w:rsidRDefault="003B74A3" w:rsidP="0010695B">
      <w:pPr>
        <w:pStyle w:val="ListParagraph"/>
        <w:numPr>
          <w:ilvl w:val="0"/>
          <w:numId w:val="27"/>
        </w:numPr>
        <w:spacing w:line="288" w:lineRule="auto"/>
      </w:pPr>
      <w:r w:rsidRPr="008034CE">
        <w:lastRenderedPageBreak/>
        <w:t>These hourly rates are based on estimated session duration of 60 minutes at the 75</w:t>
      </w:r>
      <w:r w:rsidRPr="008034CE">
        <w:rPr>
          <w:vertAlign w:val="superscript"/>
        </w:rPr>
        <w:t>th</w:t>
      </w:r>
      <w:r w:rsidRPr="008034CE">
        <w:t xml:space="preserve"> percentile, which was consistent across both the MBS and P</w:t>
      </w:r>
      <w:r w:rsidRPr="008034CE">
        <w:rPr>
          <w:spacing w:val="-60"/>
        </w:rPr>
        <w:t xml:space="preserve"> </w:t>
      </w:r>
      <w:r w:rsidRPr="008034CE">
        <w:t>H</w:t>
      </w:r>
      <w:r w:rsidRPr="008034CE">
        <w:rPr>
          <w:spacing w:val="-60"/>
        </w:rPr>
        <w:t xml:space="preserve"> </w:t>
      </w:r>
      <w:r w:rsidRPr="008034CE">
        <w:t xml:space="preserve">I data sets for psychology. </w:t>
      </w:r>
    </w:p>
    <w:p w14:paraId="5E9F7D0F" w14:textId="77777777" w:rsidR="003B74A3" w:rsidRPr="008034CE" w:rsidRDefault="003B74A3" w:rsidP="0010695B">
      <w:pPr>
        <w:pStyle w:val="ListParagraph"/>
        <w:numPr>
          <w:ilvl w:val="0"/>
          <w:numId w:val="27"/>
        </w:numPr>
        <w:spacing w:line="288" w:lineRule="auto"/>
      </w:pPr>
      <w:r w:rsidRPr="008034CE">
        <w:t>The sample sizes include over 1.9 million MBS claims and 15,427 P</w:t>
      </w:r>
      <w:r w:rsidRPr="008034CE">
        <w:rPr>
          <w:spacing w:val="-60"/>
        </w:rPr>
        <w:t xml:space="preserve"> </w:t>
      </w:r>
      <w:r w:rsidRPr="008034CE">
        <w:t>H</w:t>
      </w:r>
      <w:r w:rsidRPr="008034CE">
        <w:rPr>
          <w:spacing w:val="-60"/>
        </w:rPr>
        <w:t xml:space="preserve"> </w:t>
      </w:r>
      <w:r w:rsidRPr="008034CE">
        <w:t xml:space="preserve">I transactions. </w:t>
      </w:r>
    </w:p>
    <w:p w14:paraId="3F880934" w14:textId="537F8A0E" w:rsidR="003B74A3" w:rsidRPr="008034CE" w:rsidRDefault="003B74A3" w:rsidP="003B74A3">
      <w:pPr>
        <w:pStyle w:val="Caption"/>
      </w:pPr>
      <w:r w:rsidRPr="008034CE">
        <w:t xml:space="preserve">Figure </w:t>
      </w:r>
      <w:r w:rsidR="005763F9">
        <w:fldChar w:fldCharType="begin"/>
      </w:r>
      <w:r w:rsidR="005763F9">
        <w:instrText xml:space="preserve"> SEQ Figure \* ARABIC </w:instrText>
      </w:r>
      <w:r w:rsidR="005763F9">
        <w:fldChar w:fldCharType="separate"/>
      </w:r>
      <w:r w:rsidR="005763F9">
        <w:rPr>
          <w:noProof/>
        </w:rPr>
        <w:t>16</w:t>
      </w:r>
      <w:r w:rsidR="005763F9">
        <w:rPr>
          <w:noProof/>
        </w:rPr>
        <w:fldChar w:fldCharType="end"/>
      </w:r>
      <w:r w:rsidRPr="008034CE">
        <w:t>: MBS and P</w:t>
      </w:r>
      <w:r w:rsidRPr="008034CE">
        <w:rPr>
          <w:spacing w:val="-60"/>
        </w:rPr>
        <w:t xml:space="preserve"> </w:t>
      </w:r>
      <w:r w:rsidRPr="008034CE">
        <w:t>H</w:t>
      </w:r>
      <w:r w:rsidRPr="008034CE">
        <w:rPr>
          <w:spacing w:val="-60"/>
        </w:rPr>
        <w:t xml:space="preserve"> </w:t>
      </w:r>
      <w:r w:rsidRPr="008034CE">
        <w:t>I Converted Hourly Rates for Psychology Compared to the Applicable NDIS Price Limits</w:t>
      </w:r>
    </w:p>
    <w:p w14:paraId="60D5F7F7" w14:textId="77777777" w:rsidR="003B74A3" w:rsidRPr="008034CE" w:rsidRDefault="003B74A3" w:rsidP="003B74A3">
      <w:pPr>
        <w:ind w:left="720"/>
        <w:jc w:val="center"/>
      </w:pPr>
      <w:r w:rsidRPr="008034CE">
        <w:rPr>
          <w:noProof/>
        </w:rPr>
        <w:drawing>
          <wp:inline distT="0" distB="0" distL="0" distR="0" wp14:anchorId="2F0A535A" wp14:editId="7A72AC14">
            <wp:extent cx="5364000" cy="3503650"/>
            <wp:effectExtent l="0" t="0" r="8255" b="1905"/>
            <wp:docPr id="458426714" name="Picture 1" descr="A graph comparing the NDIS price limits for psychology to the MBS and PHI markets.&#10;&#10;The graph shows that the NDIS price limit is above the 75th percentile for both PHI and MBS rates in WA, SA, NT and Tas, however the NDIS price limit is narrowly above the median for PHI rates, and narrowly below the median for MBS rates, in NSW, VIC, QLD and ACT.&#10;&#10;Source: MBS and P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426714" name="Picture 1" descr="A graph comparing the NDIS price limits for psychology to the MBS and PHI markets.&#10;&#10;The graph shows that the NDIS price limit is above the 75th percentile for both PHI and MBS rates in WA, SA, NT and Tas, however the NDIS price limit is narrowly above the median for PHI rates, and narrowly below the median for MBS rates, in NSW, VIC, QLD and ACT.&#10;&#10;Source: MBS and PHI"/>
                    <pic:cNvPicPr/>
                  </pic:nvPicPr>
                  <pic:blipFill>
                    <a:blip r:embed="rId32">
                      <a:extLst>
                        <a:ext uri="{28A0092B-C50C-407E-A947-70E740481C1C}">
                          <a14:useLocalDpi xmlns:a14="http://schemas.microsoft.com/office/drawing/2010/main" val="0"/>
                        </a:ext>
                      </a:extLst>
                    </a:blip>
                    <a:stretch>
                      <a:fillRect/>
                    </a:stretch>
                  </pic:blipFill>
                  <pic:spPr>
                    <a:xfrm>
                      <a:off x="0" y="0"/>
                      <a:ext cx="5364000" cy="3503650"/>
                    </a:xfrm>
                    <a:prstGeom prst="rect">
                      <a:avLst/>
                    </a:prstGeom>
                  </pic:spPr>
                </pic:pic>
              </a:graphicData>
            </a:graphic>
          </wp:inline>
        </w:drawing>
      </w:r>
    </w:p>
    <w:p w14:paraId="0B96A409" w14:textId="77777777" w:rsidR="003B74A3" w:rsidRPr="008034CE" w:rsidRDefault="003B74A3" w:rsidP="003B74A3">
      <w:pPr>
        <w:pStyle w:val="Heading5"/>
      </w:pPr>
      <w:bookmarkStart w:id="351" w:name="_Toc195538939"/>
      <w:bookmarkStart w:id="352" w:name="_Toc200103519"/>
      <w:bookmarkStart w:id="353" w:name="_Toc200271632"/>
      <w:r w:rsidRPr="008034CE">
        <w:t>Interpretation and implications – Psychology</w:t>
      </w:r>
      <w:bookmarkEnd w:id="351"/>
      <w:bookmarkEnd w:id="352"/>
      <w:bookmarkEnd w:id="353"/>
    </w:p>
    <w:p w14:paraId="2D1FB6ED" w14:textId="666F60AF" w:rsidR="00130C73" w:rsidRDefault="003B74A3" w:rsidP="003B74A3">
      <w:r w:rsidRPr="008034CE">
        <w:t>Benchmarking shows that NDIS price limits for psychology are generally below MBS and P</w:t>
      </w:r>
      <w:r w:rsidRPr="008034CE">
        <w:rPr>
          <w:spacing w:val="-60"/>
        </w:rPr>
        <w:t xml:space="preserve"> </w:t>
      </w:r>
      <w:r w:rsidRPr="008034CE">
        <w:t>H</w:t>
      </w:r>
      <w:r w:rsidRPr="008034CE">
        <w:rPr>
          <w:spacing w:val="-60"/>
        </w:rPr>
        <w:t xml:space="preserve"> </w:t>
      </w:r>
      <w:r w:rsidRPr="008034CE">
        <w:t>I rates, particularly in metropolitan areas. Even in jurisdictions with higher NDIS price limits (W</w:t>
      </w:r>
      <w:r w:rsidRPr="008034CE">
        <w:rPr>
          <w:spacing w:val="-60"/>
        </w:rPr>
        <w:t xml:space="preserve"> </w:t>
      </w:r>
      <w:r w:rsidRPr="008034CE">
        <w:t>A, S</w:t>
      </w:r>
      <w:r w:rsidRPr="008034CE">
        <w:rPr>
          <w:spacing w:val="-60"/>
        </w:rPr>
        <w:t xml:space="preserve"> </w:t>
      </w:r>
      <w:r w:rsidRPr="008034CE">
        <w:t>A, NT, TAS), private rates through MBS and P</w:t>
      </w:r>
      <w:r w:rsidRPr="008034CE">
        <w:rPr>
          <w:spacing w:val="-60"/>
        </w:rPr>
        <w:t xml:space="preserve"> </w:t>
      </w:r>
      <w:r w:rsidRPr="008034CE">
        <w:t>H</w:t>
      </w:r>
      <w:r w:rsidRPr="008034CE">
        <w:rPr>
          <w:spacing w:val="-60"/>
        </w:rPr>
        <w:t xml:space="preserve"> </w:t>
      </w:r>
      <w:r w:rsidRPr="008034CE">
        <w:t>I remain comparable or higher. These findings support an increase to the price limit for psychology to better align with prevailing market rates and maintain supply.</w:t>
      </w:r>
    </w:p>
    <w:p w14:paraId="59DD089E" w14:textId="77777777" w:rsidR="00130C73" w:rsidRDefault="00130C73">
      <w:pPr>
        <w:spacing w:before="120" w:after="120"/>
      </w:pPr>
      <w:r>
        <w:br w:type="page"/>
      </w:r>
    </w:p>
    <w:p w14:paraId="34B96AC7" w14:textId="77777777" w:rsidR="003B74A3" w:rsidRPr="008034CE" w:rsidRDefault="003B74A3" w:rsidP="00A753A2">
      <w:pPr>
        <w:pStyle w:val="Heading4"/>
      </w:pPr>
      <w:bookmarkStart w:id="354" w:name="_Toc195538940"/>
      <w:bookmarkStart w:id="355" w:name="_Toc200103520"/>
      <w:bookmarkStart w:id="356" w:name="_Toc200271633"/>
      <w:r w:rsidRPr="008034CE">
        <w:lastRenderedPageBreak/>
        <w:t>Physiotherapy</w:t>
      </w:r>
      <w:bookmarkEnd w:id="354"/>
      <w:bookmarkEnd w:id="355"/>
      <w:bookmarkEnd w:id="356"/>
    </w:p>
    <w:p w14:paraId="4842357A" w14:textId="77777777" w:rsidR="003B74A3" w:rsidRPr="008034CE" w:rsidRDefault="003B74A3" w:rsidP="003B74A3">
      <w:r w:rsidRPr="008034CE">
        <w:t>The current NDIS price limits for physiotherapy are $193.99 per hour in NSW, VIC, QLD, and A</w:t>
      </w:r>
      <w:r w:rsidRPr="008034CE">
        <w:rPr>
          <w:spacing w:val="-60"/>
        </w:rPr>
        <w:t xml:space="preserve"> </w:t>
      </w:r>
      <w:r w:rsidRPr="008034CE">
        <w:t>C</w:t>
      </w:r>
      <w:r w:rsidRPr="008034CE">
        <w:rPr>
          <w:spacing w:val="-60"/>
        </w:rPr>
        <w:t xml:space="preserve"> </w:t>
      </w:r>
      <w:r w:rsidRPr="008034CE">
        <w:t>T, and $224.62 per hour in W</w:t>
      </w:r>
      <w:r w:rsidRPr="008034CE">
        <w:rPr>
          <w:spacing w:val="-60"/>
        </w:rPr>
        <w:t xml:space="preserve"> </w:t>
      </w:r>
      <w:r w:rsidRPr="008034CE">
        <w:t>A, S</w:t>
      </w:r>
      <w:r w:rsidRPr="008034CE">
        <w:rPr>
          <w:spacing w:val="-60"/>
        </w:rPr>
        <w:t xml:space="preserve"> </w:t>
      </w:r>
      <w:r w:rsidRPr="008034CE">
        <w:t xml:space="preserve">A, NT, and TAS. </w:t>
      </w:r>
    </w:p>
    <w:p w14:paraId="18D54517" w14:textId="77777777" w:rsidR="00A753A2" w:rsidRPr="008034CE" w:rsidRDefault="00A753A2" w:rsidP="00A753A2">
      <w:r w:rsidRPr="008034CE">
        <w:t xml:space="preserve">Benchmarking data shows that these rates are significantly above both public and private rates for physiotherapy services: </w:t>
      </w:r>
    </w:p>
    <w:p w14:paraId="48C84C69" w14:textId="56AF0CA3" w:rsidR="00A753A2" w:rsidRPr="008034CE" w:rsidRDefault="00A753A2" w:rsidP="0010695B">
      <w:pPr>
        <w:pStyle w:val="ListParagraph"/>
        <w:numPr>
          <w:ilvl w:val="0"/>
          <w:numId w:val="27"/>
        </w:numPr>
        <w:spacing w:line="288" w:lineRule="auto"/>
      </w:pPr>
      <w:r w:rsidRPr="008034CE">
        <w:t>The MBS 75</w:t>
      </w:r>
      <w:r w:rsidRPr="008034CE">
        <w:rPr>
          <w:vertAlign w:val="superscript"/>
        </w:rPr>
        <w:t>th</w:t>
      </w:r>
      <w:r w:rsidRPr="008034CE">
        <w:t xml:space="preserve"> percentile hourly rate is $1</w:t>
      </w:r>
      <w:r w:rsidR="0022175A">
        <w:t>45.30</w:t>
      </w:r>
      <w:r w:rsidRPr="008034CE">
        <w:t xml:space="preserve"> in W</w:t>
      </w:r>
      <w:r w:rsidRPr="008034CE">
        <w:rPr>
          <w:spacing w:val="-60"/>
        </w:rPr>
        <w:t xml:space="preserve"> </w:t>
      </w:r>
      <w:r w:rsidRPr="008034CE">
        <w:t>A/S</w:t>
      </w:r>
      <w:r w:rsidRPr="008034CE">
        <w:rPr>
          <w:spacing w:val="-60"/>
        </w:rPr>
        <w:t xml:space="preserve"> </w:t>
      </w:r>
      <w:r w:rsidRPr="008034CE">
        <w:t>A/NT/TAS and $158.70 in NSW/VIC/QLD/A</w:t>
      </w:r>
      <w:r w:rsidRPr="008034CE">
        <w:rPr>
          <w:spacing w:val="-60"/>
        </w:rPr>
        <w:t xml:space="preserve"> </w:t>
      </w:r>
      <w:r w:rsidRPr="008034CE">
        <w:t>C</w:t>
      </w:r>
      <w:r w:rsidRPr="008034CE">
        <w:rPr>
          <w:spacing w:val="-60"/>
        </w:rPr>
        <w:t xml:space="preserve"> </w:t>
      </w:r>
      <w:r w:rsidRPr="008034CE">
        <w:t>T. The applicable NDIS Physiotherapist price limit is 54.6% above the implied hourly rate for W</w:t>
      </w:r>
      <w:r w:rsidRPr="008034CE">
        <w:rPr>
          <w:spacing w:val="-60"/>
        </w:rPr>
        <w:t xml:space="preserve"> </w:t>
      </w:r>
      <w:r w:rsidRPr="008034CE">
        <w:t>A/S</w:t>
      </w:r>
      <w:r w:rsidRPr="008034CE">
        <w:rPr>
          <w:spacing w:val="-60"/>
        </w:rPr>
        <w:t xml:space="preserve"> </w:t>
      </w:r>
      <w:r w:rsidRPr="008034CE">
        <w:t>A/NT/TAS and 22.2% for</w:t>
      </w:r>
      <w:r w:rsidR="002F1CCF">
        <w:t> </w:t>
      </w:r>
      <w:r w:rsidRPr="008034CE">
        <w:t>NSW/VIC/QLD/A</w:t>
      </w:r>
      <w:r w:rsidRPr="008034CE">
        <w:rPr>
          <w:spacing w:val="-60"/>
        </w:rPr>
        <w:t xml:space="preserve"> </w:t>
      </w:r>
      <w:r w:rsidRPr="008034CE">
        <w:t>C</w:t>
      </w:r>
      <w:r w:rsidRPr="008034CE">
        <w:rPr>
          <w:spacing w:val="-60"/>
        </w:rPr>
        <w:t xml:space="preserve"> </w:t>
      </w:r>
      <w:r w:rsidRPr="008034CE">
        <w:t>T.</w:t>
      </w:r>
    </w:p>
    <w:p w14:paraId="472835CE" w14:textId="592DC29B" w:rsidR="00A753A2" w:rsidRPr="008034CE" w:rsidRDefault="00A753A2" w:rsidP="0010695B">
      <w:pPr>
        <w:pStyle w:val="ListParagraph"/>
        <w:numPr>
          <w:ilvl w:val="0"/>
          <w:numId w:val="27"/>
        </w:numPr>
        <w:spacing w:line="288" w:lineRule="auto"/>
      </w:pPr>
      <w:r w:rsidRPr="008034CE">
        <w:t>This is supported by P</w:t>
      </w:r>
      <w:r w:rsidRPr="008034CE">
        <w:rPr>
          <w:spacing w:val="-60"/>
        </w:rPr>
        <w:t xml:space="preserve"> </w:t>
      </w:r>
      <w:r w:rsidRPr="008034CE">
        <w:t>H</w:t>
      </w:r>
      <w:r w:rsidRPr="008034CE">
        <w:rPr>
          <w:spacing w:val="-60"/>
        </w:rPr>
        <w:t xml:space="preserve"> </w:t>
      </w:r>
      <w:r w:rsidRPr="008034CE">
        <w:t>I with the 75</w:t>
      </w:r>
      <w:r w:rsidRPr="008034CE">
        <w:rPr>
          <w:vertAlign w:val="superscript"/>
        </w:rPr>
        <w:t>th</w:t>
      </w:r>
      <w:r w:rsidRPr="008034CE">
        <w:t xml:space="preserve"> percentile hourly rate for general psychology is $133.40 in W</w:t>
      </w:r>
      <w:r w:rsidRPr="008034CE">
        <w:rPr>
          <w:spacing w:val="-60"/>
        </w:rPr>
        <w:t xml:space="preserve"> </w:t>
      </w:r>
      <w:r w:rsidRPr="008034CE">
        <w:t>A</w:t>
      </w:r>
      <w:r w:rsidR="002F1CCF">
        <w:t>/</w:t>
      </w:r>
      <w:r w:rsidRPr="008034CE">
        <w:t>S</w:t>
      </w:r>
      <w:r w:rsidRPr="008034CE">
        <w:rPr>
          <w:spacing w:val="-60"/>
        </w:rPr>
        <w:t xml:space="preserve"> </w:t>
      </w:r>
      <w:r w:rsidRPr="008034CE">
        <w:t>A/NT/TAS and $1</w:t>
      </w:r>
      <w:r w:rsidR="0022175A">
        <w:t>50.50</w:t>
      </w:r>
      <w:r w:rsidRPr="008034CE">
        <w:t xml:space="preserve"> in NSW/VIC/QLD/</w:t>
      </w:r>
      <w:r w:rsidR="002F1CCF">
        <w:br/>
      </w:r>
      <w:r w:rsidRPr="008034CE">
        <w:t>A</w:t>
      </w:r>
      <w:r w:rsidRPr="008034CE">
        <w:rPr>
          <w:spacing w:val="-60"/>
        </w:rPr>
        <w:t xml:space="preserve"> </w:t>
      </w:r>
      <w:r w:rsidRPr="008034CE">
        <w:t>CT. The applicable NDIS Physiotherapist price limit is 68.4% above the implied hourly rate for WA/SA/NT/TAS and 28.9% for NSW/VIC/QLD/A</w:t>
      </w:r>
      <w:r w:rsidRPr="008034CE">
        <w:rPr>
          <w:spacing w:val="-60"/>
        </w:rPr>
        <w:t xml:space="preserve"> </w:t>
      </w:r>
      <w:r w:rsidRPr="008034CE">
        <w:t>C</w:t>
      </w:r>
      <w:r w:rsidRPr="008034CE">
        <w:rPr>
          <w:spacing w:val="-60"/>
        </w:rPr>
        <w:t xml:space="preserve"> </w:t>
      </w:r>
      <w:r w:rsidRPr="008034CE">
        <w:t>T.</w:t>
      </w:r>
    </w:p>
    <w:p w14:paraId="6CA4FB9F" w14:textId="77777777" w:rsidR="00A753A2" w:rsidRPr="008034CE" w:rsidRDefault="00A753A2" w:rsidP="0010695B">
      <w:pPr>
        <w:pStyle w:val="ListParagraph"/>
        <w:numPr>
          <w:ilvl w:val="0"/>
          <w:numId w:val="27"/>
        </w:numPr>
        <w:spacing w:line="288" w:lineRule="auto"/>
      </w:pPr>
      <w:r w:rsidRPr="008034CE">
        <w:t>The 75th percentile session durations were estimated at 34 minutes (MBS) and 47 minutes (P</w:t>
      </w:r>
      <w:r w:rsidRPr="008034CE">
        <w:rPr>
          <w:spacing w:val="-60"/>
        </w:rPr>
        <w:t xml:space="preserve"> </w:t>
      </w:r>
      <w:r w:rsidRPr="008034CE">
        <w:t>H</w:t>
      </w:r>
      <w:r w:rsidRPr="008034CE">
        <w:rPr>
          <w:spacing w:val="-60"/>
        </w:rPr>
        <w:t xml:space="preserve"> </w:t>
      </w:r>
      <w:r w:rsidRPr="008034CE">
        <w:t>I).</w:t>
      </w:r>
    </w:p>
    <w:p w14:paraId="1055F029" w14:textId="77777777" w:rsidR="00A753A2" w:rsidRPr="008034CE" w:rsidRDefault="00A753A2" w:rsidP="0010695B">
      <w:pPr>
        <w:pStyle w:val="ListParagraph"/>
        <w:numPr>
          <w:ilvl w:val="0"/>
          <w:numId w:val="27"/>
        </w:numPr>
        <w:spacing w:line="288" w:lineRule="auto"/>
      </w:pPr>
      <w:r w:rsidRPr="008034CE">
        <w:t>The sample sizes include over 3.1 million MBS claims and 830,021 P</w:t>
      </w:r>
      <w:r w:rsidRPr="008034CE">
        <w:rPr>
          <w:spacing w:val="-60"/>
        </w:rPr>
        <w:t xml:space="preserve"> </w:t>
      </w:r>
      <w:r w:rsidRPr="008034CE">
        <w:t>H</w:t>
      </w:r>
      <w:r w:rsidRPr="008034CE">
        <w:rPr>
          <w:spacing w:val="-60"/>
        </w:rPr>
        <w:t xml:space="preserve"> </w:t>
      </w:r>
      <w:r w:rsidRPr="008034CE">
        <w:t>I transactions.</w:t>
      </w:r>
    </w:p>
    <w:p w14:paraId="4BEB0FDD" w14:textId="006FA222" w:rsidR="00A753A2" w:rsidRPr="008034CE" w:rsidRDefault="00A753A2" w:rsidP="00A753A2">
      <w:pPr>
        <w:pStyle w:val="Caption"/>
      </w:pPr>
      <w:r w:rsidRPr="008034CE">
        <w:t xml:space="preserve">Figure </w:t>
      </w:r>
      <w:r w:rsidR="005763F9">
        <w:fldChar w:fldCharType="begin"/>
      </w:r>
      <w:r w:rsidR="005763F9">
        <w:instrText xml:space="preserve"> SEQ Figure \* ARABIC </w:instrText>
      </w:r>
      <w:r w:rsidR="005763F9">
        <w:fldChar w:fldCharType="separate"/>
      </w:r>
      <w:r w:rsidR="005763F9">
        <w:rPr>
          <w:noProof/>
        </w:rPr>
        <w:t>17</w:t>
      </w:r>
      <w:r w:rsidR="005763F9">
        <w:rPr>
          <w:noProof/>
        </w:rPr>
        <w:fldChar w:fldCharType="end"/>
      </w:r>
      <w:r w:rsidRPr="008034CE">
        <w:t>: MBS and P</w:t>
      </w:r>
      <w:r w:rsidRPr="008034CE">
        <w:rPr>
          <w:spacing w:val="-60"/>
        </w:rPr>
        <w:t xml:space="preserve"> </w:t>
      </w:r>
      <w:r w:rsidRPr="008034CE">
        <w:t>H</w:t>
      </w:r>
      <w:r w:rsidRPr="008034CE">
        <w:rPr>
          <w:spacing w:val="-60"/>
        </w:rPr>
        <w:t xml:space="preserve"> </w:t>
      </w:r>
      <w:r w:rsidRPr="008034CE">
        <w:t>I Converted Hourly Rates for Physiotherapy Compared to the Applicable NDIS Price Limits</w:t>
      </w:r>
    </w:p>
    <w:p w14:paraId="13CC6941" w14:textId="77777777" w:rsidR="00A753A2" w:rsidRPr="008034CE" w:rsidRDefault="00A753A2" w:rsidP="00A753A2">
      <w:r w:rsidRPr="008034CE">
        <w:rPr>
          <w:noProof/>
        </w:rPr>
        <w:drawing>
          <wp:inline distT="0" distB="0" distL="0" distR="0" wp14:anchorId="146AF1BC" wp14:editId="3A484CBC">
            <wp:extent cx="5148000" cy="3764954"/>
            <wp:effectExtent l="0" t="0" r="0" b="6985"/>
            <wp:docPr id="677239501" name="Picture 1" descr="A graph comparing the NDIS price limits for physiotherapy to the MBS and PHI markets.&#10;&#10;The graph shows that the NDIS price limit is well above the 75th percentile for both PHI and MBS rates in all States and Territories. &#10;&#10;Source: MBS and P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239501" name="Picture 1" descr="A graph comparing the NDIS price limits for physiotherapy to the MBS and PHI markets.&#10;&#10;The graph shows that the NDIS price limit is well above the 75th percentile for both PHI and MBS rates in all States and Territories. &#10;&#10;Source: MBS and PHI"/>
                    <pic:cNvPicPr/>
                  </pic:nvPicPr>
                  <pic:blipFill>
                    <a:blip r:embed="rId33">
                      <a:extLst>
                        <a:ext uri="{28A0092B-C50C-407E-A947-70E740481C1C}">
                          <a14:useLocalDpi xmlns:a14="http://schemas.microsoft.com/office/drawing/2010/main" val="0"/>
                        </a:ext>
                      </a:extLst>
                    </a:blip>
                    <a:stretch>
                      <a:fillRect/>
                    </a:stretch>
                  </pic:blipFill>
                  <pic:spPr>
                    <a:xfrm>
                      <a:off x="0" y="0"/>
                      <a:ext cx="5148000" cy="3764954"/>
                    </a:xfrm>
                    <a:prstGeom prst="rect">
                      <a:avLst/>
                    </a:prstGeom>
                  </pic:spPr>
                </pic:pic>
              </a:graphicData>
            </a:graphic>
          </wp:inline>
        </w:drawing>
      </w:r>
    </w:p>
    <w:p w14:paraId="23EE9F88" w14:textId="1FDB8DF3" w:rsidR="002F0C80" w:rsidRDefault="00A753A2" w:rsidP="00A753A2">
      <w:pPr>
        <w:pStyle w:val="Heading5"/>
      </w:pPr>
      <w:bookmarkStart w:id="357" w:name="_Toc195538941"/>
      <w:bookmarkStart w:id="358" w:name="_Toc200103521"/>
      <w:bookmarkStart w:id="359" w:name="_Toc200271634"/>
      <w:r w:rsidRPr="008034CE">
        <w:lastRenderedPageBreak/>
        <w:t>Interpretation and implications – Physiotherapy</w:t>
      </w:r>
      <w:bookmarkEnd w:id="357"/>
      <w:bookmarkEnd w:id="358"/>
      <w:bookmarkEnd w:id="359"/>
      <w:r w:rsidRPr="008034CE">
        <w:t xml:space="preserve"> </w:t>
      </w:r>
    </w:p>
    <w:p w14:paraId="38CD36CB" w14:textId="77777777" w:rsidR="002F0C80" w:rsidRPr="008034CE" w:rsidRDefault="002F0C80" w:rsidP="002F0C80">
      <w:bookmarkStart w:id="360" w:name="_Toc195538942"/>
      <w:r w:rsidRPr="008034CE">
        <w:t>NDIS price limits for physiotherapy are above the 75</w:t>
      </w:r>
      <w:r w:rsidRPr="008034CE">
        <w:rPr>
          <w:vertAlign w:val="superscript"/>
        </w:rPr>
        <w:t>th</w:t>
      </w:r>
      <w:r w:rsidRPr="008034CE">
        <w:t xml:space="preserve"> percentile of both MBS and P</w:t>
      </w:r>
      <w:r w:rsidRPr="008034CE">
        <w:rPr>
          <w:spacing w:val="-60"/>
        </w:rPr>
        <w:t xml:space="preserve"> </w:t>
      </w:r>
      <w:r w:rsidRPr="008034CE">
        <w:t>H</w:t>
      </w:r>
      <w:r w:rsidRPr="008034CE">
        <w:rPr>
          <w:spacing w:val="-60"/>
        </w:rPr>
        <w:t xml:space="preserve"> </w:t>
      </w:r>
      <w:r w:rsidRPr="008034CE">
        <w:t xml:space="preserve">I market rates, even after accounting for session length differences. This suggests current NDIS price limits significantly exceed what providers typically charge in the broader market for non-NDIS clients. The findings support a reduction to the physiotherapy price limit to better align with prevailing market conditions. </w:t>
      </w:r>
    </w:p>
    <w:p w14:paraId="4BD16F3F" w14:textId="77777777" w:rsidR="002F0C80" w:rsidRPr="008034CE" w:rsidRDefault="002F0C80" w:rsidP="002F0C80">
      <w:pPr>
        <w:pStyle w:val="Heading4"/>
        <w:spacing w:before="600"/>
      </w:pPr>
      <w:bookmarkStart w:id="361" w:name="_Toc200103522"/>
      <w:bookmarkStart w:id="362" w:name="_Toc200271635"/>
      <w:r w:rsidRPr="008034CE">
        <w:t>Dietetics</w:t>
      </w:r>
      <w:bookmarkEnd w:id="360"/>
      <w:bookmarkEnd w:id="361"/>
      <w:bookmarkEnd w:id="362"/>
    </w:p>
    <w:p w14:paraId="3CA5AECF" w14:textId="77777777" w:rsidR="002F0C80" w:rsidRPr="008034CE" w:rsidRDefault="002F0C80" w:rsidP="002F0C80">
      <w:r w:rsidRPr="008034CE">
        <w:t>The current NDIS price limit for dietetics is $193.99 per hour.</w:t>
      </w:r>
    </w:p>
    <w:p w14:paraId="3B301CC2" w14:textId="77777777" w:rsidR="002F0C80" w:rsidRPr="008034CE" w:rsidRDefault="002F0C80" w:rsidP="002F0C80">
      <w:r w:rsidRPr="008034CE">
        <w:t>Benchmarking findings indicate that this price is above the P</w:t>
      </w:r>
      <w:r w:rsidRPr="008034CE">
        <w:rPr>
          <w:spacing w:val="-60"/>
        </w:rPr>
        <w:t xml:space="preserve"> </w:t>
      </w:r>
      <w:r w:rsidRPr="008034CE">
        <w:t>H</w:t>
      </w:r>
      <w:r w:rsidRPr="008034CE">
        <w:rPr>
          <w:spacing w:val="-60"/>
        </w:rPr>
        <w:t xml:space="preserve"> </w:t>
      </w:r>
      <w:r w:rsidRPr="008034CE">
        <w:t xml:space="preserve">I and MBS pricing at the upper end of the market distribution: </w:t>
      </w:r>
    </w:p>
    <w:p w14:paraId="3FCC04FC" w14:textId="77777777" w:rsidR="002F0C80" w:rsidRPr="008034CE" w:rsidRDefault="002F0C80" w:rsidP="0010695B">
      <w:pPr>
        <w:pStyle w:val="ListParagraph"/>
        <w:numPr>
          <w:ilvl w:val="0"/>
          <w:numId w:val="27"/>
        </w:numPr>
        <w:spacing w:line="288" w:lineRule="auto"/>
      </w:pPr>
      <w:r w:rsidRPr="008034CE">
        <w:t>The MBS 75</w:t>
      </w:r>
      <w:r w:rsidRPr="008034CE">
        <w:rPr>
          <w:vertAlign w:val="superscript"/>
        </w:rPr>
        <w:t>th</w:t>
      </w:r>
      <w:r w:rsidRPr="008034CE">
        <w:t xml:space="preserve"> percentile hourly rate is $141.10.</w:t>
      </w:r>
    </w:p>
    <w:p w14:paraId="10E80E78" w14:textId="77777777" w:rsidR="002F0C80" w:rsidRPr="008034CE" w:rsidRDefault="002F0C80" w:rsidP="0010695B">
      <w:pPr>
        <w:pStyle w:val="ListParagraph"/>
        <w:numPr>
          <w:ilvl w:val="0"/>
          <w:numId w:val="27"/>
        </w:numPr>
        <w:spacing w:line="288" w:lineRule="auto"/>
      </w:pPr>
      <w:r w:rsidRPr="008034CE">
        <w:t>The P</w:t>
      </w:r>
      <w:r w:rsidRPr="008034CE">
        <w:rPr>
          <w:spacing w:val="-60"/>
        </w:rPr>
        <w:t xml:space="preserve"> </w:t>
      </w:r>
      <w:r w:rsidRPr="008034CE">
        <w:t>H</w:t>
      </w:r>
      <w:r w:rsidRPr="008034CE">
        <w:rPr>
          <w:spacing w:val="-60"/>
        </w:rPr>
        <w:t xml:space="preserve"> </w:t>
      </w:r>
      <w:r w:rsidRPr="008034CE">
        <w:t>I 75</w:t>
      </w:r>
      <w:r w:rsidRPr="008034CE">
        <w:rPr>
          <w:vertAlign w:val="superscript"/>
        </w:rPr>
        <w:t>th</w:t>
      </w:r>
      <w:r w:rsidRPr="008034CE">
        <w:t xml:space="preserve"> percentile hourly rate is $162.30.</w:t>
      </w:r>
    </w:p>
    <w:p w14:paraId="317FB9AE" w14:textId="77777777" w:rsidR="002F0C80" w:rsidRPr="008034CE" w:rsidRDefault="002F0C80" w:rsidP="0010695B">
      <w:pPr>
        <w:pStyle w:val="ListParagraph"/>
        <w:numPr>
          <w:ilvl w:val="0"/>
          <w:numId w:val="27"/>
        </w:numPr>
        <w:spacing w:line="288" w:lineRule="auto"/>
      </w:pPr>
      <w:r w:rsidRPr="008034CE">
        <w:t>The 75</w:t>
      </w:r>
      <w:r w:rsidRPr="008034CE">
        <w:rPr>
          <w:vertAlign w:val="superscript"/>
        </w:rPr>
        <w:t>th</w:t>
      </w:r>
      <w:r w:rsidRPr="008034CE">
        <w:t xml:space="preserve"> percentile session durations were estimated at 38 minutes (MBS) and 57 minutes (P</w:t>
      </w:r>
      <w:r w:rsidRPr="008034CE">
        <w:rPr>
          <w:spacing w:val="-60"/>
        </w:rPr>
        <w:t xml:space="preserve"> </w:t>
      </w:r>
      <w:r w:rsidRPr="008034CE">
        <w:t>H</w:t>
      </w:r>
      <w:r w:rsidRPr="008034CE">
        <w:rPr>
          <w:spacing w:val="-60"/>
        </w:rPr>
        <w:t xml:space="preserve"> </w:t>
      </w:r>
      <w:r w:rsidRPr="008034CE">
        <w:t xml:space="preserve">I). </w:t>
      </w:r>
    </w:p>
    <w:p w14:paraId="0C0328DF" w14:textId="77777777" w:rsidR="002F0C80" w:rsidRPr="008034CE" w:rsidRDefault="002F0C80" w:rsidP="0010695B">
      <w:pPr>
        <w:pStyle w:val="ListParagraph"/>
        <w:numPr>
          <w:ilvl w:val="0"/>
          <w:numId w:val="27"/>
        </w:numPr>
        <w:spacing w:line="288" w:lineRule="auto"/>
      </w:pPr>
      <w:r w:rsidRPr="008034CE">
        <w:t>The sample sizes include 354,508 MBS claims and 10,525 P</w:t>
      </w:r>
      <w:r w:rsidRPr="008034CE">
        <w:rPr>
          <w:spacing w:val="-60"/>
        </w:rPr>
        <w:t xml:space="preserve"> </w:t>
      </w:r>
      <w:r w:rsidRPr="008034CE">
        <w:t>H</w:t>
      </w:r>
      <w:r w:rsidRPr="008034CE">
        <w:rPr>
          <w:spacing w:val="-60"/>
        </w:rPr>
        <w:t xml:space="preserve"> </w:t>
      </w:r>
      <w:r w:rsidRPr="008034CE">
        <w:t>I transactions.</w:t>
      </w:r>
    </w:p>
    <w:p w14:paraId="7043B2A0" w14:textId="77777777" w:rsidR="002F0C80" w:rsidRPr="008034CE" w:rsidRDefault="002F0C80" w:rsidP="002F0C80">
      <w:r w:rsidRPr="008034CE">
        <w:t>The NDIS price limit exceeds MBS benchmarking by 37.5% and P</w:t>
      </w:r>
      <w:r w:rsidRPr="008034CE">
        <w:rPr>
          <w:spacing w:val="-60"/>
        </w:rPr>
        <w:t xml:space="preserve"> </w:t>
      </w:r>
      <w:r w:rsidRPr="008034CE">
        <w:t>H</w:t>
      </w:r>
      <w:r w:rsidRPr="008034CE">
        <w:rPr>
          <w:spacing w:val="-60"/>
        </w:rPr>
        <w:t xml:space="preserve"> </w:t>
      </w:r>
      <w:r w:rsidRPr="008034CE">
        <w:t>I by 19.5%, with both public and private data showing consistent session lengths and billing patterns.</w:t>
      </w:r>
    </w:p>
    <w:p w14:paraId="70288621" w14:textId="609BC7C1" w:rsidR="002F0C80" w:rsidRPr="008034CE" w:rsidRDefault="002F0C80" w:rsidP="002F0C80">
      <w:pPr>
        <w:pStyle w:val="Caption"/>
      </w:pPr>
      <w:r w:rsidRPr="008034CE">
        <w:t xml:space="preserve">Figure </w:t>
      </w:r>
      <w:r w:rsidR="005763F9">
        <w:fldChar w:fldCharType="begin"/>
      </w:r>
      <w:r w:rsidR="005763F9">
        <w:instrText xml:space="preserve"> SEQ Figure \* ARABIC </w:instrText>
      </w:r>
      <w:r w:rsidR="005763F9">
        <w:fldChar w:fldCharType="separate"/>
      </w:r>
      <w:r w:rsidR="005763F9">
        <w:rPr>
          <w:noProof/>
        </w:rPr>
        <w:t>18</w:t>
      </w:r>
      <w:r w:rsidR="005763F9">
        <w:rPr>
          <w:noProof/>
        </w:rPr>
        <w:fldChar w:fldCharType="end"/>
      </w:r>
      <w:r w:rsidRPr="008034CE">
        <w:t>: MBS and P</w:t>
      </w:r>
      <w:r w:rsidRPr="008034CE">
        <w:rPr>
          <w:spacing w:val="-60"/>
        </w:rPr>
        <w:t xml:space="preserve"> </w:t>
      </w:r>
      <w:r w:rsidRPr="008034CE">
        <w:t>H</w:t>
      </w:r>
      <w:r w:rsidRPr="008034CE">
        <w:rPr>
          <w:spacing w:val="-60"/>
        </w:rPr>
        <w:t xml:space="preserve"> </w:t>
      </w:r>
      <w:r w:rsidRPr="008034CE">
        <w:t>I Converted Hourly Rates for Dietetics Compared to the Applicable NDIS Price Limits</w:t>
      </w:r>
    </w:p>
    <w:p w14:paraId="06ECEFC9" w14:textId="4B36034F" w:rsidR="009B53D4" w:rsidRDefault="002F0C80" w:rsidP="002F0C80">
      <w:r w:rsidRPr="008034CE">
        <w:rPr>
          <w:noProof/>
        </w:rPr>
        <w:drawing>
          <wp:inline distT="0" distB="0" distL="0" distR="0" wp14:anchorId="0CE2E4F8" wp14:editId="57CFF88E">
            <wp:extent cx="5652939" cy="3260725"/>
            <wp:effectExtent l="0" t="0" r="5080" b="0"/>
            <wp:docPr id="1876477201" name="Picture 1" descr="A graph comparing the NDIS price limits for dietetics to the MBS and PHI markets.&#10;&#10;The graph shows that the NDIS price limit is well above the 75th percentile for both PHI and MBS rates in all States and Territories. &#10;&#10;Source: MBS and P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477201" name="Picture 1" descr="A graph comparing the NDIS price limits for dietetics to the MBS and PHI markets.&#10;&#10;The graph shows that the NDIS price limit is well above the 75th percentile for both PHI and MBS rates in all States and Territories. &#10;&#10;Source: MBS and PHI"/>
                    <pic:cNvPicPr/>
                  </pic:nvPicPr>
                  <pic:blipFill>
                    <a:blip r:embed="rId34">
                      <a:extLst>
                        <a:ext uri="{28A0092B-C50C-407E-A947-70E740481C1C}">
                          <a14:useLocalDpi xmlns:a14="http://schemas.microsoft.com/office/drawing/2010/main" val="0"/>
                        </a:ext>
                      </a:extLst>
                    </a:blip>
                    <a:stretch>
                      <a:fillRect/>
                    </a:stretch>
                  </pic:blipFill>
                  <pic:spPr>
                    <a:xfrm>
                      <a:off x="0" y="0"/>
                      <a:ext cx="5652939" cy="3260725"/>
                    </a:xfrm>
                    <a:prstGeom prst="rect">
                      <a:avLst/>
                    </a:prstGeom>
                  </pic:spPr>
                </pic:pic>
              </a:graphicData>
            </a:graphic>
          </wp:inline>
        </w:drawing>
      </w:r>
    </w:p>
    <w:p w14:paraId="25058587" w14:textId="77777777" w:rsidR="009B53D4" w:rsidRPr="008034CE" w:rsidRDefault="009B53D4" w:rsidP="009B53D4">
      <w:pPr>
        <w:pStyle w:val="Heading5"/>
      </w:pPr>
      <w:bookmarkStart w:id="363" w:name="_Toc195538943"/>
      <w:bookmarkStart w:id="364" w:name="_Toc200103523"/>
      <w:bookmarkStart w:id="365" w:name="_Toc200271636"/>
      <w:r w:rsidRPr="008034CE">
        <w:lastRenderedPageBreak/>
        <w:t>Interpretation and implications – Dietetics</w:t>
      </w:r>
      <w:bookmarkEnd w:id="363"/>
      <w:bookmarkEnd w:id="364"/>
      <w:bookmarkEnd w:id="365"/>
      <w:r w:rsidRPr="008034CE">
        <w:t xml:space="preserve">  </w:t>
      </w:r>
    </w:p>
    <w:p w14:paraId="5FE04403" w14:textId="77777777" w:rsidR="009B53D4" w:rsidRPr="008034CE" w:rsidRDefault="009B53D4" w:rsidP="009B53D4">
      <w:r w:rsidRPr="008034CE">
        <w:t>Benchmarking indicates that NDIS price limits for dietetics are significantly above MBS and P</w:t>
      </w:r>
      <w:r w:rsidRPr="008034CE">
        <w:rPr>
          <w:spacing w:val="-60"/>
        </w:rPr>
        <w:t xml:space="preserve"> </w:t>
      </w:r>
      <w:r w:rsidRPr="008034CE">
        <w:t>H</w:t>
      </w:r>
      <w:r w:rsidRPr="008034CE">
        <w:rPr>
          <w:spacing w:val="-60"/>
        </w:rPr>
        <w:t xml:space="preserve"> </w:t>
      </w:r>
      <w:r w:rsidRPr="008034CE">
        <w:t xml:space="preserve">I rates across all jurisdictions, even after adjusting for shorter session durations. In this context, the current NDIS price limit appears higher than necessary to support sustainable service delivery. These findings support a reduction in the price limit to better reflect market conditions. </w:t>
      </w:r>
    </w:p>
    <w:p w14:paraId="399E1B3B" w14:textId="77777777" w:rsidR="009B53D4" w:rsidRPr="008034CE" w:rsidRDefault="009B53D4" w:rsidP="009B53D4">
      <w:pPr>
        <w:pStyle w:val="Heading4"/>
      </w:pPr>
      <w:bookmarkStart w:id="366" w:name="_Toc195538944"/>
      <w:bookmarkStart w:id="367" w:name="_Toc200103524"/>
      <w:bookmarkStart w:id="368" w:name="_Toc200271637"/>
      <w:r w:rsidRPr="008034CE">
        <w:t>Podiatry</w:t>
      </w:r>
      <w:bookmarkEnd w:id="366"/>
      <w:bookmarkEnd w:id="367"/>
      <w:bookmarkEnd w:id="368"/>
      <w:r w:rsidRPr="008034CE">
        <w:t xml:space="preserve"> </w:t>
      </w:r>
    </w:p>
    <w:p w14:paraId="01876EBE" w14:textId="77777777" w:rsidR="009B53D4" w:rsidRPr="008034CE" w:rsidRDefault="009B53D4" w:rsidP="009B53D4">
      <w:r w:rsidRPr="008034CE">
        <w:t>The current NDIS price limit for podiatry is $193.99 per hour.</w:t>
      </w:r>
    </w:p>
    <w:p w14:paraId="43B02D5D" w14:textId="77777777" w:rsidR="009B53D4" w:rsidRPr="008034CE" w:rsidRDefault="009B53D4" w:rsidP="009B53D4">
      <w:r w:rsidRPr="008034CE">
        <w:t xml:space="preserve">Comparative benchmarking shows the following: </w:t>
      </w:r>
    </w:p>
    <w:p w14:paraId="58C9276B" w14:textId="77777777" w:rsidR="009B53D4" w:rsidRPr="008034CE" w:rsidRDefault="009B53D4" w:rsidP="0010695B">
      <w:pPr>
        <w:pStyle w:val="ListParagraph"/>
        <w:numPr>
          <w:ilvl w:val="0"/>
          <w:numId w:val="27"/>
        </w:numPr>
        <w:spacing w:line="288" w:lineRule="auto"/>
      </w:pPr>
      <w:r w:rsidRPr="008034CE">
        <w:t>The MBS 75</w:t>
      </w:r>
      <w:r w:rsidRPr="008034CE">
        <w:rPr>
          <w:vertAlign w:val="superscript"/>
        </w:rPr>
        <w:t>th</w:t>
      </w:r>
      <w:r w:rsidRPr="008034CE">
        <w:t xml:space="preserve"> percentile hourly rate is $131.10.</w:t>
      </w:r>
    </w:p>
    <w:p w14:paraId="37FA28FC" w14:textId="77777777" w:rsidR="009B53D4" w:rsidRPr="008034CE" w:rsidRDefault="009B53D4" w:rsidP="0010695B">
      <w:pPr>
        <w:pStyle w:val="ListParagraph"/>
        <w:numPr>
          <w:ilvl w:val="0"/>
          <w:numId w:val="27"/>
        </w:numPr>
        <w:spacing w:line="288" w:lineRule="auto"/>
      </w:pPr>
      <w:r w:rsidRPr="008034CE">
        <w:t>The P</w:t>
      </w:r>
      <w:r w:rsidRPr="008034CE">
        <w:rPr>
          <w:spacing w:val="-60"/>
        </w:rPr>
        <w:t xml:space="preserve"> </w:t>
      </w:r>
      <w:r w:rsidRPr="008034CE">
        <w:t>H</w:t>
      </w:r>
      <w:r w:rsidRPr="008034CE">
        <w:rPr>
          <w:spacing w:val="-60"/>
        </w:rPr>
        <w:t xml:space="preserve"> </w:t>
      </w:r>
      <w:r w:rsidRPr="008034CE">
        <w:t>I 75</w:t>
      </w:r>
      <w:r w:rsidRPr="008034CE">
        <w:rPr>
          <w:vertAlign w:val="superscript"/>
        </w:rPr>
        <w:t>th</w:t>
      </w:r>
      <w:r w:rsidRPr="008034CE">
        <w:t xml:space="preserve"> percentile hourly rate is $183.40.</w:t>
      </w:r>
    </w:p>
    <w:p w14:paraId="130321B8" w14:textId="77777777" w:rsidR="009B53D4" w:rsidRPr="008034CE" w:rsidRDefault="009B53D4" w:rsidP="0010695B">
      <w:pPr>
        <w:pStyle w:val="ListParagraph"/>
        <w:numPr>
          <w:ilvl w:val="0"/>
          <w:numId w:val="27"/>
        </w:numPr>
        <w:spacing w:line="288" w:lineRule="auto"/>
      </w:pPr>
      <w:r w:rsidRPr="008034CE">
        <w:t>The 75</w:t>
      </w:r>
      <w:r w:rsidRPr="008034CE">
        <w:rPr>
          <w:vertAlign w:val="superscript"/>
        </w:rPr>
        <w:t>th</w:t>
      </w:r>
      <w:r w:rsidRPr="008034CE">
        <w:t xml:space="preserve"> percentile session durations were estimated at 34 minutes MBS) and 33 minutes (P</w:t>
      </w:r>
      <w:r w:rsidRPr="008034CE">
        <w:rPr>
          <w:spacing w:val="-60"/>
        </w:rPr>
        <w:t xml:space="preserve"> </w:t>
      </w:r>
      <w:r w:rsidRPr="008034CE">
        <w:t>H</w:t>
      </w:r>
      <w:r w:rsidRPr="008034CE">
        <w:rPr>
          <w:spacing w:val="-60"/>
        </w:rPr>
        <w:t xml:space="preserve"> </w:t>
      </w:r>
      <w:r w:rsidRPr="008034CE">
        <w:t xml:space="preserve">I). </w:t>
      </w:r>
    </w:p>
    <w:p w14:paraId="7A313EF8" w14:textId="77777777" w:rsidR="009B53D4" w:rsidRPr="008034CE" w:rsidRDefault="009B53D4" w:rsidP="0010695B">
      <w:pPr>
        <w:pStyle w:val="ListParagraph"/>
        <w:numPr>
          <w:ilvl w:val="0"/>
          <w:numId w:val="27"/>
        </w:numPr>
        <w:spacing w:line="288" w:lineRule="auto"/>
      </w:pPr>
      <w:r w:rsidRPr="008034CE">
        <w:t>Sample size includes 3.6 million MBS claims and 121,170 P</w:t>
      </w:r>
      <w:r w:rsidRPr="008034CE">
        <w:rPr>
          <w:spacing w:val="-60"/>
        </w:rPr>
        <w:t xml:space="preserve"> </w:t>
      </w:r>
      <w:r w:rsidRPr="008034CE">
        <w:t>H</w:t>
      </w:r>
      <w:r w:rsidRPr="008034CE">
        <w:rPr>
          <w:spacing w:val="-60"/>
        </w:rPr>
        <w:t xml:space="preserve"> </w:t>
      </w:r>
      <w:r w:rsidRPr="008034CE">
        <w:t xml:space="preserve">I transactions. </w:t>
      </w:r>
    </w:p>
    <w:p w14:paraId="4E49B9F6" w14:textId="77777777" w:rsidR="009B53D4" w:rsidRPr="008034CE" w:rsidRDefault="009B53D4" w:rsidP="009B53D4">
      <w:r w:rsidRPr="008034CE">
        <w:t>The NDIS price limit exceeds MBS benchmarking by 48.0% and P</w:t>
      </w:r>
      <w:r w:rsidRPr="008034CE">
        <w:rPr>
          <w:spacing w:val="-60"/>
        </w:rPr>
        <w:t xml:space="preserve"> </w:t>
      </w:r>
      <w:r w:rsidRPr="008034CE">
        <w:t>H</w:t>
      </w:r>
      <w:r w:rsidRPr="008034CE">
        <w:rPr>
          <w:spacing w:val="-60"/>
        </w:rPr>
        <w:t xml:space="preserve"> </w:t>
      </w:r>
      <w:r w:rsidRPr="008034CE">
        <w:t xml:space="preserve">I by 5.8%, with both public and private data showing consistent session lengths and billing patterns. </w:t>
      </w:r>
    </w:p>
    <w:p w14:paraId="7D6FF498" w14:textId="437DEB8E" w:rsidR="009B53D4" w:rsidRPr="008034CE" w:rsidRDefault="009B53D4" w:rsidP="009B53D4">
      <w:pPr>
        <w:pStyle w:val="Caption"/>
      </w:pPr>
      <w:r w:rsidRPr="008034CE">
        <w:t xml:space="preserve">Figure </w:t>
      </w:r>
      <w:r w:rsidR="005763F9">
        <w:fldChar w:fldCharType="begin"/>
      </w:r>
      <w:r w:rsidR="005763F9">
        <w:instrText xml:space="preserve"> SEQ Figure \* ARABIC </w:instrText>
      </w:r>
      <w:r w:rsidR="005763F9">
        <w:fldChar w:fldCharType="separate"/>
      </w:r>
      <w:r w:rsidR="005763F9">
        <w:rPr>
          <w:noProof/>
        </w:rPr>
        <w:t>19</w:t>
      </w:r>
      <w:r w:rsidR="005763F9">
        <w:rPr>
          <w:noProof/>
        </w:rPr>
        <w:fldChar w:fldCharType="end"/>
      </w:r>
      <w:r w:rsidRPr="008034CE">
        <w:t>: MBS and P</w:t>
      </w:r>
      <w:r w:rsidRPr="008034CE">
        <w:rPr>
          <w:spacing w:val="-60"/>
        </w:rPr>
        <w:t xml:space="preserve"> </w:t>
      </w:r>
      <w:r w:rsidRPr="008034CE">
        <w:t>H</w:t>
      </w:r>
      <w:r w:rsidRPr="008034CE">
        <w:rPr>
          <w:spacing w:val="-60"/>
        </w:rPr>
        <w:t xml:space="preserve"> </w:t>
      </w:r>
      <w:r w:rsidRPr="008034CE">
        <w:t>I Converted Hourly Rates for Podiatry Compared to the Applicable NDIS Price Limits</w:t>
      </w:r>
    </w:p>
    <w:p w14:paraId="4B077071" w14:textId="77777777" w:rsidR="009B53D4" w:rsidRDefault="009B53D4" w:rsidP="009B53D4">
      <w:r w:rsidRPr="008034CE">
        <w:rPr>
          <w:noProof/>
        </w:rPr>
        <w:drawing>
          <wp:inline distT="0" distB="0" distL="0" distR="0" wp14:anchorId="77717763" wp14:editId="117092B3">
            <wp:extent cx="5492657" cy="3474840"/>
            <wp:effectExtent l="0" t="0" r="0" b="0"/>
            <wp:docPr id="1900544169" name="Picture 1" descr="A graph comparing the NDIS price limits for podiatry to the MBS and PHI markets.&#10;&#10;The graph shows that the NDIS price limit is well above the 75th percentile for MBS rates in all States and Territories, and is narrowly above the 75th percentile for PHI rates. &#10;&#10;Source: MBS and P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544169" name="Picture 1" descr="A graph comparing the NDIS price limits for podiatry to the MBS and PHI markets.&#10;&#10;The graph shows that the NDIS price limit is well above the 75th percentile for MBS rates in all States and Territories, and is narrowly above the 75th percentile for PHI rates. &#10;&#10;Source: MBS and PHI"/>
                    <pic:cNvPicPr/>
                  </pic:nvPicPr>
                  <pic:blipFill>
                    <a:blip r:embed="rId35">
                      <a:extLst>
                        <a:ext uri="{28A0092B-C50C-407E-A947-70E740481C1C}">
                          <a14:useLocalDpi xmlns:a14="http://schemas.microsoft.com/office/drawing/2010/main" val="0"/>
                        </a:ext>
                      </a:extLst>
                    </a:blip>
                    <a:stretch>
                      <a:fillRect/>
                    </a:stretch>
                  </pic:blipFill>
                  <pic:spPr>
                    <a:xfrm>
                      <a:off x="0" y="0"/>
                      <a:ext cx="5492657" cy="3474840"/>
                    </a:xfrm>
                    <a:prstGeom prst="rect">
                      <a:avLst/>
                    </a:prstGeom>
                  </pic:spPr>
                </pic:pic>
              </a:graphicData>
            </a:graphic>
          </wp:inline>
        </w:drawing>
      </w:r>
    </w:p>
    <w:p w14:paraId="4EDBDDEB" w14:textId="77777777" w:rsidR="003176FA" w:rsidRPr="008034CE" w:rsidRDefault="003176FA" w:rsidP="003176FA">
      <w:pPr>
        <w:pStyle w:val="Heading5"/>
      </w:pPr>
      <w:bookmarkStart w:id="369" w:name="_Toc195538945"/>
      <w:bookmarkStart w:id="370" w:name="_Toc200103525"/>
      <w:bookmarkStart w:id="371" w:name="_Toc200271638"/>
      <w:r w:rsidRPr="008034CE">
        <w:lastRenderedPageBreak/>
        <w:t>Interpretation and implications – Podiatry</w:t>
      </w:r>
      <w:bookmarkEnd w:id="369"/>
      <w:bookmarkEnd w:id="370"/>
      <w:bookmarkEnd w:id="371"/>
      <w:r w:rsidRPr="008034CE">
        <w:t xml:space="preserve">   </w:t>
      </w:r>
    </w:p>
    <w:p w14:paraId="63DD5A82" w14:textId="77777777" w:rsidR="003176FA" w:rsidRPr="008034CE" w:rsidRDefault="003176FA" w:rsidP="003176FA">
      <w:r w:rsidRPr="008034CE">
        <w:t>NDIS price limits for podiatry exceed the 75</w:t>
      </w:r>
      <w:r w:rsidRPr="008034CE">
        <w:rPr>
          <w:vertAlign w:val="superscript"/>
        </w:rPr>
        <w:t>th</w:t>
      </w:r>
      <w:r w:rsidRPr="008034CE">
        <w:t xml:space="preserve"> percentile of P</w:t>
      </w:r>
      <w:r w:rsidRPr="008034CE">
        <w:rPr>
          <w:spacing w:val="-60"/>
        </w:rPr>
        <w:t xml:space="preserve"> </w:t>
      </w:r>
      <w:r w:rsidRPr="008034CE">
        <w:t>H</w:t>
      </w:r>
      <w:r w:rsidRPr="008034CE">
        <w:rPr>
          <w:spacing w:val="-60"/>
        </w:rPr>
        <w:t xml:space="preserve"> </w:t>
      </w:r>
      <w:r w:rsidRPr="008034CE">
        <w:t xml:space="preserve">I and MBS market rate across all jurisdictions, even after accounting for typical session durations. This suggests that current pricing is higher than what is charged in the broader market for non-NDIS clients. These findings support a reduction to the podiatry NDIS price limit to ensure better alignment with observed market rates. </w:t>
      </w:r>
    </w:p>
    <w:p w14:paraId="3DE61AC6" w14:textId="77777777" w:rsidR="003176FA" w:rsidRPr="008034CE" w:rsidRDefault="003176FA" w:rsidP="00836353">
      <w:pPr>
        <w:pStyle w:val="Heading4"/>
      </w:pPr>
      <w:bookmarkStart w:id="372" w:name="_Toc195538946"/>
      <w:bookmarkStart w:id="373" w:name="_Toc200103526"/>
      <w:bookmarkStart w:id="374" w:name="_Toc200271639"/>
      <w:r w:rsidRPr="008034CE">
        <w:t>Other therapies</w:t>
      </w:r>
      <w:bookmarkEnd w:id="372"/>
      <w:bookmarkEnd w:id="373"/>
      <w:bookmarkEnd w:id="374"/>
      <w:r w:rsidRPr="008034CE">
        <w:t xml:space="preserve"> </w:t>
      </w:r>
    </w:p>
    <w:p w14:paraId="3F9DE6D6" w14:textId="1458A09A" w:rsidR="003176FA" w:rsidRPr="008034CE" w:rsidRDefault="003176FA" w:rsidP="003176FA">
      <w:r w:rsidRPr="008034CE">
        <w:t>A range of other therapy supports were included in the benchmarking process. Benchmarking results suggest that the NDIS price limits continue to remain appropriate and do not support any</w:t>
      </w:r>
      <w:r w:rsidRPr="008034CE" w:rsidDel="006E0793">
        <w:t xml:space="preserve"> </w:t>
      </w:r>
      <w:r w:rsidRPr="008034CE">
        <w:t xml:space="preserve">price change for financial year 2025–26. In these cases, the comparison of NDIS price limits against external market data showed either broad alignment, marginal differences or insufficient data for consistent </w:t>
      </w:r>
      <w:r w:rsidR="00EE7D99">
        <w:t>conclusions</w:t>
      </w:r>
      <w:r w:rsidRPr="008034CE">
        <w:t>, with no clear indication that current pricing was outside a reasonable market range.</w:t>
      </w:r>
    </w:p>
    <w:p w14:paraId="27AD6F78" w14:textId="5B5EBE0B" w:rsidR="003176FA" w:rsidRPr="008034CE" w:rsidRDefault="003176FA" w:rsidP="003176FA">
      <w:pPr>
        <w:pStyle w:val="Caption"/>
      </w:pPr>
      <w:r w:rsidRPr="008034CE">
        <w:t xml:space="preserve">Figure </w:t>
      </w:r>
      <w:r w:rsidR="005763F9">
        <w:fldChar w:fldCharType="begin"/>
      </w:r>
      <w:r w:rsidR="005763F9">
        <w:instrText xml:space="preserve"> SEQ Figure \* ARABIC </w:instrText>
      </w:r>
      <w:r w:rsidR="005763F9">
        <w:fldChar w:fldCharType="separate"/>
      </w:r>
      <w:r w:rsidR="005763F9">
        <w:rPr>
          <w:noProof/>
        </w:rPr>
        <w:t>20</w:t>
      </w:r>
      <w:r w:rsidR="005763F9">
        <w:rPr>
          <w:noProof/>
        </w:rPr>
        <w:fldChar w:fldCharType="end"/>
      </w:r>
      <w:r w:rsidRPr="008034CE">
        <w:t>: MBS and P</w:t>
      </w:r>
      <w:r w:rsidRPr="008034CE">
        <w:rPr>
          <w:spacing w:val="-60"/>
        </w:rPr>
        <w:t xml:space="preserve"> </w:t>
      </w:r>
      <w:r w:rsidRPr="008034CE">
        <w:t>H</w:t>
      </w:r>
      <w:r w:rsidRPr="008034CE">
        <w:rPr>
          <w:spacing w:val="-60"/>
        </w:rPr>
        <w:t xml:space="preserve"> </w:t>
      </w:r>
      <w:r w:rsidRPr="008034CE">
        <w:t>I Converted Hourly Rates for Exercise Physiology, Audiology, Occupational Therapy and Speech Pathology Compared to the Applicable NDIS Price Limits</w:t>
      </w:r>
    </w:p>
    <w:p w14:paraId="439A0C43" w14:textId="77777777" w:rsidR="003176FA" w:rsidRPr="008034CE" w:rsidRDefault="003176FA" w:rsidP="003176FA">
      <w:r w:rsidRPr="008034CE">
        <w:rPr>
          <w:noProof/>
        </w:rPr>
        <w:drawing>
          <wp:inline distT="0" distB="0" distL="0" distR="0" wp14:anchorId="181DB824" wp14:editId="73F5686F">
            <wp:extent cx="5574762" cy="3628955"/>
            <wp:effectExtent l="0" t="0" r="6985" b="0"/>
            <wp:docPr id="1882133918" name="Picture 1" descr="A graph comparing the NDIS price limits for exercise physiology, audiology, occupational therapy, and speech pathology, to the MBS and PHI markets. &#10;&#10;Figures are described in detail belo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133918" name="Picture 1" descr="A graph comparing the NDIS price limits for exercise physiology, audiology, occupational therapy, and speech pathology, to the MBS and PHI markets. &#10;&#10;Figures are described in detail below. "/>
                    <pic:cNvPicPr/>
                  </pic:nvPicPr>
                  <pic:blipFill>
                    <a:blip r:embed="rId36">
                      <a:extLst>
                        <a:ext uri="{28A0092B-C50C-407E-A947-70E740481C1C}">
                          <a14:useLocalDpi xmlns:a14="http://schemas.microsoft.com/office/drawing/2010/main" val="0"/>
                        </a:ext>
                      </a:extLst>
                    </a:blip>
                    <a:stretch>
                      <a:fillRect/>
                    </a:stretch>
                  </pic:blipFill>
                  <pic:spPr>
                    <a:xfrm>
                      <a:off x="0" y="0"/>
                      <a:ext cx="5574762" cy="3628955"/>
                    </a:xfrm>
                    <a:prstGeom prst="rect">
                      <a:avLst/>
                    </a:prstGeom>
                  </pic:spPr>
                </pic:pic>
              </a:graphicData>
            </a:graphic>
          </wp:inline>
        </w:drawing>
      </w:r>
    </w:p>
    <w:p w14:paraId="67089409" w14:textId="77777777" w:rsidR="002C2287" w:rsidRDefault="002C2287">
      <w:pPr>
        <w:spacing w:before="120" w:after="120"/>
      </w:pPr>
      <w:r>
        <w:br w:type="page"/>
      </w:r>
    </w:p>
    <w:p w14:paraId="3AEC5CD3" w14:textId="0C15E92E" w:rsidR="00B219C8" w:rsidRPr="008034CE" w:rsidRDefault="003176FA" w:rsidP="00B219C8">
      <w:r w:rsidRPr="008034CE">
        <w:lastRenderedPageBreak/>
        <w:t>Speech Pathology was found to be closely aligned with benchmark rates at the 75th percentile. The NDIS price limit of $193.99 per hour sits 2.3% above the P</w:t>
      </w:r>
      <w:r w:rsidRPr="008034CE">
        <w:rPr>
          <w:spacing w:val="-60"/>
        </w:rPr>
        <w:t xml:space="preserve"> </w:t>
      </w:r>
      <w:r w:rsidRPr="008034CE">
        <w:t>H</w:t>
      </w:r>
      <w:r w:rsidRPr="008034CE">
        <w:rPr>
          <w:spacing w:val="-60"/>
        </w:rPr>
        <w:t xml:space="preserve"> </w:t>
      </w:r>
      <w:r w:rsidRPr="008034CE">
        <w:t>I 75</w:t>
      </w:r>
      <w:r w:rsidRPr="00836353">
        <w:rPr>
          <w:vertAlign w:val="superscript"/>
        </w:rPr>
        <w:t>th</w:t>
      </w:r>
      <w:r w:rsidR="002C2287">
        <w:t xml:space="preserve"> </w:t>
      </w:r>
      <w:r w:rsidR="00B219C8" w:rsidRPr="008034CE">
        <w:t>percentile ($189.70 per hour) and 3.</w:t>
      </w:r>
      <w:r w:rsidR="00EE7D99">
        <w:t>2</w:t>
      </w:r>
      <w:r w:rsidR="00B219C8" w:rsidRPr="008034CE">
        <w:t>% below the MBS 75th percentile ($200.50 per hour). Session lengths in both sources were broadly consistent at the 75</w:t>
      </w:r>
      <w:r w:rsidR="00B219C8" w:rsidRPr="008034CE">
        <w:rPr>
          <w:vertAlign w:val="superscript"/>
        </w:rPr>
        <w:t>th</w:t>
      </w:r>
      <w:r w:rsidR="00B219C8" w:rsidRPr="008034CE">
        <w:t xml:space="preserve"> percentile, MBS at 58 minutes and P</w:t>
      </w:r>
      <w:r w:rsidR="00B219C8" w:rsidRPr="008034CE">
        <w:rPr>
          <w:spacing w:val="-60"/>
        </w:rPr>
        <w:t xml:space="preserve"> </w:t>
      </w:r>
      <w:r w:rsidR="00B219C8" w:rsidRPr="008034CE">
        <w:t>H</w:t>
      </w:r>
      <w:r w:rsidR="00B219C8" w:rsidRPr="008034CE">
        <w:rPr>
          <w:spacing w:val="-60"/>
        </w:rPr>
        <w:t xml:space="preserve"> </w:t>
      </w:r>
      <w:r w:rsidR="00B219C8" w:rsidRPr="008034CE">
        <w:t>I at 51 minutes. The sample size was robust, with over 86,000 MBS claims and 4,351 P</w:t>
      </w:r>
      <w:r w:rsidR="00B219C8" w:rsidRPr="008034CE">
        <w:rPr>
          <w:spacing w:val="-60"/>
        </w:rPr>
        <w:t xml:space="preserve"> </w:t>
      </w:r>
      <w:r w:rsidR="00B219C8" w:rsidRPr="008034CE">
        <w:t>H</w:t>
      </w:r>
      <w:r w:rsidR="00B219C8" w:rsidRPr="008034CE">
        <w:rPr>
          <w:spacing w:val="-60"/>
        </w:rPr>
        <w:t xml:space="preserve"> </w:t>
      </w:r>
      <w:r w:rsidR="00B219C8" w:rsidRPr="008034CE">
        <w:t>I records. These findings suggest that the current NDIS price is within the normal observed market band.</w:t>
      </w:r>
    </w:p>
    <w:p w14:paraId="18B1E911" w14:textId="20501DB3" w:rsidR="00B219C8" w:rsidRPr="008034CE" w:rsidRDefault="00B219C8" w:rsidP="00B219C8">
      <w:r w:rsidRPr="008034CE">
        <w:t>Occupational Therapy presented mixed benchmarking results. The NDIS price limit of $193.99 per hour was 18.9% above the P</w:t>
      </w:r>
      <w:r w:rsidRPr="008034CE">
        <w:rPr>
          <w:spacing w:val="-60"/>
        </w:rPr>
        <w:t xml:space="preserve"> </w:t>
      </w:r>
      <w:r w:rsidRPr="008034CE">
        <w:t>H</w:t>
      </w:r>
      <w:r w:rsidRPr="008034CE">
        <w:rPr>
          <w:spacing w:val="-60"/>
        </w:rPr>
        <w:t xml:space="preserve"> </w:t>
      </w:r>
      <w:r w:rsidRPr="008034CE">
        <w:t>I 75th percentile ($163.10 per hour), but 11.7% below the MBS 75th percentile ($219.60 per hour). Session lengths in both sources were broadly consistent at the 75</w:t>
      </w:r>
      <w:r w:rsidRPr="008034CE">
        <w:rPr>
          <w:vertAlign w:val="superscript"/>
        </w:rPr>
        <w:t>th</w:t>
      </w:r>
      <w:r w:rsidRPr="008034CE">
        <w:t xml:space="preserve"> percentile, MBS at 53 minutes and P</w:t>
      </w:r>
      <w:r w:rsidRPr="008034CE">
        <w:rPr>
          <w:spacing w:val="-60"/>
        </w:rPr>
        <w:t xml:space="preserve"> </w:t>
      </w:r>
      <w:r w:rsidRPr="008034CE">
        <w:t>H</w:t>
      </w:r>
      <w:r w:rsidRPr="008034CE">
        <w:rPr>
          <w:spacing w:val="-60"/>
        </w:rPr>
        <w:t xml:space="preserve"> </w:t>
      </w:r>
      <w:r w:rsidRPr="008034CE">
        <w:t>I at 49 minutes. Given the contrasting results and reliable sample size (over 80,000 MBS claims and 6,476 P</w:t>
      </w:r>
      <w:r w:rsidRPr="008034CE">
        <w:rPr>
          <w:spacing w:val="-60"/>
        </w:rPr>
        <w:t xml:space="preserve"> </w:t>
      </w:r>
      <w:r w:rsidRPr="008034CE">
        <w:t>H</w:t>
      </w:r>
      <w:r w:rsidRPr="008034CE">
        <w:rPr>
          <w:spacing w:val="-60"/>
        </w:rPr>
        <w:t xml:space="preserve"> </w:t>
      </w:r>
      <w:r w:rsidRPr="008034CE">
        <w:t>I records), the current price limit was assessed as being set within a reasonable range, particularly when accounting for variations in complexity</w:t>
      </w:r>
      <w:r w:rsidR="00EE7D99">
        <w:t>.</w:t>
      </w:r>
    </w:p>
    <w:p w14:paraId="3C8CDF00" w14:textId="77777777" w:rsidR="00EE7D99" w:rsidRDefault="00EE7D99" w:rsidP="00EE7D99">
      <w:r w:rsidRPr="00EE7D99">
        <w:t>Audiology showed moderate divergence between benchmark sources. The NDIS price limit of $193.99 per hour exceeded the MBS 75th percentile ($161.20 per hour) by 20.3% and the P</w:t>
      </w:r>
      <w:r w:rsidRPr="00EE7D99">
        <w:rPr>
          <w:spacing w:val="-60"/>
        </w:rPr>
        <w:t xml:space="preserve"> </w:t>
      </w:r>
      <w:r w:rsidRPr="00EE7D99">
        <w:t>H</w:t>
      </w:r>
      <w:r w:rsidRPr="00EE7D99">
        <w:rPr>
          <w:spacing w:val="-60"/>
        </w:rPr>
        <w:t xml:space="preserve"> </w:t>
      </w:r>
      <w:r w:rsidRPr="00EE7D99">
        <w:t>I benchmark ($172.50 per hour) by 12.5%. Notably, both MBS and P</w:t>
      </w:r>
      <w:r w:rsidRPr="00EE7D99">
        <w:rPr>
          <w:spacing w:val="-60"/>
        </w:rPr>
        <w:t xml:space="preserve"> </w:t>
      </w:r>
      <w:r w:rsidRPr="00EE7D99">
        <w:t>H</w:t>
      </w:r>
      <w:r w:rsidRPr="00EE7D99">
        <w:rPr>
          <w:spacing w:val="-60"/>
        </w:rPr>
        <w:t xml:space="preserve"> </w:t>
      </w:r>
      <w:r w:rsidRPr="00EE7D99">
        <w:t>I transacted prices showed little variation across quartiles, and considering the limited numbers of observations (4,490 for MBS and 190 for PHI), this limits the ability to draw strong conclusions. Given the mixed evidence and small MBS sample size, no change is suggested.</w:t>
      </w:r>
    </w:p>
    <w:p w14:paraId="45FB3522" w14:textId="77777777" w:rsidR="00B219C8" w:rsidRPr="008034CE" w:rsidRDefault="00B219C8" w:rsidP="00B219C8">
      <w:r w:rsidRPr="008034CE">
        <w:t>Exercise Physiology could only be benchmarked against MBS data, as P</w:t>
      </w:r>
      <w:r w:rsidRPr="008034CE">
        <w:rPr>
          <w:spacing w:val="-60"/>
        </w:rPr>
        <w:t xml:space="preserve"> </w:t>
      </w:r>
      <w:r w:rsidRPr="008034CE">
        <w:t>H</w:t>
      </w:r>
      <w:r w:rsidRPr="008034CE">
        <w:rPr>
          <w:spacing w:val="-60"/>
        </w:rPr>
        <w:t xml:space="preserve"> </w:t>
      </w:r>
      <w:r w:rsidRPr="008034CE">
        <w:t>I data was unavailable. The NDIS price limit of $166.99 per hour exceeded the MBS 75th percentile ($140.80 per hour) by 18.6%, based on a 75th percentile session of 38 minutes across a sample of 337,012 MBS transactions. While this indicates moderate divergence, the lack of P</w:t>
      </w:r>
      <w:r w:rsidRPr="008034CE">
        <w:rPr>
          <w:spacing w:val="-60"/>
        </w:rPr>
        <w:t xml:space="preserve"> </w:t>
      </w:r>
      <w:r w:rsidRPr="008034CE">
        <w:t>H</w:t>
      </w:r>
      <w:r w:rsidRPr="008034CE">
        <w:rPr>
          <w:spacing w:val="-60"/>
        </w:rPr>
        <w:t xml:space="preserve"> </w:t>
      </w:r>
      <w:r w:rsidRPr="008034CE">
        <w:t>I benchmark reduces the scope to draw a strong conclusion here. Given the smaller coverage for exercise physiology, it is recommended to maintain the current price limit for now.</w:t>
      </w:r>
    </w:p>
    <w:p w14:paraId="51323E94" w14:textId="5C00A1E4" w:rsidR="002C2287" w:rsidRDefault="00B219C8" w:rsidP="00B219C8">
      <w:r w:rsidRPr="008034CE">
        <w:t xml:space="preserve">Several additional therapy types — including Social Work, Developmental Education, and Early Childhood Educator roles — were not benchmarked due to insufficient data. Where pricing remains unchanged, this reflects a lack of reliable comparative information rather than a determination that price limits are optimal. These types of therapy </w:t>
      </w:r>
      <w:proofErr w:type="gramStart"/>
      <w:r w:rsidRPr="008034CE">
        <w:t>supports</w:t>
      </w:r>
      <w:proofErr w:type="gramEnd"/>
      <w:r w:rsidRPr="008034CE">
        <w:t xml:space="preserve"> will be considered for further analysis in future pricing cycles, with ongoing efforts to continue improving data coverage.</w:t>
      </w:r>
    </w:p>
    <w:p w14:paraId="1F4F9CF2" w14:textId="77777777" w:rsidR="002C2287" w:rsidRDefault="002C2287">
      <w:pPr>
        <w:spacing w:before="120" w:after="120"/>
      </w:pPr>
      <w:r>
        <w:br w:type="page"/>
      </w:r>
    </w:p>
    <w:p w14:paraId="0F979CD2" w14:textId="77777777" w:rsidR="00B219C8" w:rsidRPr="008034CE" w:rsidRDefault="00B219C8" w:rsidP="00B219C8">
      <w:pPr>
        <w:pStyle w:val="Heading5"/>
      </w:pPr>
      <w:bookmarkStart w:id="375" w:name="_Toc195538947"/>
      <w:bookmarkStart w:id="376" w:name="_Toc200103527"/>
      <w:bookmarkStart w:id="377" w:name="_Toc200271640"/>
      <w:r w:rsidRPr="008034CE">
        <w:lastRenderedPageBreak/>
        <w:t>Interpretation and implications – Other Therapies</w:t>
      </w:r>
      <w:bookmarkEnd w:id="375"/>
      <w:bookmarkEnd w:id="376"/>
      <w:bookmarkEnd w:id="377"/>
      <w:r w:rsidRPr="008034CE">
        <w:t xml:space="preserve"> </w:t>
      </w:r>
    </w:p>
    <w:p w14:paraId="061702B8" w14:textId="006FCC43" w:rsidR="00B219C8" w:rsidRPr="008034CE" w:rsidRDefault="00B219C8" w:rsidP="00B219C8">
      <w:r w:rsidRPr="008034CE">
        <w:t>The benchmarking analysis highlights clear price differentiations across therapy types in the private market. Both MBS and P</w:t>
      </w:r>
      <w:r w:rsidRPr="008034CE">
        <w:rPr>
          <w:spacing w:val="-60"/>
        </w:rPr>
        <w:t xml:space="preserve"> </w:t>
      </w:r>
      <w:r w:rsidRPr="008034CE">
        <w:t>H</w:t>
      </w:r>
      <w:r w:rsidRPr="008034CE">
        <w:rPr>
          <w:spacing w:val="-60"/>
        </w:rPr>
        <w:t xml:space="preserve"> </w:t>
      </w:r>
      <w:r w:rsidRPr="008034CE">
        <w:t>I data shows that hourly rates vary</w:t>
      </w:r>
      <w:r w:rsidR="002C2287">
        <w:t xml:space="preserve"> </w:t>
      </w:r>
      <w:r w:rsidRPr="008034CE">
        <w:t>depending on the type of therapy being delivered. In contrast, the NDIS applies limited differentiation with most therapy types priced at the same hourly rate of $193.99. While this approach simplifies administration and reduces complexity, it may not fully reflect the diversity of therapy practices or the way these services are valued in the broader health system. Over time, the NDIA should consider whether a</w:t>
      </w:r>
      <w:r w:rsidR="002C2287">
        <w:t> </w:t>
      </w:r>
      <w:r w:rsidRPr="008034CE">
        <w:t>more differentiated pricing approach, aligned to therapy type, would better support provider viability and reflect market conditions while delivering outcomes for</w:t>
      </w:r>
      <w:r w:rsidR="002C2287">
        <w:t> </w:t>
      </w:r>
      <w:r w:rsidRPr="008034CE">
        <w:t xml:space="preserve">participants. </w:t>
      </w:r>
    </w:p>
    <w:p w14:paraId="3BCFF71B" w14:textId="77777777" w:rsidR="00B219C8" w:rsidRPr="008034CE" w:rsidRDefault="00B219C8" w:rsidP="00B219C8">
      <w:r w:rsidRPr="008034CE">
        <w:t>In addition, data limitations affected the ability to benchmark several therapies, particularly where P</w:t>
      </w:r>
      <w:r w:rsidRPr="008034CE">
        <w:rPr>
          <w:spacing w:val="-60"/>
        </w:rPr>
        <w:t xml:space="preserve"> </w:t>
      </w:r>
      <w:r w:rsidRPr="008034CE">
        <w:t>H</w:t>
      </w:r>
      <w:r w:rsidRPr="008034CE">
        <w:rPr>
          <w:spacing w:val="-60"/>
        </w:rPr>
        <w:t xml:space="preserve"> </w:t>
      </w:r>
      <w:r w:rsidRPr="008034CE">
        <w:t xml:space="preserve">I and MBS data was limited or not available. As a result, pricing decision for some therapy types could not be supported with the same level of evidence as for more common disciplines. The NDIA is committed to further work to refine the benchmarking methodology, improve data coverage across therapy types, and strengthen the evidence base for future pricing reviews. </w:t>
      </w:r>
    </w:p>
    <w:p w14:paraId="34478B5E" w14:textId="77777777" w:rsidR="00B219C8" w:rsidRPr="008034CE" w:rsidRDefault="00B219C8" w:rsidP="00B219C8">
      <w:pPr>
        <w:pStyle w:val="Heading3"/>
      </w:pPr>
      <w:bookmarkStart w:id="378" w:name="_Toc195538948"/>
      <w:bookmarkStart w:id="379" w:name="_Toc195538992"/>
      <w:bookmarkStart w:id="380" w:name="_Toc196754636"/>
      <w:bookmarkStart w:id="381" w:name="_Toc196758238"/>
      <w:bookmarkStart w:id="382" w:name="_Toc197344314"/>
      <w:bookmarkStart w:id="383" w:name="_Toc200271641"/>
      <w:r w:rsidRPr="008034CE">
        <w:t>Geographic Patterns in Market Rates</w:t>
      </w:r>
      <w:bookmarkEnd w:id="378"/>
      <w:bookmarkEnd w:id="379"/>
      <w:bookmarkEnd w:id="380"/>
      <w:bookmarkEnd w:id="381"/>
      <w:bookmarkEnd w:id="382"/>
      <w:bookmarkEnd w:id="383"/>
      <w:r w:rsidRPr="008034CE">
        <w:t xml:space="preserve"> </w:t>
      </w:r>
    </w:p>
    <w:p w14:paraId="37BA76B5" w14:textId="62D32EC0" w:rsidR="00B219C8" w:rsidRPr="008034CE" w:rsidRDefault="00EE7D99" w:rsidP="00B219C8">
      <w:r w:rsidRPr="00EE7D99">
        <w:t>The 2019 Review of Therapy Pricing Arrangements recommended differentiated pricing for psychology and physiotherapy in Western Australia (W</w:t>
      </w:r>
      <w:r w:rsidRPr="00EE7D99">
        <w:rPr>
          <w:spacing w:val="-60"/>
        </w:rPr>
        <w:t xml:space="preserve"> </w:t>
      </w:r>
      <w:r w:rsidRPr="00EE7D99">
        <w:t>A), South Australia (S</w:t>
      </w:r>
      <w:r w:rsidRPr="00EE7D99">
        <w:rPr>
          <w:spacing w:val="-60"/>
        </w:rPr>
        <w:t xml:space="preserve"> </w:t>
      </w:r>
      <w:r w:rsidRPr="00EE7D99">
        <w:t>A), Northern Territory (NT), and Tasmania (TAS), based on observed variation in billing patterns between jurisdictions. At the time, there was some evidence that billing rates in these states were higher, and markets were less competitive. In response, the NDIA introduced higher price limits in these jurisdictions to ensure service availability given limitations in the available data at that time.</w:t>
      </w:r>
      <w:r>
        <w:t xml:space="preserve"> </w:t>
      </w:r>
      <w:r w:rsidR="00B219C8" w:rsidRPr="008034CE">
        <w:t xml:space="preserve">More information on the Review can be found on the </w:t>
      </w:r>
      <w:hyperlink r:id="rId37" w:anchor="pricing-review-documents-2018-19" w:history="1">
        <w:r w:rsidR="00B219C8" w:rsidRPr="008034CE">
          <w:rPr>
            <w:rStyle w:val="Hyperlink"/>
          </w:rPr>
          <w:t>NDIS website</w:t>
        </w:r>
      </w:hyperlink>
      <w:r w:rsidR="00B219C8" w:rsidRPr="008034CE">
        <w:t>.</w:t>
      </w:r>
    </w:p>
    <w:p w14:paraId="0768C444" w14:textId="0E80050C" w:rsidR="00B219C8" w:rsidRPr="008034CE" w:rsidRDefault="00EE7D99" w:rsidP="00B219C8">
      <w:r w:rsidRPr="00EE7D99">
        <w:t>These arrangements were intended to be provisional. The NDIA now has access to more comprehensive, high-quality data sources, including MBS and P</w:t>
      </w:r>
      <w:r w:rsidRPr="00EE7D99">
        <w:rPr>
          <w:spacing w:val="-60"/>
        </w:rPr>
        <w:t xml:space="preserve"> </w:t>
      </w:r>
      <w:r w:rsidRPr="00EE7D99">
        <w:t>H</w:t>
      </w:r>
      <w:r w:rsidRPr="00EE7D99">
        <w:rPr>
          <w:spacing w:val="-60"/>
        </w:rPr>
        <w:t xml:space="preserve"> </w:t>
      </w:r>
      <w:r w:rsidRPr="00EE7D99">
        <w:t>I claims, that provide a clearer picture of therapy pricing across Australia.</w:t>
      </w:r>
      <w:r w:rsidR="00B219C8" w:rsidRPr="008034CE">
        <w:t xml:space="preserve"> </w:t>
      </w:r>
    </w:p>
    <w:p w14:paraId="1EC0898F" w14:textId="77777777" w:rsidR="002C2287" w:rsidRDefault="002C2287">
      <w:pPr>
        <w:spacing w:before="120" w:after="120"/>
      </w:pPr>
      <w:r>
        <w:br w:type="page"/>
      </w:r>
    </w:p>
    <w:p w14:paraId="593E1541" w14:textId="7E5706CA" w:rsidR="00B219C8" w:rsidRPr="008034CE" w:rsidRDefault="00EE7D99" w:rsidP="00B219C8">
      <w:r w:rsidRPr="00EE7D99">
        <w:lastRenderedPageBreak/>
        <w:t>The latest analysis on available transactional datasets do not support current state and territory differentiated NDIS therapy price limits.</w:t>
      </w:r>
      <w:r w:rsidR="00B219C8" w:rsidRPr="008034CE">
        <w:t xml:space="preserve"> As shown in </w:t>
      </w:r>
      <w:r w:rsidR="008B681F">
        <w:fldChar w:fldCharType="begin"/>
      </w:r>
      <w:r w:rsidR="008B681F">
        <w:instrText xml:space="preserve"> REF _Ref195540799 \h </w:instrText>
      </w:r>
      <w:r w:rsidR="008B681F">
        <w:fldChar w:fldCharType="separate"/>
      </w:r>
      <w:r w:rsidR="005763F9" w:rsidRPr="008034CE">
        <w:t xml:space="preserve">Figure </w:t>
      </w:r>
      <w:r w:rsidR="005763F9">
        <w:rPr>
          <w:noProof/>
        </w:rPr>
        <w:t>21</w:t>
      </w:r>
      <w:r w:rsidR="008B681F">
        <w:fldChar w:fldCharType="end"/>
      </w:r>
      <w:r w:rsidR="00B219C8" w:rsidRPr="008034CE">
        <w:t>, average prices for MBS services are consistent across state groupings. To summarise:</w:t>
      </w:r>
    </w:p>
    <w:p w14:paraId="3DC2536D" w14:textId="78D8435A" w:rsidR="00B219C8" w:rsidRPr="008034CE" w:rsidRDefault="00B219C8" w:rsidP="0010695B">
      <w:pPr>
        <w:pStyle w:val="ListParagraph"/>
        <w:numPr>
          <w:ilvl w:val="0"/>
          <w:numId w:val="27"/>
        </w:numPr>
        <w:spacing w:line="288" w:lineRule="auto"/>
      </w:pPr>
      <w:r w:rsidRPr="008034CE">
        <w:t>For psychology, the weighted average price per service is $220 per hour in NSW/VIC/QLD/A</w:t>
      </w:r>
      <w:r w:rsidRPr="008034CE">
        <w:rPr>
          <w:spacing w:val="-60"/>
        </w:rPr>
        <w:t xml:space="preserve"> </w:t>
      </w:r>
      <w:r w:rsidRPr="008034CE">
        <w:t>C</w:t>
      </w:r>
      <w:r w:rsidRPr="008034CE">
        <w:rPr>
          <w:spacing w:val="-60"/>
        </w:rPr>
        <w:t xml:space="preserve"> </w:t>
      </w:r>
      <w:r w:rsidRPr="008034CE">
        <w:t>T and $218 per hour in W</w:t>
      </w:r>
      <w:r w:rsidRPr="008034CE">
        <w:rPr>
          <w:spacing w:val="-60"/>
        </w:rPr>
        <w:t xml:space="preserve"> </w:t>
      </w:r>
      <w:r w:rsidRPr="008034CE">
        <w:t>A/S</w:t>
      </w:r>
      <w:r w:rsidRPr="008034CE">
        <w:rPr>
          <w:spacing w:val="-60"/>
        </w:rPr>
        <w:t xml:space="preserve"> </w:t>
      </w:r>
      <w:r w:rsidRPr="008034CE">
        <w:t>A/NT/TAS</w:t>
      </w:r>
    </w:p>
    <w:p w14:paraId="5539C867" w14:textId="73FBFCA2" w:rsidR="0061267D" w:rsidRDefault="00B219C8" w:rsidP="0010695B">
      <w:pPr>
        <w:pStyle w:val="ListParagraph"/>
        <w:numPr>
          <w:ilvl w:val="0"/>
          <w:numId w:val="27"/>
        </w:numPr>
        <w:spacing w:line="288" w:lineRule="auto"/>
      </w:pPr>
      <w:r w:rsidRPr="008034CE">
        <w:t>For physiotherapy, the equivalent hourly averages are $76 and $71</w:t>
      </w:r>
      <w:r w:rsidR="002C2287">
        <w:t> </w:t>
      </w:r>
      <w:r w:rsidRPr="008034CE">
        <w:t>respectively.</w:t>
      </w:r>
    </w:p>
    <w:p w14:paraId="5F484CB0" w14:textId="77777777" w:rsidR="0061267D" w:rsidRPr="008034CE" w:rsidRDefault="0061267D" w:rsidP="0010695B">
      <w:pPr>
        <w:pStyle w:val="ListParagraph"/>
        <w:numPr>
          <w:ilvl w:val="0"/>
          <w:numId w:val="27"/>
        </w:numPr>
        <w:spacing w:line="288" w:lineRule="auto"/>
      </w:pPr>
      <w:r w:rsidRPr="008034CE">
        <w:t>Other therapies, including speech pathology, occupational therapy, and exercise physiology, show similar patterns, with little to no geographic uplift evident in either MBS or P</w:t>
      </w:r>
      <w:r w:rsidRPr="008034CE">
        <w:rPr>
          <w:spacing w:val="-60"/>
        </w:rPr>
        <w:t xml:space="preserve"> </w:t>
      </w:r>
      <w:r w:rsidRPr="008034CE">
        <w:t>H</w:t>
      </w:r>
      <w:r w:rsidRPr="008034CE">
        <w:rPr>
          <w:spacing w:val="-60"/>
        </w:rPr>
        <w:t xml:space="preserve"> </w:t>
      </w:r>
      <w:r w:rsidRPr="008034CE">
        <w:t xml:space="preserve">I data. </w:t>
      </w:r>
    </w:p>
    <w:p w14:paraId="06EAE54D" w14:textId="4410C4FC" w:rsidR="0061267D" w:rsidRPr="008034CE" w:rsidRDefault="00EE7D99" w:rsidP="0061267D">
      <w:proofErr w:type="gramStart"/>
      <w:r w:rsidRPr="00EE7D99">
        <w:t>In light of</w:t>
      </w:r>
      <w:proofErr w:type="gramEnd"/>
      <w:r w:rsidRPr="00EE7D99">
        <w:t xml:space="preserve"> the available evidence, analysis suggest that any structural differences between jurisdictions have narrowed or are no longer relevant. In this context, continuing to apply higher price limits in selected jurisdictions would create inconsistency in evidence-based decision-making.</w:t>
      </w:r>
      <w:r>
        <w:t xml:space="preserve"> </w:t>
      </w:r>
    </w:p>
    <w:p w14:paraId="7C6B7CE8" w14:textId="33D55B66" w:rsidR="0061267D" w:rsidRPr="008034CE" w:rsidRDefault="0061267D" w:rsidP="0061267D">
      <w:pPr>
        <w:pStyle w:val="Caption"/>
      </w:pPr>
      <w:bookmarkStart w:id="384" w:name="_Ref195540799"/>
      <w:r w:rsidRPr="008034CE">
        <w:t xml:space="preserve">Figure </w:t>
      </w:r>
      <w:r w:rsidR="005763F9">
        <w:fldChar w:fldCharType="begin"/>
      </w:r>
      <w:r w:rsidR="005763F9">
        <w:instrText xml:space="preserve"> SEQ Figure \* ARABIC </w:instrText>
      </w:r>
      <w:r w:rsidR="005763F9">
        <w:fldChar w:fldCharType="separate"/>
      </w:r>
      <w:r w:rsidR="005763F9">
        <w:rPr>
          <w:noProof/>
        </w:rPr>
        <w:t>21</w:t>
      </w:r>
      <w:r w:rsidR="005763F9">
        <w:rPr>
          <w:noProof/>
        </w:rPr>
        <w:fldChar w:fldCharType="end"/>
      </w:r>
      <w:bookmarkEnd w:id="384"/>
      <w:r w:rsidRPr="008034CE">
        <w:t>: Average Price for Medicare Subsided Services by State and Territory</w:t>
      </w:r>
    </w:p>
    <w:p w14:paraId="42A3CA7D" w14:textId="77777777" w:rsidR="0061267D" w:rsidRPr="008034CE" w:rsidRDefault="0061267D" w:rsidP="0061267D">
      <w:pPr>
        <w:pStyle w:val="Caption"/>
      </w:pPr>
      <w:r w:rsidRPr="008034CE">
        <w:rPr>
          <w:noProof/>
        </w:rPr>
        <w:drawing>
          <wp:inline distT="0" distB="0" distL="0" distR="0" wp14:anchorId="4F7C6A9D" wp14:editId="70291FD7">
            <wp:extent cx="5401310" cy="4116684"/>
            <wp:effectExtent l="0" t="0" r="0" b="0"/>
            <wp:docPr id="1602625652" name="Picture 3" descr="A column graph showing the average price for Medicare subsidised services by State and Territory.&#10;&#10;The graph shows that, for most services, there is only slight variation between States and Territor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625652" name="Picture 3" descr="A column graph showing the average price for Medicare subsidised services by State and Territory.&#10;&#10;The graph shows that, for most services, there is only slight variation between States and Territories. "/>
                    <pic:cNvPicPr/>
                  </pic:nvPicPr>
                  <pic:blipFill>
                    <a:blip r:embed="rId38" cstate="print">
                      <a:extLst>
                        <a:ext uri="{28A0092B-C50C-407E-A947-70E740481C1C}">
                          <a14:useLocalDpi xmlns:a14="http://schemas.microsoft.com/office/drawing/2010/main" val="0"/>
                        </a:ext>
                      </a:extLst>
                    </a:blip>
                    <a:srcRect t="178" b="178"/>
                    <a:stretch>
                      <a:fillRect/>
                    </a:stretch>
                  </pic:blipFill>
                  <pic:spPr>
                    <a:xfrm>
                      <a:off x="0" y="0"/>
                      <a:ext cx="5401310" cy="4116684"/>
                    </a:xfrm>
                    <a:prstGeom prst="rect">
                      <a:avLst/>
                    </a:prstGeom>
                  </pic:spPr>
                </pic:pic>
              </a:graphicData>
            </a:graphic>
          </wp:inline>
        </w:drawing>
      </w:r>
    </w:p>
    <w:p w14:paraId="209C0124" w14:textId="77777777" w:rsidR="0061267D" w:rsidRDefault="0061267D" w:rsidP="0061267D">
      <w:pPr>
        <w:rPr>
          <w:b/>
          <w:sz w:val="20"/>
          <w:szCs w:val="20"/>
        </w:rPr>
      </w:pPr>
      <w:r w:rsidRPr="008034CE">
        <w:rPr>
          <w:b/>
          <w:sz w:val="20"/>
          <w:szCs w:val="20"/>
        </w:rPr>
        <w:t xml:space="preserve">Source: </w:t>
      </w:r>
      <w:r w:rsidRPr="008034CE">
        <w:rPr>
          <w:b/>
          <w:bCs/>
          <w:sz w:val="20"/>
          <w:szCs w:val="20"/>
        </w:rPr>
        <w:t>NDIA calculations</w:t>
      </w:r>
      <w:r w:rsidRPr="008034CE">
        <w:rPr>
          <w:b/>
          <w:sz w:val="20"/>
          <w:szCs w:val="20"/>
        </w:rPr>
        <w:t xml:space="preserve"> of MBS dataset.</w:t>
      </w:r>
    </w:p>
    <w:p w14:paraId="72F894A9" w14:textId="77777777" w:rsidR="00DC121C" w:rsidRPr="00DC121C" w:rsidRDefault="00DC121C" w:rsidP="00DC121C">
      <w:pPr>
        <w:pStyle w:val="Notefortableorfigure"/>
      </w:pPr>
      <w:r w:rsidRPr="00DC121C">
        <w:t>Note: This figure represents the average price charged per session from MBS data. It is different from the hourly rates as it has not been adjusted for time.</w:t>
      </w:r>
    </w:p>
    <w:p w14:paraId="1BE492DA" w14:textId="77777777" w:rsidR="0061267D" w:rsidRPr="002E10AC" w:rsidRDefault="0061267D" w:rsidP="0061267D">
      <w:pPr>
        <w:pStyle w:val="Heading4"/>
        <w:rPr>
          <w:spacing w:val="-2"/>
        </w:rPr>
      </w:pPr>
      <w:bookmarkStart w:id="385" w:name="_Toc195538949"/>
      <w:bookmarkStart w:id="386" w:name="_Toc200103529"/>
      <w:bookmarkStart w:id="387" w:name="_Toc200271642"/>
      <w:r w:rsidRPr="002E10AC">
        <w:rPr>
          <w:spacing w:val="-2"/>
        </w:rPr>
        <w:lastRenderedPageBreak/>
        <w:t>Interpretation and implications – Geographic Patterns in Market Rates</w:t>
      </w:r>
      <w:bookmarkEnd w:id="385"/>
      <w:bookmarkEnd w:id="386"/>
      <w:bookmarkEnd w:id="387"/>
      <w:r w:rsidRPr="002E10AC">
        <w:rPr>
          <w:spacing w:val="-2"/>
        </w:rPr>
        <w:t xml:space="preserve"> </w:t>
      </w:r>
    </w:p>
    <w:p w14:paraId="2AE287B1" w14:textId="77777777" w:rsidR="0061267D" w:rsidRPr="008034CE" w:rsidRDefault="0061267D" w:rsidP="0061267D">
      <w:r w:rsidRPr="008034CE">
        <w:t>The benchmarking analysis indicates that, while private market rates vary modestly across jurisdictions, the differences are not consistent or substantial enough to justify ongoing price limit differentials between states and territories. In most cases, MBS and P</w:t>
      </w:r>
      <w:r w:rsidRPr="008034CE">
        <w:rPr>
          <w:spacing w:val="-60"/>
        </w:rPr>
        <w:t xml:space="preserve"> </w:t>
      </w:r>
      <w:r w:rsidRPr="008034CE">
        <w:t>H</w:t>
      </w:r>
      <w:r w:rsidRPr="008034CE">
        <w:rPr>
          <w:spacing w:val="-60"/>
        </w:rPr>
        <w:t xml:space="preserve"> </w:t>
      </w:r>
      <w:r w:rsidRPr="008034CE">
        <w:t xml:space="preserve">I data show that pricing variation across jurisdictions is smaller than current differences embedded in NDIS price limits. </w:t>
      </w:r>
    </w:p>
    <w:p w14:paraId="22C398D6" w14:textId="77777777" w:rsidR="002E10AC" w:rsidRPr="008034CE" w:rsidRDefault="002E10AC" w:rsidP="002E10AC">
      <w:r w:rsidRPr="008034CE">
        <w:t>In general, given the loading provision under the NDIS, price limits are already 40% higher in remote areas and 50% higher in very remote areas. These findings support the removal of current state-based price limit differences given the lack of variation in pricing across regions. Where localised market challenges exist – such as thin markets or limited workforce availability –</w:t>
      </w:r>
      <w:r w:rsidRPr="008034CE" w:rsidDel="00A42991">
        <w:t xml:space="preserve"> </w:t>
      </w:r>
      <w:r w:rsidRPr="008034CE">
        <w:t>targeted non-price mechanisms may be more appropriate than broad-based state and territory price premium.</w:t>
      </w:r>
    </w:p>
    <w:p w14:paraId="3D271F13" w14:textId="77777777" w:rsidR="002E10AC" w:rsidRPr="008034CE" w:rsidRDefault="002E10AC" w:rsidP="001D281B">
      <w:pPr>
        <w:pStyle w:val="Heading3"/>
        <w:spacing w:before="720"/>
      </w:pPr>
      <w:bookmarkStart w:id="388" w:name="_Toc195538950"/>
      <w:bookmarkStart w:id="389" w:name="_Toc195538993"/>
      <w:bookmarkStart w:id="390" w:name="_Toc196754637"/>
      <w:bookmarkStart w:id="391" w:name="_Toc196758239"/>
      <w:bookmarkStart w:id="392" w:name="_Toc197344315"/>
      <w:bookmarkStart w:id="393" w:name="_Toc200271643"/>
      <w:r w:rsidRPr="008034CE">
        <w:t>Other Government Schemes</w:t>
      </w:r>
      <w:bookmarkEnd w:id="388"/>
      <w:bookmarkEnd w:id="389"/>
      <w:bookmarkEnd w:id="390"/>
      <w:bookmarkEnd w:id="391"/>
      <w:bookmarkEnd w:id="392"/>
      <w:bookmarkEnd w:id="393"/>
    </w:p>
    <w:p w14:paraId="20DFE0D7" w14:textId="77777777" w:rsidR="002E10AC" w:rsidRPr="008034CE" w:rsidRDefault="002E10AC" w:rsidP="002E10AC">
      <w:r w:rsidRPr="008034CE">
        <w:t xml:space="preserve">This section presents benchmarking data from selected Commonwealth and state-funded schemes, including: </w:t>
      </w:r>
    </w:p>
    <w:p w14:paraId="47C14FC7" w14:textId="77777777" w:rsidR="002E10AC" w:rsidRPr="008034CE" w:rsidRDefault="002E10AC" w:rsidP="0010695B">
      <w:pPr>
        <w:pStyle w:val="ListParagraph"/>
        <w:numPr>
          <w:ilvl w:val="0"/>
          <w:numId w:val="28"/>
        </w:numPr>
        <w:spacing w:line="288" w:lineRule="auto"/>
      </w:pPr>
      <w:r w:rsidRPr="008034CE">
        <w:t>Catastrophic Injuries Support (C</w:t>
      </w:r>
      <w:r w:rsidRPr="008034CE">
        <w:rPr>
          <w:spacing w:val="-60"/>
        </w:rPr>
        <w:t xml:space="preserve"> </w:t>
      </w:r>
      <w:r w:rsidRPr="008034CE">
        <w:t>I</w:t>
      </w:r>
      <w:r w:rsidRPr="008034CE">
        <w:rPr>
          <w:spacing w:val="-60"/>
        </w:rPr>
        <w:t xml:space="preserve"> </w:t>
      </w:r>
      <w:r w:rsidRPr="008034CE">
        <w:t>S) Scheme</w:t>
      </w:r>
    </w:p>
    <w:p w14:paraId="5E1E5D8F" w14:textId="77777777" w:rsidR="002E10AC" w:rsidRPr="008034CE" w:rsidRDefault="002E10AC" w:rsidP="0010695B">
      <w:pPr>
        <w:pStyle w:val="ListParagraph"/>
        <w:numPr>
          <w:ilvl w:val="0"/>
          <w:numId w:val="28"/>
        </w:numPr>
        <w:spacing w:line="288" w:lineRule="auto"/>
      </w:pPr>
      <w:r w:rsidRPr="008034CE">
        <w:t>ComCare</w:t>
      </w:r>
    </w:p>
    <w:p w14:paraId="4DF80FBD" w14:textId="77777777" w:rsidR="002E10AC" w:rsidRPr="008034CE" w:rsidRDefault="002E10AC" w:rsidP="0010695B">
      <w:pPr>
        <w:pStyle w:val="ListParagraph"/>
        <w:numPr>
          <w:ilvl w:val="0"/>
          <w:numId w:val="28"/>
        </w:numPr>
        <w:spacing w:line="288" w:lineRule="auto"/>
      </w:pPr>
      <w:r w:rsidRPr="008034CE">
        <w:t>Department of Veterans’ Affairs (DVA)</w:t>
      </w:r>
    </w:p>
    <w:p w14:paraId="4080A8DE" w14:textId="77777777" w:rsidR="002E10AC" w:rsidRPr="008034CE" w:rsidRDefault="002E10AC" w:rsidP="0010695B">
      <w:pPr>
        <w:pStyle w:val="ListParagraph"/>
        <w:numPr>
          <w:ilvl w:val="0"/>
          <w:numId w:val="28"/>
        </w:numPr>
        <w:spacing w:line="288" w:lineRule="auto"/>
      </w:pPr>
      <w:r w:rsidRPr="008034CE">
        <w:t>Home and Community Care Program for Younger People (HACC-PYP)</w:t>
      </w:r>
    </w:p>
    <w:p w14:paraId="22DB1302" w14:textId="77777777" w:rsidR="002E10AC" w:rsidRPr="008034CE" w:rsidRDefault="002E10AC" w:rsidP="0010695B">
      <w:pPr>
        <w:pStyle w:val="ListParagraph"/>
        <w:numPr>
          <w:ilvl w:val="0"/>
          <w:numId w:val="28"/>
        </w:numPr>
        <w:spacing w:line="288" w:lineRule="auto"/>
      </w:pPr>
      <w:r w:rsidRPr="008034CE">
        <w:t>Lifetime Support Authority (LSA)</w:t>
      </w:r>
    </w:p>
    <w:p w14:paraId="4974FCB5" w14:textId="77777777" w:rsidR="002E10AC" w:rsidRPr="008034CE" w:rsidRDefault="002E10AC" w:rsidP="0010695B">
      <w:pPr>
        <w:pStyle w:val="ListParagraph"/>
        <w:numPr>
          <w:ilvl w:val="0"/>
          <w:numId w:val="28"/>
        </w:numPr>
        <w:spacing w:line="288" w:lineRule="auto"/>
      </w:pPr>
      <w:r w:rsidRPr="008034CE">
        <w:t>Motor Accidents Insurance Board (MAIB)</w:t>
      </w:r>
    </w:p>
    <w:p w14:paraId="280F8273" w14:textId="77777777" w:rsidR="002E10AC" w:rsidRPr="008034CE" w:rsidRDefault="002E10AC" w:rsidP="0010695B">
      <w:pPr>
        <w:pStyle w:val="ListParagraph"/>
        <w:numPr>
          <w:ilvl w:val="0"/>
          <w:numId w:val="28"/>
        </w:numPr>
        <w:spacing w:line="288" w:lineRule="auto"/>
      </w:pPr>
      <w:r w:rsidRPr="008034CE">
        <w:t>Medicare Benefit Scheme (MBS)</w:t>
      </w:r>
    </w:p>
    <w:p w14:paraId="760C2F52" w14:textId="77777777" w:rsidR="002E10AC" w:rsidRPr="008034CE" w:rsidRDefault="002E10AC" w:rsidP="0010695B">
      <w:pPr>
        <w:pStyle w:val="ListParagraph"/>
        <w:numPr>
          <w:ilvl w:val="0"/>
          <w:numId w:val="28"/>
        </w:numPr>
        <w:spacing w:line="288" w:lineRule="auto"/>
      </w:pPr>
      <w:r w:rsidRPr="008034CE">
        <w:t>National Injury Insurance Scheme Queensland (NIISQ)</w:t>
      </w:r>
    </w:p>
    <w:p w14:paraId="4C8049CF" w14:textId="77777777" w:rsidR="002E10AC" w:rsidRPr="008034CE" w:rsidRDefault="002E10AC" w:rsidP="0010695B">
      <w:pPr>
        <w:pStyle w:val="ListParagraph"/>
        <w:numPr>
          <w:ilvl w:val="0"/>
          <w:numId w:val="28"/>
        </w:numPr>
        <w:spacing w:line="288" w:lineRule="auto"/>
      </w:pPr>
      <w:r w:rsidRPr="008034CE">
        <w:t>Return To Work South Australia (RTWSA)</w:t>
      </w:r>
    </w:p>
    <w:p w14:paraId="709C6F20" w14:textId="77777777" w:rsidR="002E10AC" w:rsidRPr="008034CE" w:rsidRDefault="002E10AC" w:rsidP="0010695B">
      <w:pPr>
        <w:pStyle w:val="ListParagraph"/>
        <w:numPr>
          <w:ilvl w:val="0"/>
          <w:numId w:val="28"/>
        </w:numPr>
        <w:spacing w:line="288" w:lineRule="auto"/>
      </w:pPr>
      <w:r w:rsidRPr="008034CE">
        <w:t>State Insurance Regulatory Authority (S</w:t>
      </w:r>
      <w:r w:rsidRPr="008034CE">
        <w:rPr>
          <w:spacing w:val="-60"/>
        </w:rPr>
        <w:t xml:space="preserve"> </w:t>
      </w:r>
      <w:r w:rsidRPr="008034CE">
        <w:t>I</w:t>
      </w:r>
      <w:r w:rsidRPr="008034CE">
        <w:rPr>
          <w:spacing w:val="-60"/>
        </w:rPr>
        <w:t xml:space="preserve"> </w:t>
      </w:r>
      <w:r w:rsidRPr="008034CE">
        <w:t>R</w:t>
      </w:r>
      <w:r w:rsidRPr="008034CE">
        <w:rPr>
          <w:spacing w:val="-60"/>
        </w:rPr>
        <w:t xml:space="preserve"> </w:t>
      </w:r>
      <w:r w:rsidRPr="008034CE">
        <w:t>A)</w:t>
      </w:r>
    </w:p>
    <w:p w14:paraId="3C60122A" w14:textId="302A164D" w:rsidR="002E10AC" w:rsidRPr="008034CE" w:rsidRDefault="002E10AC" w:rsidP="0010695B">
      <w:pPr>
        <w:pStyle w:val="ListParagraph"/>
        <w:numPr>
          <w:ilvl w:val="0"/>
          <w:numId w:val="28"/>
        </w:numPr>
        <w:spacing w:line="288" w:lineRule="auto"/>
      </w:pPr>
      <w:r w:rsidRPr="008034CE">
        <w:t xml:space="preserve">Transport Accident Commission Victoria </w:t>
      </w:r>
      <w:r w:rsidR="003D3346">
        <w:t>(</w:t>
      </w:r>
      <w:r w:rsidRPr="008034CE">
        <w:t>T</w:t>
      </w:r>
      <w:r w:rsidRPr="008034CE">
        <w:rPr>
          <w:spacing w:val="-60"/>
        </w:rPr>
        <w:t xml:space="preserve"> </w:t>
      </w:r>
      <w:r w:rsidRPr="008034CE">
        <w:t>A</w:t>
      </w:r>
      <w:r w:rsidRPr="008034CE">
        <w:rPr>
          <w:spacing w:val="-60"/>
        </w:rPr>
        <w:t xml:space="preserve"> </w:t>
      </w:r>
      <w:r w:rsidRPr="008034CE">
        <w:t>C)</w:t>
      </w:r>
    </w:p>
    <w:p w14:paraId="4CA5B2B1" w14:textId="77777777" w:rsidR="002E10AC" w:rsidRPr="008034CE" w:rsidRDefault="002E10AC" w:rsidP="0010695B">
      <w:pPr>
        <w:pStyle w:val="ListParagraph"/>
        <w:numPr>
          <w:ilvl w:val="0"/>
          <w:numId w:val="28"/>
        </w:numPr>
        <w:spacing w:line="288" w:lineRule="auto"/>
      </w:pPr>
      <w:proofErr w:type="spellStart"/>
      <w:r w:rsidRPr="008034CE">
        <w:t>WorkCover</w:t>
      </w:r>
      <w:proofErr w:type="spellEnd"/>
      <w:r w:rsidRPr="008034CE">
        <w:t xml:space="preserve"> Western Australia</w:t>
      </w:r>
    </w:p>
    <w:p w14:paraId="0BC51D8D" w14:textId="77777777" w:rsidR="002E10AC" w:rsidRPr="008034CE" w:rsidRDefault="002E10AC" w:rsidP="0010695B">
      <w:pPr>
        <w:pStyle w:val="ListParagraph"/>
        <w:numPr>
          <w:ilvl w:val="0"/>
          <w:numId w:val="28"/>
        </w:numPr>
        <w:spacing w:line="288" w:lineRule="auto"/>
      </w:pPr>
      <w:r w:rsidRPr="008034CE">
        <w:t>WorkSafe Victoria</w:t>
      </w:r>
    </w:p>
    <w:p w14:paraId="240B5742" w14:textId="77777777" w:rsidR="002E10AC" w:rsidRPr="008034CE" w:rsidRDefault="002E10AC" w:rsidP="002E10AC">
      <w:r w:rsidRPr="008034CE">
        <w:t>These schemes fund allied health services for specific populations (e.g., injured workers, veterans, motor accident claimants). Unlike MBS or P</w:t>
      </w:r>
      <w:r w:rsidRPr="008034CE">
        <w:rPr>
          <w:spacing w:val="-60"/>
        </w:rPr>
        <w:t xml:space="preserve"> </w:t>
      </w:r>
      <w:r w:rsidRPr="008034CE">
        <w:t>H</w:t>
      </w:r>
      <w:r w:rsidRPr="008034CE">
        <w:rPr>
          <w:spacing w:val="-60"/>
        </w:rPr>
        <w:t xml:space="preserve"> </w:t>
      </w:r>
      <w:r w:rsidRPr="008034CE">
        <w:t xml:space="preserve">I, many of these schemes typically set explicit time-based rates, and some pricing structures include allowances for both direct and indirect service delivery. </w:t>
      </w:r>
    </w:p>
    <w:p w14:paraId="621F38D2" w14:textId="6C127016" w:rsidR="002E10AC" w:rsidRPr="008034CE" w:rsidRDefault="002E10AC" w:rsidP="002E10AC">
      <w:r w:rsidRPr="008034CE">
        <w:fldChar w:fldCharType="begin"/>
      </w:r>
      <w:r w:rsidRPr="008034CE">
        <w:instrText xml:space="preserve"> REF _Ref195540848 \h  \* MERGEFORMAT </w:instrText>
      </w:r>
      <w:r w:rsidRPr="008034CE">
        <w:fldChar w:fldCharType="separate"/>
      </w:r>
      <w:r w:rsidR="005763F9" w:rsidRPr="008034CE">
        <w:t xml:space="preserve">Figure </w:t>
      </w:r>
      <w:r w:rsidR="005763F9">
        <w:t>22</w:t>
      </w:r>
      <w:r w:rsidRPr="008034CE">
        <w:fldChar w:fldCharType="end"/>
      </w:r>
      <w:r w:rsidRPr="008034CE">
        <w:t xml:space="preserve"> presents NDIS price limits compared to other government funding schemes’ pricing for therapy supports. This has been calculated at a comparable hourly rate and presented in a similar approach to previous APRs for consistency.</w:t>
      </w:r>
    </w:p>
    <w:p w14:paraId="6032D1F3" w14:textId="64AEC023" w:rsidR="001D281B" w:rsidRPr="008034CE" w:rsidRDefault="001D281B" w:rsidP="001D281B">
      <w:pPr>
        <w:pStyle w:val="Caption"/>
      </w:pPr>
      <w:bookmarkStart w:id="394" w:name="_Ref195540848"/>
      <w:r w:rsidRPr="008034CE">
        <w:lastRenderedPageBreak/>
        <w:t xml:space="preserve">Figure </w:t>
      </w:r>
      <w:r w:rsidR="005763F9">
        <w:fldChar w:fldCharType="begin"/>
      </w:r>
      <w:r w:rsidR="005763F9">
        <w:instrText xml:space="preserve"> SEQ Figure \* ARABIC </w:instrText>
      </w:r>
      <w:r w:rsidR="005763F9">
        <w:fldChar w:fldCharType="separate"/>
      </w:r>
      <w:r w:rsidR="005763F9">
        <w:rPr>
          <w:noProof/>
        </w:rPr>
        <w:t>22</w:t>
      </w:r>
      <w:r w:rsidR="005763F9">
        <w:rPr>
          <w:noProof/>
        </w:rPr>
        <w:fldChar w:fldCharType="end"/>
      </w:r>
      <w:bookmarkEnd w:id="394"/>
      <w:r w:rsidRPr="008034CE">
        <w:t>: Comparison of NDIS Price Limits to other Government Schemes</w:t>
      </w:r>
    </w:p>
    <w:p w14:paraId="18AD4580" w14:textId="77777777" w:rsidR="001D281B" w:rsidRPr="008034CE" w:rsidRDefault="001D281B" w:rsidP="002C2287">
      <w:pPr>
        <w:spacing w:after="0"/>
      </w:pPr>
      <w:r w:rsidRPr="008034CE">
        <w:rPr>
          <w:noProof/>
        </w:rPr>
        <w:drawing>
          <wp:inline distT="0" distB="0" distL="0" distR="0" wp14:anchorId="2FFC99AD" wp14:editId="0CA4C457">
            <wp:extent cx="5724524" cy="3261101"/>
            <wp:effectExtent l="0" t="0" r="0" b="0"/>
            <wp:docPr id="445294191" name="Picture 445294191" descr="A box and whisker plot comparing NDIS price limits to other government schemes.&#10;&#10;The median prices across other government schemes for most therapy supports remain below the comparable NDIS price limits, except for psychologist, physiotherapist, and exercise physiolog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294191" name="Picture 445294191" descr="A box and whisker plot comparing NDIS price limits to other government schemes.&#10;&#10;The median prices across other government schemes for most therapy supports remain below the comparable NDIS price limits, except for psychologist, physiotherapist, and exercise physiologist."/>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724524" cy="3261101"/>
                    </a:xfrm>
                    <a:prstGeom prst="rect">
                      <a:avLst/>
                    </a:prstGeom>
                  </pic:spPr>
                </pic:pic>
              </a:graphicData>
            </a:graphic>
          </wp:inline>
        </w:drawing>
      </w:r>
    </w:p>
    <w:p w14:paraId="4A4FFA65" w14:textId="77777777" w:rsidR="001D281B" w:rsidRPr="008034CE" w:rsidRDefault="001D281B" w:rsidP="001D281B">
      <w:pPr>
        <w:spacing w:after="0"/>
        <w:rPr>
          <w:rFonts w:cs="Arial"/>
          <w:sz w:val="20"/>
          <w:szCs w:val="20"/>
        </w:rPr>
      </w:pPr>
      <w:r w:rsidRPr="008034CE">
        <w:rPr>
          <w:rFonts w:cs="Arial"/>
          <w:sz w:val="20"/>
          <w:szCs w:val="20"/>
        </w:rPr>
        <w:t>Source: NDIA calculations using prices received from other government funding schemes</w:t>
      </w:r>
    </w:p>
    <w:p w14:paraId="31ADA4C2" w14:textId="77777777" w:rsidR="00436003" w:rsidRPr="008675D6" w:rsidRDefault="00436003" w:rsidP="00436003">
      <w:pPr>
        <w:pStyle w:val="Notefortableorfigure"/>
        <w:rPr>
          <w:sz w:val="32"/>
          <w:szCs w:val="32"/>
        </w:rPr>
      </w:pPr>
      <w:bookmarkStart w:id="395" w:name="_Toc195538951"/>
      <w:bookmarkStart w:id="396" w:name="_Toc200103531"/>
      <w:r w:rsidRPr="00436003">
        <w:t>Note: The two data points indicating NDIS price limits for Psychologists and Physiotherapists reflect the different price limits for these supports across different states and territories.</w:t>
      </w:r>
    </w:p>
    <w:p w14:paraId="04BDD858" w14:textId="77777777" w:rsidR="001D281B" w:rsidRPr="008034CE" w:rsidRDefault="001D281B" w:rsidP="001D281B">
      <w:pPr>
        <w:pStyle w:val="Heading4"/>
      </w:pPr>
      <w:bookmarkStart w:id="397" w:name="_Toc200271644"/>
      <w:r w:rsidRPr="008034CE">
        <w:t>Key Observations</w:t>
      </w:r>
      <w:bookmarkEnd w:id="395"/>
      <w:bookmarkEnd w:id="396"/>
      <w:bookmarkEnd w:id="397"/>
      <w:r w:rsidRPr="008034CE">
        <w:t xml:space="preserve"> </w:t>
      </w:r>
    </w:p>
    <w:p w14:paraId="02214E90" w14:textId="77777777" w:rsidR="001D281B" w:rsidRPr="008034CE" w:rsidRDefault="001D281B" w:rsidP="001D281B">
      <w:r w:rsidRPr="008034CE">
        <w:t>The NDIS price limits for therapy supports are generally comparable across government schemes highlighting broad alignment across the schemes. Besides for one NDIS physiotherapy price limit, NDIS therapist price limits are generally between the 50th and 75th percentiles in the calculated bands from the available therapy data received from other schemes.</w:t>
      </w:r>
    </w:p>
    <w:p w14:paraId="52CF8C54" w14:textId="77777777" w:rsidR="001D281B" w:rsidRPr="008034CE" w:rsidRDefault="001D281B" w:rsidP="001D281B">
      <w:r w:rsidRPr="008034CE">
        <w:t>Physiotherapy and Occupational Therapy are priced consistently lower under these schemes, with most falling between $140 to $190 per hour, compared to $193.99-$224.62 per hour (state and territory special price limit) under the NDIS.</w:t>
      </w:r>
    </w:p>
    <w:p w14:paraId="7F475E30" w14:textId="77777777" w:rsidR="001D281B" w:rsidRPr="008034CE" w:rsidRDefault="001D281B" w:rsidP="001D281B">
      <w:r w:rsidRPr="008034CE">
        <w:t>Psychology pricing is somewhat more variable across schemes but is still typically comparable to the NDIS price limit ($222.99-$244.22 per hour state and territory special price limit). However, the NDIS price limits lie below the calculated median across comparative schemes.</w:t>
      </w:r>
    </w:p>
    <w:p w14:paraId="3054D2AB" w14:textId="77777777" w:rsidR="002C2287" w:rsidRDefault="001D281B" w:rsidP="00B513F0">
      <w:r w:rsidRPr="008034CE">
        <w:t>It is important to note that these schemes often incorporate defined billing rules and tighter controls on indirect activity, offering pricing models that reflect more structured and regulated environments.</w:t>
      </w:r>
    </w:p>
    <w:p w14:paraId="459A6235" w14:textId="142A2832" w:rsidR="00B513F0" w:rsidRPr="008034CE" w:rsidRDefault="00B513F0" w:rsidP="002C2287">
      <w:r w:rsidRPr="008034CE">
        <w:t xml:space="preserve">These findings support the view that NDIS price limits are generally aligned with or above regulated benchmarks in other schemes. </w:t>
      </w:r>
    </w:p>
    <w:p w14:paraId="4EB6749A" w14:textId="77777777" w:rsidR="00B513F0" w:rsidRPr="008034CE" w:rsidRDefault="00B513F0" w:rsidP="00B513F0">
      <w:pPr>
        <w:pStyle w:val="Heading3"/>
      </w:pPr>
      <w:bookmarkStart w:id="398" w:name="_Toc195538952"/>
      <w:bookmarkStart w:id="399" w:name="_Toc195538994"/>
      <w:bookmarkStart w:id="400" w:name="_Toc196754638"/>
      <w:bookmarkStart w:id="401" w:name="_Toc196758240"/>
      <w:bookmarkStart w:id="402" w:name="_Toc197344316"/>
      <w:bookmarkStart w:id="403" w:name="_Toc200271645"/>
      <w:r w:rsidRPr="008034CE">
        <w:lastRenderedPageBreak/>
        <w:t>Website Listings (Private Billing)</w:t>
      </w:r>
      <w:bookmarkEnd w:id="398"/>
      <w:bookmarkEnd w:id="399"/>
      <w:bookmarkEnd w:id="400"/>
      <w:bookmarkEnd w:id="401"/>
      <w:bookmarkEnd w:id="402"/>
      <w:bookmarkEnd w:id="403"/>
    </w:p>
    <w:p w14:paraId="48A4209F" w14:textId="77777777" w:rsidR="00B513F0" w:rsidRPr="008034CE" w:rsidRDefault="00B513F0" w:rsidP="00B513F0">
      <w:r w:rsidRPr="008034CE">
        <w:t>In previous years, in the absence of the P</w:t>
      </w:r>
      <w:r w:rsidRPr="008034CE">
        <w:rPr>
          <w:spacing w:val="-60"/>
        </w:rPr>
        <w:t xml:space="preserve"> </w:t>
      </w:r>
      <w:r w:rsidRPr="008034CE">
        <w:t>H</w:t>
      </w:r>
      <w:r w:rsidRPr="008034CE">
        <w:rPr>
          <w:spacing w:val="-60"/>
        </w:rPr>
        <w:t xml:space="preserve"> </w:t>
      </w:r>
      <w:r w:rsidRPr="008034CE">
        <w:t xml:space="preserve">I and MBS data, therapy benchmark used to be undertaken by manual scrapping website listings (previously named as ‘private billing rates’). </w:t>
      </w:r>
    </w:p>
    <w:p w14:paraId="5B844415" w14:textId="77777777" w:rsidR="00B513F0" w:rsidRPr="008034CE" w:rsidRDefault="00B513F0" w:rsidP="00B513F0">
      <w:r w:rsidRPr="008034CE">
        <w:t>Given the broadening of data sources with significant expansion of sample size, MBS and P</w:t>
      </w:r>
      <w:r w:rsidRPr="008034CE">
        <w:rPr>
          <w:spacing w:val="-60"/>
        </w:rPr>
        <w:t xml:space="preserve"> </w:t>
      </w:r>
      <w:r w:rsidRPr="008034CE">
        <w:t>H</w:t>
      </w:r>
      <w:r w:rsidRPr="008034CE">
        <w:rPr>
          <w:spacing w:val="-60"/>
        </w:rPr>
        <w:t xml:space="preserve"> </w:t>
      </w:r>
      <w:r w:rsidRPr="008034CE">
        <w:t xml:space="preserve">I data are preferred sources of data due to better coverage and representativeness. To baseline the previous methodology with the new methodology, this year the website listings collection was replicated again. </w:t>
      </w:r>
    </w:p>
    <w:p w14:paraId="7C34CF0A" w14:textId="77777777" w:rsidR="00B513F0" w:rsidRPr="008034CE" w:rsidRDefault="00B513F0" w:rsidP="00B513F0">
      <w:r w:rsidRPr="008034CE">
        <w:t xml:space="preserve">Website listing analysis focusses on the rates that providers publicly list on their websites. NDIS providers can operate in the free market, where they have the flexibility to provide supports to both NDIS participants and non-NDIS participants. </w:t>
      </w:r>
    </w:p>
    <w:p w14:paraId="10F7A4AD" w14:textId="77777777" w:rsidR="00B513F0" w:rsidRPr="008034CE" w:rsidRDefault="00B513F0" w:rsidP="00B513F0">
      <w:bookmarkStart w:id="404" w:name="_Toc195538953"/>
      <w:bookmarkStart w:id="405" w:name="_Toc195538995"/>
      <w:bookmarkStart w:id="406" w:name="_Toc196754639"/>
      <w:r w:rsidRPr="008034CE">
        <w:t>The analysis indicates that median advertised fees for private clients are the same as NDIS price limits are becoming more prevalent, suggesting that the NDIS price limits may be influencing private market prices. This trend limits the value of using advertised private fees as the main benchmarking data source for setting NDIS price limits for therapy supports. With access to more robust datasets from MBS and P</w:t>
      </w:r>
      <w:r w:rsidRPr="008034CE">
        <w:rPr>
          <w:spacing w:val="-60"/>
        </w:rPr>
        <w:t xml:space="preserve"> </w:t>
      </w:r>
      <w:r w:rsidRPr="008034CE">
        <w:t>H</w:t>
      </w:r>
      <w:r w:rsidRPr="008034CE">
        <w:rPr>
          <w:spacing w:val="-60"/>
        </w:rPr>
        <w:t xml:space="preserve"> </w:t>
      </w:r>
      <w:r w:rsidRPr="008034CE">
        <w:t xml:space="preserve">I, less weighting has been put on the website listing dataset this year. </w:t>
      </w:r>
    </w:p>
    <w:p w14:paraId="07754603" w14:textId="77777777" w:rsidR="00B513F0" w:rsidRPr="008034CE" w:rsidRDefault="00B513F0" w:rsidP="00B513F0">
      <w:r w:rsidRPr="008034CE">
        <w:t>More information on the summary results from this data capture can be found in Appendix C.</w:t>
      </w:r>
    </w:p>
    <w:p w14:paraId="390B874E" w14:textId="77777777" w:rsidR="00B513F0" w:rsidRPr="008034CE" w:rsidRDefault="00B513F0" w:rsidP="00B513F0">
      <w:pPr>
        <w:pStyle w:val="Heading3"/>
      </w:pPr>
      <w:bookmarkStart w:id="407" w:name="_Toc196758241"/>
      <w:bookmarkStart w:id="408" w:name="_Toc197344317"/>
      <w:bookmarkStart w:id="409" w:name="_Toc200271646"/>
      <w:r w:rsidRPr="008034CE">
        <w:t>Discussion</w:t>
      </w:r>
      <w:bookmarkEnd w:id="404"/>
      <w:bookmarkEnd w:id="405"/>
      <w:bookmarkEnd w:id="406"/>
      <w:bookmarkEnd w:id="407"/>
      <w:bookmarkEnd w:id="408"/>
      <w:bookmarkEnd w:id="409"/>
      <w:r w:rsidRPr="008034CE">
        <w:t xml:space="preserve"> </w:t>
      </w:r>
    </w:p>
    <w:p w14:paraId="0A52873E" w14:textId="77777777" w:rsidR="00B513F0" w:rsidRPr="008034CE" w:rsidRDefault="00B513F0" w:rsidP="00B513F0">
      <w:pPr>
        <w:pStyle w:val="Heading4"/>
      </w:pPr>
      <w:bookmarkStart w:id="410" w:name="_Toc195538954"/>
      <w:bookmarkStart w:id="411" w:name="_Toc200103534"/>
      <w:bookmarkStart w:id="412" w:name="_Toc200271647"/>
      <w:r w:rsidRPr="008034CE">
        <w:t>What the NDIS Price Limits Are Designed to Fund</w:t>
      </w:r>
      <w:bookmarkEnd w:id="410"/>
      <w:bookmarkEnd w:id="411"/>
      <w:bookmarkEnd w:id="412"/>
      <w:r w:rsidRPr="008034CE">
        <w:t xml:space="preserve"> </w:t>
      </w:r>
    </w:p>
    <w:p w14:paraId="1B1B0914" w14:textId="77777777" w:rsidR="00B513F0" w:rsidRPr="008034CE" w:rsidRDefault="00B513F0" w:rsidP="00B513F0">
      <w:r w:rsidRPr="008034CE">
        <w:t xml:space="preserve">The NDIS adopts a broader definition of therapy support than other government and private funding mechanisms, allowing providers to claim for a wide range of activities beyond direct face-to-face service delivery. These include non-face-to-face time spent on participant-specific planning, clinical communication, documentation, resource creation, and travel. While this flexibility supports a more holistic model of care, it also complicates price comparison and may influence how providers allocate time across billable and non-billable activities. </w:t>
      </w:r>
    </w:p>
    <w:p w14:paraId="39984534" w14:textId="027A0552" w:rsidR="00127FF3" w:rsidRPr="008034CE" w:rsidRDefault="00B513F0" w:rsidP="002C2287">
      <w:pPr>
        <w:spacing w:line="288" w:lineRule="auto"/>
      </w:pPr>
      <w:r w:rsidRPr="008034CE">
        <w:t>In contrast, some government funded schemes such as Medicare and most private health insurance products typically restrict claims to direct contact time with clients. Medicare items are tightly defined, with no separate allowances for indirect tasks</w:t>
      </w:r>
      <w:r w:rsidR="002C2287">
        <w:t xml:space="preserve"> </w:t>
      </w:r>
      <w:r w:rsidR="00127FF3" w:rsidRPr="008034CE">
        <w:t>such as report writing or coordination with other professionals. Some schemes, like</w:t>
      </w:r>
      <w:r w:rsidR="002C2287">
        <w:t> </w:t>
      </w:r>
      <w:r w:rsidR="00127FF3" w:rsidRPr="008034CE">
        <w:t xml:space="preserve">the Department of Veterans Affairs (DVA), allow broader billing where activities demonstrably support participant outcomes – but this is still more constrained than the NDIS pricing approach to therapy support. </w:t>
      </w:r>
    </w:p>
    <w:p w14:paraId="21A3B25C" w14:textId="77777777" w:rsidR="00127FF3" w:rsidRPr="008034CE" w:rsidRDefault="00127FF3" w:rsidP="00127FF3">
      <w:r w:rsidRPr="008034CE">
        <w:lastRenderedPageBreak/>
        <w:t xml:space="preserve">This difference in what is funded across schemes has implications for interpreting hourly rates and price limits. A higher hourly price limit under the NDIS may be justified by its broader scope of funded activities. However, this bundling also makes it difficult to determine whether providers are delivering efficient, high-value services, particularly in therapy types where indirect work is more prevalent. </w:t>
      </w:r>
    </w:p>
    <w:p w14:paraId="1FFE3E6D" w14:textId="77777777" w:rsidR="00127FF3" w:rsidRPr="008034CE" w:rsidRDefault="00127FF3" w:rsidP="00E54A78">
      <w:pPr>
        <w:pStyle w:val="Heading4"/>
      </w:pPr>
      <w:bookmarkStart w:id="413" w:name="_Toc195538955"/>
      <w:bookmarkStart w:id="414" w:name="_Toc200103535"/>
      <w:bookmarkStart w:id="415" w:name="_Toc200271648"/>
      <w:r w:rsidRPr="008034CE">
        <w:t>Provider Travel</w:t>
      </w:r>
      <w:bookmarkEnd w:id="413"/>
      <w:r w:rsidRPr="008034CE">
        <w:t xml:space="preserve"> Pricing Arrangements</w:t>
      </w:r>
      <w:bookmarkEnd w:id="414"/>
      <w:bookmarkEnd w:id="415"/>
    </w:p>
    <w:p w14:paraId="77ADAE9D" w14:textId="77777777" w:rsidR="00127FF3" w:rsidRPr="008034CE" w:rsidRDefault="00127FF3" w:rsidP="00127FF3">
      <w:bookmarkStart w:id="416" w:name="_Toc195538956"/>
      <w:r w:rsidRPr="008034CE">
        <w:t xml:space="preserve">The NDIS currently allows providers to claim travel time when delivering therapy supports in the community, including up to 30 minutes each way in metropolitan areas and up to 60 minutes in regional areas. Providers may also claim for non-labour travel costs such as vehicle expenses, tolls, and parking. These arrangements are intended to support participant access to therapy where location or mobility challenges make clinic-based service delivery difficult or when best practice supports delivery in the participant’s natural environment. </w:t>
      </w:r>
    </w:p>
    <w:p w14:paraId="5D10C720" w14:textId="77777777" w:rsidR="00127FF3" w:rsidRPr="008034CE" w:rsidRDefault="00127FF3" w:rsidP="00127FF3">
      <w:r w:rsidRPr="008034CE">
        <w:t>While travel funding is a key enabler of participant choice and access, particularly in regional areas, the current approach is based solely on time spent travelling, rather than the amount or value of therapy provided. This can create a disconnect between travel claims and participant outcomes and may result in disproportionately high travel charges for short duration supports. In some cases, travel claims may approach or even exceed the cost and time of the direct therapy session itself or in-direct support improving participant outcomes. The current approach to pricing provider travel for therapy supports uses the same applicable price limit for direct and non-face-to-face support times.</w:t>
      </w:r>
    </w:p>
    <w:p w14:paraId="446A6B72" w14:textId="77777777" w:rsidR="000D0CFC" w:rsidRPr="00AB1532" w:rsidRDefault="00127FF3" w:rsidP="000D0CFC">
      <w:r w:rsidRPr="008034CE">
        <w:t xml:space="preserve">To better align travel funding with participant benefit and promote more efficient service delivery models, the NDIS should adopt a proportional limit on travel claims. Limiting the price limit for provider travel for therapy supports to a maximum of 50 per cent of the applicable therapy price limit retain travel as claimable where necessary but does not outweigh the value of the direct or in-direct therapy provided. </w:t>
      </w:r>
      <w:r w:rsidR="000D0CFC" w:rsidRPr="000D0CFC">
        <w:t xml:space="preserve">This approach maintains flexibility in service delivery approaches while minimising the extent to which participant therapy budgets fund travel costs </w:t>
      </w:r>
      <w:proofErr w:type="gramStart"/>
      <w:r w:rsidR="000D0CFC" w:rsidRPr="000D0CFC">
        <w:t>in excess of</w:t>
      </w:r>
      <w:proofErr w:type="gramEnd"/>
      <w:r w:rsidR="000D0CFC" w:rsidRPr="000D0CFC">
        <w:t xml:space="preserve"> their therapy costs. </w:t>
      </w:r>
    </w:p>
    <w:p w14:paraId="0183A436" w14:textId="77777777" w:rsidR="00127FF3" w:rsidRPr="008034CE" w:rsidRDefault="00127FF3" w:rsidP="00127FF3">
      <w:pPr>
        <w:pStyle w:val="Heading4"/>
      </w:pPr>
      <w:bookmarkStart w:id="417" w:name="_Toc200103536"/>
      <w:bookmarkStart w:id="418" w:name="_Toc200271649"/>
      <w:r w:rsidRPr="008034CE">
        <w:t>Report Writing</w:t>
      </w:r>
      <w:bookmarkEnd w:id="416"/>
      <w:bookmarkEnd w:id="417"/>
      <w:bookmarkEnd w:id="418"/>
      <w:r w:rsidRPr="008034CE">
        <w:t xml:space="preserve"> </w:t>
      </w:r>
    </w:p>
    <w:p w14:paraId="7CBFBF79" w14:textId="77777777" w:rsidR="00A0159D" w:rsidRPr="008034CE" w:rsidRDefault="00A0159D" w:rsidP="00A0159D">
      <w:r w:rsidRPr="008034CE">
        <w:t xml:space="preserve">The NDIS permits providers to claim for report writing and related documentation if it is directly linked to a participant’s goals or requested by the NDIA. This includes functional assessments, progress reports, and documentation to support plan reviews. In most cases, the time spent preparing these materials is expected to be billed within the hourly therapy price limit, unless a specific NDIA request allows it to be billed separately under the claim type “mandatory report writing”. </w:t>
      </w:r>
    </w:p>
    <w:p w14:paraId="632188AE" w14:textId="77777777" w:rsidR="00A0159D" w:rsidRPr="008034CE" w:rsidRDefault="00A0159D" w:rsidP="00A0159D">
      <w:bookmarkStart w:id="419" w:name="_Toc195538957"/>
      <w:r w:rsidRPr="008034CE">
        <w:lastRenderedPageBreak/>
        <w:t xml:space="preserve">This approach differs from other government and insurance-funded schemes. In many comparable government scheme arrangements, report writing is not included within standard service fees. Instead, funding is provided under separate item numbers or reimbursement categories, usually with strict caps on the time that can be billed and clear expectations regarding the report’s scope, format, and purpose. These models provide greater clarity around when reports are required and how much can be claimed, reducing ambiguity for both providers and funders. </w:t>
      </w:r>
    </w:p>
    <w:p w14:paraId="188561A4" w14:textId="77777777" w:rsidR="00A0159D" w:rsidRPr="008034CE" w:rsidRDefault="00A0159D" w:rsidP="00A0159D">
      <w:r w:rsidRPr="008034CE">
        <w:t xml:space="preserve">While the current price limit is intended to account for relevant reporting activities, the absence of structured pricing arrangements, such as defined items, caps, or consistent guidance, means that reporting is delivered and claimed in a variety of ways. Providers may differ in how much time they spend on reports, what they consider claimable, and how this work is integrated into therapy delivery. Participants may experience differences in how much of their budget is used for reporting against direct support, and the NDIA has limited visibility over the amount and nature of reporting being undertaken across the Scheme by therapists. </w:t>
      </w:r>
    </w:p>
    <w:p w14:paraId="4FFF8FAB" w14:textId="77777777" w:rsidR="00A0159D" w:rsidRPr="008034CE" w:rsidRDefault="00A0159D" w:rsidP="00A0159D">
      <w:r w:rsidRPr="008034CE">
        <w:t>As NDIS reporting demands grow, particularly in areas like functional assessments and plan reassessments, a lack of structure creates uncertainty and inconsistency. There is</w:t>
      </w:r>
      <w:r w:rsidRPr="008034CE" w:rsidDel="00411161">
        <w:t xml:space="preserve"> </w:t>
      </w:r>
      <w:r w:rsidRPr="008034CE">
        <w:t xml:space="preserve">value in the NDIA exploring more formalised pricing or reporting arrangements to improve consistency, transparency, and oversight, while ensuring that documentation continues to support participant outcomes and represent value-for-money. </w:t>
      </w:r>
    </w:p>
    <w:p w14:paraId="1A376AB7" w14:textId="77777777" w:rsidR="00A0159D" w:rsidRPr="008034CE" w:rsidRDefault="00A0159D" w:rsidP="00E54A78">
      <w:pPr>
        <w:pStyle w:val="Heading4"/>
      </w:pPr>
      <w:bookmarkStart w:id="420" w:name="_Toc200103537"/>
      <w:bookmarkStart w:id="421" w:name="_Toc200271650"/>
      <w:r w:rsidRPr="008034CE">
        <w:t>Session length and Pricing Practice</w:t>
      </w:r>
      <w:bookmarkEnd w:id="419"/>
      <w:bookmarkEnd w:id="420"/>
      <w:bookmarkEnd w:id="421"/>
      <w:r w:rsidRPr="008034CE">
        <w:t xml:space="preserve"> </w:t>
      </w:r>
    </w:p>
    <w:p w14:paraId="5B05AEEB" w14:textId="77777777" w:rsidR="00A0159D" w:rsidRPr="008034CE" w:rsidRDefault="00A0159D" w:rsidP="00A0159D">
      <w:r w:rsidRPr="008034CE">
        <w:t xml:space="preserve">It is becoming apparent that session length is emerging as a key structural feature of therapy pricing. Observed claiming patterns, which trend towards the hourly limit rather than a pro-rata of the hourly rate, suggest the need to revisit how pricing design influences service delivery, value-for-money and flexibility across the therapy market in delivering participant outcomes. </w:t>
      </w:r>
    </w:p>
    <w:p w14:paraId="04144F4E" w14:textId="77777777" w:rsidR="00A0159D" w:rsidRPr="008034CE" w:rsidRDefault="00A0159D" w:rsidP="00A0159D">
      <w:pPr>
        <w:pStyle w:val="Heading5"/>
      </w:pPr>
      <w:bookmarkStart w:id="422" w:name="_Toc195538958"/>
      <w:bookmarkStart w:id="423" w:name="_Toc200103538"/>
      <w:bookmarkStart w:id="424" w:name="_Toc200271651"/>
      <w:r w:rsidRPr="008034CE">
        <w:t>Observed Claiming Patterns: The 60-Minute Default</w:t>
      </w:r>
      <w:bookmarkEnd w:id="422"/>
      <w:bookmarkEnd w:id="423"/>
      <w:bookmarkEnd w:id="424"/>
    </w:p>
    <w:p w14:paraId="673BE2FE" w14:textId="2382ECC8" w:rsidR="00A0159D" w:rsidRPr="008034CE" w:rsidRDefault="00A0159D" w:rsidP="00110CA0">
      <w:pPr>
        <w:spacing w:line="288" w:lineRule="auto"/>
      </w:pPr>
      <w:r w:rsidRPr="008034CE">
        <w:t>One of the most persistent trends in NDIS therapy claiming is the widespread use of 60-minute sessions. For example, 78% of psychologist claims and 71% of dietitian</w:t>
      </w:r>
      <w:r w:rsidR="00110CA0">
        <w:t xml:space="preserve"> </w:t>
      </w:r>
      <w:r w:rsidRPr="008034CE">
        <w:t>claims are billed at exactly 60 minutes, with similar patterns observed in speech pathologists and other disciplines. The session length of occupational therapists is somewhat more variable, noting 47% of their sessions are still claimed at the 60-minute mark (</w:t>
      </w:r>
      <w:r w:rsidRPr="008034CE">
        <w:fldChar w:fldCharType="begin"/>
      </w:r>
      <w:r w:rsidRPr="008034CE">
        <w:instrText xml:space="preserve"> REF _Ref195540990 \h  \* MERGEFORMAT </w:instrText>
      </w:r>
      <w:r w:rsidRPr="008034CE">
        <w:fldChar w:fldCharType="separate"/>
      </w:r>
      <w:r w:rsidR="005763F9" w:rsidRPr="008034CE">
        <w:t xml:space="preserve">Figure </w:t>
      </w:r>
      <w:r w:rsidR="005763F9">
        <w:t>23</w:t>
      </w:r>
      <w:r w:rsidRPr="008034CE">
        <w:fldChar w:fldCharType="end"/>
      </w:r>
      <w:r w:rsidRPr="008034CE">
        <w:t xml:space="preserve">). Podiatrist claims within the NDIS is also predominantly claimed as hourly sessions (71%), which contrasts with the practices observed in </w:t>
      </w:r>
      <w:r w:rsidRPr="008034CE">
        <w:br/>
        <w:t>P</w:t>
      </w:r>
      <w:r w:rsidRPr="008034CE">
        <w:rPr>
          <w:spacing w:val="-60"/>
        </w:rPr>
        <w:t xml:space="preserve"> </w:t>
      </w:r>
      <w:r w:rsidRPr="008034CE">
        <w:t>H</w:t>
      </w:r>
      <w:r w:rsidRPr="008034CE">
        <w:rPr>
          <w:spacing w:val="-60"/>
        </w:rPr>
        <w:t xml:space="preserve"> </w:t>
      </w:r>
      <w:r w:rsidRPr="008034CE">
        <w:t>I and MBS for which a 30-minute session is the dominant session length.</w:t>
      </w:r>
      <w:r w:rsidR="00CD7ABE">
        <w:t xml:space="preserve"> </w:t>
      </w:r>
      <w:r w:rsidRPr="008034CE">
        <w:t xml:space="preserve">Recognising that the needs of NDIS participants may be different to beneficiaries </w:t>
      </w:r>
      <w:r w:rsidRPr="008034CE">
        <w:lastRenderedPageBreak/>
        <w:t xml:space="preserve">claiming under other schemes, this raises the question of the divergence of session length of the NDIS compared to other funding sources and the private market. </w:t>
      </w:r>
    </w:p>
    <w:p w14:paraId="7F801677" w14:textId="3C54E19F" w:rsidR="00A0159D" w:rsidRPr="008034CE" w:rsidRDefault="00A0159D" w:rsidP="00A0159D">
      <w:pPr>
        <w:pStyle w:val="Caption"/>
      </w:pPr>
      <w:bookmarkStart w:id="425" w:name="_Ref195540990"/>
      <w:r w:rsidRPr="008034CE">
        <w:t xml:space="preserve">Figure </w:t>
      </w:r>
      <w:r w:rsidR="005763F9">
        <w:fldChar w:fldCharType="begin"/>
      </w:r>
      <w:r w:rsidR="005763F9">
        <w:instrText xml:space="preserve"> SEQ Figure \* ARABIC </w:instrText>
      </w:r>
      <w:r w:rsidR="005763F9">
        <w:fldChar w:fldCharType="separate"/>
      </w:r>
      <w:r w:rsidR="005763F9">
        <w:rPr>
          <w:noProof/>
        </w:rPr>
        <w:t>23</w:t>
      </w:r>
      <w:r w:rsidR="005763F9">
        <w:rPr>
          <w:noProof/>
        </w:rPr>
        <w:fldChar w:fldCharType="end"/>
      </w:r>
      <w:bookmarkEnd w:id="425"/>
      <w:r w:rsidRPr="008034CE">
        <w:t>: Percentage of NDIS Claims Billed at Various Time Durations Across Therapy Support Type</w:t>
      </w:r>
    </w:p>
    <w:p w14:paraId="6FEADE85" w14:textId="77777777" w:rsidR="00A0159D" w:rsidRPr="008034CE" w:rsidRDefault="00A0159D" w:rsidP="00A0159D">
      <w:pPr>
        <w:jc w:val="center"/>
      </w:pPr>
      <w:r w:rsidRPr="008034CE">
        <w:rPr>
          <w:noProof/>
        </w:rPr>
        <w:drawing>
          <wp:inline distT="0" distB="0" distL="0" distR="0" wp14:anchorId="49D6BC8A" wp14:editId="697AECEE">
            <wp:extent cx="5123655" cy="2998470"/>
            <wp:effectExtent l="0" t="0" r="1270" b="0"/>
            <wp:docPr id="3" name="Picture 1" descr="A column graph showing the percentage of NDIS claims billed at various time durations by therapy type. &#10;&#10;The graph shows that, across all therapy types, the most frequently claimed time duration is 60 minutes. This is most notable with psychology, audiology, and podiatry services, whereby over 70% of claims are billed at 60 minutes.&#10;&#10;Across remaining support types (speech, occupational therapy, dietetics, physiotherapy and exercise physiology) a time duration of 60 minutes is claimed between 47 to 65% of the time. &#10;&#10;30 minutes is the second most common interval, and is claimed across all therapy support types roughly between 10 to 20% of the ti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column graph showing the percentage of NDIS claims billed at various time durations by therapy type. &#10;&#10;The graph shows that, across all therapy types, the most frequently claimed time duration is 60 minutes. This is most notable with psychology, audiology, and podiatry services, whereby over 70% of claims are billed at 60 minutes.&#10;&#10;Across remaining support types (speech, occupational therapy, dietetics, physiotherapy and exercise physiology) a time duration of 60 minutes is claimed between 47 to 65% of the time. &#10;&#10;30 minutes is the second most common interval, and is claimed across all therapy support types roughly between 10 to 20% of the time. "/>
                    <pic:cNvPicPr/>
                  </pic:nvPicPr>
                  <pic:blipFill>
                    <a:blip r:embed="rId40" cstate="print">
                      <a:extLst>
                        <a:ext uri="{28A0092B-C50C-407E-A947-70E740481C1C}">
                          <a14:useLocalDpi xmlns:a14="http://schemas.microsoft.com/office/drawing/2010/main" val="0"/>
                        </a:ext>
                      </a:extLst>
                    </a:blip>
                    <a:srcRect l="2263" r="2263"/>
                    <a:stretch>
                      <a:fillRect/>
                    </a:stretch>
                  </pic:blipFill>
                  <pic:spPr bwMode="auto">
                    <a:xfrm>
                      <a:off x="0" y="0"/>
                      <a:ext cx="5123655" cy="2998470"/>
                    </a:xfrm>
                    <a:prstGeom prst="rect">
                      <a:avLst/>
                    </a:prstGeom>
                    <a:ln>
                      <a:noFill/>
                    </a:ln>
                    <a:extLst>
                      <a:ext uri="{53640926-AAD7-44D8-BBD7-CCE9431645EC}">
                        <a14:shadowObscured xmlns:a14="http://schemas.microsoft.com/office/drawing/2010/main"/>
                      </a:ext>
                    </a:extLst>
                  </pic:spPr>
                </pic:pic>
              </a:graphicData>
            </a:graphic>
          </wp:inline>
        </w:drawing>
      </w:r>
    </w:p>
    <w:p w14:paraId="206787EF" w14:textId="77777777" w:rsidR="00A0159D" w:rsidRPr="008034CE" w:rsidRDefault="00A0159D" w:rsidP="00A0159D">
      <w:r w:rsidRPr="008034CE">
        <w:t xml:space="preserve">While the number of unregistered providers has grown significantly and now represents nearly 90% of all therapy providers, their claiming patterns have increasingly aligned with those of registered providers. Across both registered and unregistered providers, there is a strong tendency to claim at or near the price limit and to bill in 60-minute blocks. </w:t>
      </w:r>
    </w:p>
    <w:p w14:paraId="3ED699CA" w14:textId="77777777" w:rsidR="00A0159D" w:rsidRPr="008034CE" w:rsidRDefault="00A0159D" w:rsidP="00A0159D">
      <w:r w:rsidRPr="008034CE">
        <w:t xml:space="preserve">This convergence in claiming behaviour, despite differences in provider scale, business models, regulatory status, and known variations of participants’ needs, suggests that current pricing arrangements are increasingly acting as the default across the market. Rather than enabling flexible, participant driven service delivery, the current NDIS pricing approach may be shaping provider practices rather than clinical appropriateness or value-for-money. </w:t>
      </w:r>
    </w:p>
    <w:p w14:paraId="67F99259" w14:textId="6372E428" w:rsidR="008D62C1" w:rsidRDefault="008D62C1">
      <w:pPr>
        <w:spacing w:before="120" w:after="120"/>
      </w:pPr>
      <w:r>
        <w:br w:type="page"/>
      </w:r>
    </w:p>
    <w:p w14:paraId="0F3E85C4" w14:textId="77777777" w:rsidR="008D62C1" w:rsidRPr="008034CE" w:rsidRDefault="008D62C1" w:rsidP="008D62C1">
      <w:pPr>
        <w:pStyle w:val="Heading5"/>
      </w:pPr>
      <w:bookmarkStart w:id="426" w:name="_Toc200103539"/>
      <w:bookmarkStart w:id="427" w:name="_Toc200271652"/>
      <w:r w:rsidRPr="008034CE">
        <w:lastRenderedPageBreak/>
        <w:t>Structural Constraints in Current NDIS Pricing Design</w:t>
      </w:r>
      <w:bookmarkEnd w:id="426"/>
      <w:bookmarkEnd w:id="427"/>
      <w:r w:rsidRPr="008034CE">
        <w:t xml:space="preserve"> </w:t>
      </w:r>
    </w:p>
    <w:p w14:paraId="6C9E5883" w14:textId="77777777" w:rsidR="008D62C1" w:rsidRPr="008034CE" w:rsidRDefault="008D62C1" w:rsidP="008D62C1">
      <w:r w:rsidRPr="008034CE">
        <w:t xml:space="preserve">The dominance of 60-minute claims raises several challenges. Firstly, when services are bundled, it can limit visibility over what is delivered in each session. The NDIS permits billing for relevant non-face-to-face activities, such as preparation, planning, and documentation, but these are not always separately itemised by the relevant claim type. As a result, it can be difficult to determine how much exact time is spent in direct contact with participants and how much ancillary support is delivered. </w:t>
      </w:r>
    </w:p>
    <w:p w14:paraId="11B68F28" w14:textId="77777777" w:rsidR="008D62C1" w:rsidRPr="008034CE" w:rsidRDefault="008D62C1" w:rsidP="008D62C1">
      <w:r w:rsidRPr="008034CE">
        <w:t xml:space="preserve">Second, the pricing limit structure itself may be shaping provider’s behaviour. As most therapy price limits </w:t>
      </w:r>
      <w:r w:rsidRPr="008034CE" w:rsidDel="0058432C">
        <w:t xml:space="preserve">are </w:t>
      </w:r>
      <w:r w:rsidRPr="008034CE">
        <w:t xml:space="preserve">set as an hourly price limit, and no guidance for claiming for shorter </w:t>
      </w:r>
      <w:r w:rsidRPr="008034CE" w:rsidDel="00B6168F">
        <w:t>session length</w:t>
      </w:r>
      <w:r w:rsidRPr="008034CE">
        <w:t xml:space="preserve">, providers may be interpreting the hourly limit as a “standard” or expected amount. In practice, this creates a soft pricing signal that encourages longer session durations than may be required, or taking the price as a session price, irrespective of the time spent delivering the service. </w:t>
      </w:r>
    </w:p>
    <w:p w14:paraId="239EA4DC" w14:textId="77777777" w:rsidR="008D62C1" w:rsidRPr="008034CE" w:rsidRDefault="008D62C1" w:rsidP="008D62C1">
      <w:r w:rsidRPr="008034CE">
        <w:t xml:space="preserve">Other funding models offer greater alignment between service duration and pricing structure. For example, the Medicare Benefits Schedule supports itemised billing for different session lengths (e.g., 20 minutes, 30 minutes, 50 minutes, etc.), allowing providers to match pricing to relevant support intensity. These structures also create clearer expectations around typical durations and billing behaviour, providing adequate incentive to support expected outcomes. </w:t>
      </w:r>
    </w:p>
    <w:p w14:paraId="18274FA9" w14:textId="77777777" w:rsidR="008D62C1" w:rsidRPr="008034CE" w:rsidRDefault="008D62C1" w:rsidP="008D62C1">
      <w:r w:rsidRPr="008034CE">
        <w:t xml:space="preserve">While the Scheme does not prescribe session lengths, and the claiming systems allows for pro-rata use up to the hourly price limit, this flexibility does not appear to be consistently exercised in practice. The consistency of 60-minute claims across therapy types and provider types suggests that the price limit may be operating as a “target” price, rather than a ceiling intended to allow flexibility based on service need and duration. </w:t>
      </w:r>
    </w:p>
    <w:p w14:paraId="3727C1AA" w14:textId="77777777" w:rsidR="008D62C1" w:rsidRPr="008034CE" w:rsidRDefault="008D62C1" w:rsidP="008D62C1">
      <w:r w:rsidRPr="008034CE">
        <w:t xml:space="preserve">Providers are expected to set prices and structure sessions in a way that reflects participant needs. However, the current NDIS therapy pricing approach may be discouraging variability in session delivery models and disincentivising potential best practice approaches. </w:t>
      </w:r>
    </w:p>
    <w:p w14:paraId="0B3D643D" w14:textId="77777777" w:rsidR="008D62C1" w:rsidRPr="008034CE" w:rsidRDefault="008D62C1" w:rsidP="008D62C1">
      <w:pPr>
        <w:pStyle w:val="Heading5"/>
        <w:rPr>
          <w:rStyle w:val="CommentReference"/>
        </w:rPr>
      </w:pPr>
      <w:bookmarkStart w:id="428" w:name="_Toc195538960"/>
      <w:bookmarkStart w:id="429" w:name="_Toc200103540"/>
      <w:bookmarkStart w:id="430" w:name="_Toc200271653"/>
      <w:r w:rsidRPr="008034CE">
        <w:t>Designing for Session Duration Flexibility</w:t>
      </w:r>
      <w:bookmarkEnd w:id="428"/>
      <w:bookmarkEnd w:id="429"/>
      <w:bookmarkEnd w:id="430"/>
      <w:r w:rsidRPr="008034CE">
        <w:t xml:space="preserve"> </w:t>
      </w:r>
    </w:p>
    <w:p w14:paraId="18B1FBE6" w14:textId="1D8A7780" w:rsidR="008D62C1" w:rsidRPr="008034CE" w:rsidRDefault="008D62C1" w:rsidP="00110CA0">
      <w:pPr>
        <w:spacing w:line="288" w:lineRule="auto"/>
      </w:pPr>
      <w:r w:rsidRPr="008034CE">
        <w:t xml:space="preserve">A more granular approach to pricing therapy supports delivered to NDIS participants could better support responsive and participant-centred service delivery. For example, displaying pricing in smaller increments, such as 10-minute blocks, would enable providers to more accurately reflect the time spent on different components of supports, including both direct contact and participant-specific preparation or follow-up. </w:t>
      </w:r>
      <w:r w:rsidR="00E62BF2">
        <w:fldChar w:fldCharType="begin"/>
      </w:r>
      <w:r w:rsidR="00E62BF2">
        <w:instrText xml:space="preserve"> REF _Ref197105914 \h </w:instrText>
      </w:r>
      <w:r w:rsidR="00E62BF2">
        <w:fldChar w:fldCharType="separate"/>
      </w:r>
      <w:r w:rsidR="005763F9" w:rsidRPr="008034CE">
        <w:t xml:space="preserve">Table </w:t>
      </w:r>
      <w:r w:rsidR="005763F9">
        <w:rPr>
          <w:noProof/>
        </w:rPr>
        <w:t>23</w:t>
      </w:r>
      <w:r w:rsidR="00E62BF2">
        <w:fldChar w:fldCharType="end"/>
      </w:r>
      <w:r w:rsidRPr="008034CE">
        <w:t xml:space="preserve"> illustrates how pricing could be applied across different session lengths, using both sub-limit and at-limit rates.</w:t>
      </w:r>
    </w:p>
    <w:p w14:paraId="7F19765A" w14:textId="54ADBC0B" w:rsidR="008D62C1" w:rsidRPr="008034CE" w:rsidRDefault="008D62C1" w:rsidP="008D62C1">
      <w:pPr>
        <w:pStyle w:val="Caption"/>
      </w:pPr>
      <w:bookmarkStart w:id="431" w:name="_Ref197105914"/>
      <w:r w:rsidRPr="008034CE">
        <w:lastRenderedPageBreak/>
        <w:t xml:space="preserve">Table </w:t>
      </w:r>
      <w:r w:rsidR="005763F9">
        <w:fldChar w:fldCharType="begin"/>
      </w:r>
      <w:r w:rsidR="005763F9">
        <w:instrText xml:space="preserve"> SEQ Table \* ARABIC </w:instrText>
      </w:r>
      <w:r w:rsidR="005763F9">
        <w:fldChar w:fldCharType="separate"/>
      </w:r>
      <w:r w:rsidR="005763F9">
        <w:rPr>
          <w:noProof/>
        </w:rPr>
        <w:t>23</w:t>
      </w:r>
      <w:r w:rsidR="005763F9">
        <w:rPr>
          <w:noProof/>
        </w:rPr>
        <w:fldChar w:fldCharType="end"/>
      </w:r>
      <w:bookmarkEnd w:id="431"/>
      <w:r w:rsidRPr="008034CE">
        <w:t>: Example of Presenting Price Limits across Different Sessions Lengths</w:t>
      </w:r>
    </w:p>
    <w:tbl>
      <w:tblPr>
        <w:tblStyle w:val="GridTable4-Accent12"/>
        <w:tblW w:w="0" w:type="auto"/>
        <w:tblInd w:w="5" w:type="dxa"/>
        <w:tblLook w:val="04A0" w:firstRow="1" w:lastRow="0" w:firstColumn="1" w:lastColumn="0" w:noHBand="0" w:noVBand="1"/>
      </w:tblPr>
      <w:tblGrid>
        <w:gridCol w:w="2217"/>
        <w:gridCol w:w="3431"/>
        <w:gridCol w:w="3284"/>
      </w:tblGrid>
      <w:tr w:rsidR="008D62C1" w:rsidRPr="007C1E37" w14:paraId="23ECAD88" w14:textId="77777777" w:rsidTr="001E519A">
        <w:trPr>
          <w:cnfStyle w:val="100000000000" w:firstRow="1" w:lastRow="0" w:firstColumn="0" w:lastColumn="0" w:oddVBand="0" w:evenVBand="0" w:oddHBand="0" w:evenHBand="0" w:firstRowFirstColumn="0" w:firstRowLastColumn="0" w:lastRowFirstColumn="0" w:lastRowLastColumn="0"/>
          <w:trHeight w:val="940"/>
        </w:trPr>
        <w:tc>
          <w:tcPr>
            <w:cnfStyle w:val="001000000000" w:firstRow="0" w:lastRow="0" w:firstColumn="1" w:lastColumn="0" w:oddVBand="0" w:evenVBand="0" w:oddHBand="0" w:evenHBand="0" w:firstRowFirstColumn="0" w:firstRowLastColumn="0" w:lastRowFirstColumn="0" w:lastRowLastColumn="0"/>
            <w:tcW w:w="2217" w:type="dxa"/>
            <w:vAlign w:val="center"/>
            <w:hideMark/>
          </w:tcPr>
          <w:p w14:paraId="657116D0" w14:textId="77777777" w:rsidR="008D62C1" w:rsidRPr="007C1E37" w:rsidRDefault="008D62C1" w:rsidP="001E519A">
            <w:pPr>
              <w:spacing w:after="0" w:line="240" w:lineRule="auto"/>
              <w:jc w:val="center"/>
              <w:rPr>
                <w:rFonts w:cs="Arial"/>
                <w:lang w:eastAsia="en-AU"/>
              </w:rPr>
            </w:pPr>
            <w:r w:rsidRPr="007C1E37">
              <w:rPr>
                <w:rFonts w:cs="Arial"/>
                <w:lang w:eastAsia="en-AU"/>
              </w:rPr>
              <w:t>Session Length</w:t>
            </w:r>
          </w:p>
        </w:tc>
        <w:tc>
          <w:tcPr>
            <w:tcW w:w="3431" w:type="dxa"/>
            <w:vAlign w:val="center"/>
            <w:hideMark/>
          </w:tcPr>
          <w:p w14:paraId="3E852472" w14:textId="281007F8" w:rsidR="008D62C1" w:rsidRPr="007C1E37" w:rsidRDefault="008D62C1" w:rsidP="001E519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lang w:eastAsia="en-AU"/>
              </w:rPr>
            </w:pPr>
            <w:r w:rsidRPr="007C1E37">
              <w:rPr>
                <w:rFonts w:cs="Arial"/>
                <w:lang w:eastAsia="en-AU"/>
              </w:rPr>
              <w:t>Provider charging $175 per</w:t>
            </w:r>
            <w:r>
              <w:rPr>
                <w:rFonts w:cs="Arial"/>
                <w:lang w:eastAsia="en-AU"/>
              </w:rPr>
              <w:t> </w:t>
            </w:r>
            <w:r w:rsidRPr="007C1E37">
              <w:rPr>
                <w:rFonts w:cs="Arial"/>
                <w:lang w:eastAsia="en-AU"/>
              </w:rPr>
              <w:t>hour</w:t>
            </w:r>
          </w:p>
        </w:tc>
        <w:tc>
          <w:tcPr>
            <w:tcW w:w="3284" w:type="dxa"/>
            <w:vAlign w:val="center"/>
            <w:hideMark/>
          </w:tcPr>
          <w:p w14:paraId="14D3FF0F" w14:textId="77777777" w:rsidR="008D62C1" w:rsidRPr="007C1E37" w:rsidRDefault="008D62C1" w:rsidP="001E519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lang w:eastAsia="en-AU"/>
              </w:rPr>
            </w:pPr>
            <w:r w:rsidRPr="007C1E37">
              <w:rPr>
                <w:rFonts w:cs="Arial"/>
                <w:lang w:eastAsia="en-AU"/>
              </w:rPr>
              <w:t>Provider charging $193.99 per hour (at the price limit)</w:t>
            </w:r>
          </w:p>
        </w:tc>
      </w:tr>
      <w:tr w:rsidR="008D62C1" w:rsidRPr="007C1E37" w14:paraId="38D6116C" w14:textId="77777777" w:rsidTr="001E519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17" w:type="dxa"/>
            <w:shd w:val="clear" w:color="auto" w:fill="auto"/>
            <w:hideMark/>
          </w:tcPr>
          <w:p w14:paraId="49C9EE08" w14:textId="77777777" w:rsidR="008D62C1" w:rsidRPr="007C1E37" w:rsidRDefault="008D62C1" w:rsidP="008D62C1">
            <w:pPr>
              <w:spacing w:before="60" w:after="60" w:line="240" w:lineRule="auto"/>
              <w:rPr>
                <w:rFonts w:cs="Arial"/>
                <w:color w:val="000000"/>
                <w:lang w:eastAsia="en-AU"/>
              </w:rPr>
            </w:pPr>
            <w:r w:rsidRPr="007C1E37">
              <w:rPr>
                <w:rFonts w:cs="Arial"/>
                <w:color w:val="000000" w:themeColor="accent6"/>
                <w:lang w:eastAsia="en-AU"/>
              </w:rPr>
              <w:t>30 minutes</w:t>
            </w:r>
          </w:p>
        </w:tc>
        <w:tc>
          <w:tcPr>
            <w:tcW w:w="3431" w:type="dxa"/>
            <w:shd w:val="clear" w:color="auto" w:fill="auto"/>
            <w:hideMark/>
          </w:tcPr>
          <w:p w14:paraId="62BD8883" w14:textId="77777777" w:rsidR="008D62C1" w:rsidRPr="007C1E37" w:rsidRDefault="008D62C1" w:rsidP="008D62C1">
            <w:pPr>
              <w:spacing w:before="60" w:after="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7C1E37">
              <w:rPr>
                <w:rFonts w:cs="Arial"/>
                <w:color w:val="000000" w:themeColor="accent6"/>
                <w:lang w:eastAsia="en-AU"/>
              </w:rPr>
              <w:t>$87.50</w:t>
            </w:r>
          </w:p>
        </w:tc>
        <w:tc>
          <w:tcPr>
            <w:tcW w:w="3284" w:type="dxa"/>
            <w:shd w:val="clear" w:color="auto" w:fill="auto"/>
            <w:hideMark/>
          </w:tcPr>
          <w:p w14:paraId="1C2B011A" w14:textId="77777777" w:rsidR="008D62C1" w:rsidRPr="007C1E37" w:rsidRDefault="008D62C1" w:rsidP="008D62C1">
            <w:pPr>
              <w:spacing w:before="60" w:after="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7C1E37">
              <w:rPr>
                <w:rFonts w:cs="Arial"/>
                <w:color w:val="000000" w:themeColor="accent6"/>
                <w:lang w:eastAsia="en-AU"/>
              </w:rPr>
              <w:t>$97.00</w:t>
            </w:r>
          </w:p>
        </w:tc>
      </w:tr>
      <w:tr w:rsidR="008D62C1" w:rsidRPr="007C1E37" w14:paraId="7108C8CA" w14:textId="77777777" w:rsidTr="001E519A">
        <w:trPr>
          <w:trHeight w:val="320"/>
        </w:trPr>
        <w:tc>
          <w:tcPr>
            <w:cnfStyle w:val="001000000000" w:firstRow="0" w:lastRow="0" w:firstColumn="1" w:lastColumn="0" w:oddVBand="0" w:evenVBand="0" w:oddHBand="0" w:evenHBand="0" w:firstRowFirstColumn="0" w:firstRowLastColumn="0" w:lastRowFirstColumn="0" w:lastRowLastColumn="0"/>
            <w:tcW w:w="2217" w:type="dxa"/>
            <w:shd w:val="clear" w:color="auto" w:fill="auto"/>
            <w:hideMark/>
          </w:tcPr>
          <w:p w14:paraId="076720F3" w14:textId="77777777" w:rsidR="008D62C1" w:rsidRPr="007C1E37" w:rsidRDefault="008D62C1" w:rsidP="008D62C1">
            <w:pPr>
              <w:spacing w:before="60" w:after="60" w:line="240" w:lineRule="auto"/>
              <w:rPr>
                <w:rFonts w:cs="Arial"/>
                <w:color w:val="000000"/>
                <w:lang w:eastAsia="en-AU"/>
              </w:rPr>
            </w:pPr>
            <w:r w:rsidRPr="007C1E37">
              <w:rPr>
                <w:rFonts w:cs="Arial"/>
                <w:color w:val="000000" w:themeColor="accent6"/>
                <w:lang w:eastAsia="en-AU"/>
              </w:rPr>
              <w:t>40 minutes</w:t>
            </w:r>
          </w:p>
        </w:tc>
        <w:tc>
          <w:tcPr>
            <w:tcW w:w="3431" w:type="dxa"/>
            <w:shd w:val="clear" w:color="auto" w:fill="auto"/>
            <w:hideMark/>
          </w:tcPr>
          <w:p w14:paraId="1A67AD0C" w14:textId="77777777" w:rsidR="008D62C1" w:rsidRPr="007C1E37" w:rsidRDefault="008D62C1" w:rsidP="008D62C1">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7C1E37">
              <w:rPr>
                <w:rFonts w:cs="Arial"/>
                <w:color w:val="000000" w:themeColor="accent6"/>
                <w:lang w:eastAsia="en-AU"/>
              </w:rPr>
              <w:t>$116.67</w:t>
            </w:r>
          </w:p>
        </w:tc>
        <w:tc>
          <w:tcPr>
            <w:tcW w:w="3284" w:type="dxa"/>
            <w:shd w:val="clear" w:color="auto" w:fill="auto"/>
            <w:hideMark/>
          </w:tcPr>
          <w:p w14:paraId="166663A1" w14:textId="77777777" w:rsidR="008D62C1" w:rsidRPr="007C1E37" w:rsidRDefault="008D62C1" w:rsidP="008D62C1">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7C1E37">
              <w:rPr>
                <w:rFonts w:cs="Arial"/>
                <w:color w:val="000000" w:themeColor="accent6"/>
                <w:lang w:eastAsia="en-AU"/>
              </w:rPr>
              <w:t>$129.33</w:t>
            </w:r>
          </w:p>
        </w:tc>
      </w:tr>
      <w:tr w:rsidR="008D62C1" w:rsidRPr="007C1E37" w14:paraId="229C476A" w14:textId="77777777" w:rsidTr="001E519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17" w:type="dxa"/>
            <w:shd w:val="clear" w:color="auto" w:fill="auto"/>
            <w:hideMark/>
          </w:tcPr>
          <w:p w14:paraId="790BDB26" w14:textId="77777777" w:rsidR="008D62C1" w:rsidRPr="007C1E37" w:rsidRDefault="008D62C1" w:rsidP="008D62C1">
            <w:pPr>
              <w:spacing w:before="60" w:after="60" w:line="240" w:lineRule="auto"/>
              <w:rPr>
                <w:rFonts w:cs="Arial"/>
                <w:color w:val="000000"/>
                <w:lang w:eastAsia="en-AU"/>
              </w:rPr>
            </w:pPr>
            <w:r w:rsidRPr="007C1E37">
              <w:rPr>
                <w:rFonts w:cs="Arial"/>
                <w:color w:val="000000" w:themeColor="accent6"/>
                <w:lang w:eastAsia="en-AU"/>
              </w:rPr>
              <w:t>50 minutes</w:t>
            </w:r>
          </w:p>
        </w:tc>
        <w:tc>
          <w:tcPr>
            <w:tcW w:w="3431" w:type="dxa"/>
            <w:shd w:val="clear" w:color="auto" w:fill="auto"/>
            <w:hideMark/>
          </w:tcPr>
          <w:p w14:paraId="56E3450D" w14:textId="77777777" w:rsidR="008D62C1" w:rsidRPr="007C1E37" w:rsidRDefault="008D62C1" w:rsidP="008D62C1">
            <w:pPr>
              <w:spacing w:before="60" w:after="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7C1E37">
              <w:rPr>
                <w:rFonts w:cs="Arial"/>
                <w:color w:val="000000" w:themeColor="accent6"/>
                <w:lang w:eastAsia="en-AU"/>
              </w:rPr>
              <w:t>$145.83</w:t>
            </w:r>
          </w:p>
        </w:tc>
        <w:tc>
          <w:tcPr>
            <w:tcW w:w="3284" w:type="dxa"/>
            <w:shd w:val="clear" w:color="auto" w:fill="auto"/>
            <w:hideMark/>
          </w:tcPr>
          <w:p w14:paraId="67DCF47D" w14:textId="77777777" w:rsidR="008D62C1" w:rsidRPr="007C1E37" w:rsidRDefault="008D62C1" w:rsidP="008D62C1">
            <w:pPr>
              <w:spacing w:before="60" w:after="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7C1E37">
              <w:rPr>
                <w:rFonts w:cs="Arial"/>
                <w:color w:val="000000" w:themeColor="accent6"/>
                <w:lang w:eastAsia="en-AU"/>
              </w:rPr>
              <w:t>$161.66</w:t>
            </w:r>
          </w:p>
        </w:tc>
      </w:tr>
      <w:tr w:rsidR="008D62C1" w:rsidRPr="007C1E37" w14:paraId="69A6CCB0" w14:textId="77777777" w:rsidTr="001E519A">
        <w:trPr>
          <w:trHeight w:val="320"/>
        </w:trPr>
        <w:tc>
          <w:tcPr>
            <w:cnfStyle w:val="001000000000" w:firstRow="0" w:lastRow="0" w:firstColumn="1" w:lastColumn="0" w:oddVBand="0" w:evenVBand="0" w:oddHBand="0" w:evenHBand="0" w:firstRowFirstColumn="0" w:firstRowLastColumn="0" w:lastRowFirstColumn="0" w:lastRowLastColumn="0"/>
            <w:tcW w:w="2217" w:type="dxa"/>
            <w:shd w:val="clear" w:color="auto" w:fill="auto"/>
            <w:hideMark/>
          </w:tcPr>
          <w:p w14:paraId="606C657A" w14:textId="77777777" w:rsidR="008D62C1" w:rsidRPr="007C1E37" w:rsidRDefault="008D62C1" w:rsidP="008D62C1">
            <w:pPr>
              <w:spacing w:before="60" w:after="60" w:line="240" w:lineRule="auto"/>
              <w:rPr>
                <w:rFonts w:cs="Arial"/>
                <w:color w:val="000000"/>
                <w:lang w:eastAsia="en-AU"/>
              </w:rPr>
            </w:pPr>
            <w:r w:rsidRPr="007C1E37">
              <w:rPr>
                <w:rFonts w:cs="Arial"/>
                <w:color w:val="000000" w:themeColor="accent6"/>
                <w:lang w:eastAsia="en-AU"/>
              </w:rPr>
              <w:t>60 minutes</w:t>
            </w:r>
          </w:p>
        </w:tc>
        <w:tc>
          <w:tcPr>
            <w:tcW w:w="3431" w:type="dxa"/>
            <w:shd w:val="clear" w:color="auto" w:fill="auto"/>
            <w:hideMark/>
          </w:tcPr>
          <w:p w14:paraId="397DED76" w14:textId="77777777" w:rsidR="008D62C1" w:rsidRPr="007C1E37" w:rsidRDefault="008D62C1" w:rsidP="008D62C1">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7C1E37">
              <w:rPr>
                <w:rFonts w:cs="Arial"/>
                <w:color w:val="000000" w:themeColor="accent6"/>
                <w:lang w:eastAsia="en-AU"/>
              </w:rPr>
              <w:t>$175.00</w:t>
            </w:r>
          </w:p>
        </w:tc>
        <w:tc>
          <w:tcPr>
            <w:tcW w:w="3284" w:type="dxa"/>
            <w:shd w:val="clear" w:color="auto" w:fill="auto"/>
            <w:hideMark/>
          </w:tcPr>
          <w:p w14:paraId="2F0B902D" w14:textId="77777777" w:rsidR="008D62C1" w:rsidRPr="007C1E37" w:rsidRDefault="008D62C1" w:rsidP="008D62C1">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7C1E37">
              <w:rPr>
                <w:rFonts w:cs="Arial"/>
                <w:color w:val="000000" w:themeColor="accent6"/>
                <w:lang w:eastAsia="en-AU"/>
              </w:rPr>
              <w:t>$193.99</w:t>
            </w:r>
          </w:p>
        </w:tc>
      </w:tr>
    </w:tbl>
    <w:p w14:paraId="00247FD4" w14:textId="77777777" w:rsidR="008D62C1" w:rsidRPr="008034CE" w:rsidRDefault="008D62C1" w:rsidP="008D62C1">
      <w:pPr>
        <w:spacing w:before="240"/>
      </w:pPr>
      <w:r w:rsidRPr="008034CE">
        <w:t>Given how uniquely the NDIS therapy hourly session length is compared with other funding and services, consideration in future pricing design should be given to foster greater use of pro-rata billing, or the introduction of clearer session-based pricing tiers. This</w:t>
      </w:r>
      <w:r w:rsidRPr="008034CE" w:rsidDel="003B60ED">
        <w:t xml:space="preserve"> </w:t>
      </w:r>
      <w:r w:rsidRPr="008034CE">
        <w:t xml:space="preserve">would support more efficient use of participant budgets, reduce over-servicing, and enable a more transparent link between pricing and the support delivered to assist promoting clinically appropriate service delivery. </w:t>
      </w:r>
    </w:p>
    <w:p w14:paraId="1348AA68" w14:textId="77777777" w:rsidR="008D62C1" w:rsidRPr="008034CE" w:rsidRDefault="008D62C1" w:rsidP="00E54A78">
      <w:pPr>
        <w:pStyle w:val="Heading4"/>
      </w:pPr>
      <w:bookmarkStart w:id="432" w:name="_Toc200103541"/>
      <w:bookmarkStart w:id="433" w:name="_Toc200271654"/>
      <w:r w:rsidRPr="008034CE">
        <w:t>Pathway to Longer-Term Pricing Reform</w:t>
      </w:r>
      <w:bookmarkEnd w:id="432"/>
      <w:bookmarkEnd w:id="433"/>
    </w:p>
    <w:p w14:paraId="0F9E9539" w14:textId="77777777" w:rsidR="00CD7ABE" w:rsidRPr="00CD7ABE" w:rsidRDefault="00CD7ABE" w:rsidP="00CD7ABE">
      <w:r w:rsidRPr="00CD7ABE">
        <w:t>As discussed in the NDIS Pricing Strategy, market competition would generally be expected to drive competitive pricing, innovation, and improved quality for supports delivered to NDIS participants. However, in practice the NDIA has observed that many therapy support markets are converging around the regulated NDIS price limits, with limited variation across disciplines, service intensity, or provider types.</w:t>
      </w:r>
    </w:p>
    <w:p w14:paraId="51CF5AFC" w14:textId="7CC82B94" w:rsidR="00CD7ABE" w:rsidRPr="00CD7ABE" w:rsidRDefault="00CD7ABE" w:rsidP="00CD7ABE">
      <w:r w:rsidRPr="00CD7ABE">
        <w:t>This convergence suggests that the current pricing approach is functioning less as a</w:t>
      </w:r>
      <w:r>
        <w:t> </w:t>
      </w:r>
      <w:r w:rsidRPr="00CD7ABE">
        <w:t xml:space="preserve">maximum and more as a reference for session times and charging rates. </w:t>
      </w:r>
    </w:p>
    <w:p w14:paraId="1AE266FE" w14:textId="77777777" w:rsidR="00CD7ABE" w:rsidRPr="00CD7ABE" w:rsidRDefault="00CD7ABE" w:rsidP="00CD7ABE">
      <w:r w:rsidRPr="00CD7ABE">
        <w:t>This APR takes the first step to implement incremental changes to NDIS pricing arrangements to support a more diverse, sustainable market capable of delivering therapy supports that are tailored to participant needs. The next phase of reform will consider pricing models that reflect support complexity, delivery settings, and the nature of participant outcomes.</w:t>
      </w:r>
    </w:p>
    <w:p w14:paraId="7A95D1E5" w14:textId="77777777" w:rsidR="00CD7ABE" w:rsidRPr="00CD7ABE" w:rsidRDefault="00CD7ABE" w:rsidP="00CD7ABE">
      <w:r w:rsidRPr="00CD7ABE">
        <w:t xml:space="preserve">Any changes to pricing will be implemented incrementally to avoid market instability and will be supported by participant and sector consultations. </w:t>
      </w:r>
    </w:p>
    <w:p w14:paraId="5FEF6AF8" w14:textId="60A24429" w:rsidR="00E54A78" w:rsidRPr="008034CE" w:rsidRDefault="00CD7ABE" w:rsidP="00CD7ABE">
      <w:r w:rsidRPr="00CD7ABE">
        <w:t>Future reforms will be informed by clearer service specifications, enhanced provider and claims data, and the outcomes of an in-depth Therapy Pricing Review.</w:t>
      </w:r>
      <w:r w:rsidR="00E54A78" w:rsidRPr="008034CE">
        <w:t xml:space="preserve"> </w:t>
      </w:r>
    </w:p>
    <w:p w14:paraId="7EE7955D" w14:textId="77777777" w:rsidR="00E54A78" w:rsidRPr="008034CE" w:rsidRDefault="00E54A78" w:rsidP="00E54A78">
      <w:pPr>
        <w:pStyle w:val="Heading3"/>
        <w:numPr>
          <w:ilvl w:val="1"/>
          <w:numId w:val="1"/>
        </w:numPr>
      </w:pPr>
      <w:bookmarkStart w:id="434" w:name="_Toc200271655"/>
      <w:r w:rsidRPr="008034CE">
        <w:lastRenderedPageBreak/>
        <w:t>Recommendations</w:t>
      </w:r>
      <w:bookmarkEnd w:id="434"/>
      <w:r w:rsidRPr="008034CE">
        <w:t xml:space="preserve"> </w:t>
      </w:r>
    </w:p>
    <w:p w14:paraId="155A18DC" w14:textId="77777777" w:rsidR="00E54A78" w:rsidRPr="008034CE" w:rsidRDefault="00E54A78" w:rsidP="00E54A78">
      <w:pPr>
        <w:pStyle w:val="Heading4"/>
        <w:numPr>
          <w:ilvl w:val="2"/>
          <w:numId w:val="17"/>
        </w:numPr>
        <w:tabs>
          <w:tab w:val="num" w:pos="360"/>
        </w:tabs>
      </w:pPr>
      <w:bookmarkStart w:id="435" w:name="_Toc200103543"/>
      <w:bookmarkStart w:id="436" w:name="_Toc200271656"/>
      <w:r w:rsidRPr="008034CE">
        <w:t>Therapy Pricing Review</w:t>
      </w:r>
      <w:bookmarkEnd w:id="435"/>
      <w:bookmarkEnd w:id="436"/>
      <w:r w:rsidRPr="008034CE">
        <w:t xml:space="preserve"> </w:t>
      </w:r>
    </w:p>
    <w:p w14:paraId="3C785E01" w14:textId="77777777" w:rsidR="00E54A78" w:rsidRPr="008034CE" w:rsidRDefault="00E54A78" w:rsidP="00E54A78">
      <w:r w:rsidRPr="008034CE">
        <w:t xml:space="preserve">The NDIA is observing increasing diversity in business models, practitioner types, and service delivery contexts across the therapy markets. While this reflects a maturing sector, it also highlights emerging challenges with the alignment between current price limits and the way therapy supports are being delivered in practice. </w:t>
      </w:r>
    </w:p>
    <w:p w14:paraId="70BB1B09" w14:textId="77777777" w:rsidR="00E54A78" w:rsidRPr="008034CE" w:rsidRDefault="00E54A78" w:rsidP="00E54A78">
      <w:r w:rsidRPr="008034CE">
        <w:t xml:space="preserve">To ensure pricing continues to support participant outcomes, provider sustainability, and service quality, the NDIA will review therapy pricing. This review will assess whether existing price limits remain fit for purpose and inform the development of differentiated pricing approaches aligned with the framework proposed by the IPC. </w:t>
      </w:r>
    </w:p>
    <w:p w14:paraId="55091DD5" w14:textId="77777777" w:rsidR="00E54A78" w:rsidRPr="008034CE" w:rsidRDefault="00E54A78" w:rsidP="00E54A78">
      <w:r w:rsidRPr="008034CE">
        <w:t xml:space="preserve">The review will consider factors such as practitioner qualifications, workforce availability, service settings, regulatory obligations, and the nature of participant outcomes achieved. It will be informed by sector consultations and analysis of provider and market data. </w:t>
      </w:r>
    </w:p>
    <w:p w14:paraId="59CA4E11" w14:textId="77777777" w:rsidR="00E54A78" w:rsidRPr="008034CE" w:rsidRDefault="00E54A78" w:rsidP="00E54A78">
      <w:pPr>
        <w:pStyle w:val="Recommendationheading"/>
      </w:pPr>
      <w:r w:rsidRPr="008034CE">
        <w:t>Recommendation 5:</w:t>
      </w:r>
    </w:p>
    <w:p w14:paraId="4121CC46" w14:textId="77777777" w:rsidR="00E54A78" w:rsidRPr="008034CE" w:rsidRDefault="00E54A78" w:rsidP="00E54A78">
      <w:pPr>
        <w:pStyle w:val="Normalrecommendationtext"/>
      </w:pPr>
      <w:bookmarkStart w:id="437" w:name="_Toc195538971"/>
      <w:r w:rsidRPr="008034CE">
        <w:t xml:space="preserve">The NDIA should review therapy pricing to assess whether current price limits and market settings remain appropriate for therapy types. This work will inform the development of differentiated pricing approaches consistent with the framework outlined by the IPC. </w:t>
      </w:r>
    </w:p>
    <w:p w14:paraId="48A67B10" w14:textId="77777777" w:rsidR="00E54A78" w:rsidRPr="008034CE" w:rsidRDefault="00E54A78" w:rsidP="00E54A78">
      <w:pPr>
        <w:pStyle w:val="Heading4"/>
      </w:pPr>
      <w:bookmarkStart w:id="438" w:name="_Toc200103544"/>
      <w:bookmarkStart w:id="439" w:name="_Toc200271657"/>
      <w:r w:rsidRPr="008034CE">
        <w:t>Removal of State and Territory Special Pricing Arrangements</w:t>
      </w:r>
      <w:bookmarkEnd w:id="437"/>
      <w:bookmarkEnd w:id="438"/>
      <w:bookmarkEnd w:id="439"/>
    </w:p>
    <w:p w14:paraId="710FB68E" w14:textId="77777777" w:rsidR="00AB46CD" w:rsidRDefault="00AB46CD" w:rsidP="00AB46CD">
      <w:r w:rsidRPr="00AB46CD">
        <w:t>The existing jurisdictional price premiums for psychology and physiotherapy were introduced in 2019 based on statistical evidence at the time, which showed higher market prices in Western Australia (W</w:t>
      </w:r>
      <w:r w:rsidRPr="00AB46CD">
        <w:rPr>
          <w:spacing w:val="-60"/>
        </w:rPr>
        <w:t xml:space="preserve"> </w:t>
      </w:r>
      <w:r w:rsidRPr="00AB46CD">
        <w:t>A), South Australia (S</w:t>
      </w:r>
      <w:r w:rsidRPr="00AB46CD">
        <w:rPr>
          <w:spacing w:val="-60"/>
        </w:rPr>
        <w:t xml:space="preserve"> </w:t>
      </w:r>
      <w:r w:rsidRPr="00AB46CD">
        <w:t>A), Northern Territory (NT), and Tasmania (TAS) at the time (2019 Review of NDIS Therapy Pricing Arrangements). The original therapy review found no statistically conclusive cost differences but introduced higher limits in select jurisdictions to support market development despite data limitations at the time. These premiums were not intended to be permanent and were to be reviewed once better data became available.</w:t>
      </w:r>
      <w:r>
        <w:t xml:space="preserve"> </w:t>
      </w:r>
    </w:p>
    <w:p w14:paraId="4F87AB16" w14:textId="77777777" w:rsidR="00843225" w:rsidRPr="008034CE" w:rsidRDefault="00843225" w:rsidP="00843225">
      <w:r w:rsidRPr="008034CE">
        <w:t>Benchmarking results do not support the continued use of jurisdictionally differentiated pricing for Physiotherapy and Psychology. P</w:t>
      </w:r>
      <w:r w:rsidRPr="008034CE">
        <w:rPr>
          <w:spacing w:val="-60"/>
        </w:rPr>
        <w:t xml:space="preserve"> </w:t>
      </w:r>
      <w:r w:rsidRPr="008034CE">
        <w:t>H</w:t>
      </w:r>
      <w:r w:rsidRPr="008034CE">
        <w:rPr>
          <w:spacing w:val="-60"/>
        </w:rPr>
        <w:t xml:space="preserve"> </w:t>
      </w:r>
      <w:r w:rsidRPr="008034CE">
        <w:t>I and MBS data show that 75</w:t>
      </w:r>
      <w:r w:rsidRPr="008034CE">
        <w:rPr>
          <w:vertAlign w:val="superscript"/>
        </w:rPr>
        <w:t>th</w:t>
      </w:r>
      <w:r w:rsidRPr="008034CE">
        <w:t xml:space="preserve"> percentile hourly rates for these therapies are broadly consistent across all states and territories, including those currently receiving higher NDIS price limits. There is no systematic evidence of higher service costs in W</w:t>
      </w:r>
      <w:r w:rsidRPr="008034CE">
        <w:rPr>
          <w:spacing w:val="-60"/>
        </w:rPr>
        <w:t xml:space="preserve"> </w:t>
      </w:r>
      <w:r w:rsidRPr="008034CE">
        <w:t>A, S</w:t>
      </w:r>
      <w:r w:rsidRPr="008034CE">
        <w:rPr>
          <w:spacing w:val="-60"/>
        </w:rPr>
        <w:t xml:space="preserve"> </w:t>
      </w:r>
      <w:r w:rsidRPr="008034CE">
        <w:t xml:space="preserve">A, NT, or Tasmania that would justify the existing price premium. Both therapy types display stable session durations and similar fee structures nationwide, suggesting that provider charging patterns are not materially influenced by geography. </w:t>
      </w:r>
    </w:p>
    <w:p w14:paraId="22BB4908" w14:textId="77777777" w:rsidR="00843225" w:rsidRPr="008034CE" w:rsidRDefault="00843225" w:rsidP="00843225">
      <w:r w:rsidRPr="008034CE">
        <w:lastRenderedPageBreak/>
        <w:t>Considering these findings, a single national price limit would better reflect observed market conditions, promote equity across jurisdictions, and streamline administrative arrangements without compromising support availability. The existing remote and very remote loadings, 40% and 50%, respectively, will continue to remain in place to provide additional support for participants living in those geographies.</w:t>
      </w:r>
    </w:p>
    <w:p w14:paraId="05ED69D0" w14:textId="77777777" w:rsidR="00843225" w:rsidRPr="008034CE" w:rsidRDefault="00843225" w:rsidP="00843225">
      <w:pPr>
        <w:ind w:left="567"/>
        <w:rPr>
          <w:b/>
          <w:color w:val="6B2876" w:themeColor="text1"/>
          <w:u w:val="single"/>
        </w:rPr>
      </w:pPr>
      <w:r w:rsidRPr="008034CE">
        <w:rPr>
          <w:b/>
          <w:color w:val="6B2876" w:themeColor="text1"/>
          <w:u w:val="single"/>
        </w:rPr>
        <w:t xml:space="preserve">Recommendation </w:t>
      </w:r>
      <w:r w:rsidRPr="008034CE">
        <w:rPr>
          <w:b/>
          <w:bCs/>
          <w:color w:val="6B2876" w:themeColor="text1"/>
          <w:u w:val="single"/>
        </w:rPr>
        <w:t>6</w:t>
      </w:r>
      <w:r w:rsidRPr="008034CE">
        <w:rPr>
          <w:b/>
          <w:color w:val="6B2876" w:themeColor="text1"/>
          <w:u w:val="single"/>
        </w:rPr>
        <w:t xml:space="preserve">: </w:t>
      </w:r>
    </w:p>
    <w:p w14:paraId="000102FE" w14:textId="77777777" w:rsidR="00843225" w:rsidRPr="008034CE" w:rsidRDefault="00843225" w:rsidP="00843225">
      <w:pPr>
        <w:ind w:left="567"/>
        <w:rPr>
          <w:color w:val="6B2876" w:themeColor="accent5"/>
        </w:rPr>
      </w:pPr>
      <w:r w:rsidRPr="008034CE">
        <w:rPr>
          <w:color w:val="6B2876" w:themeColor="accent5"/>
        </w:rPr>
        <w:t xml:space="preserve">The NDIA should remove the state and territory differentiated pricing arrangement for supports delivered by a Physiotherapists and Psychologists from 1 July 2025. The hourly price limits for Physiotherapists and Psychologists in Western Australia, South Australia, Northern Territory, and Tasmania should be aligned with the corresponding price limits in New South Wales, Victoria, Queensland and Australian Capital Territory - forming a national price limit from 1 July 2025. </w:t>
      </w:r>
    </w:p>
    <w:p w14:paraId="41DC871E" w14:textId="77777777" w:rsidR="00843225" w:rsidRPr="008034CE" w:rsidRDefault="00843225" w:rsidP="00843225">
      <w:pPr>
        <w:ind w:left="567"/>
        <w:rPr>
          <w:color w:val="6B2876" w:themeColor="text1"/>
        </w:rPr>
      </w:pPr>
      <w:r w:rsidRPr="008034CE">
        <w:rPr>
          <w:color w:val="6B2876" w:themeColor="accent5"/>
        </w:rPr>
        <w:t xml:space="preserve">In Financial Year 24-25 terms, the national price limit for supports delivered by a </w:t>
      </w:r>
      <w:proofErr w:type="gramStart"/>
      <w:r w:rsidRPr="008034CE">
        <w:rPr>
          <w:color w:val="6B2876" w:themeColor="accent5"/>
        </w:rPr>
        <w:t>Psychologist</w:t>
      </w:r>
      <w:proofErr w:type="gramEnd"/>
      <w:r w:rsidRPr="008034CE">
        <w:rPr>
          <w:color w:val="6B2876" w:themeColor="accent5"/>
        </w:rPr>
        <w:t xml:space="preserve"> would have been $222.99 per hour, and the national price limit for supports delivered by a Physiotherapist would have been $193.99 per hour prior to the adjustment recommended below.</w:t>
      </w:r>
    </w:p>
    <w:p w14:paraId="44385042" w14:textId="77777777" w:rsidR="00843225" w:rsidRPr="008034CE" w:rsidRDefault="00843225" w:rsidP="00843225">
      <w:pPr>
        <w:pStyle w:val="Heading4"/>
      </w:pPr>
      <w:bookmarkStart w:id="440" w:name="_Toc195538969"/>
      <w:bookmarkStart w:id="441" w:name="_Toc200103545"/>
      <w:bookmarkStart w:id="442" w:name="_Toc200271658"/>
      <w:r w:rsidRPr="008034CE">
        <w:t>Psychologist</w:t>
      </w:r>
      <w:bookmarkEnd w:id="440"/>
      <w:r w:rsidRPr="008034CE">
        <w:t xml:space="preserve"> Price Limits</w:t>
      </w:r>
      <w:bookmarkEnd w:id="441"/>
      <w:bookmarkEnd w:id="442"/>
    </w:p>
    <w:p w14:paraId="1163D560" w14:textId="475CD8BE" w:rsidR="00AB46CD" w:rsidRPr="00AB46CD" w:rsidRDefault="00AB46CD" w:rsidP="00AB46CD">
      <w:r w:rsidRPr="00AB46CD">
        <w:t>The current NDIS price limit of $22</w:t>
      </w:r>
      <w:r w:rsidR="00E84701">
        <w:t>2</w:t>
      </w:r>
      <w:r w:rsidRPr="00AB46CD">
        <w:t>.99 per hour for psychology sit below the 75</w:t>
      </w:r>
      <w:r w:rsidRPr="00AB46CD">
        <w:rPr>
          <w:vertAlign w:val="superscript"/>
        </w:rPr>
        <w:t>th</w:t>
      </w:r>
      <w:r w:rsidRPr="00AB46CD">
        <w:t xml:space="preserve"> percentile of hourly rates observed in both P</w:t>
      </w:r>
      <w:r w:rsidRPr="00AB46CD">
        <w:rPr>
          <w:spacing w:val="-60"/>
        </w:rPr>
        <w:t xml:space="preserve"> </w:t>
      </w:r>
      <w:r w:rsidRPr="00AB46CD">
        <w:t>H</w:t>
      </w:r>
      <w:r w:rsidRPr="00AB46CD">
        <w:rPr>
          <w:spacing w:val="-60"/>
        </w:rPr>
        <w:t xml:space="preserve"> </w:t>
      </w:r>
      <w:r w:rsidRPr="00AB46CD">
        <w:t xml:space="preserve">I and MBS data sets, which are $247.00 and $251.00 respectively. These benchmarks are based on large-scale transaction data and assume a standard 60-minute session, making them directly comparable to the structure of current NDIS price limits. The size and consistency of this difference suggests the current price limits may not adequately reflect prevailing market rates. </w:t>
      </w:r>
    </w:p>
    <w:p w14:paraId="3DFD8A02" w14:textId="77777777" w:rsidR="00AB46CD" w:rsidRDefault="00AB46CD" w:rsidP="00AB46CD">
      <w:r w:rsidRPr="00AB46CD">
        <w:t>In response, the NDIA proposes a $10 increase to the psychology price limit. This is an incremental adjustment that brings NDIS pricing into closer alignment with the broader market while maintaining price stability prior to the proposed Therapy Pricing Review. It is also consistent with the NDIA’s broader transition to differentiated pricing, as recommended by the IPC.</w:t>
      </w:r>
      <w:r>
        <w:t xml:space="preserve"> </w:t>
      </w:r>
    </w:p>
    <w:p w14:paraId="411460A5" w14:textId="77777777" w:rsidR="00110CA0" w:rsidRDefault="00110CA0">
      <w:pPr>
        <w:spacing w:before="120" w:after="120"/>
      </w:pPr>
      <w:r>
        <w:br w:type="page"/>
      </w:r>
    </w:p>
    <w:p w14:paraId="5BB95DC3" w14:textId="77777777" w:rsidR="00843225" w:rsidRPr="008034CE" w:rsidRDefault="00843225" w:rsidP="00843225">
      <w:pPr>
        <w:pStyle w:val="Recommendationheading"/>
      </w:pPr>
      <w:r w:rsidRPr="008034CE">
        <w:lastRenderedPageBreak/>
        <w:t xml:space="preserve">Recommendation </w:t>
      </w:r>
      <w:r w:rsidRPr="008034CE">
        <w:rPr>
          <w:bCs/>
        </w:rPr>
        <w:t>7</w:t>
      </w:r>
      <w:r w:rsidRPr="008034CE">
        <w:t xml:space="preserve">: </w:t>
      </w:r>
    </w:p>
    <w:p w14:paraId="714EDB60" w14:textId="77777777" w:rsidR="00843225" w:rsidRPr="008034CE" w:rsidRDefault="00843225" w:rsidP="00843225">
      <w:pPr>
        <w:pStyle w:val="Normalrecommendationtext"/>
      </w:pPr>
      <w:r w:rsidRPr="008034CE">
        <w:t>The NDIA should increase the national price limit for supports delivered by a psychologist by $10 to a new national price limit of $232.99 per hour on 1 July 2025. This increase will apply uniformly across all jurisdictions and, when combined with the removal of jurisdictional loadings, will result in a net reduction in price limits of $11.23 for Psychologists in Western Australia, South Australia, Northern Territory, and Tasmania.</w:t>
      </w:r>
    </w:p>
    <w:p w14:paraId="7942F466" w14:textId="77777777" w:rsidR="00843225" w:rsidRPr="008034CE" w:rsidRDefault="00843225" w:rsidP="00843225">
      <w:pPr>
        <w:pStyle w:val="Normalrecommendationtext"/>
      </w:pPr>
      <w:r w:rsidRPr="008034CE">
        <w:t xml:space="preserve">Notwithstanding changes to the NDIS Pricing Arrangements and Price Limits, specifically, this applies to support items: Assessment Recommendation Therapy or Training Supports – Psychologist (01_701_0128_1_3, 15_054_0128_1_3), Specialist Behaviour Intervention Support (11_022_0110_7_3), Behaviour Management Plan Including Training in Behaviour Management Strategies (11_023_0110_7_3), Assessment Recommendation Therapy or Training – EC – Psychologist (01_700_0118_1_3) and Early Childhood Supports – Psychologist (15_001_0118_1_3). </w:t>
      </w:r>
    </w:p>
    <w:p w14:paraId="18A6D715" w14:textId="77777777" w:rsidR="00843225" w:rsidRPr="008034CE" w:rsidRDefault="00843225" w:rsidP="00843225">
      <w:pPr>
        <w:pStyle w:val="Heading4"/>
      </w:pPr>
      <w:bookmarkStart w:id="443" w:name="_Toc195538970"/>
      <w:bookmarkStart w:id="444" w:name="_Toc200103546"/>
      <w:bookmarkStart w:id="445" w:name="_Toc200271659"/>
      <w:r w:rsidRPr="008034CE">
        <w:t>Physiotherapist</w:t>
      </w:r>
      <w:bookmarkEnd w:id="443"/>
      <w:r w:rsidRPr="008034CE">
        <w:t xml:space="preserve"> Price Limits</w:t>
      </w:r>
      <w:bookmarkEnd w:id="444"/>
      <w:bookmarkEnd w:id="445"/>
    </w:p>
    <w:p w14:paraId="5395F501" w14:textId="15129645" w:rsidR="00843225" w:rsidRPr="008034CE" w:rsidRDefault="00843225" w:rsidP="00843225">
      <w:r w:rsidRPr="008034CE">
        <w:t>Benchmarking results indicate that the current NDIS price limit for Physiotherapy significantly exceeds prevailing market rate</w:t>
      </w:r>
      <w:r w:rsidRPr="00AB46CD">
        <w:t xml:space="preserve">s. </w:t>
      </w:r>
      <w:r w:rsidR="00AB46CD" w:rsidRPr="00AB46CD">
        <w:t>Both P</w:t>
      </w:r>
      <w:r w:rsidR="00AB46CD" w:rsidRPr="00AB46CD">
        <w:rPr>
          <w:spacing w:val="-60"/>
        </w:rPr>
        <w:t xml:space="preserve"> </w:t>
      </w:r>
      <w:r w:rsidR="00AB46CD" w:rsidRPr="00AB46CD">
        <w:t>H</w:t>
      </w:r>
      <w:r w:rsidR="00AB46CD" w:rsidRPr="00AB46CD">
        <w:rPr>
          <w:spacing w:val="-60"/>
        </w:rPr>
        <w:t xml:space="preserve"> </w:t>
      </w:r>
      <w:r w:rsidR="00AB46CD" w:rsidRPr="00AB46CD">
        <w:t>I and MBS data show 75</w:t>
      </w:r>
      <w:r w:rsidR="00AB46CD" w:rsidRPr="00AB46CD">
        <w:rPr>
          <w:vertAlign w:val="superscript"/>
        </w:rPr>
        <w:t>th</w:t>
      </w:r>
      <w:r w:rsidR="00AB46CD" w:rsidRPr="00AB46CD">
        <w:t xml:space="preserve"> percentile hourly rates of $150.50 and $158.70 respectively, compared to the current NDIS price limit of $193.99 per hour in eastern jurisdictions. In W</w:t>
      </w:r>
      <w:r w:rsidR="00AB46CD" w:rsidRPr="00AB46CD">
        <w:rPr>
          <w:spacing w:val="-60"/>
        </w:rPr>
        <w:t xml:space="preserve"> </w:t>
      </w:r>
      <w:r w:rsidR="00AB46CD" w:rsidRPr="00AB46CD">
        <w:t>A, S</w:t>
      </w:r>
      <w:r w:rsidR="00AB46CD" w:rsidRPr="00AB46CD">
        <w:rPr>
          <w:spacing w:val="-60"/>
        </w:rPr>
        <w:t xml:space="preserve"> </w:t>
      </w:r>
      <w:r w:rsidR="00AB46CD" w:rsidRPr="00AB46CD">
        <w:t>A, NT, and Tasmania both P</w:t>
      </w:r>
      <w:r w:rsidR="00AB46CD" w:rsidRPr="00AB46CD">
        <w:rPr>
          <w:spacing w:val="-60"/>
        </w:rPr>
        <w:t xml:space="preserve"> </w:t>
      </w:r>
      <w:r w:rsidR="00AB46CD" w:rsidRPr="00AB46CD">
        <w:t>H</w:t>
      </w:r>
      <w:r w:rsidR="00AB46CD" w:rsidRPr="00AB46CD">
        <w:rPr>
          <w:spacing w:val="-60"/>
        </w:rPr>
        <w:t xml:space="preserve"> </w:t>
      </w:r>
      <w:r w:rsidR="00AB46CD" w:rsidRPr="00AB46CD">
        <w:t>I and MBS data show 75</w:t>
      </w:r>
      <w:r w:rsidR="00AB46CD" w:rsidRPr="00AB46CD">
        <w:rPr>
          <w:vertAlign w:val="superscript"/>
        </w:rPr>
        <w:t>th</w:t>
      </w:r>
      <w:r w:rsidR="00AB46CD" w:rsidRPr="00AB46CD">
        <w:t xml:space="preserve"> percentile hourly rates of $133.40 and $145.30 compared to the NDIS price limit of $224.62 per hour. This equates to the current NDIS price limit being approximately 28.9%% higher than P</w:t>
      </w:r>
      <w:r w:rsidR="00AB46CD" w:rsidRPr="00AB46CD">
        <w:rPr>
          <w:spacing w:val="-60"/>
        </w:rPr>
        <w:t xml:space="preserve"> </w:t>
      </w:r>
      <w:r w:rsidR="00AB46CD" w:rsidRPr="00AB46CD">
        <w:t>H</w:t>
      </w:r>
      <w:r w:rsidR="00AB46CD" w:rsidRPr="00AB46CD">
        <w:rPr>
          <w:spacing w:val="-60"/>
        </w:rPr>
        <w:t xml:space="preserve"> </w:t>
      </w:r>
      <w:r w:rsidR="00AB46CD" w:rsidRPr="00AB46CD">
        <w:t>I and 22.2% higher than MBS in NSW/VIC/QLD/ACT, and up to 68.4% higher than P</w:t>
      </w:r>
      <w:r w:rsidR="00AB46CD" w:rsidRPr="00AB46CD">
        <w:rPr>
          <w:spacing w:val="-60"/>
        </w:rPr>
        <w:t xml:space="preserve"> </w:t>
      </w:r>
      <w:r w:rsidR="00AB46CD" w:rsidRPr="00AB46CD">
        <w:t>H</w:t>
      </w:r>
      <w:r w:rsidR="00AB46CD" w:rsidRPr="00AB46CD">
        <w:rPr>
          <w:spacing w:val="-60"/>
        </w:rPr>
        <w:t xml:space="preserve"> </w:t>
      </w:r>
      <w:r w:rsidR="00AB46CD" w:rsidRPr="00AB46CD">
        <w:t>I and 54.6% higher than MBS in W</w:t>
      </w:r>
      <w:r w:rsidR="00AB46CD" w:rsidRPr="00AB46CD">
        <w:rPr>
          <w:spacing w:val="-60"/>
        </w:rPr>
        <w:t xml:space="preserve"> </w:t>
      </w:r>
      <w:r w:rsidR="00AB46CD" w:rsidRPr="00AB46CD">
        <w:t>A/S</w:t>
      </w:r>
      <w:r w:rsidR="00AB46CD" w:rsidRPr="00AB46CD">
        <w:rPr>
          <w:spacing w:val="-60"/>
        </w:rPr>
        <w:t xml:space="preserve"> </w:t>
      </w:r>
      <w:r w:rsidR="00AB46CD" w:rsidRPr="00AB46CD">
        <w:t xml:space="preserve">A/NT/TAS. </w:t>
      </w:r>
      <w:r w:rsidRPr="008034CE">
        <w:t xml:space="preserve">These benchmarks were derived from large-scale billing datasets and converted to hourly rates using validated session duration estimates. </w:t>
      </w:r>
    </w:p>
    <w:p w14:paraId="3AE4FFEE" w14:textId="31A1BA89" w:rsidR="00110CA0" w:rsidRDefault="00AB46CD" w:rsidP="00843225">
      <w:r w:rsidRPr="00AB46CD">
        <w:t>The consistency of these findings across jurisdictions and sources provides a strong rationale to reduce the NDIS price limits for physiotherapy. Doing so will better align with broader market conditions without distorting prices in the wider care sector. A</w:t>
      </w:r>
      <w:r>
        <w:t> </w:t>
      </w:r>
      <w:r w:rsidRPr="00AB46CD">
        <w:t>moderate adjustment is recommended to minimise market disruption. This is an</w:t>
      </w:r>
      <w:r>
        <w:t> </w:t>
      </w:r>
      <w:r w:rsidRPr="00AB46CD">
        <w:t>incremental adjustment prior to further consideration in the proposed Therapy Pricing</w:t>
      </w:r>
      <w:r>
        <w:t> </w:t>
      </w:r>
      <w:r w:rsidRPr="00AB46CD">
        <w:t>Review.</w:t>
      </w:r>
      <w:r w:rsidR="00843225" w:rsidRPr="008034CE">
        <w:t xml:space="preserve"> </w:t>
      </w:r>
    </w:p>
    <w:p w14:paraId="25BE3F0F" w14:textId="77777777" w:rsidR="00110CA0" w:rsidRDefault="00110CA0">
      <w:pPr>
        <w:spacing w:before="120" w:after="120"/>
      </w:pPr>
      <w:r>
        <w:br w:type="page"/>
      </w:r>
    </w:p>
    <w:p w14:paraId="7E3B1BC2" w14:textId="77777777" w:rsidR="00843225" w:rsidRPr="008034CE" w:rsidRDefault="00843225" w:rsidP="00843225">
      <w:pPr>
        <w:pStyle w:val="Recommendationheading"/>
      </w:pPr>
      <w:r w:rsidRPr="008034CE">
        <w:lastRenderedPageBreak/>
        <w:t xml:space="preserve">Recommendation </w:t>
      </w:r>
      <w:r w:rsidRPr="008034CE">
        <w:rPr>
          <w:bCs/>
        </w:rPr>
        <w:t>8</w:t>
      </w:r>
      <w:r w:rsidRPr="008034CE">
        <w:t xml:space="preserve">: </w:t>
      </w:r>
    </w:p>
    <w:p w14:paraId="6C7002C5" w14:textId="0E37D851" w:rsidR="00843225" w:rsidRPr="008034CE" w:rsidRDefault="00843225" w:rsidP="00843225">
      <w:pPr>
        <w:pStyle w:val="Normalrecommendationtext"/>
      </w:pPr>
      <w:r w:rsidRPr="008034CE">
        <w:t>The NDIA should lower the national price limit for supports delivered by a Physiotherapist by $10 to a new national price limit of $183.99 per hour on 1 July 2025. This decrease will apply uniformly across all jurisdictions, and when combined with the removal of jurisdictional loadings, will result in a net reduction in price limits of $40.6</w:t>
      </w:r>
      <w:r w:rsidR="008A656F">
        <w:t>3</w:t>
      </w:r>
      <w:r w:rsidRPr="008034CE">
        <w:t xml:space="preserve"> for Physiotherapists in Western Australia, South Australia, Northern Territory, and Tasmania.</w:t>
      </w:r>
    </w:p>
    <w:p w14:paraId="20273235" w14:textId="77777777" w:rsidR="00843225" w:rsidRPr="008034CE" w:rsidRDefault="00843225" w:rsidP="00843225">
      <w:pPr>
        <w:pStyle w:val="Normalrecommendationtext"/>
      </w:pPr>
      <w:r w:rsidRPr="008034CE">
        <w:t xml:space="preserve">Notwithstanding changes to the NDIS Pricing Arrangements and Price Limits, specifically, this applies to support items: Assessment Recommendation Therapy or Training Supports – Physiotherapist (01_721_0128_1_3, 15_055_0128_1_3), Assessment Recommendation Therapy or Training – EC – Physiotherapist (01_720_0118_1_3) and Early Childhood Supports – Physiotherapist (15_003_0118_1_3). </w:t>
      </w:r>
    </w:p>
    <w:p w14:paraId="1ABDF1CC" w14:textId="77777777" w:rsidR="00843225" w:rsidRPr="008034CE" w:rsidRDefault="00843225" w:rsidP="00843225">
      <w:pPr>
        <w:pStyle w:val="Heading4"/>
      </w:pPr>
      <w:bookmarkStart w:id="446" w:name="_Toc195538972"/>
      <w:bookmarkStart w:id="447" w:name="_Toc200103547"/>
      <w:bookmarkStart w:id="448" w:name="_Toc200271660"/>
      <w:r w:rsidRPr="008034CE">
        <w:t>Dietitian</w:t>
      </w:r>
      <w:bookmarkEnd w:id="446"/>
      <w:r w:rsidRPr="008034CE">
        <w:t xml:space="preserve"> Price Limits</w:t>
      </w:r>
      <w:bookmarkEnd w:id="447"/>
      <w:bookmarkEnd w:id="448"/>
    </w:p>
    <w:p w14:paraId="03F1F116" w14:textId="3B4B615E" w:rsidR="00843225" w:rsidRPr="008034CE" w:rsidRDefault="00843225" w:rsidP="00843225">
      <w:r w:rsidRPr="008034CE">
        <w:t>Benchmarking results provide a clear basis to revise the NDIS price limit for supports delivered by Dietitians. The current NDIS price limit of $193.99 per hour is substantially higher than both the P</w:t>
      </w:r>
      <w:r w:rsidRPr="008034CE">
        <w:rPr>
          <w:spacing w:val="-60"/>
        </w:rPr>
        <w:t xml:space="preserve"> </w:t>
      </w:r>
      <w:r w:rsidRPr="008034CE">
        <w:t>H</w:t>
      </w:r>
      <w:r w:rsidRPr="008034CE">
        <w:rPr>
          <w:spacing w:val="-60"/>
        </w:rPr>
        <w:t xml:space="preserve"> </w:t>
      </w:r>
      <w:r w:rsidRPr="008034CE">
        <w:t>I 75</w:t>
      </w:r>
      <w:r w:rsidRPr="008034CE">
        <w:rPr>
          <w:vertAlign w:val="superscript"/>
        </w:rPr>
        <w:t>th</w:t>
      </w:r>
      <w:r w:rsidRPr="008034CE">
        <w:t xml:space="preserve"> percentile rate of $162.30 per hour and the MBS 75</w:t>
      </w:r>
      <w:r w:rsidRPr="008034CE">
        <w:rPr>
          <w:vertAlign w:val="superscript"/>
        </w:rPr>
        <w:t>th</w:t>
      </w:r>
      <w:r w:rsidRPr="008034CE">
        <w:t xml:space="preserve"> percentile rate of $141.10 per hour. </w:t>
      </w:r>
      <w:r w:rsidR="004D0DF5" w:rsidRPr="004D0DF5">
        <w:t>This represents a divergence of approximately 19.5% above P</w:t>
      </w:r>
      <w:r w:rsidR="004D0DF5" w:rsidRPr="004D0DF5">
        <w:rPr>
          <w:spacing w:val="-60"/>
        </w:rPr>
        <w:t xml:space="preserve"> </w:t>
      </w:r>
      <w:r w:rsidR="004D0DF5" w:rsidRPr="004D0DF5">
        <w:t>H</w:t>
      </w:r>
      <w:r w:rsidR="004D0DF5" w:rsidRPr="004D0DF5">
        <w:rPr>
          <w:spacing w:val="-60"/>
        </w:rPr>
        <w:t xml:space="preserve"> </w:t>
      </w:r>
      <w:r w:rsidR="004D0DF5" w:rsidRPr="004D0DF5">
        <w:t>I and 37.5% above MBS.</w:t>
      </w:r>
      <w:r w:rsidRPr="008034CE">
        <w:t xml:space="preserve"> These benchmarks were derived from large-scale billing datasets and converted to hourly rates using validated session duration estimates.</w:t>
      </w:r>
    </w:p>
    <w:p w14:paraId="73BA8187" w14:textId="54D3C711" w:rsidR="00843225" w:rsidRPr="008034CE" w:rsidRDefault="004D0DF5" w:rsidP="00843225">
      <w:r w:rsidRPr="004D0DF5">
        <w:t>Given the size and consistency of this gap across sources and jurisdictions, there is strong rationale to reduce the NDIS price limit to better align with prevailing market conditions. A modest, incremental reduction is recommended to avoid market disruption. Further adjustment can be considered following the upcoming proposed Therapy Pricing Review.</w:t>
      </w:r>
      <w:r w:rsidR="00843225" w:rsidRPr="008034CE">
        <w:t xml:space="preserve">  </w:t>
      </w:r>
    </w:p>
    <w:p w14:paraId="5507FC25" w14:textId="77777777" w:rsidR="00843225" w:rsidRPr="008034CE" w:rsidRDefault="00843225" w:rsidP="00843225">
      <w:pPr>
        <w:pStyle w:val="Recommendationheading"/>
      </w:pPr>
      <w:r w:rsidRPr="008034CE">
        <w:t xml:space="preserve">Recommendation </w:t>
      </w:r>
      <w:r w:rsidRPr="008034CE">
        <w:rPr>
          <w:bCs/>
        </w:rPr>
        <w:t>9</w:t>
      </w:r>
      <w:r w:rsidRPr="008034CE">
        <w:t xml:space="preserve">: </w:t>
      </w:r>
    </w:p>
    <w:p w14:paraId="2E610B0F" w14:textId="77777777" w:rsidR="00843225" w:rsidRPr="008034CE" w:rsidRDefault="00843225" w:rsidP="00843225">
      <w:pPr>
        <w:pStyle w:val="Normalrecommendationtext"/>
      </w:pPr>
      <w:r w:rsidRPr="008034CE">
        <w:t xml:space="preserve">The NDIA should lower the price limit for supports delivered by a Dietitian by $5 to a new national price limit of $188.99 per hour on 1 July 2025. </w:t>
      </w:r>
    </w:p>
    <w:p w14:paraId="5BF1FC57" w14:textId="77777777" w:rsidR="00843225" w:rsidRPr="008034CE" w:rsidRDefault="00843225" w:rsidP="00843225">
      <w:pPr>
        <w:pStyle w:val="Normalrecommendationtext"/>
      </w:pPr>
      <w:r w:rsidRPr="008034CE">
        <w:t>Notwithstanding changes to the NDIS Pricing Arrangements and Price Limits, specifically, this applies to support items: Assessment Recommendation Therapy or Training Supports – Dietitian (01_760_0128_3_3, 15_062_0128_3_3), Advice provided by a Dietitian on managing diet for health and well-being (12_025_0128_3_3) and Assessment Recommendation Therapy or Training – EC – Dietitian (01_760_0118_1_3).</w:t>
      </w:r>
    </w:p>
    <w:p w14:paraId="758DCF60" w14:textId="7536222D" w:rsidR="00843225" w:rsidRDefault="00843225" w:rsidP="008B47AD">
      <w:pPr>
        <w:pStyle w:val="Heading4"/>
      </w:pPr>
      <w:bookmarkStart w:id="449" w:name="_Toc195538973"/>
      <w:bookmarkStart w:id="450" w:name="_Toc200103548"/>
      <w:bookmarkStart w:id="451" w:name="_Toc200271661"/>
      <w:r w:rsidRPr="008034CE">
        <w:lastRenderedPageBreak/>
        <w:t>Podiatrist</w:t>
      </w:r>
      <w:bookmarkEnd w:id="449"/>
      <w:r w:rsidRPr="008034CE">
        <w:t xml:space="preserve"> Price Limits</w:t>
      </w:r>
      <w:bookmarkEnd w:id="450"/>
      <w:bookmarkEnd w:id="451"/>
    </w:p>
    <w:p w14:paraId="7275C137" w14:textId="587E288F" w:rsidR="00843225" w:rsidRPr="008034CE" w:rsidRDefault="00843225" w:rsidP="00843225">
      <w:r w:rsidRPr="008034CE">
        <w:t>Benchmarking data suggest the current NDIS price limit for Podiatrists is above P</w:t>
      </w:r>
      <w:r w:rsidRPr="008034CE">
        <w:rPr>
          <w:spacing w:val="-60"/>
        </w:rPr>
        <w:t xml:space="preserve"> </w:t>
      </w:r>
      <w:r w:rsidRPr="008034CE">
        <w:t>H</w:t>
      </w:r>
      <w:r w:rsidRPr="008034CE">
        <w:rPr>
          <w:spacing w:val="-60"/>
        </w:rPr>
        <w:t xml:space="preserve"> </w:t>
      </w:r>
      <w:r w:rsidRPr="008034CE">
        <w:t xml:space="preserve">I and substantially above MBS market rates. </w:t>
      </w:r>
      <w:r w:rsidR="004D0DF5" w:rsidRPr="004D0DF5">
        <w:t>The NDIS limit of $193.99 per hour is 5.8% above the P</w:t>
      </w:r>
      <w:r w:rsidR="004D0DF5" w:rsidRPr="004D0DF5">
        <w:rPr>
          <w:spacing w:val="-60"/>
        </w:rPr>
        <w:t xml:space="preserve"> </w:t>
      </w:r>
      <w:r w:rsidR="004D0DF5" w:rsidRPr="004D0DF5">
        <w:t>H</w:t>
      </w:r>
      <w:r w:rsidR="004D0DF5" w:rsidRPr="004D0DF5">
        <w:rPr>
          <w:spacing w:val="-60"/>
        </w:rPr>
        <w:t xml:space="preserve"> </w:t>
      </w:r>
      <w:r w:rsidR="004D0DF5" w:rsidRPr="004D0DF5">
        <w:t>I 75</w:t>
      </w:r>
      <w:r w:rsidR="004D0DF5" w:rsidRPr="004D0DF5">
        <w:rPr>
          <w:vertAlign w:val="superscript"/>
        </w:rPr>
        <w:t>th</w:t>
      </w:r>
      <w:r w:rsidR="004D0DF5" w:rsidRPr="004D0DF5">
        <w:t xml:space="preserve"> percentile of $183.40 per hour but 48% above the MBS 75</w:t>
      </w:r>
      <w:r w:rsidR="004D0DF5" w:rsidRPr="004D0DF5">
        <w:rPr>
          <w:vertAlign w:val="superscript"/>
        </w:rPr>
        <w:t>th</w:t>
      </w:r>
      <w:r w:rsidR="004D0DF5" w:rsidRPr="004D0DF5">
        <w:t xml:space="preserve"> percentile of $131.10. These figures are based on large-scale billing data and converted to hourly rates using validated session durations.</w:t>
      </w:r>
      <w:r w:rsidRPr="008034CE">
        <w:t xml:space="preserve"> </w:t>
      </w:r>
    </w:p>
    <w:p w14:paraId="2A825424" w14:textId="4928731D" w:rsidR="00843225" w:rsidRPr="008034CE" w:rsidRDefault="00843225" w:rsidP="00843225">
      <w:r w:rsidRPr="008034CE">
        <w:t>The significant divergence from MBS and the narrow margin over the P</w:t>
      </w:r>
      <w:r w:rsidRPr="008034CE">
        <w:rPr>
          <w:spacing w:val="-60"/>
        </w:rPr>
        <w:t xml:space="preserve"> </w:t>
      </w:r>
      <w:r w:rsidRPr="008034CE">
        <w:t>H</w:t>
      </w:r>
      <w:r w:rsidRPr="008034CE">
        <w:rPr>
          <w:spacing w:val="-60"/>
        </w:rPr>
        <w:t xml:space="preserve"> </w:t>
      </w:r>
      <w:r w:rsidRPr="008034CE">
        <w:t xml:space="preserve">I suggest that the NDIS price limit is at the upper </w:t>
      </w:r>
      <w:r w:rsidR="004D0DF5" w:rsidRPr="004D0DF5">
        <w:t>end of observed market rates. A modest reduction would bring the price limit closer to alignment with market rates. Further consideration will be given to podiatry pricing as part of the proposed Therapy Pricing Review.</w:t>
      </w:r>
      <w:r w:rsidR="004D0DF5">
        <w:t xml:space="preserve"> </w:t>
      </w:r>
      <w:r w:rsidRPr="008034CE">
        <w:t xml:space="preserve"> </w:t>
      </w:r>
    </w:p>
    <w:p w14:paraId="64E2B7FA" w14:textId="77777777" w:rsidR="00843225" w:rsidRPr="008034CE" w:rsidRDefault="00843225" w:rsidP="00843225">
      <w:pPr>
        <w:pStyle w:val="Recommendationheading"/>
      </w:pPr>
      <w:r w:rsidRPr="008034CE">
        <w:t>Recommendation 1</w:t>
      </w:r>
      <w:r w:rsidRPr="008034CE">
        <w:rPr>
          <w:bCs/>
        </w:rPr>
        <w:t>0</w:t>
      </w:r>
      <w:r w:rsidRPr="008034CE">
        <w:t xml:space="preserve">: </w:t>
      </w:r>
    </w:p>
    <w:p w14:paraId="68B8D5EC" w14:textId="77777777" w:rsidR="00843225" w:rsidRPr="008034CE" w:rsidRDefault="00843225" w:rsidP="00843225">
      <w:pPr>
        <w:pStyle w:val="Normalrecommendationtext"/>
      </w:pPr>
      <w:r w:rsidRPr="008034CE">
        <w:t xml:space="preserve">The NDIA should lower the price limit for supports delivered by a Podiatrist by $5 to a new national price limit of $188.99 per hour on 1 July 2025. </w:t>
      </w:r>
    </w:p>
    <w:p w14:paraId="15F3B25A" w14:textId="77777777" w:rsidR="00843225" w:rsidRPr="008034CE" w:rsidRDefault="00843225" w:rsidP="00843225">
      <w:pPr>
        <w:pStyle w:val="Normalrecommendationtext"/>
      </w:pPr>
      <w:r w:rsidRPr="008034CE">
        <w:t>Notwithstanding changes to the NDIS Pricing Arrangements and Price Limits, specifically, this applies to support items: Assessment Recommendation Therapy or Training Supports – Podiatrist (01_663_0128_1_3, 15_619_0128_1_3) and Assessment Recommendation Therapy or Training – EC – Podiatrist (01_663_0118_1_3).</w:t>
      </w:r>
    </w:p>
    <w:p w14:paraId="0B03C300" w14:textId="77777777" w:rsidR="00843225" w:rsidRPr="008034CE" w:rsidRDefault="00843225" w:rsidP="00843225">
      <w:pPr>
        <w:pStyle w:val="Heading4"/>
      </w:pPr>
      <w:bookmarkStart w:id="452" w:name="_Toc200103550"/>
      <w:bookmarkStart w:id="453" w:name="_Toc200271662"/>
      <w:r w:rsidRPr="008034CE">
        <w:t>Presentation of Therapy Session Length</w:t>
      </w:r>
      <w:bookmarkEnd w:id="452"/>
      <w:bookmarkEnd w:id="453"/>
      <w:r w:rsidRPr="008034CE">
        <w:t xml:space="preserve"> </w:t>
      </w:r>
    </w:p>
    <w:p w14:paraId="0166A71D" w14:textId="77777777" w:rsidR="008460DE" w:rsidRPr="008460DE" w:rsidRDefault="008460DE" w:rsidP="008460DE">
      <w:r w:rsidRPr="008460DE">
        <w:t xml:space="preserve">It is becoming apparent that session length is emerging as a key structural feature of NDIS therapy pricing. This pattern is particularly concentrated among registered providers (69%) and reflects widespread use of 60-minute sessions across most therapy types. Although current pricing rules allow for pro-rata billing, the price limit appears to operate as the default. Claiming patterns indicate that the hourly benchmark price may be influencing session lengths that don’t always align with industry standards. </w:t>
      </w:r>
    </w:p>
    <w:p w14:paraId="5A25A6E6" w14:textId="6DC72D29" w:rsidR="008460DE" w:rsidRDefault="008460DE" w:rsidP="008460DE">
      <w:r w:rsidRPr="008460DE">
        <w:t xml:space="preserve">The NDIA is also aware of the Department of Health, Disability and Ageing’s Review of MBS Allied Health Chronic Disease Management Services that commenced on 20 August 2024. This MBS review will assess whether services are adequately supporting patients with chronic conditions and whether individual and group MBS allied health services could be improved to better support eligible patients. This includes reviewing session length in delivering those services to patients. </w:t>
      </w:r>
    </w:p>
    <w:p w14:paraId="0D1C667F" w14:textId="77777777" w:rsidR="008460DE" w:rsidRDefault="008460DE">
      <w:pPr>
        <w:spacing w:before="120" w:after="120"/>
      </w:pPr>
      <w:r>
        <w:br w:type="page"/>
      </w:r>
    </w:p>
    <w:p w14:paraId="7180BB91" w14:textId="77777777" w:rsidR="008460DE" w:rsidRPr="008460DE" w:rsidRDefault="008460DE" w:rsidP="008460DE">
      <w:r w:rsidRPr="008460DE">
        <w:lastRenderedPageBreak/>
        <w:t xml:space="preserve">This year the price limits for therapies are presented in 10-minute increments to encourage session lengths that align with participant needs and best practice. </w:t>
      </w:r>
    </w:p>
    <w:p w14:paraId="72A89233" w14:textId="77777777" w:rsidR="008460DE" w:rsidRPr="008460DE" w:rsidRDefault="008460DE" w:rsidP="008460DE">
      <w:r w:rsidRPr="008460DE">
        <w:t xml:space="preserve">This is not a change to the pricing arrangement, rather a different presentation of information aimed at clarifying that 60-minute sessions are not assumed to be the default and to better align service delivery with participant needs. </w:t>
      </w:r>
    </w:p>
    <w:p w14:paraId="47FD975A" w14:textId="77777777" w:rsidR="008460DE" w:rsidRDefault="008460DE" w:rsidP="008460DE">
      <w:r w:rsidRPr="008460DE">
        <w:t>This approach begins better alignment and reflection of the standard practice in other health funding models, such as the MBS, and supports better alignment between pricing and participant outcomes. Further consideration of the most appropriate NDIS therapy pricing structure will be reviewed in the proposed Therapy Pricing Review.</w:t>
      </w:r>
    </w:p>
    <w:p w14:paraId="3A625401" w14:textId="00FDFD2A" w:rsidR="00843225" w:rsidRPr="008034CE" w:rsidRDefault="00843225" w:rsidP="00843225">
      <w:pPr>
        <w:pStyle w:val="Recommendationheading"/>
      </w:pPr>
      <w:r w:rsidRPr="008034CE">
        <w:t>Recommendation 1</w:t>
      </w:r>
      <w:r w:rsidR="008460DE">
        <w:t>1</w:t>
      </w:r>
      <w:r w:rsidRPr="008034CE">
        <w:t xml:space="preserve">: </w:t>
      </w:r>
    </w:p>
    <w:p w14:paraId="7CE8CCDF" w14:textId="77777777" w:rsidR="00843225" w:rsidRPr="008034CE" w:rsidRDefault="00843225" w:rsidP="008B47AD">
      <w:pPr>
        <w:pStyle w:val="Normalrecommendationtext"/>
        <w:spacing w:after="120"/>
      </w:pPr>
      <w:r w:rsidRPr="008034CE">
        <w:t>The NDIA should present therapy support price limits in 10-minute increments, to encourage greater flexibility in session lengths and improve alignment between claimed time and services delivered. This will be applied as a linear adjustment to the price limit per 10 minutes claimed.</w:t>
      </w:r>
    </w:p>
    <w:p w14:paraId="0A087AC8" w14:textId="77777777" w:rsidR="00843225" w:rsidRPr="008034CE" w:rsidRDefault="00843225" w:rsidP="00843225">
      <w:pPr>
        <w:pStyle w:val="Normalrecommendationtext"/>
      </w:pPr>
      <w:r w:rsidRPr="008034CE">
        <w:t xml:space="preserve">This change would apply alongside existing claiming rules for therapy supports. </w:t>
      </w:r>
    </w:p>
    <w:p w14:paraId="025AF033" w14:textId="77777777" w:rsidR="00843225" w:rsidRPr="008034CE" w:rsidRDefault="00843225" w:rsidP="00843225">
      <w:pPr>
        <w:pStyle w:val="Heading4"/>
        <w:numPr>
          <w:ilvl w:val="2"/>
          <w:numId w:val="1"/>
        </w:numPr>
      </w:pPr>
      <w:bookmarkStart w:id="454" w:name="_Toc200103551"/>
      <w:bookmarkStart w:id="455" w:name="_Toc200271663"/>
      <w:bookmarkStart w:id="456" w:name="_Toc195538974"/>
      <w:r w:rsidRPr="008034CE">
        <w:t>Provider Travel Pricing Arrangements</w:t>
      </w:r>
      <w:bookmarkEnd w:id="454"/>
      <w:bookmarkEnd w:id="455"/>
    </w:p>
    <w:bookmarkEnd w:id="456"/>
    <w:p w14:paraId="75BD8813" w14:textId="77777777" w:rsidR="00843225" w:rsidRPr="008034CE" w:rsidRDefault="00843225" w:rsidP="008B47AD">
      <w:pPr>
        <w:spacing w:after="160"/>
      </w:pPr>
      <w:r w:rsidRPr="008034CE">
        <w:t xml:space="preserve">The NDIA proposes to retain all current travel claiming rules for therapy supports, with one modification: the total claimable amount for travel-covering the labour component will be capped at 50% of the relevant therapy hourly price limit. This change will improve the sustainability and equity of travel funding under the Scheme, while continuing to support reasonable provider costs and participant access to supports. </w:t>
      </w:r>
    </w:p>
    <w:p w14:paraId="031A3FEA" w14:textId="77777777" w:rsidR="00843225" w:rsidRPr="008034CE" w:rsidRDefault="00843225" w:rsidP="008B47AD">
      <w:pPr>
        <w:spacing w:after="160"/>
      </w:pPr>
      <w:r w:rsidRPr="008034CE">
        <w:t xml:space="preserve">Under the existing arrangements, a provider may claim up to 30 or 60 minutes of travel time per appointment (depending on remoteness), in addition to non-labour costs such as mileage and tolls. In practice this can lead to claims that approach or exceed the value of the therapy service itself, particularly in regional or lower-density areas unless apportioned across several participants. While some degree of compensation for travel is necessary to maintain support access, particularly in thin markets, the current structure creates inconsistency in participant budgets and introduces incentives for inefficient scheduling. </w:t>
      </w:r>
    </w:p>
    <w:p w14:paraId="2112938E" w14:textId="77777777" w:rsidR="00843225" w:rsidRPr="008034CE" w:rsidRDefault="00843225" w:rsidP="008B47AD">
      <w:pPr>
        <w:spacing w:after="160"/>
      </w:pPr>
      <w:r w:rsidRPr="008034CE">
        <w:t xml:space="preserve">Benchmarking shows that most comparable insurance and health funding systems do not separately reimburse travel at the same magnitude or embed travel costs within a broader bundled price. Introducing a 50% cap maintains alignment with NDIS principles, ensuring participant funds are used efficiently, while recognising that travel remains a legitimate and often necessary component of service delivery. </w:t>
      </w:r>
    </w:p>
    <w:p w14:paraId="60B3741F" w14:textId="77777777" w:rsidR="00843225" w:rsidRPr="008034CE" w:rsidRDefault="00843225" w:rsidP="008B47AD">
      <w:pPr>
        <w:spacing w:after="160"/>
      </w:pPr>
      <w:r w:rsidRPr="008034CE">
        <w:lastRenderedPageBreak/>
        <w:t xml:space="preserve">This change provides clear cost expectations for participants, incentivises more efficient provider scheduling, and ensures that travel claims remain proportionate to the service being delivered. The existing remote and very remote loadings will remain in place to provide additional support for participants living in these locations. </w:t>
      </w:r>
    </w:p>
    <w:p w14:paraId="5F7AA951" w14:textId="4B0A4EE0" w:rsidR="00843225" w:rsidRPr="008034CE" w:rsidRDefault="00843225" w:rsidP="00843225">
      <w:pPr>
        <w:pStyle w:val="Recommendationheading"/>
      </w:pPr>
      <w:r w:rsidRPr="008034CE">
        <w:t xml:space="preserve">Recommendation </w:t>
      </w:r>
      <w:r w:rsidRPr="008034CE">
        <w:rPr>
          <w:bCs/>
        </w:rPr>
        <w:t>1</w:t>
      </w:r>
      <w:r w:rsidR="008460DE">
        <w:rPr>
          <w:bCs/>
        </w:rPr>
        <w:t>2</w:t>
      </w:r>
      <w:r w:rsidRPr="008034CE">
        <w:t xml:space="preserve">: </w:t>
      </w:r>
    </w:p>
    <w:p w14:paraId="392925C7" w14:textId="77777777" w:rsidR="008B47AD" w:rsidRDefault="00843225" w:rsidP="008B47AD">
      <w:pPr>
        <w:pStyle w:val="Normalrecommendationtext"/>
        <w:spacing w:after="160"/>
      </w:pPr>
      <w:r w:rsidRPr="008034CE">
        <w:t xml:space="preserve">From 1 July 2025, the NDIA should introduce a cap on provider travel claims for therapy supports, limiting the total claimable amount for labour time component, to no more than 50% of the applicable therapy hourly price limit. </w:t>
      </w:r>
    </w:p>
    <w:p w14:paraId="4E5BCEDF" w14:textId="7F4946AC" w:rsidR="00870689" w:rsidRPr="008034CE" w:rsidRDefault="00870689" w:rsidP="008B47AD">
      <w:pPr>
        <w:pStyle w:val="Normalrecommendationtext"/>
      </w:pPr>
      <w:r w:rsidRPr="008034CE">
        <w:t xml:space="preserve">This change would apply alongside existing claiming rules and thresholds for therapy supports, including time-based limits by remoteness area, and assist ensure that travel claims remain proportionate to the service delivered. </w:t>
      </w:r>
    </w:p>
    <w:p w14:paraId="3C08F0AC" w14:textId="77777777" w:rsidR="00E36DCB" w:rsidRPr="008034CE" w:rsidRDefault="00E36DCB" w:rsidP="00E36DCB">
      <w:pPr>
        <w:pStyle w:val="Heading2"/>
        <w:numPr>
          <w:ilvl w:val="0"/>
          <w:numId w:val="1"/>
        </w:numPr>
      </w:pPr>
      <w:bookmarkStart w:id="457" w:name="_Toc195099174"/>
      <w:bookmarkStart w:id="458" w:name="_Toc196754641"/>
      <w:bookmarkStart w:id="459" w:name="_Toc196758243"/>
      <w:bookmarkStart w:id="460" w:name="_Toc197344319"/>
      <w:bookmarkStart w:id="461" w:name="_Toc200271664"/>
      <w:r w:rsidRPr="008034CE">
        <w:lastRenderedPageBreak/>
        <w:t>Support Coordination</w:t>
      </w:r>
      <w:bookmarkEnd w:id="457"/>
      <w:bookmarkEnd w:id="458"/>
      <w:bookmarkEnd w:id="459"/>
      <w:bookmarkEnd w:id="460"/>
      <w:bookmarkEnd w:id="461"/>
    </w:p>
    <w:p w14:paraId="3E05D319" w14:textId="77777777" w:rsidR="00E36DCB" w:rsidRPr="008034CE" w:rsidRDefault="00E36DCB" w:rsidP="00E36DCB">
      <w:pPr>
        <w:pStyle w:val="Heading3"/>
        <w:numPr>
          <w:ilvl w:val="1"/>
          <w:numId w:val="1"/>
        </w:numPr>
      </w:pPr>
      <w:bookmarkStart w:id="462" w:name="_Toc194331897"/>
      <w:bookmarkStart w:id="463" w:name="_Toc194331926"/>
      <w:bookmarkStart w:id="464" w:name="_Toc194331927"/>
      <w:bookmarkStart w:id="465" w:name="_Toc195099175"/>
      <w:bookmarkStart w:id="466" w:name="_Toc196754642"/>
      <w:bookmarkStart w:id="467" w:name="_Toc196758244"/>
      <w:bookmarkStart w:id="468" w:name="_Toc197344320"/>
      <w:bookmarkStart w:id="469" w:name="_Toc200271665"/>
      <w:bookmarkEnd w:id="462"/>
      <w:bookmarkEnd w:id="463"/>
      <w:bookmarkEnd w:id="464"/>
      <w:r w:rsidRPr="008034CE">
        <w:t>Context</w:t>
      </w:r>
      <w:bookmarkEnd w:id="465"/>
      <w:bookmarkEnd w:id="466"/>
      <w:bookmarkEnd w:id="467"/>
      <w:bookmarkEnd w:id="468"/>
      <w:bookmarkEnd w:id="469"/>
      <w:r w:rsidRPr="008034CE">
        <w:t xml:space="preserve"> </w:t>
      </w:r>
    </w:p>
    <w:p w14:paraId="00802D0B" w14:textId="77777777" w:rsidR="00E36DCB" w:rsidRPr="008034CE" w:rsidRDefault="00E36DCB" w:rsidP="00E36DCB">
      <w:r w:rsidRPr="008034CE">
        <w:t>Support coordination assists participants make effective use of their NDIS plans. Support coordinators assist participants by identifying and connecting them with funded and mainstream supports, tailoring supports to individual needs and ensuring these align with plan budgets and goals. This role is intended to empower participants, enhancing their ability to exercise choice and control in decision-making and service selection.</w:t>
      </w:r>
    </w:p>
    <w:p w14:paraId="504CB2FF" w14:textId="77777777" w:rsidR="00E36DCB" w:rsidRPr="008034CE" w:rsidRDefault="00E36DCB" w:rsidP="00E36DCB">
      <w:r w:rsidRPr="008034CE">
        <w:t xml:space="preserve">Support coordinators require a strong understanding of the local provider market to facilitate access to appropriate supports. This includes sourcing alternative providers when necessary to maintain access to and continuity of supports for participants. </w:t>
      </w:r>
    </w:p>
    <w:p w14:paraId="297BBCBA" w14:textId="1307D49B" w:rsidR="00E36DCB" w:rsidRPr="008034CE" w:rsidRDefault="00E36DCB" w:rsidP="00E36DCB">
      <w:r w:rsidRPr="008034CE">
        <w:t xml:space="preserve">The NDIS pricing approach for support coordination is structured to reflect </w:t>
      </w:r>
      <w:r w:rsidRPr="0075051E">
        <w:rPr>
          <w:spacing w:val="-2"/>
        </w:rPr>
        <w:t>different</w:t>
      </w:r>
      <w:r w:rsidR="0075051E" w:rsidRPr="0075051E">
        <w:rPr>
          <w:spacing w:val="-2"/>
        </w:rPr>
        <w:t> </w:t>
      </w:r>
      <w:r w:rsidRPr="0075051E">
        <w:rPr>
          <w:spacing w:val="-2"/>
        </w:rPr>
        <w:t xml:space="preserve">levels of participant need and complexity. Supports are available under </w:t>
      </w:r>
      <w:r w:rsidRPr="008034CE">
        <w:t>three</w:t>
      </w:r>
      <w:r w:rsidR="0075051E">
        <w:t> </w:t>
      </w:r>
      <w:r w:rsidRPr="008034CE">
        <w:t xml:space="preserve">categories: </w:t>
      </w:r>
    </w:p>
    <w:p w14:paraId="0B03F394" w14:textId="77777777" w:rsidR="00E36DCB" w:rsidRPr="008034CE" w:rsidRDefault="00E36DCB" w:rsidP="0010695B">
      <w:pPr>
        <w:pStyle w:val="ListParagraph"/>
        <w:numPr>
          <w:ilvl w:val="0"/>
          <w:numId w:val="29"/>
        </w:numPr>
        <w:spacing w:line="288" w:lineRule="auto"/>
        <w:rPr>
          <w:i/>
          <w:iCs/>
        </w:rPr>
      </w:pPr>
      <w:r w:rsidRPr="008034CE">
        <w:rPr>
          <w:i/>
          <w:iCs/>
        </w:rPr>
        <w:t>Level 1: Support Connection</w:t>
      </w:r>
    </w:p>
    <w:p w14:paraId="31A43D99" w14:textId="77777777" w:rsidR="00E36DCB" w:rsidRPr="008034CE" w:rsidRDefault="00E36DCB" w:rsidP="0010695B">
      <w:pPr>
        <w:pStyle w:val="ListParagraph"/>
        <w:numPr>
          <w:ilvl w:val="0"/>
          <w:numId w:val="29"/>
        </w:numPr>
        <w:spacing w:line="288" w:lineRule="auto"/>
        <w:rPr>
          <w:i/>
          <w:iCs/>
        </w:rPr>
      </w:pPr>
      <w:r w:rsidRPr="008034CE">
        <w:rPr>
          <w:i/>
          <w:iCs/>
        </w:rPr>
        <w:t>Level 2: Coordination of Supports</w:t>
      </w:r>
    </w:p>
    <w:p w14:paraId="04DBDF57" w14:textId="77777777" w:rsidR="00E36DCB" w:rsidRPr="008034CE" w:rsidRDefault="00E36DCB" w:rsidP="0010695B">
      <w:pPr>
        <w:pStyle w:val="ListParagraph"/>
        <w:numPr>
          <w:ilvl w:val="0"/>
          <w:numId w:val="29"/>
        </w:numPr>
        <w:spacing w:line="288" w:lineRule="auto"/>
        <w:rPr>
          <w:i/>
          <w:iCs/>
        </w:rPr>
      </w:pPr>
      <w:r w:rsidRPr="008034CE">
        <w:rPr>
          <w:i/>
          <w:iCs/>
        </w:rPr>
        <w:t xml:space="preserve">Level 3: Specialist Support Coordination </w:t>
      </w:r>
    </w:p>
    <w:p w14:paraId="0213CE66" w14:textId="49C05596" w:rsidR="00E36DCB" w:rsidRPr="008034CE" w:rsidRDefault="00E36DCB" w:rsidP="00E36DCB">
      <w:r w:rsidRPr="008034CE">
        <w:t>Each level has its own price limits designed to ensure participants receive the right level of assistance to build capacity, manage supports effectively, and achieve plan</w:t>
      </w:r>
      <w:r w:rsidR="0075051E">
        <w:t> </w:t>
      </w:r>
      <w:r w:rsidRPr="008034CE">
        <w:t xml:space="preserve">outcomes. </w:t>
      </w:r>
    </w:p>
    <w:p w14:paraId="4CE1BE99" w14:textId="01F0548B" w:rsidR="00E36DCB" w:rsidRPr="008034CE" w:rsidRDefault="00E36DCB" w:rsidP="00E36DCB">
      <w:r w:rsidRPr="008034CE">
        <w:t>In 2024-25, support coordination can be delivered by both registered and unregistered providers as registration has not been mandatory. However, on 16 September 2024, the Minister for Government Services and the NDIS at the time, announced that registration of all platform providers, support coordinators and SIL</w:t>
      </w:r>
      <w:r w:rsidR="006239E6">
        <w:t> </w:t>
      </w:r>
      <w:r w:rsidRPr="008034CE">
        <w:t>providers was required to strengthen the quality and safety of supports. Arrangements to register Support coordinators is anticipated to occur after 1</w:t>
      </w:r>
      <w:r w:rsidR="0075051E">
        <w:t> </w:t>
      </w:r>
      <w:r w:rsidRPr="008034CE">
        <w:t>July</w:t>
      </w:r>
      <w:r w:rsidR="0075051E">
        <w:t> </w:t>
      </w:r>
      <w:r w:rsidRPr="008034CE">
        <w:t>2025.</w:t>
      </w:r>
      <w:r w:rsidRPr="008034CE" w:rsidDel="00285C97">
        <w:t xml:space="preserve"> </w:t>
      </w:r>
    </w:p>
    <w:p w14:paraId="0B59DF7C" w14:textId="77777777" w:rsidR="00E36DCB" w:rsidRPr="008034CE" w:rsidRDefault="00E36DCB" w:rsidP="00E36DCB">
      <w:r w:rsidRPr="008034CE">
        <w:t xml:space="preserve">This section reviews the current pricing arrangements for support coordination, assessing whether the pricing approach supports sustainable service delivery and participant access to high-quality, effective supports. </w:t>
      </w:r>
    </w:p>
    <w:p w14:paraId="518DBE09" w14:textId="4940F1D4" w:rsidR="00E36DCB" w:rsidRDefault="00E36DCB">
      <w:pPr>
        <w:spacing w:before="120" w:after="120"/>
      </w:pPr>
      <w:r>
        <w:br w:type="page"/>
      </w:r>
    </w:p>
    <w:p w14:paraId="5BE92A9D" w14:textId="77777777" w:rsidR="00C95AD8" w:rsidRPr="008034CE" w:rsidRDefault="00C95AD8" w:rsidP="00C95AD8">
      <w:pPr>
        <w:pStyle w:val="Heading4"/>
      </w:pPr>
      <w:bookmarkStart w:id="470" w:name="_Toc195099177"/>
      <w:bookmarkStart w:id="471" w:name="_Toc200103554"/>
      <w:bookmarkStart w:id="472" w:name="_Toc200271666"/>
      <w:r w:rsidRPr="008034CE">
        <w:lastRenderedPageBreak/>
        <w:t>Quality Supports Program – Support Coordination Pilot</w:t>
      </w:r>
      <w:bookmarkEnd w:id="470"/>
      <w:bookmarkEnd w:id="471"/>
      <w:bookmarkEnd w:id="472"/>
      <w:r w:rsidRPr="008034CE">
        <w:t xml:space="preserve"> </w:t>
      </w:r>
    </w:p>
    <w:p w14:paraId="1B14A49A" w14:textId="77777777" w:rsidR="00C95AD8" w:rsidRPr="008034CE" w:rsidRDefault="00C95AD8" w:rsidP="00C95AD8">
      <w:bookmarkStart w:id="473" w:name="_Toc195099178"/>
      <w:bookmarkStart w:id="474" w:name="_Toc196754643"/>
      <w:r w:rsidRPr="008034CE">
        <w:t xml:space="preserve">The Support Coordination Pilot and grant opportunity was announced following the 2023-2024 Annual Pricing Review (APR). </w:t>
      </w:r>
    </w:p>
    <w:p w14:paraId="01FB5A14" w14:textId="77777777" w:rsidR="00C95AD8" w:rsidRPr="008034CE" w:rsidRDefault="00C95AD8" w:rsidP="00C95AD8">
      <w:r w:rsidRPr="008034CE">
        <w:t>The Support Coordination Pilot is gathering evidence to inform quality Support Coordination and identify practices that lead to better outcomes for participants. The pilot enables the NDIA to gain greater insight into the factors that impact the delivery and quality of support coordination and to design the future Navigator functions.</w:t>
      </w:r>
    </w:p>
    <w:p w14:paraId="22BB523C" w14:textId="77777777" w:rsidR="00C95AD8" w:rsidRPr="008034CE" w:rsidRDefault="00C95AD8" w:rsidP="00C95AD8">
      <w:r w:rsidRPr="008034CE">
        <w:t>The Support Coordination Pilot involves working closely with a group of established providers over a 12-month period. The selection of providers is based on the service footprint and the numbers of participants that access their services. The insights gained through the pilot will help improve participant outcomes.</w:t>
      </w:r>
    </w:p>
    <w:p w14:paraId="074E9EA5" w14:textId="77777777" w:rsidR="00C95AD8" w:rsidRPr="008034CE" w:rsidRDefault="00C95AD8" w:rsidP="00C95AD8">
      <w:pPr>
        <w:pStyle w:val="Heading3"/>
      </w:pPr>
      <w:bookmarkStart w:id="475" w:name="_Toc196758245"/>
      <w:bookmarkStart w:id="476" w:name="_Toc197344321"/>
      <w:bookmarkStart w:id="477" w:name="_Toc200271667"/>
      <w:r w:rsidRPr="008034CE">
        <w:t>Scheme Statistics</w:t>
      </w:r>
      <w:bookmarkEnd w:id="473"/>
      <w:bookmarkEnd w:id="474"/>
      <w:bookmarkEnd w:id="475"/>
      <w:bookmarkEnd w:id="476"/>
      <w:bookmarkEnd w:id="477"/>
      <w:r w:rsidRPr="008034CE">
        <w:t xml:space="preserve"> </w:t>
      </w:r>
    </w:p>
    <w:p w14:paraId="6E28D80F" w14:textId="77777777" w:rsidR="00C95AD8" w:rsidRPr="008034CE" w:rsidRDefault="00C95AD8" w:rsidP="00C95AD8">
      <w:pPr>
        <w:pStyle w:val="Heading4"/>
      </w:pPr>
      <w:bookmarkStart w:id="478" w:name="_Toc195099179"/>
      <w:bookmarkStart w:id="479" w:name="_Toc200103556"/>
      <w:bookmarkStart w:id="480" w:name="_Toc200271668"/>
      <w:r w:rsidRPr="008034CE">
        <w:t>Market Overview</w:t>
      </w:r>
      <w:bookmarkEnd w:id="478"/>
      <w:bookmarkEnd w:id="479"/>
      <w:bookmarkEnd w:id="480"/>
      <w:r w:rsidRPr="008034CE">
        <w:t xml:space="preserve"> </w:t>
      </w:r>
    </w:p>
    <w:p w14:paraId="2FF5B987" w14:textId="77777777" w:rsidR="00C95AD8" w:rsidRPr="008034CE" w:rsidRDefault="00C95AD8" w:rsidP="00C95AD8">
      <w:r w:rsidRPr="008034CE">
        <w:t xml:space="preserve">Support coordination remains a core part of the Scheme, with 262,994 participants, around 38% of all active participants, accessing these supports in the six months to December 2024. During this period, 10,184 providers delivered support coordination, with total claims reaching $565 million, or around 2.5% of total NDIS payments. </w:t>
      </w:r>
    </w:p>
    <w:p w14:paraId="00DB301C" w14:textId="2FD743F3" w:rsidR="00C95AD8" w:rsidRPr="008034CE" w:rsidRDefault="00C95AD8" w:rsidP="00C95AD8">
      <w:r w:rsidRPr="008034CE">
        <w:t xml:space="preserve">As shown in </w:t>
      </w:r>
      <w:r w:rsidR="00825B4C">
        <w:fldChar w:fldCharType="begin"/>
      </w:r>
      <w:r w:rsidR="00825B4C">
        <w:instrText xml:space="preserve"> REF _Ref195091212 \h </w:instrText>
      </w:r>
      <w:r w:rsidR="00825B4C">
        <w:fldChar w:fldCharType="separate"/>
      </w:r>
      <w:r w:rsidR="005763F9" w:rsidRPr="008034CE">
        <w:t xml:space="preserve">Table </w:t>
      </w:r>
      <w:r w:rsidR="005763F9">
        <w:rPr>
          <w:noProof/>
        </w:rPr>
        <w:t>24</w:t>
      </w:r>
      <w:r w:rsidR="00825B4C">
        <w:fldChar w:fldCharType="end"/>
      </w:r>
      <w:r w:rsidRPr="008034CE">
        <w:t xml:space="preserve"> and </w:t>
      </w:r>
      <w:r w:rsidR="008B681F">
        <w:fldChar w:fldCharType="begin"/>
      </w:r>
      <w:r w:rsidR="008B681F">
        <w:instrText xml:space="preserve"> REF _Ref195091336 \h </w:instrText>
      </w:r>
      <w:r w:rsidR="008B681F">
        <w:fldChar w:fldCharType="separate"/>
      </w:r>
      <w:r w:rsidR="005763F9" w:rsidRPr="008034CE">
        <w:t xml:space="preserve">Figure </w:t>
      </w:r>
      <w:r w:rsidR="005763F9">
        <w:rPr>
          <w:noProof/>
        </w:rPr>
        <w:t>24</w:t>
      </w:r>
      <w:r w:rsidR="008B681F">
        <w:fldChar w:fldCharType="end"/>
      </w:r>
      <w:r w:rsidRPr="008034CE">
        <w:t>, participant numbers increased by 7% compared to the same time period the year prior, while the number of active providers grew by 15% over the same period. Over this period, the average claim per provider fell by 8% (</w:t>
      </w:r>
      <w:r w:rsidR="00825B4C">
        <w:fldChar w:fldCharType="begin"/>
      </w:r>
      <w:r w:rsidR="00825B4C">
        <w:instrText xml:space="preserve"> REF _Ref195091212 \h </w:instrText>
      </w:r>
      <w:r w:rsidR="00825B4C">
        <w:fldChar w:fldCharType="separate"/>
      </w:r>
      <w:r w:rsidR="005763F9" w:rsidRPr="008034CE">
        <w:t xml:space="preserve">Table </w:t>
      </w:r>
      <w:r w:rsidR="005763F9">
        <w:rPr>
          <w:noProof/>
        </w:rPr>
        <w:t>24</w:t>
      </w:r>
      <w:r w:rsidR="00825B4C">
        <w:fldChar w:fldCharType="end"/>
      </w:r>
      <w:r w:rsidRPr="008034CE">
        <w:t xml:space="preserve">). </w:t>
      </w:r>
    </w:p>
    <w:p w14:paraId="73D16142" w14:textId="70A98CC6" w:rsidR="00C95AD8" w:rsidRPr="008034CE" w:rsidRDefault="00C95AD8" w:rsidP="00C95AD8">
      <w:r w:rsidRPr="008034CE">
        <w:t>Growth has been strongest among unregistered providers, with a 28% increase in participant numbers and 26% increase in total claims (</w:t>
      </w:r>
      <w:r w:rsidR="00825B4C">
        <w:fldChar w:fldCharType="begin"/>
      </w:r>
      <w:r w:rsidR="00825B4C">
        <w:instrText xml:space="preserve"> REF _Ref195710400 \h </w:instrText>
      </w:r>
      <w:r w:rsidR="00825B4C">
        <w:fldChar w:fldCharType="separate"/>
      </w:r>
      <w:r w:rsidR="005763F9" w:rsidRPr="008034CE">
        <w:t xml:space="preserve">Table </w:t>
      </w:r>
      <w:r w:rsidR="005763F9">
        <w:rPr>
          <w:noProof/>
        </w:rPr>
        <w:t>26</w:t>
      </w:r>
      <w:r w:rsidR="00825B4C">
        <w:fldChar w:fldCharType="end"/>
      </w:r>
      <w:r w:rsidRPr="008034CE">
        <w:t xml:space="preserve">). While registered providers continue to deliver most services and receive </w:t>
      </w:r>
      <w:proofErr w:type="gramStart"/>
      <w:r w:rsidRPr="008034CE">
        <w:t>the majority of</w:t>
      </w:r>
      <w:proofErr w:type="gramEnd"/>
      <w:r w:rsidRPr="008034CE">
        <w:t xml:space="preserve"> payments ($447 million), their growth has been more modest – up 3% in participant numbers and 2% in payments for the six months to December 2024 (</w:t>
      </w:r>
      <w:r w:rsidR="00825B4C">
        <w:fldChar w:fldCharType="begin"/>
      </w:r>
      <w:r w:rsidR="00825B4C">
        <w:instrText xml:space="preserve"> REF _Ref195707913 \h </w:instrText>
      </w:r>
      <w:r w:rsidR="00825B4C">
        <w:fldChar w:fldCharType="separate"/>
      </w:r>
      <w:r w:rsidR="005763F9" w:rsidRPr="008034CE">
        <w:t xml:space="preserve">Table </w:t>
      </w:r>
      <w:r w:rsidR="005763F9">
        <w:rPr>
          <w:noProof/>
        </w:rPr>
        <w:t>25</w:t>
      </w:r>
      <w:r w:rsidR="00825B4C">
        <w:fldChar w:fldCharType="end"/>
      </w:r>
      <w:r w:rsidRPr="008034CE">
        <w:t xml:space="preserve">). </w:t>
      </w:r>
    </w:p>
    <w:p w14:paraId="5B8A1F0A" w14:textId="5D4FD916" w:rsidR="00C95AD8" w:rsidRDefault="00C95AD8">
      <w:pPr>
        <w:spacing w:before="120" w:after="120"/>
      </w:pPr>
      <w:r>
        <w:br w:type="page"/>
      </w:r>
    </w:p>
    <w:p w14:paraId="3BBC023D" w14:textId="2DE44F90" w:rsidR="00C95AD8" w:rsidRPr="008034CE" w:rsidRDefault="00C95AD8" w:rsidP="00C95AD8">
      <w:pPr>
        <w:pStyle w:val="Caption"/>
      </w:pPr>
      <w:bookmarkStart w:id="481" w:name="_Ref195091212"/>
      <w:bookmarkStart w:id="482" w:name="_Hlk193279066"/>
      <w:r w:rsidRPr="008034CE">
        <w:lastRenderedPageBreak/>
        <w:t xml:space="preserve">Table </w:t>
      </w:r>
      <w:r w:rsidR="005763F9">
        <w:fldChar w:fldCharType="begin"/>
      </w:r>
      <w:r w:rsidR="005763F9">
        <w:instrText xml:space="preserve"> SEQ Table \* ARABIC </w:instrText>
      </w:r>
      <w:r w:rsidR="005763F9">
        <w:fldChar w:fldCharType="separate"/>
      </w:r>
      <w:r w:rsidR="005763F9">
        <w:rPr>
          <w:noProof/>
        </w:rPr>
        <w:t>24</w:t>
      </w:r>
      <w:r w:rsidR="005763F9">
        <w:rPr>
          <w:noProof/>
        </w:rPr>
        <w:fldChar w:fldCharType="end"/>
      </w:r>
      <w:bookmarkEnd w:id="481"/>
      <w:r w:rsidRPr="008034CE">
        <w:t>: Support Coordination Scheme Statistics – All Providers</w:t>
      </w:r>
    </w:p>
    <w:tbl>
      <w:tblPr>
        <w:tblStyle w:val="GridTable4-Accent12"/>
        <w:tblW w:w="9074" w:type="dxa"/>
        <w:tblInd w:w="0" w:type="dxa"/>
        <w:tblLayout w:type="fixed"/>
        <w:tblLook w:val="04A0" w:firstRow="1" w:lastRow="0" w:firstColumn="1" w:lastColumn="0" w:noHBand="0" w:noVBand="1"/>
      </w:tblPr>
      <w:tblGrid>
        <w:gridCol w:w="3686"/>
        <w:gridCol w:w="1985"/>
        <w:gridCol w:w="1985"/>
        <w:gridCol w:w="1418"/>
      </w:tblGrid>
      <w:tr w:rsidR="00DD3E2F" w:rsidRPr="007C1E37" w14:paraId="07D20341" w14:textId="77777777" w:rsidTr="001E519A">
        <w:trPr>
          <w:cnfStyle w:val="100000000000" w:firstRow="1" w:lastRow="0" w:firstColumn="0" w:lastColumn="0" w:oddVBand="0" w:evenVBand="0" w:oddHBand="0" w:evenHBand="0" w:firstRowFirstColumn="0" w:firstRowLastColumn="0" w:lastRowFirstColumn="0" w:lastRowLastColumn="0"/>
          <w:trHeight w:val="577"/>
          <w:tblHeader/>
        </w:trPr>
        <w:tc>
          <w:tcPr>
            <w:cnfStyle w:val="001000000000" w:firstRow="0" w:lastRow="0" w:firstColumn="1" w:lastColumn="0" w:oddVBand="0" w:evenVBand="0" w:oddHBand="0" w:evenHBand="0" w:firstRowFirstColumn="0" w:firstRowLastColumn="0" w:lastRowFirstColumn="0" w:lastRowLastColumn="0"/>
            <w:tcW w:w="3686" w:type="dxa"/>
            <w:hideMark/>
          </w:tcPr>
          <w:p w14:paraId="49F1823C" w14:textId="77777777" w:rsidR="00DD3E2F" w:rsidRPr="007C1E37" w:rsidRDefault="00DD3E2F" w:rsidP="001E519A">
            <w:pPr>
              <w:spacing w:before="60" w:after="60"/>
              <w:rPr>
                <w:rFonts w:cs="Calibri"/>
                <w:sz w:val="20"/>
                <w:szCs w:val="20"/>
                <w:lang w:eastAsia="zh-CN" w:bidi="th-TH"/>
              </w:rPr>
            </w:pPr>
            <w:r w:rsidRPr="007C1E37">
              <w:rPr>
                <w:sz w:val="20"/>
                <w:szCs w:val="20"/>
              </w:rPr>
              <w:t>Statistics</w:t>
            </w:r>
          </w:p>
        </w:tc>
        <w:tc>
          <w:tcPr>
            <w:tcW w:w="1985" w:type="dxa"/>
            <w:vAlign w:val="center"/>
          </w:tcPr>
          <w:p w14:paraId="511E0892" w14:textId="77777777" w:rsidR="00DD3E2F" w:rsidRPr="007C1E37" w:rsidRDefault="00DD3E2F" w:rsidP="001E519A">
            <w:pPr>
              <w:spacing w:before="60" w:after="60"/>
              <w:jc w:val="right"/>
              <w:cnfStyle w:val="100000000000" w:firstRow="1" w:lastRow="0" w:firstColumn="0" w:lastColumn="0" w:oddVBand="0" w:evenVBand="0" w:oddHBand="0" w:evenHBand="0" w:firstRowFirstColumn="0" w:firstRowLastColumn="0" w:lastRowFirstColumn="0" w:lastRowLastColumn="0"/>
              <w:rPr>
                <w:rFonts w:cs="Calibri"/>
                <w:sz w:val="20"/>
                <w:szCs w:val="20"/>
                <w:lang w:eastAsia="zh-CN" w:bidi="th-TH"/>
              </w:rPr>
            </w:pPr>
            <w:r w:rsidRPr="007C1E37">
              <w:rPr>
                <w:sz w:val="20"/>
                <w:szCs w:val="20"/>
              </w:rPr>
              <w:t>July – December 2023</w:t>
            </w:r>
          </w:p>
        </w:tc>
        <w:tc>
          <w:tcPr>
            <w:tcW w:w="1985" w:type="dxa"/>
            <w:vAlign w:val="center"/>
          </w:tcPr>
          <w:p w14:paraId="083B9B8A" w14:textId="77777777" w:rsidR="00DD3E2F" w:rsidRPr="007C1E37" w:rsidRDefault="00DD3E2F" w:rsidP="001E519A">
            <w:pPr>
              <w:spacing w:before="60" w:after="60"/>
              <w:jc w:val="right"/>
              <w:cnfStyle w:val="100000000000" w:firstRow="1" w:lastRow="0" w:firstColumn="0" w:lastColumn="0" w:oddVBand="0" w:evenVBand="0" w:oddHBand="0" w:evenHBand="0" w:firstRowFirstColumn="0" w:firstRowLastColumn="0" w:lastRowFirstColumn="0" w:lastRowLastColumn="0"/>
              <w:rPr>
                <w:rFonts w:cs="Calibri"/>
                <w:sz w:val="20"/>
                <w:szCs w:val="20"/>
                <w:lang w:eastAsia="zh-CN" w:bidi="th-TH"/>
              </w:rPr>
            </w:pPr>
            <w:r w:rsidRPr="007C1E37">
              <w:rPr>
                <w:sz w:val="20"/>
                <w:szCs w:val="20"/>
              </w:rPr>
              <w:t>July – December 2024</w:t>
            </w:r>
          </w:p>
        </w:tc>
        <w:tc>
          <w:tcPr>
            <w:tcW w:w="1418" w:type="dxa"/>
            <w:vAlign w:val="center"/>
          </w:tcPr>
          <w:p w14:paraId="71CAB015" w14:textId="77777777" w:rsidR="00DD3E2F" w:rsidRPr="007C1E37" w:rsidRDefault="00DD3E2F" w:rsidP="001E519A">
            <w:pPr>
              <w:spacing w:before="60" w:after="60"/>
              <w:jc w:val="right"/>
              <w:cnfStyle w:val="100000000000" w:firstRow="1" w:lastRow="0" w:firstColumn="0" w:lastColumn="0" w:oddVBand="0" w:evenVBand="0" w:oddHBand="0" w:evenHBand="0" w:firstRowFirstColumn="0" w:firstRowLastColumn="0" w:lastRowFirstColumn="0" w:lastRowLastColumn="0"/>
              <w:rPr>
                <w:rFonts w:cs="Calibri"/>
                <w:sz w:val="20"/>
                <w:szCs w:val="20"/>
                <w:lang w:eastAsia="zh-CN" w:bidi="th-TH"/>
              </w:rPr>
            </w:pPr>
            <w:r w:rsidRPr="007C1E37">
              <w:rPr>
                <w:sz w:val="20"/>
                <w:szCs w:val="20"/>
              </w:rPr>
              <w:t>Percentage Change</w:t>
            </w:r>
          </w:p>
        </w:tc>
      </w:tr>
      <w:tr w:rsidR="00DD3E2F" w:rsidRPr="007C1E37" w14:paraId="32389DC5" w14:textId="77777777" w:rsidTr="001E519A">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1ED37E33" w14:textId="77777777" w:rsidR="00DD3E2F" w:rsidRPr="007C1E37" w:rsidRDefault="00DD3E2F" w:rsidP="001E519A">
            <w:pPr>
              <w:spacing w:before="60" w:after="60"/>
              <w:ind w:left="37"/>
              <w:rPr>
                <w:rFonts w:cs="Arial"/>
                <w:bCs w:val="0"/>
                <w:sz w:val="20"/>
                <w:szCs w:val="20"/>
                <w:lang w:eastAsia="en-AU"/>
              </w:rPr>
            </w:pPr>
            <w:r w:rsidRPr="007C1E37">
              <w:rPr>
                <w:rFonts w:cs="Arial"/>
                <w:bCs w:val="0"/>
                <w:sz w:val="20"/>
                <w:szCs w:val="20"/>
                <w:lang w:eastAsia="en-AU"/>
              </w:rPr>
              <w:t>Number of NDIS participants</w:t>
            </w:r>
          </w:p>
        </w:tc>
        <w:tc>
          <w:tcPr>
            <w:tcW w:w="1985" w:type="dxa"/>
            <w:noWrap/>
            <w:vAlign w:val="center"/>
          </w:tcPr>
          <w:p w14:paraId="329D3D19" w14:textId="77777777" w:rsidR="00DD3E2F" w:rsidRPr="007C1E37" w:rsidRDefault="00DD3E2F" w:rsidP="001E519A">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7C1E37">
              <w:rPr>
                <w:rFonts w:cs="Arial"/>
                <w:color w:val="000000"/>
                <w:sz w:val="20"/>
                <w:szCs w:val="20"/>
              </w:rPr>
              <w:t>245,696</w:t>
            </w:r>
          </w:p>
        </w:tc>
        <w:tc>
          <w:tcPr>
            <w:tcW w:w="1985" w:type="dxa"/>
            <w:vAlign w:val="center"/>
          </w:tcPr>
          <w:p w14:paraId="553DC85D" w14:textId="77777777" w:rsidR="00DD3E2F" w:rsidRPr="007C1E37" w:rsidRDefault="00DD3E2F" w:rsidP="001E519A">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7C1E37">
              <w:rPr>
                <w:rFonts w:cs="Arial"/>
                <w:color w:val="000000"/>
                <w:sz w:val="20"/>
                <w:szCs w:val="20"/>
              </w:rPr>
              <w:t>262,994</w:t>
            </w:r>
          </w:p>
        </w:tc>
        <w:tc>
          <w:tcPr>
            <w:tcW w:w="1418" w:type="dxa"/>
            <w:vAlign w:val="center"/>
          </w:tcPr>
          <w:p w14:paraId="3E3C8149" w14:textId="77777777" w:rsidR="00DD3E2F" w:rsidRPr="007C1E37" w:rsidRDefault="00DD3E2F" w:rsidP="001E519A">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7C1E37">
              <w:rPr>
                <w:rFonts w:cs="Arial"/>
                <w:color w:val="000000"/>
                <w:sz w:val="20"/>
                <w:szCs w:val="20"/>
              </w:rPr>
              <w:t>+7%</w:t>
            </w:r>
          </w:p>
        </w:tc>
      </w:tr>
      <w:tr w:rsidR="00DD3E2F" w:rsidRPr="007C1E37" w14:paraId="601D0127" w14:textId="77777777" w:rsidTr="001E519A">
        <w:trPr>
          <w:trHeight w:val="404"/>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410956A6" w14:textId="77777777" w:rsidR="00DD3E2F" w:rsidRPr="007C1E37" w:rsidRDefault="00DD3E2F" w:rsidP="001E519A">
            <w:pPr>
              <w:spacing w:before="60" w:after="60"/>
              <w:ind w:left="37"/>
              <w:rPr>
                <w:rFonts w:cs="Arial"/>
                <w:bCs w:val="0"/>
                <w:sz w:val="20"/>
                <w:szCs w:val="20"/>
                <w:lang w:eastAsia="en-AU"/>
              </w:rPr>
            </w:pPr>
            <w:r w:rsidRPr="007C1E37">
              <w:rPr>
                <w:rFonts w:cs="Arial"/>
                <w:bCs w:val="0"/>
                <w:sz w:val="20"/>
                <w:szCs w:val="20"/>
                <w:lang w:eastAsia="en-AU"/>
              </w:rPr>
              <w:t>Number of active providers</w:t>
            </w:r>
          </w:p>
        </w:tc>
        <w:tc>
          <w:tcPr>
            <w:tcW w:w="1985" w:type="dxa"/>
            <w:noWrap/>
            <w:vAlign w:val="center"/>
          </w:tcPr>
          <w:p w14:paraId="1E4DEE1B" w14:textId="77777777" w:rsidR="00DD3E2F" w:rsidRPr="007C1E37" w:rsidRDefault="00DD3E2F" w:rsidP="001E519A">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7C1E37">
              <w:rPr>
                <w:rFonts w:cs="Arial"/>
                <w:color w:val="000000"/>
                <w:sz w:val="20"/>
                <w:szCs w:val="20"/>
              </w:rPr>
              <w:t>8,823</w:t>
            </w:r>
          </w:p>
        </w:tc>
        <w:tc>
          <w:tcPr>
            <w:tcW w:w="1985" w:type="dxa"/>
            <w:vAlign w:val="center"/>
          </w:tcPr>
          <w:p w14:paraId="2EB44672" w14:textId="77777777" w:rsidR="00DD3E2F" w:rsidRPr="007C1E37" w:rsidRDefault="00DD3E2F" w:rsidP="001E519A">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7C1E37">
              <w:rPr>
                <w:rFonts w:cs="Arial"/>
                <w:color w:val="000000"/>
                <w:sz w:val="20"/>
                <w:szCs w:val="20"/>
              </w:rPr>
              <w:t>10,184</w:t>
            </w:r>
          </w:p>
        </w:tc>
        <w:tc>
          <w:tcPr>
            <w:tcW w:w="1418" w:type="dxa"/>
            <w:vAlign w:val="center"/>
          </w:tcPr>
          <w:p w14:paraId="54FF4593" w14:textId="77777777" w:rsidR="00DD3E2F" w:rsidRPr="007C1E37" w:rsidRDefault="00DD3E2F" w:rsidP="001E519A">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7C1E37">
              <w:rPr>
                <w:rFonts w:cs="Arial"/>
                <w:color w:val="000000"/>
                <w:sz w:val="20"/>
                <w:szCs w:val="20"/>
              </w:rPr>
              <w:t>+15%</w:t>
            </w:r>
          </w:p>
        </w:tc>
      </w:tr>
      <w:tr w:rsidR="00DD3E2F" w:rsidRPr="007C1E37" w14:paraId="45AFC2EF" w14:textId="77777777" w:rsidTr="001E519A">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53C20C75" w14:textId="77777777" w:rsidR="00DD3E2F" w:rsidRPr="007C1E37" w:rsidRDefault="00DD3E2F" w:rsidP="001E519A">
            <w:pPr>
              <w:spacing w:before="60" w:after="60"/>
              <w:ind w:left="37"/>
              <w:rPr>
                <w:rFonts w:cs="Arial"/>
                <w:bCs w:val="0"/>
                <w:sz w:val="20"/>
                <w:szCs w:val="20"/>
                <w:lang w:eastAsia="en-AU"/>
              </w:rPr>
            </w:pPr>
            <w:r w:rsidRPr="007C1E37">
              <w:rPr>
                <w:rFonts w:cs="Arial"/>
                <w:bCs w:val="0"/>
                <w:sz w:val="20"/>
                <w:szCs w:val="20"/>
                <w:lang w:eastAsia="en-AU"/>
              </w:rPr>
              <w:t>Total amount claimed by active providers of support coordination</w:t>
            </w:r>
          </w:p>
        </w:tc>
        <w:tc>
          <w:tcPr>
            <w:tcW w:w="1985" w:type="dxa"/>
            <w:noWrap/>
            <w:vAlign w:val="center"/>
          </w:tcPr>
          <w:p w14:paraId="5664D5CB" w14:textId="77777777" w:rsidR="00DD3E2F" w:rsidRPr="007C1E37" w:rsidRDefault="00DD3E2F" w:rsidP="001E519A">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7C1E37">
              <w:rPr>
                <w:rFonts w:cs="Arial"/>
                <w:color w:val="000000"/>
                <w:sz w:val="20"/>
                <w:szCs w:val="20"/>
              </w:rPr>
              <w:t>$531 million</w:t>
            </w:r>
          </w:p>
        </w:tc>
        <w:tc>
          <w:tcPr>
            <w:tcW w:w="1985" w:type="dxa"/>
            <w:vAlign w:val="center"/>
          </w:tcPr>
          <w:p w14:paraId="756ABF29" w14:textId="77777777" w:rsidR="00DD3E2F" w:rsidRPr="007C1E37" w:rsidRDefault="00DD3E2F" w:rsidP="001E519A">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7C1E37">
              <w:rPr>
                <w:rFonts w:cs="Arial"/>
                <w:color w:val="000000"/>
                <w:sz w:val="20"/>
                <w:szCs w:val="20"/>
              </w:rPr>
              <w:t>$565 million</w:t>
            </w:r>
          </w:p>
        </w:tc>
        <w:tc>
          <w:tcPr>
            <w:tcW w:w="1418" w:type="dxa"/>
            <w:vAlign w:val="center"/>
          </w:tcPr>
          <w:p w14:paraId="1B346FBF" w14:textId="77777777" w:rsidR="00DD3E2F" w:rsidRPr="007C1E37" w:rsidRDefault="00DD3E2F" w:rsidP="001E519A">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7C1E37">
              <w:rPr>
                <w:rFonts w:cs="Arial"/>
                <w:color w:val="000000"/>
                <w:sz w:val="20"/>
                <w:szCs w:val="20"/>
              </w:rPr>
              <w:t>+6%</w:t>
            </w:r>
          </w:p>
        </w:tc>
      </w:tr>
      <w:tr w:rsidR="00DD3E2F" w:rsidRPr="007C1E37" w14:paraId="766F8E8A" w14:textId="77777777" w:rsidTr="001E519A">
        <w:trPr>
          <w:trHeight w:val="404"/>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02D62EC8" w14:textId="77777777" w:rsidR="00DD3E2F" w:rsidRPr="007C1E37" w:rsidRDefault="00DD3E2F" w:rsidP="001E519A">
            <w:pPr>
              <w:spacing w:before="60" w:after="60"/>
              <w:ind w:left="37"/>
              <w:rPr>
                <w:rFonts w:cs="Arial"/>
                <w:bCs w:val="0"/>
                <w:sz w:val="20"/>
                <w:szCs w:val="20"/>
                <w:lang w:eastAsia="en-AU"/>
              </w:rPr>
            </w:pPr>
            <w:r w:rsidRPr="007C1E37">
              <w:rPr>
                <w:rFonts w:cs="Arial"/>
                <w:bCs w:val="0"/>
                <w:sz w:val="20"/>
                <w:szCs w:val="20"/>
                <w:lang w:eastAsia="en-AU"/>
              </w:rPr>
              <w:t>Average amount claimed by all active providers of support coordination</w:t>
            </w:r>
          </w:p>
        </w:tc>
        <w:tc>
          <w:tcPr>
            <w:tcW w:w="1985" w:type="dxa"/>
            <w:noWrap/>
            <w:vAlign w:val="center"/>
          </w:tcPr>
          <w:p w14:paraId="6DCD6DF8" w14:textId="77777777" w:rsidR="00DD3E2F" w:rsidRPr="007C1E37" w:rsidRDefault="00DD3E2F" w:rsidP="001E519A">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7C1E37">
              <w:rPr>
                <w:rFonts w:cs="Arial"/>
                <w:color w:val="000000"/>
                <w:sz w:val="20"/>
                <w:szCs w:val="20"/>
              </w:rPr>
              <w:t>$60,236</w:t>
            </w:r>
          </w:p>
        </w:tc>
        <w:tc>
          <w:tcPr>
            <w:tcW w:w="1985" w:type="dxa"/>
            <w:vAlign w:val="center"/>
          </w:tcPr>
          <w:p w14:paraId="7D00AF97" w14:textId="77777777" w:rsidR="00DD3E2F" w:rsidRPr="007C1E37" w:rsidRDefault="00DD3E2F" w:rsidP="001E519A">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7C1E37">
              <w:rPr>
                <w:rFonts w:cs="Arial"/>
                <w:color w:val="000000"/>
                <w:sz w:val="20"/>
                <w:szCs w:val="20"/>
              </w:rPr>
              <w:t>$55,455</w:t>
            </w:r>
          </w:p>
        </w:tc>
        <w:tc>
          <w:tcPr>
            <w:tcW w:w="1418" w:type="dxa"/>
            <w:vAlign w:val="center"/>
          </w:tcPr>
          <w:p w14:paraId="1E5D2560" w14:textId="77777777" w:rsidR="00DD3E2F" w:rsidRPr="007C1E37" w:rsidRDefault="00DD3E2F" w:rsidP="001E519A">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7C1E37">
              <w:rPr>
                <w:rFonts w:cs="Arial"/>
                <w:color w:val="000000"/>
                <w:sz w:val="20"/>
                <w:szCs w:val="20"/>
              </w:rPr>
              <w:t>-8%</w:t>
            </w:r>
          </w:p>
        </w:tc>
      </w:tr>
    </w:tbl>
    <w:p w14:paraId="64D06C75" w14:textId="77777777" w:rsidR="00C95AD8" w:rsidRPr="008034CE" w:rsidRDefault="00C95AD8" w:rsidP="00DD3E2F">
      <w:pPr>
        <w:pStyle w:val="Sourcefortableorfigure"/>
        <w:spacing w:before="240"/>
      </w:pPr>
      <w:bookmarkStart w:id="483" w:name="_Ref195091235"/>
      <w:bookmarkStart w:id="484" w:name="_Hlk193277762"/>
      <w:bookmarkEnd w:id="482"/>
      <w:r w:rsidRPr="008034CE">
        <w:t>Source: NDIS internal administrative data</w:t>
      </w:r>
    </w:p>
    <w:p w14:paraId="2ADDC049" w14:textId="6097F915" w:rsidR="00C95AD8" w:rsidRPr="008034CE" w:rsidRDefault="00C95AD8" w:rsidP="00C95AD8">
      <w:pPr>
        <w:pStyle w:val="Caption"/>
      </w:pPr>
      <w:bookmarkStart w:id="485" w:name="_Ref195707913"/>
      <w:r w:rsidRPr="008034CE">
        <w:t xml:space="preserve">Table </w:t>
      </w:r>
      <w:r w:rsidR="005763F9">
        <w:fldChar w:fldCharType="begin"/>
      </w:r>
      <w:r w:rsidR="005763F9">
        <w:instrText xml:space="preserve"> SEQ Table \* ARABIC </w:instrText>
      </w:r>
      <w:r w:rsidR="005763F9">
        <w:fldChar w:fldCharType="separate"/>
      </w:r>
      <w:r w:rsidR="005763F9">
        <w:rPr>
          <w:noProof/>
        </w:rPr>
        <w:t>25</w:t>
      </w:r>
      <w:r w:rsidR="005763F9">
        <w:rPr>
          <w:noProof/>
        </w:rPr>
        <w:fldChar w:fldCharType="end"/>
      </w:r>
      <w:bookmarkEnd w:id="483"/>
      <w:bookmarkEnd w:id="485"/>
      <w:r w:rsidRPr="008034CE">
        <w:t>: Support Coordination Scheme Statistics – Registered Providers</w:t>
      </w:r>
    </w:p>
    <w:tbl>
      <w:tblPr>
        <w:tblStyle w:val="GridTable4-Accent12"/>
        <w:tblW w:w="9074" w:type="dxa"/>
        <w:tblInd w:w="0" w:type="dxa"/>
        <w:tblLayout w:type="fixed"/>
        <w:tblLook w:val="04A0" w:firstRow="1" w:lastRow="0" w:firstColumn="1" w:lastColumn="0" w:noHBand="0" w:noVBand="1"/>
      </w:tblPr>
      <w:tblGrid>
        <w:gridCol w:w="3686"/>
        <w:gridCol w:w="1985"/>
        <w:gridCol w:w="1985"/>
        <w:gridCol w:w="1418"/>
      </w:tblGrid>
      <w:tr w:rsidR="00DD3E2F" w:rsidRPr="007C1E37" w14:paraId="1AA0B6EB" w14:textId="77777777" w:rsidTr="001E519A">
        <w:trPr>
          <w:cnfStyle w:val="100000000000" w:firstRow="1" w:lastRow="0" w:firstColumn="0" w:lastColumn="0" w:oddVBand="0" w:evenVBand="0" w:oddHBand="0" w:evenHBand="0" w:firstRowFirstColumn="0" w:firstRowLastColumn="0" w:lastRowFirstColumn="0" w:lastRowLastColumn="0"/>
          <w:trHeight w:val="577"/>
          <w:tblHeader/>
        </w:trPr>
        <w:tc>
          <w:tcPr>
            <w:cnfStyle w:val="001000000000" w:firstRow="0" w:lastRow="0" w:firstColumn="1" w:lastColumn="0" w:oddVBand="0" w:evenVBand="0" w:oddHBand="0" w:evenHBand="0" w:firstRowFirstColumn="0" w:firstRowLastColumn="0" w:lastRowFirstColumn="0" w:lastRowLastColumn="0"/>
            <w:tcW w:w="3686" w:type="dxa"/>
            <w:hideMark/>
          </w:tcPr>
          <w:p w14:paraId="11ABBFC8" w14:textId="77777777" w:rsidR="00DD3E2F" w:rsidRPr="007C1E37" w:rsidRDefault="00DD3E2F" w:rsidP="001E519A">
            <w:pPr>
              <w:spacing w:before="60" w:after="60"/>
              <w:rPr>
                <w:rFonts w:cs="Calibri"/>
                <w:sz w:val="20"/>
                <w:szCs w:val="20"/>
                <w:lang w:eastAsia="zh-CN" w:bidi="th-TH"/>
              </w:rPr>
            </w:pPr>
            <w:r w:rsidRPr="007C1E37">
              <w:rPr>
                <w:sz w:val="20"/>
                <w:szCs w:val="20"/>
              </w:rPr>
              <w:t>Statistics</w:t>
            </w:r>
          </w:p>
        </w:tc>
        <w:tc>
          <w:tcPr>
            <w:tcW w:w="1985" w:type="dxa"/>
          </w:tcPr>
          <w:p w14:paraId="04E920BE" w14:textId="77777777" w:rsidR="00DD3E2F" w:rsidRPr="007C1E37" w:rsidRDefault="00DD3E2F" w:rsidP="001E519A">
            <w:pPr>
              <w:spacing w:before="60" w:after="60"/>
              <w:jc w:val="right"/>
              <w:cnfStyle w:val="100000000000" w:firstRow="1" w:lastRow="0" w:firstColumn="0" w:lastColumn="0" w:oddVBand="0" w:evenVBand="0" w:oddHBand="0" w:evenHBand="0" w:firstRowFirstColumn="0" w:firstRowLastColumn="0" w:lastRowFirstColumn="0" w:lastRowLastColumn="0"/>
              <w:rPr>
                <w:rFonts w:cs="Calibri"/>
                <w:sz w:val="20"/>
                <w:szCs w:val="20"/>
                <w:lang w:eastAsia="zh-CN" w:bidi="th-TH"/>
              </w:rPr>
            </w:pPr>
            <w:r w:rsidRPr="007C1E37">
              <w:rPr>
                <w:sz w:val="20"/>
                <w:szCs w:val="20"/>
              </w:rPr>
              <w:t>July – December 2023</w:t>
            </w:r>
          </w:p>
        </w:tc>
        <w:tc>
          <w:tcPr>
            <w:tcW w:w="1985" w:type="dxa"/>
          </w:tcPr>
          <w:p w14:paraId="7E99DEA1" w14:textId="77777777" w:rsidR="00DD3E2F" w:rsidRPr="007C1E37" w:rsidRDefault="00DD3E2F" w:rsidP="001E519A">
            <w:pPr>
              <w:spacing w:before="60" w:after="60"/>
              <w:jc w:val="right"/>
              <w:cnfStyle w:val="100000000000" w:firstRow="1" w:lastRow="0" w:firstColumn="0" w:lastColumn="0" w:oddVBand="0" w:evenVBand="0" w:oddHBand="0" w:evenHBand="0" w:firstRowFirstColumn="0" w:firstRowLastColumn="0" w:lastRowFirstColumn="0" w:lastRowLastColumn="0"/>
              <w:rPr>
                <w:rFonts w:cs="Calibri"/>
                <w:sz w:val="20"/>
                <w:szCs w:val="20"/>
                <w:lang w:eastAsia="zh-CN" w:bidi="th-TH"/>
              </w:rPr>
            </w:pPr>
            <w:r w:rsidRPr="007C1E37">
              <w:rPr>
                <w:sz w:val="20"/>
                <w:szCs w:val="20"/>
              </w:rPr>
              <w:t>July – December 2024</w:t>
            </w:r>
          </w:p>
        </w:tc>
        <w:tc>
          <w:tcPr>
            <w:tcW w:w="1418" w:type="dxa"/>
          </w:tcPr>
          <w:p w14:paraId="6FFEBCDF" w14:textId="77777777" w:rsidR="00DD3E2F" w:rsidRPr="007C1E37" w:rsidRDefault="00DD3E2F" w:rsidP="001E519A">
            <w:pPr>
              <w:spacing w:before="60" w:after="60"/>
              <w:jc w:val="right"/>
              <w:cnfStyle w:val="100000000000" w:firstRow="1" w:lastRow="0" w:firstColumn="0" w:lastColumn="0" w:oddVBand="0" w:evenVBand="0" w:oddHBand="0" w:evenHBand="0" w:firstRowFirstColumn="0" w:firstRowLastColumn="0" w:lastRowFirstColumn="0" w:lastRowLastColumn="0"/>
              <w:rPr>
                <w:rFonts w:cs="Calibri"/>
                <w:sz w:val="20"/>
                <w:szCs w:val="20"/>
                <w:lang w:eastAsia="zh-CN" w:bidi="th-TH"/>
              </w:rPr>
            </w:pPr>
            <w:r w:rsidRPr="007C1E37">
              <w:rPr>
                <w:sz w:val="20"/>
                <w:szCs w:val="20"/>
              </w:rPr>
              <w:t>Percentage Change</w:t>
            </w:r>
          </w:p>
        </w:tc>
      </w:tr>
      <w:tr w:rsidR="00DD3E2F" w:rsidRPr="007C1E37" w14:paraId="6E1EA289" w14:textId="77777777" w:rsidTr="001E519A">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22960B3F" w14:textId="77777777" w:rsidR="00DD3E2F" w:rsidRPr="007C1E37" w:rsidRDefault="00DD3E2F" w:rsidP="001E519A">
            <w:pPr>
              <w:spacing w:before="60" w:after="60"/>
              <w:ind w:left="37"/>
              <w:rPr>
                <w:rFonts w:cs="Arial"/>
                <w:bCs w:val="0"/>
                <w:sz w:val="20"/>
                <w:szCs w:val="20"/>
                <w:lang w:eastAsia="en-AU"/>
              </w:rPr>
            </w:pPr>
            <w:r w:rsidRPr="007C1E37">
              <w:rPr>
                <w:rFonts w:cs="Arial"/>
                <w:bCs w:val="0"/>
                <w:sz w:val="20"/>
                <w:szCs w:val="20"/>
                <w:lang w:eastAsia="en-AU"/>
              </w:rPr>
              <w:t>Number of NDIS participants</w:t>
            </w:r>
          </w:p>
        </w:tc>
        <w:tc>
          <w:tcPr>
            <w:tcW w:w="1985" w:type="dxa"/>
            <w:noWrap/>
            <w:vAlign w:val="center"/>
          </w:tcPr>
          <w:p w14:paraId="713A3A5D" w14:textId="77777777" w:rsidR="00DD3E2F" w:rsidRPr="007C1E37" w:rsidRDefault="00DD3E2F" w:rsidP="001E519A">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7C1E37">
              <w:rPr>
                <w:rFonts w:cs="Arial"/>
                <w:color w:val="000000"/>
                <w:sz w:val="20"/>
                <w:szCs w:val="20"/>
              </w:rPr>
              <w:t>210,791</w:t>
            </w:r>
          </w:p>
        </w:tc>
        <w:tc>
          <w:tcPr>
            <w:tcW w:w="1985" w:type="dxa"/>
            <w:vAlign w:val="center"/>
          </w:tcPr>
          <w:p w14:paraId="61DDF0C1" w14:textId="77777777" w:rsidR="00DD3E2F" w:rsidRPr="007C1E37" w:rsidRDefault="00DD3E2F" w:rsidP="001E519A">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7C1E37">
              <w:rPr>
                <w:rFonts w:cs="Arial"/>
                <w:color w:val="000000"/>
                <w:sz w:val="20"/>
                <w:szCs w:val="20"/>
              </w:rPr>
              <w:t>217,822</w:t>
            </w:r>
          </w:p>
        </w:tc>
        <w:tc>
          <w:tcPr>
            <w:tcW w:w="1418" w:type="dxa"/>
            <w:vAlign w:val="center"/>
          </w:tcPr>
          <w:p w14:paraId="1A69F668" w14:textId="77777777" w:rsidR="00DD3E2F" w:rsidRPr="007C1E37" w:rsidRDefault="00DD3E2F" w:rsidP="001E519A">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7C1E37">
              <w:rPr>
                <w:rFonts w:cs="Arial"/>
                <w:color w:val="000000"/>
                <w:sz w:val="20"/>
                <w:szCs w:val="20"/>
              </w:rPr>
              <w:t>+3%</w:t>
            </w:r>
          </w:p>
        </w:tc>
      </w:tr>
      <w:tr w:rsidR="00DD3E2F" w:rsidRPr="007C1E37" w14:paraId="758F1E33" w14:textId="77777777" w:rsidTr="001E519A">
        <w:trPr>
          <w:trHeight w:val="404"/>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284E48CC" w14:textId="77777777" w:rsidR="00DD3E2F" w:rsidRPr="007C1E37" w:rsidRDefault="00DD3E2F" w:rsidP="001E519A">
            <w:pPr>
              <w:spacing w:before="60" w:after="60"/>
              <w:ind w:left="37"/>
              <w:rPr>
                <w:rFonts w:cs="Arial"/>
                <w:bCs w:val="0"/>
                <w:sz w:val="20"/>
                <w:szCs w:val="20"/>
                <w:lang w:eastAsia="en-AU"/>
              </w:rPr>
            </w:pPr>
            <w:r w:rsidRPr="007C1E37">
              <w:rPr>
                <w:rFonts w:cs="Arial"/>
                <w:bCs w:val="0"/>
                <w:sz w:val="20"/>
                <w:szCs w:val="20"/>
                <w:lang w:eastAsia="en-AU"/>
              </w:rPr>
              <w:t>Number of active providers</w:t>
            </w:r>
          </w:p>
        </w:tc>
        <w:tc>
          <w:tcPr>
            <w:tcW w:w="1985" w:type="dxa"/>
            <w:noWrap/>
            <w:vAlign w:val="center"/>
          </w:tcPr>
          <w:p w14:paraId="5E4B8AA8" w14:textId="77777777" w:rsidR="00DD3E2F" w:rsidRPr="007C1E37" w:rsidRDefault="00DD3E2F" w:rsidP="001E519A">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7C1E37">
              <w:rPr>
                <w:rFonts w:cs="Arial"/>
                <w:color w:val="000000"/>
                <w:sz w:val="20"/>
                <w:szCs w:val="20"/>
              </w:rPr>
              <w:t>3,686</w:t>
            </w:r>
          </w:p>
        </w:tc>
        <w:tc>
          <w:tcPr>
            <w:tcW w:w="1985" w:type="dxa"/>
            <w:vAlign w:val="center"/>
          </w:tcPr>
          <w:p w14:paraId="131332FD" w14:textId="77777777" w:rsidR="00DD3E2F" w:rsidRPr="007C1E37" w:rsidRDefault="00DD3E2F" w:rsidP="001E519A">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7C1E37">
              <w:rPr>
                <w:rFonts w:cs="Arial"/>
                <w:color w:val="000000"/>
                <w:sz w:val="20"/>
                <w:szCs w:val="20"/>
              </w:rPr>
              <w:t>4,153</w:t>
            </w:r>
          </w:p>
        </w:tc>
        <w:tc>
          <w:tcPr>
            <w:tcW w:w="1418" w:type="dxa"/>
            <w:vAlign w:val="center"/>
          </w:tcPr>
          <w:p w14:paraId="6297D339" w14:textId="77777777" w:rsidR="00DD3E2F" w:rsidRPr="007C1E37" w:rsidRDefault="00DD3E2F" w:rsidP="001E519A">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7C1E37">
              <w:rPr>
                <w:rFonts w:cs="Arial"/>
                <w:color w:val="000000"/>
                <w:sz w:val="20"/>
                <w:szCs w:val="20"/>
              </w:rPr>
              <w:t>+13%</w:t>
            </w:r>
          </w:p>
        </w:tc>
      </w:tr>
      <w:tr w:rsidR="00DD3E2F" w:rsidRPr="007C1E37" w14:paraId="132FD986" w14:textId="77777777" w:rsidTr="001E519A">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0E868B55" w14:textId="77777777" w:rsidR="00DD3E2F" w:rsidRPr="007C1E37" w:rsidRDefault="00DD3E2F" w:rsidP="001E519A">
            <w:pPr>
              <w:spacing w:before="60" w:after="60"/>
              <w:ind w:left="37"/>
              <w:rPr>
                <w:rFonts w:cs="Arial"/>
                <w:bCs w:val="0"/>
                <w:sz w:val="20"/>
                <w:szCs w:val="20"/>
                <w:lang w:eastAsia="en-AU"/>
              </w:rPr>
            </w:pPr>
            <w:r w:rsidRPr="007C1E37">
              <w:rPr>
                <w:rFonts w:cs="Arial"/>
                <w:bCs w:val="0"/>
                <w:sz w:val="20"/>
                <w:szCs w:val="20"/>
                <w:lang w:eastAsia="en-AU"/>
              </w:rPr>
              <w:t>Total amount claimed by active providers of support coordination</w:t>
            </w:r>
          </w:p>
        </w:tc>
        <w:tc>
          <w:tcPr>
            <w:tcW w:w="1985" w:type="dxa"/>
            <w:noWrap/>
            <w:vAlign w:val="center"/>
          </w:tcPr>
          <w:p w14:paraId="5A9BF8A5" w14:textId="77777777" w:rsidR="00DD3E2F" w:rsidRPr="007C1E37" w:rsidRDefault="00DD3E2F" w:rsidP="001E519A">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7C1E37">
              <w:rPr>
                <w:rFonts w:cs="Arial"/>
                <w:color w:val="000000"/>
                <w:sz w:val="20"/>
                <w:szCs w:val="20"/>
              </w:rPr>
              <w:t>$438 million</w:t>
            </w:r>
          </w:p>
        </w:tc>
        <w:tc>
          <w:tcPr>
            <w:tcW w:w="1985" w:type="dxa"/>
            <w:vAlign w:val="center"/>
          </w:tcPr>
          <w:p w14:paraId="2C9EB7B2" w14:textId="77777777" w:rsidR="00DD3E2F" w:rsidRPr="007C1E37" w:rsidRDefault="00DD3E2F" w:rsidP="001E519A">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7C1E37">
              <w:rPr>
                <w:rFonts w:cs="Arial"/>
                <w:color w:val="000000"/>
                <w:sz w:val="20"/>
                <w:szCs w:val="20"/>
              </w:rPr>
              <w:t>$447 million</w:t>
            </w:r>
          </w:p>
        </w:tc>
        <w:tc>
          <w:tcPr>
            <w:tcW w:w="1418" w:type="dxa"/>
            <w:vAlign w:val="center"/>
          </w:tcPr>
          <w:p w14:paraId="5FF9F4C3" w14:textId="77777777" w:rsidR="00DD3E2F" w:rsidRPr="007C1E37" w:rsidRDefault="00DD3E2F" w:rsidP="001E519A">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7C1E37">
              <w:rPr>
                <w:rFonts w:cs="Arial"/>
                <w:color w:val="000000"/>
                <w:sz w:val="20"/>
                <w:szCs w:val="20"/>
              </w:rPr>
              <w:t>+2%</w:t>
            </w:r>
          </w:p>
        </w:tc>
      </w:tr>
      <w:tr w:rsidR="00DD3E2F" w:rsidRPr="007C1E37" w14:paraId="04B36397" w14:textId="77777777" w:rsidTr="001E519A">
        <w:trPr>
          <w:trHeight w:val="404"/>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2DB8A6BF" w14:textId="77777777" w:rsidR="00DD3E2F" w:rsidRPr="007C1E37" w:rsidRDefault="00DD3E2F" w:rsidP="001E519A">
            <w:pPr>
              <w:spacing w:before="60" w:after="60"/>
              <w:ind w:left="37"/>
              <w:rPr>
                <w:rFonts w:cs="Arial"/>
                <w:bCs w:val="0"/>
                <w:sz w:val="20"/>
                <w:szCs w:val="20"/>
                <w:lang w:eastAsia="en-AU"/>
              </w:rPr>
            </w:pPr>
            <w:r w:rsidRPr="007C1E37">
              <w:rPr>
                <w:rFonts w:cs="Arial"/>
                <w:bCs w:val="0"/>
                <w:sz w:val="20"/>
                <w:szCs w:val="20"/>
                <w:lang w:eastAsia="en-AU"/>
              </w:rPr>
              <w:t>Average amount claimed by all active providers of support coordination</w:t>
            </w:r>
          </w:p>
        </w:tc>
        <w:tc>
          <w:tcPr>
            <w:tcW w:w="1985" w:type="dxa"/>
            <w:noWrap/>
            <w:vAlign w:val="center"/>
          </w:tcPr>
          <w:p w14:paraId="1FE1C8A7" w14:textId="77777777" w:rsidR="00DD3E2F" w:rsidRPr="007C1E37" w:rsidRDefault="00DD3E2F" w:rsidP="001E519A">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7C1E37">
              <w:rPr>
                <w:rFonts w:cs="Arial"/>
                <w:color w:val="000000"/>
                <w:sz w:val="20"/>
                <w:szCs w:val="20"/>
              </w:rPr>
              <w:t>$118,857</w:t>
            </w:r>
          </w:p>
        </w:tc>
        <w:tc>
          <w:tcPr>
            <w:tcW w:w="1985" w:type="dxa"/>
            <w:vAlign w:val="center"/>
          </w:tcPr>
          <w:p w14:paraId="33DB6B49" w14:textId="77777777" w:rsidR="00DD3E2F" w:rsidRPr="007C1E37" w:rsidRDefault="00DD3E2F" w:rsidP="001E519A">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7C1E37">
              <w:rPr>
                <w:rFonts w:cs="Arial"/>
                <w:color w:val="000000"/>
                <w:sz w:val="20"/>
                <w:szCs w:val="20"/>
              </w:rPr>
              <w:t>$107,593</w:t>
            </w:r>
          </w:p>
        </w:tc>
        <w:tc>
          <w:tcPr>
            <w:tcW w:w="1418" w:type="dxa"/>
            <w:vAlign w:val="center"/>
          </w:tcPr>
          <w:p w14:paraId="03AFA757" w14:textId="77777777" w:rsidR="00DD3E2F" w:rsidRPr="007C1E37" w:rsidRDefault="00DD3E2F" w:rsidP="001E519A">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7C1E37">
              <w:rPr>
                <w:rFonts w:cs="Arial"/>
                <w:color w:val="000000"/>
                <w:sz w:val="20"/>
                <w:szCs w:val="20"/>
              </w:rPr>
              <w:t>-9%</w:t>
            </w:r>
          </w:p>
        </w:tc>
      </w:tr>
    </w:tbl>
    <w:p w14:paraId="19FE3871" w14:textId="77777777" w:rsidR="00C95AD8" w:rsidRPr="008034CE" w:rsidRDefault="00C95AD8" w:rsidP="00DD3E2F">
      <w:pPr>
        <w:pStyle w:val="Sourcefortableorfigure"/>
        <w:spacing w:before="240"/>
      </w:pPr>
      <w:bookmarkStart w:id="486" w:name="_Ref195091228"/>
      <w:r w:rsidRPr="008034CE">
        <w:t>Source: NDIS internal administrative data</w:t>
      </w:r>
    </w:p>
    <w:p w14:paraId="48C7FF2C" w14:textId="45E17FE8" w:rsidR="00C95AD8" w:rsidRPr="008034CE" w:rsidRDefault="00C95AD8" w:rsidP="00C95AD8">
      <w:pPr>
        <w:pStyle w:val="Caption"/>
      </w:pPr>
      <w:bookmarkStart w:id="487" w:name="_Ref195710400"/>
      <w:r w:rsidRPr="008034CE">
        <w:t xml:space="preserve">Table </w:t>
      </w:r>
      <w:r w:rsidR="005763F9">
        <w:fldChar w:fldCharType="begin"/>
      </w:r>
      <w:r w:rsidR="005763F9">
        <w:instrText xml:space="preserve"> SEQ Table \* ARABIC </w:instrText>
      </w:r>
      <w:r w:rsidR="005763F9">
        <w:fldChar w:fldCharType="separate"/>
      </w:r>
      <w:r w:rsidR="005763F9">
        <w:rPr>
          <w:noProof/>
        </w:rPr>
        <w:t>26</w:t>
      </w:r>
      <w:r w:rsidR="005763F9">
        <w:rPr>
          <w:noProof/>
        </w:rPr>
        <w:fldChar w:fldCharType="end"/>
      </w:r>
      <w:bookmarkEnd w:id="486"/>
      <w:bookmarkEnd w:id="487"/>
      <w:r w:rsidRPr="008034CE">
        <w:t>: Support Coordination Scheme Statistics – Unregistered Providers</w:t>
      </w:r>
    </w:p>
    <w:tbl>
      <w:tblPr>
        <w:tblStyle w:val="GridTable4-Accent12"/>
        <w:tblW w:w="9074" w:type="dxa"/>
        <w:tblInd w:w="0" w:type="dxa"/>
        <w:tblLayout w:type="fixed"/>
        <w:tblLook w:val="04A0" w:firstRow="1" w:lastRow="0" w:firstColumn="1" w:lastColumn="0" w:noHBand="0" w:noVBand="1"/>
      </w:tblPr>
      <w:tblGrid>
        <w:gridCol w:w="3686"/>
        <w:gridCol w:w="1985"/>
        <w:gridCol w:w="1985"/>
        <w:gridCol w:w="1418"/>
      </w:tblGrid>
      <w:tr w:rsidR="00DD3E2F" w:rsidRPr="007C1E37" w14:paraId="6815F663" w14:textId="77777777" w:rsidTr="001E519A">
        <w:trPr>
          <w:cnfStyle w:val="100000000000" w:firstRow="1" w:lastRow="0" w:firstColumn="0" w:lastColumn="0" w:oddVBand="0" w:evenVBand="0" w:oddHBand="0" w:evenHBand="0" w:firstRowFirstColumn="0" w:firstRowLastColumn="0" w:lastRowFirstColumn="0" w:lastRowLastColumn="0"/>
          <w:trHeight w:val="577"/>
          <w:tblHeader/>
        </w:trPr>
        <w:tc>
          <w:tcPr>
            <w:cnfStyle w:val="001000000000" w:firstRow="0" w:lastRow="0" w:firstColumn="1" w:lastColumn="0" w:oddVBand="0" w:evenVBand="0" w:oddHBand="0" w:evenHBand="0" w:firstRowFirstColumn="0" w:firstRowLastColumn="0" w:lastRowFirstColumn="0" w:lastRowLastColumn="0"/>
            <w:tcW w:w="3686" w:type="dxa"/>
            <w:hideMark/>
          </w:tcPr>
          <w:p w14:paraId="2D6EDD97" w14:textId="77777777" w:rsidR="00DD3E2F" w:rsidRPr="007C1E37" w:rsidRDefault="00DD3E2F" w:rsidP="001E519A">
            <w:pPr>
              <w:spacing w:before="60" w:after="60"/>
              <w:rPr>
                <w:rFonts w:cs="Calibri"/>
                <w:sz w:val="20"/>
                <w:szCs w:val="20"/>
                <w:lang w:eastAsia="zh-CN" w:bidi="th-TH"/>
              </w:rPr>
            </w:pPr>
            <w:r w:rsidRPr="007C1E37">
              <w:rPr>
                <w:sz w:val="20"/>
                <w:szCs w:val="20"/>
              </w:rPr>
              <w:t>Statistics</w:t>
            </w:r>
          </w:p>
        </w:tc>
        <w:tc>
          <w:tcPr>
            <w:tcW w:w="1985" w:type="dxa"/>
          </w:tcPr>
          <w:p w14:paraId="1137C6C5" w14:textId="77777777" w:rsidR="00DD3E2F" w:rsidRPr="007C1E37" w:rsidRDefault="00DD3E2F" w:rsidP="001E519A">
            <w:pPr>
              <w:spacing w:before="60" w:after="60"/>
              <w:jc w:val="right"/>
              <w:cnfStyle w:val="100000000000" w:firstRow="1" w:lastRow="0" w:firstColumn="0" w:lastColumn="0" w:oddVBand="0" w:evenVBand="0" w:oddHBand="0" w:evenHBand="0" w:firstRowFirstColumn="0" w:firstRowLastColumn="0" w:lastRowFirstColumn="0" w:lastRowLastColumn="0"/>
              <w:rPr>
                <w:rFonts w:cs="Calibri"/>
                <w:sz w:val="20"/>
                <w:szCs w:val="20"/>
                <w:lang w:eastAsia="zh-CN" w:bidi="th-TH"/>
              </w:rPr>
            </w:pPr>
            <w:r w:rsidRPr="007C1E37">
              <w:rPr>
                <w:sz w:val="20"/>
                <w:szCs w:val="20"/>
              </w:rPr>
              <w:t>July – December 2023</w:t>
            </w:r>
          </w:p>
        </w:tc>
        <w:tc>
          <w:tcPr>
            <w:tcW w:w="1985" w:type="dxa"/>
          </w:tcPr>
          <w:p w14:paraId="23D13009" w14:textId="77777777" w:rsidR="00DD3E2F" w:rsidRPr="007C1E37" w:rsidRDefault="00DD3E2F" w:rsidP="001E519A">
            <w:pPr>
              <w:spacing w:before="60" w:after="60"/>
              <w:jc w:val="right"/>
              <w:cnfStyle w:val="100000000000" w:firstRow="1" w:lastRow="0" w:firstColumn="0" w:lastColumn="0" w:oddVBand="0" w:evenVBand="0" w:oddHBand="0" w:evenHBand="0" w:firstRowFirstColumn="0" w:firstRowLastColumn="0" w:lastRowFirstColumn="0" w:lastRowLastColumn="0"/>
              <w:rPr>
                <w:rFonts w:cs="Calibri"/>
                <w:sz w:val="20"/>
                <w:szCs w:val="20"/>
                <w:lang w:eastAsia="zh-CN" w:bidi="th-TH"/>
              </w:rPr>
            </w:pPr>
            <w:r w:rsidRPr="007C1E37">
              <w:rPr>
                <w:sz w:val="20"/>
                <w:szCs w:val="20"/>
              </w:rPr>
              <w:t>July – December 2024</w:t>
            </w:r>
          </w:p>
        </w:tc>
        <w:tc>
          <w:tcPr>
            <w:tcW w:w="1418" w:type="dxa"/>
          </w:tcPr>
          <w:p w14:paraId="2B2C9327" w14:textId="77777777" w:rsidR="00DD3E2F" w:rsidRPr="007C1E37" w:rsidRDefault="00DD3E2F" w:rsidP="001E519A">
            <w:pPr>
              <w:spacing w:before="60" w:after="60"/>
              <w:jc w:val="right"/>
              <w:cnfStyle w:val="100000000000" w:firstRow="1" w:lastRow="0" w:firstColumn="0" w:lastColumn="0" w:oddVBand="0" w:evenVBand="0" w:oddHBand="0" w:evenHBand="0" w:firstRowFirstColumn="0" w:firstRowLastColumn="0" w:lastRowFirstColumn="0" w:lastRowLastColumn="0"/>
              <w:rPr>
                <w:rFonts w:cs="Calibri"/>
                <w:sz w:val="20"/>
                <w:szCs w:val="20"/>
                <w:lang w:eastAsia="zh-CN" w:bidi="th-TH"/>
              </w:rPr>
            </w:pPr>
            <w:r w:rsidRPr="007C1E37">
              <w:rPr>
                <w:sz w:val="20"/>
                <w:szCs w:val="20"/>
              </w:rPr>
              <w:t>Percentage Change</w:t>
            </w:r>
          </w:p>
        </w:tc>
      </w:tr>
      <w:tr w:rsidR="00DD3E2F" w:rsidRPr="007C1E37" w14:paraId="4CFDD515" w14:textId="77777777" w:rsidTr="001E519A">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2D9A2F26" w14:textId="77777777" w:rsidR="00DD3E2F" w:rsidRPr="007C1E37" w:rsidRDefault="00DD3E2F" w:rsidP="001E519A">
            <w:pPr>
              <w:spacing w:before="60" w:after="60"/>
              <w:ind w:left="37"/>
              <w:rPr>
                <w:rFonts w:cs="Arial"/>
                <w:bCs w:val="0"/>
                <w:sz w:val="20"/>
                <w:szCs w:val="20"/>
                <w:lang w:eastAsia="en-AU"/>
              </w:rPr>
            </w:pPr>
            <w:r w:rsidRPr="007C1E37">
              <w:rPr>
                <w:rFonts w:cs="Arial"/>
                <w:bCs w:val="0"/>
                <w:sz w:val="20"/>
                <w:szCs w:val="20"/>
                <w:lang w:eastAsia="en-AU"/>
              </w:rPr>
              <w:t>Number of NDIS participants</w:t>
            </w:r>
          </w:p>
        </w:tc>
        <w:tc>
          <w:tcPr>
            <w:tcW w:w="1985" w:type="dxa"/>
            <w:noWrap/>
            <w:vAlign w:val="center"/>
          </w:tcPr>
          <w:p w14:paraId="0F0F8FF6" w14:textId="77777777" w:rsidR="00DD3E2F" w:rsidRPr="007C1E37" w:rsidRDefault="00DD3E2F" w:rsidP="001E519A">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7C1E37">
              <w:rPr>
                <w:rFonts w:cs="Arial"/>
                <w:color w:val="000000"/>
                <w:sz w:val="20"/>
                <w:szCs w:val="20"/>
              </w:rPr>
              <w:t>45,270</w:t>
            </w:r>
          </w:p>
        </w:tc>
        <w:tc>
          <w:tcPr>
            <w:tcW w:w="1985" w:type="dxa"/>
            <w:vAlign w:val="center"/>
          </w:tcPr>
          <w:p w14:paraId="63128AF6" w14:textId="77777777" w:rsidR="00DD3E2F" w:rsidRPr="007C1E37" w:rsidRDefault="00DD3E2F" w:rsidP="001E519A">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7C1E37">
              <w:rPr>
                <w:rFonts w:cs="Arial"/>
                <w:color w:val="000000"/>
                <w:sz w:val="20"/>
                <w:szCs w:val="20"/>
              </w:rPr>
              <w:t>57,874</w:t>
            </w:r>
          </w:p>
        </w:tc>
        <w:tc>
          <w:tcPr>
            <w:tcW w:w="1418" w:type="dxa"/>
            <w:vAlign w:val="center"/>
          </w:tcPr>
          <w:p w14:paraId="5969DADA" w14:textId="77777777" w:rsidR="00DD3E2F" w:rsidRPr="007C1E37" w:rsidRDefault="00DD3E2F" w:rsidP="001E519A">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7C1E37">
              <w:rPr>
                <w:rFonts w:cs="Arial"/>
                <w:color w:val="000000"/>
                <w:sz w:val="20"/>
                <w:szCs w:val="20"/>
              </w:rPr>
              <w:t>+28%</w:t>
            </w:r>
          </w:p>
        </w:tc>
      </w:tr>
      <w:tr w:rsidR="00DD3E2F" w:rsidRPr="007C1E37" w14:paraId="0FF5D1D3" w14:textId="77777777" w:rsidTr="001E519A">
        <w:trPr>
          <w:trHeight w:val="404"/>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40E45215" w14:textId="77777777" w:rsidR="00DD3E2F" w:rsidRPr="007C1E37" w:rsidRDefault="00DD3E2F" w:rsidP="001E519A">
            <w:pPr>
              <w:spacing w:before="60" w:after="60"/>
              <w:ind w:left="37"/>
              <w:rPr>
                <w:rFonts w:cs="Arial"/>
                <w:bCs w:val="0"/>
                <w:sz w:val="20"/>
                <w:szCs w:val="20"/>
                <w:lang w:eastAsia="en-AU"/>
              </w:rPr>
            </w:pPr>
            <w:r w:rsidRPr="007C1E37">
              <w:rPr>
                <w:rFonts w:cs="Arial"/>
                <w:bCs w:val="0"/>
                <w:sz w:val="20"/>
                <w:szCs w:val="20"/>
                <w:lang w:eastAsia="en-AU"/>
              </w:rPr>
              <w:t>Number of active providers</w:t>
            </w:r>
          </w:p>
        </w:tc>
        <w:tc>
          <w:tcPr>
            <w:tcW w:w="1985" w:type="dxa"/>
            <w:noWrap/>
            <w:vAlign w:val="center"/>
          </w:tcPr>
          <w:p w14:paraId="122DC619" w14:textId="77777777" w:rsidR="00DD3E2F" w:rsidRPr="007C1E37" w:rsidRDefault="00DD3E2F" w:rsidP="001E519A">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7C1E37">
              <w:rPr>
                <w:rFonts w:cs="Arial"/>
                <w:color w:val="000000"/>
                <w:sz w:val="20"/>
                <w:szCs w:val="20"/>
              </w:rPr>
              <w:t>5,300</w:t>
            </w:r>
          </w:p>
        </w:tc>
        <w:tc>
          <w:tcPr>
            <w:tcW w:w="1985" w:type="dxa"/>
            <w:vAlign w:val="center"/>
          </w:tcPr>
          <w:p w14:paraId="01157817" w14:textId="77777777" w:rsidR="00DD3E2F" w:rsidRPr="007C1E37" w:rsidRDefault="00DD3E2F" w:rsidP="001E519A">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7C1E37">
              <w:rPr>
                <w:rFonts w:cs="Arial"/>
                <w:color w:val="000000"/>
                <w:sz w:val="20"/>
                <w:szCs w:val="20"/>
              </w:rPr>
              <w:t>6,207</w:t>
            </w:r>
          </w:p>
        </w:tc>
        <w:tc>
          <w:tcPr>
            <w:tcW w:w="1418" w:type="dxa"/>
            <w:vAlign w:val="center"/>
          </w:tcPr>
          <w:p w14:paraId="2FACB704" w14:textId="77777777" w:rsidR="00DD3E2F" w:rsidRPr="007C1E37" w:rsidRDefault="00DD3E2F" w:rsidP="001E519A">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7C1E37">
              <w:rPr>
                <w:rFonts w:cs="Arial"/>
                <w:color w:val="000000"/>
                <w:sz w:val="20"/>
                <w:szCs w:val="20"/>
              </w:rPr>
              <w:t>+17%</w:t>
            </w:r>
          </w:p>
        </w:tc>
      </w:tr>
      <w:tr w:rsidR="00DD3E2F" w:rsidRPr="007C1E37" w14:paraId="79CBB7B0" w14:textId="77777777" w:rsidTr="001E519A">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647F4190" w14:textId="77777777" w:rsidR="00DD3E2F" w:rsidRPr="007C1E37" w:rsidRDefault="00DD3E2F" w:rsidP="001E519A">
            <w:pPr>
              <w:spacing w:before="60" w:after="60"/>
              <w:ind w:left="37"/>
              <w:rPr>
                <w:rFonts w:cs="Arial"/>
                <w:bCs w:val="0"/>
                <w:sz w:val="20"/>
                <w:szCs w:val="20"/>
                <w:lang w:eastAsia="en-AU"/>
              </w:rPr>
            </w:pPr>
            <w:r w:rsidRPr="007C1E37">
              <w:rPr>
                <w:rFonts w:cs="Arial"/>
                <w:bCs w:val="0"/>
                <w:sz w:val="20"/>
                <w:szCs w:val="20"/>
                <w:lang w:eastAsia="en-AU"/>
              </w:rPr>
              <w:t>Total amount claimed by active providers of support coordination</w:t>
            </w:r>
          </w:p>
        </w:tc>
        <w:tc>
          <w:tcPr>
            <w:tcW w:w="1985" w:type="dxa"/>
            <w:noWrap/>
            <w:vAlign w:val="center"/>
          </w:tcPr>
          <w:p w14:paraId="01031276" w14:textId="77777777" w:rsidR="00DD3E2F" w:rsidRPr="007C1E37" w:rsidRDefault="00DD3E2F" w:rsidP="001E519A">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7C1E37">
              <w:rPr>
                <w:rFonts w:cs="Arial"/>
                <w:color w:val="000000"/>
                <w:sz w:val="20"/>
                <w:szCs w:val="20"/>
              </w:rPr>
              <w:t>$93 million</w:t>
            </w:r>
          </w:p>
        </w:tc>
        <w:tc>
          <w:tcPr>
            <w:tcW w:w="1985" w:type="dxa"/>
            <w:vAlign w:val="center"/>
          </w:tcPr>
          <w:p w14:paraId="6DE7EC44" w14:textId="77777777" w:rsidR="00DD3E2F" w:rsidRPr="007C1E37" w:rsidRDefault="00DD3E2F" w:rsidP="001E519A">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7C1E37">
              <w:rPr>
                <w:rFonts w:cs="Arial"/>
                <w:color w:val="000000"/>
                <w:sz w:val="20"/>
                <w:szCs w:val="20"/>
              </w:rPr>
              <w:t>$117 million</w:t>
            </w:r>
          </w:p>
        </w:tc>
        <w:tc>
          <w:tcPr>
            <w:tcW w:w="1418" w:type="dxa"/>
            <w:vAlign w:val="center"/>
          </w:tcPr>
          <w:p w14:paraId="755FDDC5" w14:textId="77777777" w:rsidR="00DD3E2F" w:rsidRPr="007C1E37" w:rsidRDefault="00DD3E2F" w:rsidP="001E519A">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7C1E37">
              <w:rPr>
                <w:rFonts w:cs="Arial"/>
                <w:color w:val="000000"/>
                <w:sz w:val="20"/>
                <w:szCs w:val="20"/>
              </w:rPr>
              <w:t>+26%</w:t>
            </w:r>
          </w:p>
        </w:tc>
      </w:tr>
      <w:tr w:rsidR="00DD3E2F" w:rsidRPr="007C1E37" w14:paraId="48ADB5C5" w14:textId="77777777" w:rsidTr="001E519A">
        <w:trPr>
          <w:trHeight w:val="404"/>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1752D526" w14:textId="77777777" w:rsidR="00DD3E2F" w:rsidRPr="007C1E37" w:rsidRDefault="00DD3E2F" w:rsidP="001E519A">
            <w:pPr>
              <w:spacing w:before="60" w:after="60"/>
              <w:ind w:left="37"/>
              <w:rPr>
                <w:rFonts w:cs="Arial"/>
                <w:bCs w:val="0"/>
                <w:sz w:val="20"/>
                <w:szCs w:val="20"/>
                <w:lang w:eastAsia="en-AU"/>
              </w:rPr>
            </w:pPr>
            <w:r w:rsidRPr="007C1E37">
              <w:rPr>
                <w:rFonts w:cs="Arial"/>
                <w:bCs w:val="0"/>
                <w:sz w:val="20"/>
                <w:szCs w:val="20"/>
                <w:lang w:eastAsia="en-AU"/>
              </w:rPr>
              <w:t>Average amount claimed by all active providers of support coordination</w:t>
            </w:r>
          </w:p>
        </w:tc>
        <w:tc>
          <w:tcPr>
            <w:tcW w:w="1985" w:type="dxa"/>
            <w:noWrap/>
            <w:vAlign w:val="center"/>
          </w:tcPr>
          <w:p w14:paraId="5FC7D02B" w14:textId="77777777" w:rsidR="00DD3E2F" w:rsidRPr="007C1E37" w:rsidRDefault="00DD3E2F" w:rsidP="001E519A">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7C1E37">
              <w:rPr>
                <w:rFonts w:cs="Arial"/>
                <w:color w:val="000000"/>
                <w:sz w:val="20"/>
                <w:szCs w:val="20"/>
              </w:rPr>
              <w:t>$17,519</w:t>
            </w:r>
          </w:p>
        </w:tc>
        <w:tc>
          <w:tcPr>
            <w:tcW w:w="1985" w:type="dxa"/>
            <w:vAlign w:val="center"/>
          </w:tcPr>
          <w:p w14:paraId="0F89F8C3" w14:textId="77777777" w:rsidR="00DD3E2F" w:rsidRPr="007C1E37" w:rsidRDefault="00DD3E2F" w:rsidP="001E519A">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7C1E37">
              <w:rPr>
                <w:rFonts w:cs="Arial"/>
                <w:color w:val="000000"/>
                <w:sz w:val="20"/>
                <w:szCs w:val="20"/>
              </w:rPr>
              <w:t>$18,913</w:t>
            </w:r>
          </w:p>
        </w:tc>
        <w:tc>
          <w:tcPr>
            <w:tcW w:w="1418" w:type="dxa"/>
            <w:vAlign w:val="center"/>
          </w:tcPr>
          <w:p w14:paraId="3B18FCF9" w14:textId="77777777" w:rsidR="00DD3E2F" w:rsidRPr="007C1E37" w:rsidRDefault="00DD3E2F" w:rsidP="001E519A">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7C1E37">
              <w:rPr>
                <w:rFonts w:cs="Arial"/>
                <w:color w:val="000000"/>
                <w:sz w:val="20"/>
                <w:szCs w:val="20"/>
              </w:rPr>
              <w:t>+8%</w:t>
            </w:r>
          </w:p>
        </w:tc>
      </w:tr>
    </w:tbl>
    <w:p w14:paraId="61949117" w14:textId="77777777" w:rsidR="00C95AD8" w:rsidRPr="008034CE" w:rsidRDefault="00C95AD8" w:rsidP="00DD3E2F">
      <w:pPr>
        <w:pStyle w:val="Sourcefortableorfigure"/>
        <w:spacing w:before="240"/>
      </w:pPr>
      <w:bookmarkStart w:id="488" w:name="_Ref163559253"/>
      <w:r w:rsidRPr="008034CE">
        <w:t>Source: NDIS internal administrative data</w:t>
      </w:r>
    </w:p>
    <w:bookmarkEnd w:id="484"/>
    <w:bookmarkEnd w:id="488"/>
    <w:p w14:paraId="5B47FAE8" w14:textId="4B29731C" w:rsidR="00145BA0" w:rsidRDefault="00145BA0">
      <w:pPr>
        <w:spacing w:before="120" w:after="120"/>
      </w:pPr>
      <w:r>
        <w:br w:type="page"/>
      </w:r>
    </w:p>
    <w:p w14:paraId="33AF4861" w14:textId="4640D046" w:rsidR="00145BA0" w:rsidRPr="008034CE" w:rsidRDefault="00145BA0" w:rsidP="00145BA0">
      <w:pPr>
        <w:pStyle w:val="Caption"/>
      </w:pPr>
      <w:bookmarkStart w:id="489" w:name="_Ref195091336"/>
      <w:r w:rsidRPr="008034CE">
        <w:lastRenderedPageBreak/>
        <w:t xml:space="preserve">Figure </w:t>
      </w:r>
      <w:r w:rsidR="005763F9">
        <w:fldChar w:fldCharType="begin"/>
      </w:r>
      <w:r w:rsidR="005763F9">
        <w:instrText xml:space="preserve"> SEQ Figure \* ARABIC </w:instrText>
      </w:r>
      <w:r w:rsidR="005763F9">
        <w:fldChar w:fldCharType="separate"/>
      </w:r>
      <w:r w:rsidR="005763F9">
        <w:rPr>
          <w:noProof/>
        </w:rPr>
        <w:t>24</w:t>
      </w:r>
      <w:r w:rsidR="005763F9">
        <w:rPr>
          <w:noProof/>
        </w:rPr>
        <w:fldChar w:fldCharType="end"/>
      </w:r>
      <w:bookmarkEnd w:id="489"/>
      <w:r w:rsidRPr="008034CE">
        <w:t>: Number of Participants and Providers Claiming Support Coordination Supports, January 2022 to December 2024</w:t>
      </w:r>
    </w:p>
    <w:p w14:paraId="667870A0" w14:textId="77777777" w:rsidR="00145BA0" w:rsidRPr="008034CE" w:rsidRDefault="00145BA0" w:rsidP="00145BA0">
      <w:pPr>
        <w:pStyle w:val="Image"/>
        <w:rPr>
          <w:noProof w:val="0"/>
        </w:rPr>
      </w:pPr>
      <w:r w:rsidRPr="008034CE">
        <w:drawing>
          <wp:inline distT="0" distB="0" distL="0" distR="0" wp14:anchorId="7169ECC5" wp14:editId="07AD248D">
            <wp:extent cx="5814000" cy="3373200"/>
            <wp:effectExtent l="0" t="0" r="0" b="0"/>
            <wp:docPr id="1246826306" name="Picture 3" descr="A column graph showing the number of participants and providers claiming support coordination supports from January 2022 to December 2024. The number of both participants and providers claiming this support has steadily increased over time.&#10;&#10;From January to June 2022, there were 200,082 participants and 5,693 providers claiming support coordination supports.&#10;&#10;From June to December 2022, there were 215,817 participants and 6,802 providers claiming support coordination supports.&#10;&#10;From January to June 2023, there were 230,635 participants and 7,842 providers claiming support coordination supports.&#10;&#10;From July to December 2023, there were 245,696 participants and 8,823 providers claiming support coordination supports.&#10;&#10;From January to June 2024, there were 251,007 participants and 9,446 providers claiming support coordination supports.&#10;&#10;From July to December 2024, there were 262,994 participants and 10,184 providers claiming support coordination supports.&#10;&#10;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826306" name="Picture 3" descr="A column graph showing the number of participants and providers claiming support coordination supports from January 2022 to December 2024. The number of both participants and providers claiming this support has steadily increased over time.&#10;&#10;From January to June 2022, there were 200,082 participants and 5,693 providers claiming support coordination supports.&#10;&#10;From June to December 2022, there were 215,817 participants and 6,802 providers claiming support coordination supports.&#10;&#10;From January to June 2023, there were 230,635 participants and 7,842 providers claiming support coordination supports.&#10;&#10;From July to December 2023, there were 245,696 participants and 8,823 providers claiming support coordination supports.&#10;&#10;From January to June 2024, there were 251,007 participants and 9,446 providers claiming support coordination supports.&#10;&#10;From July to December 2024, there were 262,994 participants and 10,184 providers claiming support coordination supports.&#10;&#10;Source: NDIS internal administrative data."/>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814000" cy="3373200"/>
                    </a:xfrm>
                    <a:prstGeom prst="rect">
                      <a:avLst/>
                    </a:prstGeom>
                    <a:noFill/>
                  </pic:spPr>
                </pic:pic>
              </a:graphicData>
            </a:graphic>
          </wp:inline>
        </w:drawing>
      </w:r>
    </w:p>
    <w:p w14:paraId="61FB802C" w14:textId="77777777" w:rsidR="00145BA0" w:rsidRPr="008034CE" w:rsidRDefault="00145BA0" w:rsidP="00145BA0">
      <w:pPr>
        <w:pStyle w:val="Heading4"/>
        <w:spacing w:before="720"/>
      </w:pPr>
      <w:bookmarkStart w:id="490" w:name="_Toc164424430"/>
      <w:bookmarkStart w:id="491" w:name="_Toc164970291"/>
      <w:bookmarkStart w:id="492" w:name="_Toc195099180"/>
      <w:bookmarkStart w:id="493" w:name="_Toc200103557"/>
      <w:bookmarkStart w:id="494" w:name="_Toc200271669"/>
      <w:r w:rsidRPr="008034CE">
        <w:t>Participants</w:t>
      </w:r>
      <w:bookmarkEnd w:id="490"/>
      <w:bookmarkEnd w:id="491"/>
      <w:bookmarkEnd w:id="492"/>
      <w:bookmarkEnd w:id="493"/>
      <w:bookmarkEnd w:id="494"/>
    </w:p>
    <w:p w14:paraId="0870FB6B" w14:textId="6CF4C763" w:rsidR="00145BA0" w:rsidRPr="008034CE" w:rsidRDefault="00145BA0" w:rsidP="00145BA0">
      <w:r w:rsidRPr="008034CE">
        <w:t xml:space="preserve">Between July and December 2024, 247,065 participants accessed </w:t>
      </w:r>
      <w:r w:rsidRPr="008034CE">
        <w:rPr>
          <w:i/>
          <w:iCs/>
        </w:rPr>
        <w:t>Level 2: Coordination of Supports</w:t>
      </w:r>
      <w:r w:rsidRPr="008034CE">
        <w:t xml:space="preserve">, making it the </w:t>
      </w:r>
      <w:r w:rsidRPr="008034CE" w:rsidDel="00FB2318">
        <w:t xml:space="preserve">most </w:t>
      </w:r>
      <w:r w:rsidRPr="008034CE">
        <w:t>claimed support coordination level (</w:t>
      </w:r>
      <w:r w:rsidR="008B681F">
        <w:fldChar w:fldCharType="begin"/>
      </w:r>
      <w:r w:rsidR="008B681F">
        <w:instrText xml:space="preserve"> REF _Ref195091349 \h </w:instrText>
      </w:r>
      <w:r w:rsidR="008B681F">
        <w:fldChar w:fldCharType="separate"/>
      </w:r>
      <w:r w:rsidR="005763F9" w:rsidRPr="008034CE">
        <w:t xml:space="preserve">Figure </w:t>
      </w:r>
      <w:r w:rsidR="005763F9">
        <w:rPr>
          <w:noProof/>
        </w:rPr>
        <w:t>25</w:t>
      </w:r>
      <w:r w:rsidR="008B681F">
        <w:fldChar w:fldCharType="end"/>
      </w:r>
      <w:r w:rsidRPr="008034CE">
        <w:t xml:space="preserve">). </w:t>
      </w:r>
      <w:r w:rsidRPr="008034CE">
        <w:rPr>
          <w:i/>
          <w:iCs/>
        </w:rPr>
        <w:t>Level 1: Support Connection</w:t>
      </w:r>
      <w:r w:rsidRPr="008034CE">
        <w:t xml:space="preserve"> and </w:t>
      </w:r>
      <w:r w:rsidRPr="008034CE">
        <w:rPr>
          <w:i/>
          <w:iCs/>
        </w:rPr>
        <w:t>Psychosocial Recovery Coaching</w:t>
      </w:r>
      <w:r w:rsidRPr="008034CE">
        <w:t xml:space="preserve"> was accessed by 24,957 participants, followed by </w:t>
      </w:r>
      <w:r w:rsidRPr="008034CE">
        <w:rPr>
          <w:i/>
          <w:iCs/>
        </w:rPr>
        <w:t>Level 3: Specialist Support Coordination</w:t>
      </w:r>
      <w:r w:rsidRPr="008034CE">
        <w:t>, accessed by 11,438 participants (</w:t>
      </w:r>
      <w:r w:rsidR="008B681F">
        <w:fldChar w:fldCharType="begin"/>
      </w:r>
      <w:r w:rsidR="008B681F">
        <w:instrText xml:space="preserve"> REF _Ref195091349 \h </w:instrText>
      </w:r>
      <w:r w:rsidR="008B681F">
        <w:fldChar w:fldCharType="separate"/>
      </w:r>
      <w:r w:rsidR="005763F9" w:rsidRPr="008034CE">
        <w:t xml:space="preserve">Figure </w:t>
      </w:r>
      <w:r w:rsidR="005763F9">
        <w:rPr>
          <w:noProof/>
        </w:rPr>
        <w:t>25</w:t>
      </w:r>
      <w:r w:rsidR="008B681F">
        <w:fldChar w:fldCharType="end"/>
      </w:r>
      <w:r w:rsidRPr="008034CE">
        <w:t xml:space="preserve">). </w:t>
      </w:r>
      <w:r w:rsidR="008B681F">
        <w:fldChar w:fldCharType="begin"/>
      </w:r>
      <w:r w:rsidR="008B681F">
        <w:instrText xml:space="preserve"> REF _Ref195091349 \h </w:instrText>
      </w:r>
      <w:r w:rsidR="008B681F">
        <w:fldChar w:fldCharType="separate"/>
      </w:r>
      <w:r w:rsidR="005763F9" w:rsidRPr="008034CE">
        <w:t xml:space="preserve">Figure </w:t>
      </w:r>
      <w:r w:rsidR="005763F9">
        <w:rPr>
          <w:noProof/>
        </w:rPr>
        <w:t>25</w:t>
      </w:r>
      <w:r w:rsidR="008B681F">
        <w:fldChar w:fldCharType="end"/>
      </w:r>
      <w:r w:rsidRPr="008034CE">
        <w:t xml:space="preserve"> shows the distribution of participants using different levels of support coordination. The estimates suggest that the use of support coordination related services continues to show steady increases overtime.</w:t>
      </w:r>
    </w:p>
    <w:p w14:paraId="1031C753" w14:textId="153AD1D5" w:rsidR="00145BA0" w:rsidRDefault="00145BA0">
      <w:pPr>
        <w:spacing w:before="120" w:after="120"/>
      </w:pPr>
      <w:r>
        <w:br w:type="page"/>
      </w:r>
    </w:p>
    <w:p w14:paraId="23A1BAAC" w14:textId="1DDE6756" w:rsidR="00145BA0" w:rsidRPr="008034CE" w:rsidRDefault="00145BA0" w:rsidP="00145BA0">
      <w:pPr>
        <w:pStyle w:val="Caption"/>
      </w:pPr>
      <w:bookmarkStart w:id="495" w:name="_Ref195091349"/>
      <w:r w:rsidRPr="008034CE">
        <w:lastRenderedPageBreak/>
        <w:t xml:space="preserve">Figure </w:t>
      </w:r>
      <w:r w:rsidR="005763F9">
        <w:fldChar w:fldCharType="begin"/>
      </w:r>
      <w:r w:rsidR="005763F9">
        <w:instrText xml:space="preserve"> SEQ Figure \* ARABIC </w:instrText>
      </w:r>
      <w:r w:rsidR="005763F9">
        <w:fldChar w:fldCharType="separate"/>
      </w:r>
      <w:r w:rsidR="005763F9">
        <w:rPr>
          <w:noProof/>
        </w:rPr>
        <w:t>25</w:t>
      </w:r>
      <w:r w:rsidR="005763F9">
        <w:rPr>
          <w:noProof/>
        </w:rPr>
        <w:fldChar w:fldCharType="end"/>
      </w:r>
      <w:bookmarkEnd w:id="495"/>
      <w:r w:rsidRPr="008034CE">
        <w:t>: Participants Using Different Levels of Support Coordination Supports</w:t>
      </w:r>
    </w:p>
    <w:p w14:paraId="0E831DDF" w14:textId="77777777" w:rsidR="00145BA0" w:rsidRPr="008034CE" w:rsidRDefault="00145BA0" w:rsidP="00145BA0">
      <w:r w:rsidRPr="008034CE">
        <w:rPr>
          <w:noProof/>
        </w:rPr>
        <w:drawing>
          <wp:inline distT="0" distB="0" distL="0" distR="0" wp14:anchorId="38232689" wp14:editId="378A3800">
            <wp:extent cx="5676902" cy="2519680"/>
            <wp:effectExtent l="0" t="0" r="0" b="0"/>
            <wp:docPr id="953894258" name="Picture 1" descr="A pie chart showing the number of participants who are using different levels of Support Coordination supports. The chart compares results from 2023 and 2024. In both years, the majority of participants are using Support Coordination Level 2: Coordination of Supports. &#10;&#10;From July to December 2023, the number of participants using Support Coordination Level 2: Coordination of Supports was 230,621, whilst the number of participants using Support Coordination Level 3: Specialist Support Coordination was 10,354, and the number of participants categorised as ‘other’ was 19,064.&#10;&#10;From July to December 2024, the number of participants using Support Coordination Level 2: Coordination of Supports was 247,065, whilst the number of participants using Support Coordination Level 3: Specialist Support Coordination was 11.438, and the number of participants categorised as ‘other’ was 24,957.&#10;&#10;Source: NDIS internal administrative dat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42">
                      <a:extLst>
                        <a:ext uri="{28A0092B-C50C-407E-A947-70E740481C1C}">
                          <a14:useLocalDpi xmlns:a14="http://schemas.microsoft.com/office/drawing/2010/main" val="0"/>
                        </a:ext>
                      </a:extLst>
                    </a:blip>
                    <a:stretch>
                      <a:fillRect/>
                    </a:stretch>
                  </pic:blipFill>
                  <pic:spPr>
                    <a:xfrm>
                      <a:off x="0" y="0"/>
                      <a:ext cx="5676902" cy="2519680"/>
                    </a:xfrm>
                    <a:prstGeom prst="rect">
                      <a:avLst/>
                    </a:prstGeom>
                  </pic:spPr>
                </pic:pic>
              </a:graphicData>
            </a:graphic>
          </wp:inline>
        </w:drawing>
      </w:r>
    </w:p>
    <w:p w14:paraId="571DAF21" w14:textId="77777777" w:rsidR="00145BA0" w:rsidRPr="008034CE" w:rsidRDefault="00145BA0" w:rsidP="00145BA0">
      <w:pPr>
        <w:rPr>
          <w:sz w:val="20"/>
          <w:szCs w:val="20"/>
          <w:lang w:eastAsia="en-US" w:bidi="th-TH"/>
        </w:rPr>
      </w:pPr>
      <w:r w:rsidRPr="008034CE">
        <w:rPr>
          <w:sz w:val="20"/>
          <w:szCs w:val="20"/>
          <w:lang w:eastAsia="en-US" w:bidi="th-TH"/>
        </w:rPr>
        <w:t xml:space="preserve">Note: The “Other” category includes </w:t>
      </w:r>
      <w:r w:rsidRPr="008034CE">
        <w:rPr>
          <w:i/>
          <w:iCs/>
          <w:sz w:val="20"/>
          <w:szCs w:val="20"/>
          <w:lang w:eastAsia="en-US" w:bidi="th-TH"/>
        </w:rPr>
        <w:t>Psychosocial Recovery Coaching</w:t>
      </w:r>
      <w:r w:rsidRPr="008034CE">
        <w:rPr>
          <w:sz w:val="20"/>
          <w:szCs w:val="20"/>
          <w:lang w:eastAsia="en-US" w:bidi="th-TH"/>
        </w:rPr>
        <w:t xml:space="preserve"> and </w:t>
      </w:r>
      <w:r w:rsidRPr="008034CE">
        <w:rPr>
          <w:i/>
          <w:iCs/>
          <w:sz w:val="20"/>
          <w:szCs w:val="20"/>
          <w:lang w:eastAsia="en-US" w:bidi="th-TH"/>
        </w:rPr>
        <w:t>Support Coordination Level 1: Support Connection</w:t>
      </w:r>
      <w:r w:rsidRPr="008034CE">
        <w:rPr>
          <w:sz w:val="20"/>
          <w:szCs w:val="20"/>
          <w:lang w:eastAsia="en-US" w:bidi="th-TH"/>
        </w:rPr>
        <w:t xml:space="preserve"> supports.</w:t>
      </w:r>
    </w:p>
    <w:p w14:paraId="28D46AE4" w14:textId="77777777" w:rsidR="00145BA0" w:rsidRPr="008034CE" w:rsidRDefault="00145BA0" w:rsidP="00145BA0">
      <w:pPr>
        <w:pStyle w:val="Heading4"/>
      </w:pPr>
      <w:bookmarkStart w:id="496" w:name="_Toc194056119"/>
      <w:bookmarkStart w:id="497" w:name="_Toc194331930"/>
      <w:bookmarkStart w:id="498" w:name="_Toc195099181"/>
      <w:bookmarkStart w:id="499" w:name="_Toc195099182"/>
      <w:bookmarkStart w:id="500" w:name="_Toc200103558"/>
      <w:bookmarkStart w:id="501" w:name="_Toc200271670"/>
      <w:bookmarkEnd w:id="496"/>
      <w:bookmarkEnd w:id="497"/>
      <w:bookmarkEnd w:id="498"/>
      <w:r w:rsidRPr="008034CE">
        <w:t>Providers</w:t>
      </w:r>
      <w:bookmarkEnd w:id="499"/>
      <w:bookmarkEnd w:id="500"/>
      <w:bookmarkEnd w:id="501"/>
      <w:r w:rsidRPr="008034CE">
        <w:t xml:space="preserve"> </w:t>
      </w:r>
    </w:p>
    <w:p w14:paraId="781587DD" w14:textId="77777777" w:rsidR="00145BA0" w:rsidRPr="008034CE" w:rsidRDefault="00145BA0" w:rsidP="00145BA0">
      <w:pPr>
        <w:pStyle w:val="Heading5"/>
      </w:pPr>
      <w:bookmarkStart w:id="502" w:name="_Toc195099183"/>
      <w:bookmarkStart w:id="503" w:name="_Toc200103559"/>
      <w:bookmarkStart w:id="504" w:name="_Toc200271671"/>
      <w:r w:rsidRPr="008034CE">
        <w:t>Provider Growth</w:t>
      </w:r>
      <w:bookmarkEnd w:id="502"/>
      <w:bookmarkEnd w:id="503"/>
      <w:bookmarkEnd w:id="504"/>
      <w:r w:rsidRPr="008034CE">
        <w:t xml:space="preserve"> </w:t>
      </w:r>
    </w:p>
    <w:p w14:paraId="6D0A1DB9" w14:textId="601D326B" w:rsidR="00145BA0" w:rsidRPr="008034CE" w:rsidRDefault="00145BA0" w:rsidP="00145BA0">
      <w:r w:rsidRPr="008034CE">
        <w:t xml:space="preserve">As shown in </w:t>
      </w:r>
      <w:r w:rsidR="008B681F">
        <w:fldChar w:fldCharType="begin"/>
      </w:r>
      <w:r w:rsidR="008B681F">
        <w:instrText xml:space="preserve"> REF _Ref195091359 \h </w:instrText>
      </w:r>
      <w:r w:rsidR="008B681F">
        <w:fldChar w:fldCharType="separate"/>
      </w:r>
      <w:r w:rsidR="005763F9" w:rsidRPr="008034CE">
        <w:t xml:space="preserve">Figure </w:t>
      </w:r>
      <w:r w:rsidR="005763F9">
        <w:rPr>
          <w:noProof/>
        </w:rPr>
        <w:t>26</w:t>
      </w:r>
      <w:r w:rsidR="008B681F">
        <w:fldChar w:fldCharType="end"/>
      </w:r>
      <w:r w:rsidRPr="008034CE">
        <w:t xml:space="preserve">, most providers of support coordination deliver </w:t>
      </w:r>
      <w:r w:rsidRPr="008034CE">
        <w:rPr>
          <w:i/>
          <w:iCs/>
        </w:rPr>
        <w:t>Level 2: Coordination of Supports</w:t>
      </w:r>
      <w:r w:rsidRPr="008034CE">
        <w:t>. Between January 2022 and December 2024, the number of Level 2 providers increased from 5,082 to 8,924, an overall growth of 76% (</w:t>
      </w:r>
      <w:r w:rsidR="008B681F">
        <w:fldChar w:fldCharType="begin"/>
      </w:r>
      <w:r w:rsidR="008B681F">
        <w:instrText xml:space="preserve"> REF _Ref195091359 \h </w:instrText>
      </w:r>
      <w:r w:rsidR="008B681F">
        <w:fldChar w:fldCharType="separate"/>
      </w:r>
      <w:r w:rsidR="005763F9" w:rsidRPr="008034CE">
        <w:t xml:space="preserve">Figure </w:t>
      </w:r>
      <w:r w:rsidR="005763F9">
        <w:rPr>
          <w:noProof/>
        </w:rPr>
        <w:t>26</w:t>
      </w:r>
      <w:r w:rsidR="008B681F">
        <w:fldChar w:fldCharType="end"/>
      </w:r>
      <w:r w:rsidRPr="008034CE">
        <w:t xml:space="preserve">). In comparison, the number of providers delivering </w:t>
      </w:r>
      <w:r w:rsidRPr="008034CE">
        <w:rPr>
          <w:i/>
          <w:iCs/>
        </w:rPr>
        <w:t>Level 3: Specialist Support Coordination</w:t>
      </w:r>
      <w:r w:rsidRPr="008034CE">
        <w:t xml:space="preserve"> grew more modestly, from 1,003 to 1,711 over the same period (</w:t>
      </w:r>
      <w:r w:rsidR="008B681F">
        <w:fldChar w:fldCharType="begin"/>
      </w:r>
      <w:r w:rsidR="008B681F">
        <w:instrText xml:space="preserve"> REF _Ref195091359 \h </w:instrText>
      </w:r>
      <w:r w:rsidR="008B681F">
        <w:fldChar w:fldCharType="separate"/>
      </w:r>
      <w:r w:rsidR="005763F9" w:rsidRPr="008034CE">
        <w:t xml:space="preserve">Figure </w:t>
      </w:r>
      <w:r w:rsidR="005763F9">
        <w:rPr>
          <w:noProof/>
        </w:rPr>
        <w:t>26</w:t>
      </w:r>
      <w:r w:rsidR="008B681F">
        <w:fldChar w:fldCharType="end"/>
      </w:r>
      <w:r w:rsidRPr="008034CE">
        <w:t xml:space="preserve">). </w:t>
      </w:r>
    </w:p>
    <w:p w14:paraId="0C908BEF" w14:textId="6E9640E5" w:rsidR="00145BA0" w:rsidRDefault="00145BA0">
      <w:pPr>
        <w:spacing w:before="120" w:after="120"/>
      </w:pPr>
      <w:r>
        <w:br w:type="page"/>
      </w:r>
    </w:p>
    <w:p w14:paraId="584FA75A" w14:textId="622803B3" w:rsidR="00145BA0" w:rsidRPr="008034CE" w:rsidRDefault="00145BA0" w:rsidP="00145BA0">
      <w:pPr>
        <w:pStyle w:val="Caption"/>
      </w:pPr>
      <w:bookmarkStart w:id="505" w:name="_Ref195091359"/>
      <w:r w:rsidRPr="008034CE">
        <w:lastRenderedPageBreak/>
        <w:t xml:space="preserve">Figure </w:t>
      </w:r>
      <w:r w:rsidR="005763F9">
        <w:fldChar w:fldCharType="begin"/>
      </w:r>
      <w:r w:rsidR="005763F9">
        <w:instrText xml:space="preserve"> SEQ Figure \* ARABIC </w:instrText>
      </w:r>
      <w:r w:rsidR="005763F9">
        <w:fldChar w:fldCharType="separate"/>
      </w:r>
      <w:r w:rsidR="005763F9">
        <w:rPr>
          <w:noProof/>
        </w:rPr>
        <w:t>26</w:t>
      </w:r>
      <w:r w:rsidR="005763F9">
        <w:rPr>
          <w:noProof/>
        </w:rPr>
        <w:fldChar w:fldCharType="end"/>
      </w:r>
      <w:bookmarkEnd w:id="505"/>
      <w:r w:rsidRPr="008034CE">
        <w:t>: Number of Providers by Support Coordination Level, January 2022 to December 2024</w:t>
      </w:r>
    </w:p>
    <w:p w14:paraId="02D4171E" w14:textId="77777777" w:rsidR="00145BA0" w:rsidRPr="008034CE" w:rsidRDefault="00145BA0" w:rsidP="00145BA0">
      <w:r w:rsidRPr="008034CE">
        <w:rPr>
          <w:noProof/>
        </w:rPr>
        <w:drawing>
          <wp:inline distT="0" distB="0" distL="0" distR="0" wp14:anchorId="06192320" wp14:editId="617CFA4D">
            <wp:extent cx="5597642" cy="3239785"/>
            <wp:effectExtent l="0" t="0" r="3175" b="0"/>
            <wp:docPr id="545044352" name="Picture 18" descr="A line graph showing the number of providers by support coordination level from January 2022 to December 2024. The graph shows a steady rise in the number of providers across all three categories, with Support Coordination Level 2: Coordination of Supports consistently having the greatest number of providers. &#10;&#10;From January to June 2022, the number of providers delivering Support Coordination Level 2: Coordination of Supports was 5,082, whilst the number of providers delivering Support Coordination Level 3: Specialist Support Coordination was 1,003, and the number of providers who were categorised as ‘other’ was 2,136. &#10;&#10;From July to December 2022, the number of providers delivering Support Coordination Level 2: Coordination of Supports was 6,006 , whilst the number of providers delivering Support Coordination Level 3: Specialist Support Coordination was 1,154, and the number of providers who were categorised as ‘other’ was 2,771. &#10;&#10;From January to June 2023, the number of providers delivering Support Coordination Level 2: Coordination of Supports was 6,897, whilst the number of providers delivering Support Coordination Level 3: Specialist Support Coordination was 1,345, and the number of providers who were categorised as ‘other’ was 3,348. &#10;&#10;From July to December 2023, the number of providers delivering Support Coordination Level 2: Coordination of Supports was 7,799, whilst the number of providers delivering Support Coordination Level 3: Specialist Support Coordination was 1,565, and the number of providers who were categorised as ‘other’ was 3,840.&#10;&#10;From January to June 2024, the number of providers delivering Support Coordination Level 2: Coordination of Supports was 8,363, whilst the number of providers delivering Support Coordination Level 3: Specialist Support Coordination was 1,644, and the number of providers who were categorised as ‘other’ was 4,102. &#10;&#10;From July to December 2024, the number of providers delivering Support Coordination Level 2: Coordination of Supports was 8,924, whilst the number of providers delivering Support Coordination Level 3: Specialist Support Coordination was 1,711, and the number of providers who were categorised as ‘other’ was 4,637. &#10;&#10;Source: NDIS internal administrative dat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044352" name="Picture 18" descr="A line graph showing the number of providers by support coordination level from January 2022 to December 2024. The graph shows a steady rise in the number of providers across all three categories, with Support Coordination Level 2: Coordination of Supports consistently having the greatest number of providers. &#10;&#10;From January to June 2022, the number of providers delivering Support Coordination Level 2: Coordination of Supports was 5,082, whilst the number of providers delivering Support Coordination Level 3: Specialist Support Coordination was 1,003, and the number of providers who were categorised as ‘other’ was 2,136. &#10;&#10;From July to December 2022, the number of providers delivering Support Coordination Level 2: Coordination of Supports was 6,006 , whilst the number of providers delivering Support Coordination Level 3: Specialist Support Coordination was 1,154, and the number of providers who were categorised as ‘other’ was 2,771. &#10;&#10;From January to June 2023, the number of providers delivering Support Coordination Level 2: Coordination of Supports was 6,897, whilst the number of providers delivering Support Coordination Level 3: Specialist Support Coordination was 1,345, and the number of providers who were categorised as ‘other’ was 3,348. &#10;&#10;From July to December 2023, the number of providers delivering Support Coordination Level 2: Coordination of Supports was 7,799, whilst the number of providers delivering Support Coordination Level 3: Specialist Support Coordination was 1,565, and the number of providers who were categorised as ‘other’ was 3,840.&#10;&#10;From January to June 2024, the number of providers delivering Support Coordination Level 2: Coordination of Supports was 8,363, whilst the number of providers delivering Support Coordination Level 3: Specialist Support Coordination was 1,644, and the number of providers who were categorised as ‘other’ was 4,102. &#10;&#10;From July to December 2024, the number of providers delivering Support Coordination Level 2: Coordination of Supports was 8,924, whilst the number of providers delivering Support Coordination Level 3: Specialist Support Coordination was 1,711, and the number of providers who were categorised as ‘other’ was 4,637. &#10;&#10;Source: NDIS internal administrative data.&#10;"/>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597642" cy="3239785"/>
                    </a:xfrm>
                    <a:prstGeom prst="rect">
                      <a:avLst/>
                    </a:prstGeom>
                  </pic:spPr>
                </pic:pic>
              </a:graphicData>
            </a:graphic>
          </wp:inline>
        </w:drawing>
      </w:r>
    </w:p>
    <w:p w14:paraId="1D879133" w14:textId="77777777" w:rsidR="00145BA0" w:rsidRPr="008034CE" w:rsidRDefault="00145BA0" w:rsidP="00145BA0">
      <w:pPr>
        <w:rPr>
          <w:sz w:val="20"/>
          <w:szCs w:val="20"/>
          <w:lang w:eastAsia="en-US" w:bidi="th-TH"/>
        </w:rPr>
      </w:pPr>
      <w:r w:rsidRPr="008034CE">
        <w:rPr>
          <w:sz w:val="20"/>
          <w:szCs w:val="20"/>
          <w:lang w:eastAsia="en-US" w:bidi="th-TH"/>
        </w:rPr>
        <w:t xml:space="preserve">Note: The “Other” category includes </w:t>
      </w:r>
      <w:r w:rsidRPr="008034CE">
        <w:rPr>
          <w:i/>
          <w:iCs/>
          <w:sz w:val="20"/>
          <w:szCs w:val="20"/>
          <w:lang w:eastAsia="en-US" w:bidi="th-TH"/>
        </w:rPr>
        <w:t>Psychosocial Recovery Coaching</w:t>
      </w:r>
      <w:r w:rsidRPr="008034CE">
        <w:rPr>
          <w:sz w:val="20"/>
          <w:szCs w:val="20"/>
          <w:lang w:eastAsia="en-US" w:bidi="th-TH"/>
        </w:rPr>
        <w:t xml:space="preserve"> and </w:t>
      </w:r>
      <w:r w:rsidRPr="008034CE">
        <w:rPr>
          <w:i/>
          <w:iCs/>
          <w:sz w:val="20"/>
          <w:szCs w:val="20"/>
          <w:lang w:eastAsia="en-US" w:bidi="th-TH"/>
        </w:rPr>
        <w:t>Support Coordination Level 1: Support Connection</w:t>
      </w:r>
      <w:r w:rsidRPr="008034CE">
        <w:rPr>
          <w:sz w:val="20"/>
          <w:szCs w:val="20"/>
          <w:lang w:eastAsia="en-US" w:bidi="th-TH"/>
        </w:rPr>
        <w:t xml:space="preserve"> supports.</w:t>
      </w:r>
    </w:p>
    <w:p w14:paraId="74DA06F3" w14:textId="77777777" w:rsidR="00145BA0" w:rsidRPr="008034CE" w:rsidRDefault="00145BA0" w:rsidP="00145BA0">
      <w:pPr>
        <w:pStyle w:val="Heading5"/>
      </w:pPr>
      <w:bookmarkStart w:id="506" w:name="_Toc195095094"/>
      <w:bookmarkStart w:id="507" w:name="_Toc195099184"/>
      <w:bookmarkStart w:id="508" w:name="_Toc195099185"/>
      <w:bookmarkStart w:id="509" w:name="_Toc200103560"/>
      <w:bookmarkStart w:id="510" w:name="_Toc200271672"/>
      <w:bookmarkEnd w:id="506"/>
      <w:bookmarkEnd w:id="507"/>
      <w:r w:rsidRPr="008034CE">
        <w:t>Provider Concentration</w:t>
      </w:r>
      <w:bookmarkEnd w:id="508"/>
      <w:bookmarkEnd w:id="509"/>
      <w:bookmarkEnd w:id="510"/>
      <w:r w:rsidRPr="008034CE">
        <w:t xml:space="preserve"> </w:t>
      </w:r>
    </w:p>
    <w:p w14:paraId="6B499CAC" w14:textId="56F5C8D9" w:rsidR="00145BA0" w:rsidRPr="008034CE" w:rsidRDefault="00145BA0" w:rsidP="00145BA0">
      <w:r w:rsidRPr="008034CE">
        <w:t>Between January 2022 and December 2024, the number of providers delivering support coordination increased by 79% from 5,693 to 10,184 (</w:t>
      </w:r>
      <w:r w:rsidR="000533A3">
        <w:fldChar w:fldCharType="begin"/>
      </w:r>
      <w:r w:rsidR="000533A3">
        <w:instrText xml:space="preserve"> REF _Ref197342669 \h </w:instrText>
      </w:r>
      <w:r w:rsidR="000533A3">
        <w:fldChar w:fldCharType="separate"/>
      </w:r>
      <w:r w:rsidR="005763F9" w:rsidRPr="008034CE">
        <w:t xml:space="preserve">Figure </w:t>
      </w:r>
      <w:r w:rsidR="005763F9">
        <w:rPr>
          <w:noProof/>
        </w:rPr>
        <w:t>27</w:t>
      </w:r>
      <w:r w:rsidR="000533A3">
        <w:fldChar w:fldCharType="end"/>
      </w:r>
      <w:r w:rsidRPr="008034CE">
        <w:t>). Over the same period, the combined market share of the top ten providers declined from 9.1% to 7.5%, suggesting an increasingly distributed provider market.</w:t>
      </w:r>
    </w:p>
    <w:p w14:paraId="020C7131" w14:textId="3B72353C" w:rsidR="00145BA0" w:rsidRPr="008034CE" w:rsidRDefault="000533A3" w:rsidP="00145BA0">
      <w:r>
        <w:fldChar w:fldCharType="begin"/>
      </w:r>
      <w:r>
        <w:instrText xml:space="preserve"> REF _Ref195091381 \h </w:instrText>
      </w:r>
      <w:r>
        <w:fldChar w:fldCharType="separate"/>
      </w:r>
      <w:r w:rsidR="005763F9" w:rsidRPr="008034CE">
        <w:t xml:space="preserve">Figure </w:t>
      </w:r>
      <w:r w:rsidR="005763F9">
        <w:rPr>
          <w:noProof/>
        </w:rPr>
        <w:t>28</w:t>
      </w:r>
      <w:r>
        <w:fldChar w:fldCharType="end"/>
      </w:r>
      <w:r w:rsidR="00145BA0" w:rsidRPr="008034CE">
        <w:t xml:space="preserve"> shows that market share concentration levels vary across geographic areas. In very remote regions, the top ten providers accounted for 45% of payments in the second half of 2024, compared to just 7.3% in non-remote areas. This suggests that while the overall market has become less concentrated, regional delivery remains more reliant on larger providers. </w:t>
      </w:r>
    </w:p>
    <w:p w14:paraId="325F1E46" w14:textId="77777777" w:rsidR="00145BA0" w:rsidRPr="008034CE" w:rsidRDefault="00145BA0" w:rsidP="00145BA0">
      <w:r w:rsidRPr="008034CE">
        <w:t xml:space="preserve">While a less concentrated provider market may be able to provide tailored or community-based models of support, it poses a challenge for provider consistency, workforce capability, and continuity of support. </w:t>
      </w:r>
    </w:p>
    <w:p w14:paraId="1544718D" w14:textId="2E3ED331" w:rsidR="00145BA0" w:rsidRDefault="00145BA0">
      <w:pPr>
        <w:spacing w:before="120" w:after="120"/>
      </w:pPr>
      <w:r>
        <w:br w:type="page"/>
      </w:r>
    </w:p>
    <w:p w14:paraId="2E44D3BA" w14:textId="40D6B909" w:rsidR="007C683C" w:rsidRPr="008034CE" w:rsidRDefault="007C683C" w:rsidP="007C683C">
      <w:pPr>
        <w:pStyle w:val="Caption"/>
      </w:pPr>
      <w:bookmarkStart w:id="511" w:name="_Ref197342669"/>
      <w:r w:rsidRPr="008034CE">
        <w:lastRenderedPageBreak/>
        <w:t xml:space="preserve">Figure </w:t>
      </w:r>
      <w:r w:rsidR="005763F9">
        <w:fldChar w:fldCharType="begin"/>
      </w:r>
      <w:r w:rsidR="005763F9">
        <w:instrText xml:space="preserve"> SEQ Figure \* ARABIC </w:instrText>
      </w:r>
      <w:r w:rsidR="005763F9">
        <w:fldChar w:fldCharType="separate"/>
      </w:r>
      <w:r w:rsidR="005763F9">
        <w:rPr>
          <w:noProof/>
        </w:rPr>
        <w:t>27</w:t>
      </w:r>
      <w:r w:rsidR="005763F9">
        <w:rPr>
          <w:noProof/>
        </w:rPr>
        <w:fldChar w:fldCharType="end"/>
      </w:r>
      <w:bookmarkEnd w:id="511"/>
      <w:r w:rsidRPr="008034CE">
        <w:t>: Changes in Top Ten Provider Market Share Compared to Growth in Support Coordination Providers, January 2022 to December 2024</w:t>
      </w:r>
    </w:p>
    <w:p w14:paraId="217B5BFE" w14:textId="77777777" w:rsidR="007C683C" w:rsidRPr="008034CE" w:rsidRDefault="007C683C" w:rsidP="007C683C">
      <w:pPr>
        <w:pStyle w:val="Image"/>
        <w:rPr>
          <w:noProof w:val="0"/>
        </w:rPr>
      </w:pPr>
      <w:r w:rsidRPr="008034CE">
        <w:drawing>
          <wp:inline distT="0" distB="0" distL="0" distR="0" wp14:anchorId="782DE6BB" wp14:editId="13F984E4">
            <wp:extent cx="5821198" cy="3369600"/>
            <wp:effectExtent l="0" t="0" r="8255" b="2540"/>
            <wp:docPr id="2059259397" name="Picture 9" descr="A column and line graph showing the top 10 providers’ market share compared to the number of support coordination providers from January 2022 to December 2024. The graph shows that the total number of support coordination providers has steadily increased whilst the market share of the top 10 providers has decreased.&#10;&#10;From January to June 2022, the total number of support coordination providers was 5,693, and the top 10 providers’ market share was 9.1%&#10;&#10;From July to December 2022, the total number of support coordination providers was 6,802, and the top 10 providers’ market share was 8.6%&#10;&#10;From January to June 2023, the total number of support coordination providers was 7,842, and the top 10 providers’ market share was 7.9%&#10;&#10;From July to December 2023, the total number of support coordination providers was 8,823, and the top 10 providers’ market share was 7.4%&#10;&#10;From January to June 2024, the total number of support coordination providers was 9,446, and the top 10 providers’ market share was 7.6%&#10;&#10;From July to December 2024, the total number of support coordination providers was 10,184, and the top 10 providers’ market share was 7.5%&#10;&#10;Source: NDIS internal administrative dat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44">
                      <a:extLst>
                        <a:ext uri="{28A0092B-C50C-407E-A947-70E740481C1C}">
                          <a14:useLocalDpi xmlns:a14="http://schemas.microsoft.com/office/drawing/2010/main" val="0"/>
                        </a:ext>
                      </a:extLst>
                    </a:blip>
                    <a:stretch>
                      <a:fillRect/>
                    </a:stretch>
                  </pic:blipFill>
                  <pic:spPr>
                    <a:xfrm>
                      <a:off x="0" y="0"/>
                      <a:ext cx="5821198" cy="3369600"/>
                    </a:xfrm>
                    <a:prstGeom prst="rect">
                      <a:avLst/>
                    </a:prstGeom>
                  </pic:spPr>
                </pic:pic>
              </a:graphicData>
            </a:graphic>
          </wp:inline>
        </w:drawing>
      </w:r>
    </w:p>
    <w:p w14:paraId="1484D573" w14:textId="77777777" w:rsidR="007C683C" w:rsidRPr="008034CE" w:rsidRDefault="007C683C" w:rsidP="007C683C">
      <w:pPr>
        <w:pStyle w:val="Notefortableorfigure"/>
      </w:pPr>
      <w:r w:rsidRPr="008034CE">
        <w:t>Note: The figure shows market share for both registered and unregistered providers.</w:t>
      </w:r>
    </w:p>
    <w:p w14:paraId="00DCA9B1" w14:textId="64C23DD3" w:rsidR="007C683C" w:rsidRPr="008034CE" w:rsidRDefault="007C683C" w:rsidP="007C683C">
      <w:pPr>
        <w:pStyle w:val="Caption"/>
        <w:spacing w:before="600"/>
      </w:pPr>
      <w:bookmarkStart w:id="512" w:name="_Ref195091381"/>
      <w:r w:rsidRPr="008034CE">
        <w:t xml:space="preserve">Figure </w:t>
      </w:r>
      <w:r w:rsidR="005763F9">
        <w:fldChar w:fldCharType="begin"/>
      </w:r>
      <w:r w:rsidR="005763F9">
        <w:instrText xml:space="preserve"> SEQ Figure \* ARABIC </w:instrText>
      </w:r>
      <w:r w:rsidR="005763F9">
        <w:fldChar w:fldCharType="separate"/>
      </w:r>
      <w:r w:rsidR="005763F9">
        <w:rPr>
          <w:noProof/>
        </w:rPr>
        <w:t>28</w:t>
      </w:r>
      <w:r w:rsidR="005763F9">
        <w:rPr>
          <w:noProof/>
        </w:rPr>
        <w:fldChar w:fldCharType="end"/>
      </w:r>
      <w:bookmarkEnd w:id="512"/>
      <w:r w:rsidRPr="008034CE">
        <w:t>: Top Ten Provider Market Share by Remoteness for Support Coordination Supports, January 2022 to December 2024</w:t>
      </w:r>
    </w:p>
    <w:p w14:paraId="2C66A0A7" w14:textId="77777777" w:rsidR="007C683C" w:rsidRPr="008034CE" w:rsidRDefault="007C683C" w:rsidP="007C683C">
      <w:pPr>
        <w:pStyle w:val="Image"/>
        <w:rPr>
          <w:noProof w:val="0"/>
        </w:rPr>
      </w:pPr>
      <w:r w:rsidRPr="008034CE">
        <w:drawing>
          <wp:inline distT="0" distB="0" distL="0" distR="0" wp14:anchorId="666BDEBD" wp14:editId="6220577F">
            <wp:extent cx="5815506" cy="3369600"/>
            <wp:effectExtent l="0" t="0" r="0" b="2540"/>
            <wp:docPr id="1770749448" name="Picture 6" descr="A line graph showing the top 10 providers' market share by remoteness for support coordination supports from January 2022 to December 2024. The graph shows that very remote and remote providers hold the largest market share.&#10;&#10;From January to June 2022, the market share of non-remote providers was 9.2%, remote providers was 42%, and very remote providers was 43%.&#10;&#10;From July to December 2022, the market share of non-remote providers was 8.8%, remote providers was 38%, and very remote providers was 43%.&#10;&#10;From January to June 2023, the market share of non-remote providers was 8.0%, remote providers was 40%, and very remote providers was 44%.&#10;&#10;From July to December 2023, the market share of non-remote providers was 7.4%, remote providers was 39%, and very remote providers was 47%.&#10;&#10;From January to June 2024, the market share of non-remote providers was 7.4%, remote providers was 33%, and very remote providers was 47%.&#10;&#10;From July to December 2024, the market share of non-remote providers was 7.32%, remote providers was 37%, and very remote providers was 45%.&#10;&#10;Source: NDIS internal administrative dat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749448" name="Picture 6" descr="A line graph showing the top 10 providers' market share by remoteness for support coordination supports from January 2022 to December 2024. The graph shows that very remote and remote providers hold the largest market share.&#10;&#10;From January to June 2022, the market share of non-remote providers was 9.2%, remote providers was 42%, and very remote providers was 43%.&#10;&#10;From July to December 2022, the market share of non-remote providers was 8.8%, remote providers was 38%, and very remote providers was 43%.&#10;&#10;From January to June 2023, the market share of non-remote providers was 8.0%, remote providers was 40%, and very remote providers was 44%.&#10;&#10;From July to December 2023, the market share of non-remote providers was 7.4%, remote providers was 39%, and very remote providers was 47%.&#10;&#10;From January to June 2024, the market share of non-remote providers was 7.4%, remote providers was 33%, and very remote providers was 47%.&#10;&#10;From July to December 2024, the market share of non-remote providers was 7.32%, remote providers was 37%, and very remote providers was 45%.&#10;&#10;Source: NDIS internal administrative data.&#10;"/>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815506" cy="3369600"/>
                    </a:xfrm>
                    <a:prstGeom prst="rect">
                      <a:avLst/>
                    </a:prstGeom>
                  </pic:spPr>
                </pic:pic>
              </a:graphicData>
            </a:graphic>
          </wp:inline>
        </w:drawing>
      </w:r>
    </w:p>
    <w:p w14:paraId="4C3C4CAD" w14:textId="77777777" w:rsidR="009F65EE" w:rsidRPr="008034CE" w:rsidRDefault="009F65EE" w:rsidP="009F65EE">
      <w:pPr>
        <w:pStyle w:val="Heading5"/>
      </w:pPr>
      <w:bookmarkStart w:id="513" w:name="_Toc195099187"/>
      <w:bookmarkStart w:id="514" w:name="_Toc200103561"/>
      <w:bookmarkStart w:id="515" w:name="_Toc200271673"/>
      <w:r w:rsidRPr="008034CE">
        <w:lastRenderedPageBreak/>
        <w:t>Geographic Spread of Providers</w:t>
      </w:r>
      <w:bookmarkEnd w:id="513"/>
      <w:bookmarkEnd w:id="514"/>
      <w:bookmarkEnd w:id="515"/>
      <w:r w:rsidRPr="008034CE">
        <w:t xml:space="preserve"> </w:t>
      </w:r>
    </w:p>
    <w:p w14:paraId="40565653" w14:textId="7CFCA0E1" w:rsidR="009F65EE" w:rsidRPr="008034CE" w:rsidRDefault="009F65EE" w:rsidP="008B47AD">
      <w:pPr>
        <w:spacing w:after="160"/>
      </w:pPr>
      <w:r w:rsidRPr="008034CE">
        <w:t>Between January 2022 and December 2024, the number of registered and unregistered support coordination providers increased across all remoteness categories (</w:t>
      </w:r>
      <w:r w:rsidR="00825B4C">
        <w:fldChar w:fldCharType="begin"/>
      </w:r>
      <w:r w:rsidR="00825B4C">
        <w:instrText xml:space="preserve"> REF _Ref197342738 \h </w:instrText>
      </w:r>
      <w:r w:rsidR="00825B4C">
        <w:fldChar w:fldCharType="separate"/>
      </w:r>
      <w:r w:rsidR="005763F9" w:rsidRPr="008034CE">
        <w:t xml:space="preserve">Table </w:t>
      </w:r>
      <w:r w:rsidR="005763F9">
        <w:rPr>
          <w:noProof/>
        </w:rPr>
        <w:t>27</w:t>
      </w:r>
      <w:r w:rsidR="00825B4C">
        <w:fldChar w:fldCharType="end"/>
      </w:r>
      <w:r w:rsidRPr="008034CE">
        <w:t xml:space="preserve"> and </w:t>
      </w:r>
      <w:r w:rsidR="00825B4C">
        <w:fldChar w:fldCharType="begin"/>
      </w:r>
      <w:r w:rsidR="00825B4C">
        <w:instrText xml:space="preserve"> REF _Ref196411792 \h </w:instrText>
      </w:r>
      <w:r w:rsidR="00825B4C">
        <w:fldChar w:fldCharType="separate"/>
      </w:r>
      <w:r w:rsidR="005763F9" w:rsidRPr="008034CE">
        <w:t xml:space="preserve">Table </w:t>
      </w:r>
      <w:r w:rsidR="005763F9">
        <w:rPr>
          <w:noProof/>
        </w:rPr>
        <w:t>28</w:t>
      </w:r>
      <w:r w:rsidR="00825B4C">
        <w:fldChar w:fldCharType="end"/>
      </w:r>
      <w:r w:rsidRPr="008034CE">
        <w:t>). Growth was strongest among unregistered providers, particularly in non-remote areas, where their numbers more than doubled from 2,712 to 6,128 providers (</w:t>
      </w:r>
      <w:r w:rsidR="00825B4C">
        <w:fldChar w:fldCharType="begin"/>
      </w:r>
      <w:r w:rsidR="00825B4C">
        <w:instrText xml:space="preserve"> REF _Ref196411792 \h </w:instrText>
      </w:r>
      <w:r w:rsidR="00825B4C">
        <w:fldChar w:fldCharType="separate"/>
      </w:r>
      <w:r w:rsidR="005763F9" w:rsidRPr="008034CE">
        <w:t xml:space="preserve">Table </w:t>
      </w:r>
      <w:r w:rsidR="005763F9">
        <w:rPr>
          <w:noProof/>
        </w:rPr>
        <w:t>28</w:t>
      </w:r>
      <w:r w:rsidR="00825B4C">
        <w:fldChar w:fldCharType="end"/>
      </w:r>
      <w:r w:rsidRPr="008034CE">
        <w:t>). In very remote areas, unregistered provider numbers tripled from 47 to 143 providers (</w:t>
      </w:r>
      <w:r w:rsidR="00825B4C">
        <w:fldChar w:fldCharType="begin"/>
      </w:r>
      <w:r w:rsidR="00825B4C">
        <w:instrText xml:space="preserve"> REF _Ref196411792 \h </w:instrText>
      </w:r>
      <w:r w:rsidR="00825B4C">
        <w:fldChar w:fldCharType="separate"/>
      </w:r>
      <w:r w:rsidR="005763F9" w:rsidRPr="008034CE">
        <w:t xml:space="preserve">Table </w:t>
      </w:r>
      <w:r w:rsidR="005763F9">
        <w:rPr>
          <w:noProof/>
        </w:rPr>
        <w:t>28</w:t>
      </w:r>
      <w:r w:rsidR="00825B4C">
        <w:fldChar w:fldCharType="end"/>
      </w:r>
      <w:r w:rsidRPr="008034CE">
        <w:t>), while registered providers increased modestly from 175 to 227 providers (</w:t>
      </w:r>
      <w:r w:rsidR="00825B4C">
        <w:fldChar w:fldCharType="begin"/>
      </w:r>
      <w:r w:rsidR="00825B4C">
        <w:instrText xml:space="preserve"> REF _Ref197342738 \h </w:instrText>
      </w:r>
      <w:r w:rsidR="00825B4C">
        <w:fldChar w:fldCharType="separate"/>
      </w:r>
      <w:r w:rsidR="005763F9" w:rsidRPr="008034CE">
        <w:t xml:space="preserve">Table </w:t>
      </w:r>
      <w:r w:rsidR="005763F9">
        <w:rPr>
          <w:noProof/>
        </w:rPr>
        <w:t>27</w:t>
      </w:r>
      <w:r w:rsidR="00825B4C">
        <w:fldChar w:fldCharType="end"/>
      </w:r>
      <w:r w:rsidRPr="008034CE">
        <w:t>). Remote areas saw a similar trend, with unregistered providers growing from 85 to 329 providers (</w:t>
      </w:r>
      <w:r w:rsidR="00825B4C">
        <w:fldChar w:fldCharType="begin"/>
      </w:r>
      <w:r w:rsidR="00825B4C">
        <w:instrText xml:space="preserve"> REF _Ref196411792 \h </w:instrText>
      </w:r>
      <w:r w:rsidR="00825B4C">
        <w:fldChar w:fldCharType="separate"/>
      </w:r>
      <w:r w:rsidR="005763F9" w:rsidRPr="008034CE">
        <w:t xml:space="preserve">Table </w:t>
      </w:r>
      <w:r w:rsidR="005763F9">
        <w:rPr>
          <w:noProof/>
        </w:rPr>
        <w:t>28</w:t>
      </w:r>
      <w:r w:rsidR="00825B4C">
        <w:fldChar w:fldCharType="end"/>
      </w:r>
      <w:r w:rsidRPr="008034CE">
        <w:t>) and registered providers increasing from 299 to 427 providers (</w:t>
      </w:r>
      <w:r w:rsidR="00825B4C">
        <w:fldChar w:fldCharType="begin"/>
      </w:r>
      <w:r w:rsidR="00825B4C">
        <w:instrText xml:space="preserve"> REF _Ref197342738 \h </w:instrText>
      </w:r>
      <w:r w:rsidR="00825B4C">
        <w:fldChar w:fldCharType="separate"/>
      </w:r>
      <w:r w:rsidR="005763F9" w:rsidRPr="008034CE">
        <w:t xml:space="preserve">Table </w:t>
      </w:r>
      <w:r w:rsidR="005763F9">
        <w:rPr>
          <w:noProof/>
        </w:rPr>
        <w:t>27</w:t>
      </w:r>
      <w:r w:rsidR="00825B4C">
        <w:fldChar w:fldCharType="end"/>
      </w:r>
      <w:r w:rsidRPr="008034CE">
        <w:t xml:space="preserve">), respectively. </w:t>
      </w:r>
    </w:p>
    <w:p w14:paraId="4B3A80F3" w14:textId="77777777" w:rsidR="009F65EE" w:rsidRPr="008034CE" w:rsidRDefault="009F65EE" w:rsidP="009F65EE">
      <w:bookmarkStart w:id="516" w:name="_Ref195091262"/>
      <w:r w:rsidRPr="008034CE">
        <w:t xml:space="preserve">The results again highlight the changing dynamics in the sector, with greater growth amongst unregistered providers. </w:t>
      </w:r>
    </w:p>
    <w:p w14:paraId="1E71B91B" w14:textId="723FC77B" w:rsidR="009F65EE" w:rsidRPr="008034CE" w:rsidRDefault="009F65EE" w:rsidP="008B47AD">
      <w:pPr>
        <w:pStyle w:val="Caption"/>
        <w:spacing w:before="240"/>
      </w:pPr>
      <w:bookmarkStart w:id="517" w:name="_Ref197342738"/>
      <w:r w:rsidRPr="008034CE">
        <w:t xml:space="preserve">Table </w:t>
      </w:r>
      <w:r w:rsidR="005763F9">
        <w:fldChar w:fldCharType="begin"/>
      </w:r>
      <w:r w:rsidR="005763F9">
        <w:instrText xml:space="preserve"> SEQ Table \* ARABIC </w:instrText>
      </w:r>
      <w:r w:rsidR="005763F9">
        <w:fldChar w:fldCharType="separate"/>
      </w:r>
      <w:r w:rsidR="005763F9">
        <w:rPr>
          <w:noProof/>
        </w:rPr>
        <w:t>27</w:t>
      </w:r>
      <w:r w:rsidR="005763F9">
        <w:rPr>
          <w:noProof/>
        </w:rPr>
        <w:fldChar w:fldCharType="end"/>
      </w:r>
      <w:bookmarkEnd w:id="516"/>
      <w:bookmarkEnd w:id="517"/>
      <w:r w:rsidRPr="008034CE">
        <w:t>: Registered Providers by Remoteness for Support Coordination Supports, January 2022 to December 2024</w:t>
      </w:r>
    </w:p>
    <w:tbl>
      <w:tblPr>
        <w:tblStyle w:val="GridTable4-Accent12"/>
        <w:tblW w:w="0" w:type="auto"/>
        <w:tblInd w:w="-5" w:type="dxa"/>
        <w:tblLayout w:type="fixed"/>
        <w:tblLook w:val="0420" w:firstRow="1" w:lastRow="0" w:firstColumn="0" w:lastColumn="0" w:noHBand="0" w:noVBand="1"/>
      </w:tblPr>
      <w:tblGrid>
        <w:gridCol w:w="1758"/>
        <w:gridCol w:w="1196"/>
        <w:gridCol w:w="1196"/>
        <w:gridCol w:w="1196"/>
        <w:gridCol w:w="1196"/>
        <w:gridCol w:w="1196"/>
        <w:gridCol w:w="1196"/>
      </w:tblGrid>
      <w:tr w:rsidR="009F65EE" w:rsidRPr="007C1E37" w14:paraId="15B1B896" w14:textId="77777777" w:rsidTr="001E519A">
        <w:trPr>
          <w:cnfStyle w:val="100000000000" w:firstRow="1" w:lastRow="0" w:firstColumn="0" w:lastColumn="0" w:oddVBand="0" w:evenVBand="0" w:oddHBand="0" w:evenHBand="0" w:firstRowFirstColumn="0" w:firstRowLastColumn="0" w:lastRowFirstColumn="0" w:lastRowLastColumn="0"/>
          <w:trHeight w:val="567"/>
          <w:tblHeader/>
        </w:trPr>
        <w:tc>
          <w:tcPr>
            <w:tcW w:w="1758" w:type="dxa"/>
            <w:tcBorders>
              <w:top w:val="single" w:sz="4" w:space="0" w:color="501E58" w:themeColor="accent1" w:themeShade="BF"/>
              <w:left w:val="single" w:sz="4" w:space="0" w:color="501E58" w:themeColor="accent1" w:themeShade="BF"/>
              <w:bottom w:val="single" w:sz="4" w:space="0" w:color="501E58" w:themeColor="accent1" w:themeShade="BF"/>
              <w:right w:val="single" w:sz="6" w:space="0" w:color="501E58" w:themeColor="accent1" w:themeShade="BF"/>
            </w:tcBorders>
            <w:hideMark/>
          </w:tcPr>
          <w:p w14:paraId="1D94DF5B" w14:textId="77777777" w:rsidR="009F65EE" w:rsidRPr="007C1E37" w:rsidRDefault="009F65EE" w:rsidP="001E519A">
            <w:pPr>
              <w:spacing w:before="60" w:after="60"/>
              <w:rPr>
                <w:rFonts w:cs="Arial"/>
                <w:sz w:val="20"/>
                <w:szCs w:val="20"/>
                <w:lang w:eastAsia="en-AU"/>
              </w:rPr>
            </w:pPr>
            <w:r w:rsidRPr="007C1E37">
              <w:rPr>
                <w:rFonts w:cs="Arial"/>
                <w:sz w:val="20"/>
                <w:szCs w:val="20"/>
                <w:lang w:eastAsia="en-AU"/>
              </w:rPr>
              <w:t>Remoteness</w:t>
            </w:r>
          </w:p>
        </w:tc>
        <w:tc>
          <w:tcPr>
            <w:tcW w:w="1196"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vAlign w:val="center"/>
          </w:tcPr>
          <w:p w14:paraId="734958DB" w14:textId="77777777" w:rsidR="009F65EE" w:rsidRPr="007C1E37" w:rsidRDefault="009F65EE" w:rsidP="001E519A">
            <w:pPr>
              <w:spacing w:before="60" w:after="0"/>
              <w:jc w:val="right"/>
              <w:rPr>
                <w:rFonts w:cs="Arial"/>
                <w:sz w:val="20"/>
                <w:szCs w:val="20"/>
              </w:rPr>
            </w:pPr>
            <w:r w:rsidRPr="007C1E37">
              <w:rPr>
                <w:rFonts w:cs="Arial"/>
                <w:sz w:val="20"/>
                <w:szCs w:val="20"/>
              </w:rPr>
              <w:t>January – June</w:t>
            </w:r>
          </w:p>
          <w:p w14:paraId="5FE2CF9B" w14:textId="77777777" w:rsidR="009F65EE" w:rsidRPr="007C1E37" w:rsidRDefault="009F65EE" w:rsidP="001E519A">
            <w:pPr>
              <w:spacing w:after="60"/>
              <w:jc w:val="right"/>
              <w:rPr>
                <w:rFonts w:cs="Arial"/>
                <w:sz w:val="20"/>
                <w:szCs w:val="20"/>
                <w:lang w:eastAsia="en-AU"/>
              </w:rPr>
            </w:pPr>
            <w:r w:rsidRPr="007C1E37">
              <w:rPr>
                <w:rFonts w:cs="Arial"/>
                <w:sz w:val="20"/>
                <w:szCs w:val="20"/>
              </w:rPr>
              <w:t>2022</w:t>
            </w:r>
          </w:p>
        </w:tc>
        <w:tc>
          <w:tcPr>
            <w:tcW w:w="1196"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vAlign w:val="center"/>
          </w:tcPr>
          <w:p w14:paraId="1B434580" w14:textId="77777777" w:rsidR="009F65EE" w:rsidRPr="007C1E37" w:rsidRDefault="009F65EE" w:rsidP="001E519A">
            <w:pPr>
              <w:spacing w:before="60" w:after="60"/>
              <w:jc w:val="right"/>
              <w:rPr>
                <w:rFonts w:cs="Arial"/>
                <w:sz w:val="20"/>
                <w:szCs w:val="20"/>
                <w:lang w:eastAsia="en-AU"/>
              </w:rPr>
            </w:pPr>
            <w:r w:rsidRPr="007C1E37">
              <w:rPr>
                <w:rFonts w:cs="Arial"/>
                <w:sz w:val="20"/>
                <w:szCs w:val="20"/>
              </w:rPr>
              <w:t>July – December 2022</w:t>
            </w:r>
          </w:p>
        </w:tc>
        <w:tc>
          <w:tcPr>
            <w:tcW w:w="1196"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vAlign w:val="center"/>
          </w:tcPr>
          <w:p w14:paraId="7ECE1151" w14:textId="77777777" w:rsidR="009F65EE" w:rsidRPr="007C1E37" w:rsidRDefault="009F65EE" w:rsidP="001E519A">
            <w:pPr>
              <w:spacing w:before="60" w:after="0"/>
              <w:jc w:val="right"/>
              <w:rPr>
                <w:rFonts w:cs="Arial"/>
                <w:sz w:val="20"/>
                <w:szCs w:val="20"/>
              </w:rPr>
            </w:pPr>
            <w:r w:rsidRPr="007C1E37">
              <w:rPr>
                <w:rFonts w:cs="Arial"/>
                <w:sz w:val="20"/>
                <w:szCs w:val="20"/>
              </w:rPr>
              <w:t>January – June</w:t>
            </w:r>
          </w:p>
          <w:p w14:paraId="427B5E1E" w14:textId="77777777" w:rsidR="009F65EE" w:rsidRPr="007C1E37" w:rsidRDefault="009F65EE" w:rsidP="001E519A">
            <w:pPr>
              <w:spacing w:after="60"/>
              <w:jc w:val="right"/>
              <w:rPr>
                <w:rFonts w:cs="Arial"/>
                <w:sz w:val="20"/>
                <w:szCs w:val="20"/>
                <w:lang w:eastAsia="en-AU"/>
              </w:rPr>
            </w:pPr>
            <w:r w:rsidRPr="007C1E37">
              <w:rPr>
                <w:rFonts w:cs="Arial"/>
                <w:sz w:val="20"/>
                <w:szCs w:val="20"/>
              </w:rPr>
              <w:t>2023</w:t>
            </w:r>
          </w:p>
        </w:tc>
        <w:tc>
          <w:tcPr>
            <w:tcW w:w="1196"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vAlign w:val="center"/>
            <w:hideMark/>
          </w:tcPr>
          <w:p w14:paraId="11D66AF6" w14:textId="77777777" w:rsidR="009F65EE" w:rsidRPr="007C1E37" w:rsidRDefault="009F65EE" w:rsidP="001E519A">
            <w:pPr>
              <w:spacing w:before="60" w:after="60"/>
              <w:jc w:val="right"/>
              <w:rPr>
                <w:rFonts w:cs="Arial"/>
                <w:sz w:val="20"/>
                <w:szCs w:val="20"/>
                <w:lang w:eastAsia="en-AU"/>
              </w:rPr>
            </w:pPr>
            <w:r w:rsidRPr="007C1E37">
              <w:rPr>
                <w:rFonts w:cs="Arial"/>
                <w:sz w:val="20"/>
                <w:szCs w:val="20"/>
              </w:rPr>
              <w:t>July – December 2024</w:t>
            </w:r>
          </w:p>
        </w:tc>
        <w:tc>
          <w:tcPr>
            <w:tcW w:w="1196"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vAlign w:val="center"/>
            <w:hideMark/>
          </w:tcPr>
          <w:p w14:paraId="69D20C79" w14:textId="77777777" w:rsidR="009F65EE" w:rsidRPr="007C1E37" w:rsidRDefault="009F65EE" w:rsidP="001E519A">
            <w:pPr>
              <w:spacing w:before="60" w:after="0"/>
              <w:jc w:val="right"/>
              <w:rPr>
                <w:rFonts w:cs="Arial"/>
                <w:sz w:val="20"/>
                <w:szCs w:val="20"/>
              </w:rPr>
            </w:pPr>
            <w:r w:rsidRPr="007C1E37">
              <w:rPr>
                <w:rFonts w:cs="Arial"/>
                <w:sz w:val="20"/>
                <w:szCs w:val="20"/>
              </w:rPr>
              <w:t>January – June</w:t>
            </w:r>
          </w:p>
          <w:p w14:paraId="3A356522" w14:textId="77777777" w:rsidR="009F65EE" w:rsidRPr="007C1E37" w:rsidRDefault="009F65EE" w:rsidP="001E519A">
            <w:pPr>
              <w:spacing w:after="60"/>
              <w:jc w:val="right"/>
              <w:rPr>
                <w:rFonts w:cs="Arial"/>
                <w:sz w:val="20"/>
                <w:szCs w:val="20"/>
                <w:lang w:eastAsia="en-AU"/>
              </w:rPr>
            </w:pPr>
            <w:r w:rsidRPr="007C1E37">
              <w:rPr>
                <w:rFonts w:cs="Arial"/>
                <w:sz w:val="20"/>
                <w:szCs w:val="20"/>
              </w:rPr>
              <w:t>2024</w:t>
            </w:r>
          </w:p>
        </w:tc>
        <w:tc>
          <w:tcPr>
            <w:tcW w:w="1196" w:type="dxa"/>
            <w:tcBorders>
              <w:top w:val="single" w:sz="4" w:space="0" w:color="501E58" w:themeColor="accent1" w:themeShade="BF"/>
              <w:left w:val="single" w:sz="6" w:space="0" w:color="501E58" w:themeColor="accent1" w:themeShade="BF"/>
              <w:bottom w:val="single" w:sz="4" w:space="0" w:color="501E58" w:themeColor="accent1" w:themeShade="BF"/>
              <w:right w:val="single" w:sz="4" w:space="0" w:color="501E58" w:themeColor="accent1" w:themeShade="BF"/>
            </w:tcBorders>
            <w:vAlign w:val="center"/>
            <w:hideMark/>
          </w:tcPr>
          <w:p w14:paraId="2D75A7C3" w14:textId="77777777" w:rsidR="009F65EE" w:rsidRPr="007C1E37" w:rsidRDefault="009F65EE" w:rsidP="001E519A">
            <w:pPr>
              <w:spacing w:before="60" w:after="60"/>
              <w:jc w:val="right"/>
              <w:rPr>
                <w:rFonts w:cs="Arial"/>
                <w:sz w:val="20"/>
                <w:szCs w:val="20"/>
                <w:lang w:eastAsia="en-AU"/>
              </w:rPr>
            </w:pPr>
            <w:r w:rsidRPr="007C1E37">
              <w:rPr>
                <w:rFonts w:cs="Arial"/>
                <w:sz w:val="20"/>
                <w:szCs w:val="20"/>
              </w:rPr>
              <w:t>July – December 2024</w:t>
            </w:r>
          </w:p>
        </w:tc>
      </w:tr>
      <w:tr w:rsidR="009F65EE" w:rsidRPr="007C1E37" w14:paraId="723BA861" w14:textId="77777777" w:rsidTr="001E519A">
        <w:trPr>
          <w:cnfStyle w:val="000000100000" w:firstRow="0" w:lastRow="0" w:firstColumn="0" w:lastColumn="0" w:oddVBand="0" w:evenVBand="0" w:oddHBand="1" w:evenHBand="0" w:firstRowFirstColumn="0" w:firstRowLastColumn="0" w:lastRowFirstColumn="0" w:lastRowLastColumn="0"/>
          <w:trHeight w:val="397"/>
        </w:trPr>
        <w:tc>
          <w:tcPr>
            <w:tcW w:w="1758" w:type="dxa"/>
            <w:tcBorders>
              <w:top w:val="single" w:sz="4" w:space="0" w:color="501E58" w:themeColor="accent1" w:themeShade="BF"/>
              <w:left w:val="single" w:sz="4" w:space="0" w:color="BA61C9"/>
              <w:bottom w:val="single" w:sz="4" w:space="0" w:color="BA61C9"/>
              <w:right w:val="single" w:sz="4" w:space="0" w:color="BA61C9" w:themeColor="accent1" w:themeTint="99"/>
            </w:tcBorders>
            <w:vAlign w:val="center"/>
          </w:tcPr>
          <w:p w14:paraId="5E0316AD" w14:textId="77777777" w:rsidR="009F65EE" w:rsidRPr="007C1E37" w:rsidRDefault="009F65EE" w:rsidP="001E519A">
            <w:pPr>
              <w:spacing w:before="60" w:after="60"/>
              <w:ind w:left="37"/>
              <w:rPr>
                <w:rFonts w:cs="Arial"/>
                <w:sz w:val="20"/>
                <w:szCs w:val="20"/>
                <w:lang w:eastAsia="en-AU"/>
              </w:rPr>
            </w:pPr>
            <w:r w:rsidRPr="007C1E37">
              <w:rPr>
                <w:rFonts w:cs="Arial"/>
                <w:sz w:val="20"/>
                <w:szCs w:val="20"/>
                <w:lang w:eastAsia="en-AU"/>
              </w:rPr>
              <w:t>Non-remote</w:t>
            </w:r>
          </w:p>
        </w:tc>
        <w:tc>
          <w:tcPr>
            <w:tcW w:w="1196" w:type="dxa"/>
            <w:tcBorders>
              <w:top w:val="single" w:sz="4" w:space="0" w:color="501E58" w:themeColor="accent1" w:themeShade="BF"/>
              <w:left w:val="single" w:sz="4" w:space="0" w:color="BA61C9" w:themeColor="accent1" w:themeTint="99"/>
              <w:bottom w:val="single" w:sz="4" w:space="0" w:color="BA61C9"/>
              <w:right w:val="single" w:sz="4" w:space="0" w:color="BA61C9" w:themeColor="accent1" w:themeTint="99"/>
            </w:tcBorders>
            <w:vAlign w:val="center"/>
          </w:tcPr>
          <w:p w14:paraId="3789CFED" w14:textId="77777777" w:rsidR="009F65EE" w:rsidRPr="007C1E37" w:rsidRDefault="009F65EE" w:rsidP="001E519A">
            <w:pPr>
              <w:spacing w:before="60" w:after="60"/>
              <w:jc w:val="right"/>
              <w:rPr>
                <w:rFonts w:cs="Arial"/>
                <w:color w:val="000000"/>
                <w:sz w:val="20"/>
                <w:szCs w:val="20"/>
              </w:rPr>
            </w:pPr>
            <w:r w:rsidRPr="007C1E37">
              <w:rPr>
                <w:rFonts w:cs="Arial"/>
                <w:color w:val="000000"/>
                <w:sz w:val="20"/>
                <w:szCs w:val="20"/>
              </w:rPr>
              <w:t>3,026</w:t>
            </w:r>
          </w:p>
        </w:tc>
        <w:tc>
          <w:tcPr>
            <w:tcW w:w="1196" w:type="dxa"/>
            <w:tcBorders>
              <w:top w:val="single" w:sz="4" w:space="0" w:color="501E58" w:themeColor="accent1" w:themeShade="BF"/>
              <w:left w:val="single" w:sz="4" w:space="0" w:color="BA61C9" w:themeColor="accent1" w:themeTint="99"/>
              <w:bottom w:val="single" w:sz="4" w:space="0" w:color="BA61C9"/>
              <w:right w:val="single" w:sz="4" w:space="0" w:color="BA61C9" w:themeColor="accent1" w:themeTint="99"/>
            </w:tcBorders>
            <w:vAlign w:val="center"/>
          </w:tcPr>
          <w:p w14:paraId="3CFA9236" w14:textId="77777777" w:rsidR="009F65EE" w:rsidRPr="007C1E37" w:rsidRDefault="009F65EE" w:rsidP="001E519A">
            <w:pPr>
              <w:spacing w:before="60" w:after="60"/>
              <w:jc w:val="right"/>
              <w:rPr>
                <w:rFonts w:cs="Arial"/>
                <w:color w:val="000000"/>
                <w:sz w:val="20"/>
                <w:szCs w:val="20"/>
              </w:rPr>
            </w:pPr>
            <w:r w:rsidRPr="007C1E37">
              <w:rPr>
                <w:rFonts w:cs="Arial"/>
                <w:color w:val="000000"/>
                <w:sz w:val="20"/>
                <w:szCs w:val="20"/>
              </w:rPr>
              <w:t>3,294</w:t>
            </w:r>
          </w:p>
        </w:tc>
        <w:tc>
          <w:tcPr>
            <w:tcW w:w="1196" w:type="dxa"/>
            <w:tcBorders>
              <w:top w:val="single" w:sz="4" w:space="0" w:color="501E58" w:themeColor="accent1" w:themeShade="BF"/>
              <w:left w:val="single" w:sz="4" w:space="0" w:color="BA61C9" w:themeColor="accent1" w:themeTint="99"/>
              <w:bottom w:val="single" w:sz="4" w:space="0" w:color="BA61C9"/>
              <w:right w:val="single" w:sz="4" w:space="0" w:color="BA61C9" w:themeColor="accent1" w:themeTint="99"/>
            </w:tcBorders>
            <w:vAlign w:val="center"/>
          </w:tcPr>
          <w:p w14:paraId="73C7F6A8" w14:textId="77777777" w:rsidR="009F65EE" w:rsidRPr="007C1E37" w:rsidRDefault="009F65EE" w:rsidP="001E519A">
            <w:pPr>
              <w:spacing w:before="60" w:after="60"/>
              <w:jc w:val="right"/>
              <w:rPr>
                <w:rFonts w:cs="Arial"/>
                <w:color w:val="000000"/>
                <w:sz w:val="20"/>
                <w:szCs w:val="20"/>
              </w:rPr>
            </w:pPr>
            <w:r w:rsidRPr="007C1E37">
              <w:rPr>
                <w:rFonts w:cs="Arial"/>
                <w:color w:val="000000"/>
                <w:sz w:val="20"/>
                <w:szCs w:val="20"/>
              </w:rPr>
              <w:t>3,469</w:t>
            </w:r>
          </w:p>
        </w:tc>
        <w:tc>
          <w:tcPr>
            <w:tcW w:w="1196" w:type="dxa"/>
            <w:tcBorders>
              <w:top w:val="single" w:sz="4" w:space="0" w:color="501E58" w:themeColor="accent1" w:themeShade="BF"/>
              <w:left w:val="single" w:sz="4" w:space="0" w:color="BA61C9" w:themeColor="accent1" w:themeTint="99"/>
              <w:bottom w:val="single" w:sz="4" w:space="0" w:color="BA61C9"/>
              <w:right w:val="single" w:sz="4" w:space="0" w:color="BA61C9" w:themeColor="accent1" w:themeTint="99"/>
            </w:tcBorders>
            <w:vAlign w:val="center"/>
          </w:tcPr>
          <w:p w14:paraId="594E9174" w14:textId="77777777" w:rsidR="009F65EE" w:rsidRPr="007C1E37" w:rsidRDefault="009F65EE" w:rsidP="001E519A">
            <w:pPr>
              <w:spacing w:before="60" w:after="60"/>
              <w:jc w:val="right"/>
              <w:rPr>
                <w:rFonts w:cs="Arial"/>
                <w:color w:val="000000"/>
                <w:sz w:val="20"/>
                <w:szCs w:val="20"/>
              </w:rPr>
            </w:pPr>
            <w:r w:rsidRPr="007C1E37">
              <w:rPr>
                <w:rFonts w:cs="Arial"/>
                <w:color w:val="000000"/>
                <w:sz w:val="20"/>
                <w:szCs w:val="20"/>
              </w:rPr>
              <w:t>3,647</w:t>
            </w:r>
          </w:p>
        </w:tc>
        <w:tc>
          <w:tcPr>
            <w:tcW w:w="1196" w:type="dxa"/>
            <w:tcBorders>
              <w:top w:val="single" w:sz="4" w:space="0" w:color="501E58" w:themeColor="accent1" w:themeShade="BF"/>
              <w:left w:val="single" w:sz="4" w:space="0" w:color="BA61C9" w:themeColor="accent1" w:themeTint="99"/>
              <w:bottom w:val="single" w:sz="4" w:space="0" w:color="BA61C9"/>
              <w:right w:val="single" w:sz="4" w:space="0" w:color="BA61C9" w:themeColor="accent1" w:themeTint="99"/>
            </w:tcBorders>
            <w:vAlign w:val="center"/>
          </w:tcPr>
          <w:p w14:paraId="362EE3E3" w14:textId="77777777" w:rsidR="009F65EE" w:rsidRPr="007C1E37" w:rsidRDefault="009F65EE" w:rsidP="001E519A">
            <w:pPr>
              <w:spacing w:before="60" w:after="60"/>
              <w:jc w:val="right"/>
              <w:rPr>
                <w:rFonts w:cs="Arial"/>
                <w:color w:val="000000"/>
                <w:sz w:val="20"/>
                <w:szCs w:val="20"/>
              </w:rPr>
            </w:pPr>
            <w:r w:rsidRPr="007C1E37">
              <w:rPr>
                <w:rFonts w:cs="Arial"/>
                <w:color w:val="000000"/>
                <w:sz w:val="20"/>
                <w:szCs w:val="20"/>
              </w:rPr>
              <w:t>3,839</w:t>
            </w:r>
          </w:p>
        </w:tc>
        <w:tc>
          <w:tcPr>
            <w:tcW w:w="1196" w:type="dxa"/>
            <w:tcBorders>
              <w:top w:val="single" w:sz="4" w:space="0" w:color="501E58" w:themeColor="accent1" w:themeShade="BF"/>
              <w:left w:val="single" w:sz="4" w:space="0" w:color="BA61C9" w:themeColor="accent1" w:themeTint="99"/>
              <w:bottom w:val="single" w:sz="4" w:space="0" w:color="BA61C9"/>
              <w:right w:val="single" w:sz="4" w:space="0" w:color="BA61C9"/>
            </w:tcBorders>
            <w:vAlign w:val="center"/>
          </w:tcPr>
          <w:p w14:paraId="3FE93FA6" w14:textId="77777777" w:rsidR="009F65EE" w:rsidRPr="007C1E37" w:rsidRDefault="009F65EE" w:rsidP="001E519A">
            <w:pPr>
              <w:spacing w:before="60" w:after="60"/>
              <w:jc w:val="right"/>
              <w:rPr>
                <w:rFonts w:cs="Arial"/>
                <w:color w:val="000000"/>
                <w:sz w:val="20"/>
                <w:szCs w:val="20"/>
              </w:rPr>
            </w:pPr>
            <w:r w:rsidRPr="007C1E37">
              <w:rPr>
                <w:rFonts w:cs="Arial"/>
                <w:color w:val="000000"/>
                <w:sz w:val="20"/>
                <w:szCs w:val="20"/>
              </w:rPr>
              <w:t>4,112</w:t>
            </w:r>
          </w:p>
        </w:tc>
      </w:tr>
      <w:tr w:rsidR="009F65EE" w:rsidRPr="007C1E37" w14:paraId="2C1B030A" w14:textId="77777777" w:rsidTr="001E519A">
        <w:trPr>
          <w:trHeight w:val="397"/>
        </w:trPr>
        <w:tc>
          <w:tcPr>
            <w:tcW w:w="1758" w:type="dxa"/>
            <w:tcBorders>
              <w:top w:val="single" w:sz="4" w:space="0" w:color="BA61C9"/>
              <w:left w:val="single" w:sz="4" w:space="0" w:color="BA61C9"/>
              <w:bottom w:val="single" w:sz="4" w:space="0" w:color="BA61C9"/>
              <w:right w:val="single" w:sz="4" w:space="0" w:color="BA61C9" w:themeColor="accent1" w:themeTint="99"/>
            </w:tcBorders>
            <w:vAlign w:val="center"/>
          </w:tcPr>
          <w:p w14:paraId="75B792B6" w14:textId="77777777" w:rsidR="009F65EE" w:rsidRPr="007C1E37" w:rsidRDefault="009F65EE" w:rsidP="001E519A">
            <w:pPr>
              <w:spacing w:before="60" w:after="60"/>
              <w:ind w:left="37"/>
              <w:rPr>
                <w:rFonts w:cs="Arial"/>
                <w:sz w:val="20"/>
                <w:szCs w:val="20"/>
                <w:lang w:eastAsia="en-AU"/>
              </w:rPr>
            </w:pPr>
            <w:r w:rsidRPr="007C1E37">
              <w:rPr>
                <w:rFonts w:cs="Arial"/>
                <w:sz w:val="20"/>
                <w:szCs w:val="20"/>
                <w:lang w:eastAsia="en-AU"/>
              </w:rPr>
              <w:t>Remote</w:t>
            </w:r>
          </w:p>
        </w:tc>
        <w:tc>
          <w:tcPr>
            <w:tcW w:w="1196"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center"/>
          </w:tcPr>
          <w:p w14:paraId="1E844B87" w14:textId="77777777" w:rsidR="009F65EE" w:rsidRPr="007C1E37" w:rsidRDefault="009F65EE" w:rsidP="001E519A">
            <w:pPr>
              <w:spacing w:before="60" w:after="60"/>
              <w:jc w:val="right"/>
              <w:rPr>
                <w:rFonts w:cs="Arial"/>
                <w:color w:val="000000"/>
                <w:sz w:val="20"/>
                <w:szCs w:val="20"/>
              </w:rPr>
            </w:pPr>
            <w:r w:rsidRPr="007C1E37">
              <w:rPr>
                <w:rFonts w:cs="Arial"/>
                <w:color w:val="000000"/>
                <w:sz w:val="20"/>
                <w:szCs w:val="20"/>
              </w:rPr>
              <w:t>299</w:t>
            </w:r>
          </w:p>
        </w:tc>
        <w:tc>
          <w:tcPr>
            <w:tcW w:w="1196"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center"/>
          </w:tcPr>
          <w:p w14:paraId="545233D0" w14:textId="77777777" w:rsidR="009F65EE" w:rsidRPr="007C1E37" w:rsidRDefault="009F65EE" w:rsidP="001E519A">
            <w:pPr>
              <w:spacing w:before="60" w:after="60"/>
              <w:jc w:val="right"/>
              <w:rPr>
                <w:rFonts w:cs="Arial"/>
                <w:color w:val="000000"/>
                <w:sz w:val="20"/>
                <w:szCs w:val="20"/>
              </w:rPr>
            </w:pPr>
            <w:r w:rsidRPr="007C1E37">
              <w:rPr>
                <w:rFonts w:cs="Arial"/>
                <w:color w:val="000000"/>
                <w:sz w:val="20"/>
                <w:szCs w:val="20"/>
              </w:rPr>
              <w:t>308</w:t>
            </w:r>
          </w:p>
        </w:tc>
        <w:tc>
          <w:tcPr>
            <w:tcW w:w="1196"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center"/>
          </w:tcPr>
          <w:p w14:paraId="709A8E1F" w14:textId="77777777" w:rsidR="009F65EE" w:rsidRPr="007C1E37" w:rsidRDefault="009F65EE" w:rsidP="001E519A">
            <w:pPr>
              <w:spacing w:before="60" w:after="60"/>
              <w:jc w:val="right"/>
              <w:rPr>
                <w:rFonts w:cs="Arial"/>
                <w:color w:val="000000"/>
                <w:sz w:val="20"/>
                <w:szCs w:val="20"/>
              </w:rPr>
            </w:pPr>
            <w:r w:rsidRPr="007C1E37">
              <w:rPr>
                <w:rFonts w:cs="Arial"/>
                <w:color w:val="000000"/>
                <w:sz w:val="20"/>
                <w:szCs w:val="20"/>
              </w:rPr>
              <w:t>324</w:t>
            </w:r>
          </w:p>
        </w:tc>
        <w:tc>
          <w:tcPr>
            <w:tcW w:w="1196"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center"/>
          </w:tcPr>
          <w:p w14:paraId="744B3A1D" w14:textId="77777777" w:rsidR="009F65EE" w:rsidRPr="007C1E37" w:rsidRDefault="009F65EE" w:rsidP="001E519A">
            <w:pPr>
              <w:spacing w:before="60" w:after="60"/>
              <w:jc w:val="right"/>
              <w:rPr>
                <w:rFonts w:cs="Arial"/>
                <w:color w:val="000000"/>
                <w:sz w:val="20"/>
                <w:szCs w:val="20"/>
              </w:rPr>
            </w:pPr>
            <w:r w:rsidRPr="007C1E37">
              <w:rPr>
                <w:rFonts w:cs="Arial"/>
                <w:color w:val="000000"/>
                <w:sz w:val="20"/>
                <w:szCs w:val="20"/>
              </w:rPr>
              <w:t>362</w:t>
            </w:r>
          </w:p>
        </w:tc>
        <w:tc>
          <w:tcPr>
            <w:tcW w:w="1196"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center"/>
          </w:tcPr>
          <w:p w14:paraId="0501584F" w14:textId="77777777" w:rsidR="009F65EE" w:rsidRPr="007C1E37" w:rsidRDefault="009F65EE" w:rsidP="001E519A">
            <w:pPr>
              <w:spacing w:before="60" w:after="60"/>
              <w:jc w:val="right"/>
              <w:rPr>
                <w:rFonts w:cs="Arial"/>
                <w:color w:val="000000"/>
                <w:sz w:val="20"/>
                <w:szCs w:val="20"/>
              </w:rPr>
            </w:pPr>
            <w:r w:rsidRPr="007C1E37">
              <w:rPr>
                <w:rFonts w:cs="Arial"/>
                <w:color w:val="000000"/>
                <w:sz w:val="20"/>
                <w:szCs w:val="20"/>
              </w:rPr>
              <w:t>425</w:t>
            </w:r>
          </w:p>
        </w:tc>
        <w:tc>
          <w:tcPr>
            <w:tcW w:w="1196" w:type="dxa"/>
            <w:tcBorders>
              <w:top w:val="single" w:sz="4" w:space="0" w:color="BA61C9"/>
              <w:left w:val="single" w:sz="4" w:space="0" w:color="BA61C9" w:themeColor="accent1" w:themeTint="99"/>
              <w:bottom w:val="single" w:sz="4" w:space="0" w:color="BA61C9"/>
              <w:right w:val="single" w:sz="4" w:space="0" w:color="BA61C9"/>
            </w:tcBorders>
            <w:vAlign w:val="center"/>
          </w:tcPr>
          <w:p w14:paraId="1FA58639" w14:textId="77777777" w:rsidR="009F65EE" w:rsidRPr="007C1E37" w:rsidRDefault="009F65EE" w:rsidP="001E519A">
            <w:pPr>
              <w:spacing w:before="60" w:after="60"/>
              <w:jc w:val="right"/>
              <w:rPr>
                <w:rFonts w:cs="Arial"/>
                <w:color w:val="000000"/>
                <w:sz w:val="20"/>
                <w:szCs w:val="20"/>
              </w:rPr>
            </w:pPr>
            <w:r w:rsidRPr="007C1E37">
              <w:rPr>
                <w:rFonts w:cs="Arial"/>
                <w:color w:val="000000"/>
                <w:sz w:val="20"/>
                <w:szCs w:val="20"/>
              </w:rPr>
              <w:t>427</w:t>
            </w:r>
          </w:p>
        </w:tc>
      </w:tr>
      <w:tr w:rsidR="009F65EE" w:rsidRPr="007C1E37" w14:paraId="3645BE52" w14:textId="77777777" w:rsidTr="001E519A">
        <w:trPr>
          <w:cnfStyle w:val="000000100000" w:firstRow="0" w:lastRow="0" w:firstColumn="0" w:lastColumn="0" w:oddVBand="0" w:evenVBand="0" w:oddHBand="1" w:evenHBand="0" w:firstRowFirstColumn="0" w:firstRowLastColumn="0" w:lastRowFirstColumn="0" w:lastRowLastColumn="0"/>
          <w:trHeight w:val="397"/>
        </w:trPr>
        <w:tc>
          <w:tcPr>
            <w:tcW w:w="1758" w:type="dxa"/>
            <w:tcBorders>
              <w:top w:val="single" w:sz="4" w:space="0" w:color="BA61C9"/>
              <w:left w:val="single" w:sz="4" w:space="0" w:color="BA61C9"/>
              <w:bottom w:val="single" w:sz="4" w:space="0" w:color="BA61C9"/>
              <w:right w:val="single" w:sz="4" w:space="0" w:color="BA61C9" w:themeColor="accent1" w:themeTint="99"/>
            </w:tcBorders>
            <w:vAlign w:val="center"/>
          </w:tcPr>
          <w:p w14:paraId="2350514E" w14:textId="77777777" w:rsidR="009F65EE" w:rsidRPr="007C1E37" w:rsidRDefault="009F65EE" w:rsidP="001E519A">
            <w:pPr>
              <w:spacing w:before="60" w:after="60"/>
              <w:ind w:left="37"/>
              <w:rPr>
                <w:rFonts w:cs="Arial"/>
                <w:sz w:val="20"/>
                <w:szCs w:val="20"/>
                <w:lang w:eastAsia="en-AU"/>
              </w:rPr>
            </w:pPr>
            <w:r w:rsidRPr="007C1E37">
              <w:rPr>
                <w:rFonts w:cs="Arial"/>
                <w:sz w:val="20"/>
                <w:szCs w:val="20"/>
                <w:lang w:eastAsia="en-AU"/>
              </w:rPr>
              <w:t>Very remote</w:t>
            </w:r>
          </w:p>
        </w:tc>
        <w:tc>
          <w:tcPr>
            <w:tcW w:w="1196"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center"/>
          </w:tcPr>
          <w:p w14:paraId="5B4BD96D" w14:textId="77777777" w:rsidR="009F65EE" w:rsidRPr="007C1E37" w:rsidRDefault="009F65EE" w:rsidP="001E519A">
            <w:pPr>
              <w:spacing w:before="60" w:after="60"/>
              <w:jc w:val="right"/>
              <w:rPr>
                <w:rFonts w:cs="Arial"/>
                <w:color w:val="000000"/>
                <w:sz w:val="20"/>
                <w:szCs w:val="20"/>
              </w:rPr>
            </w:pPr>
            <w:r w:rsidRPr="007C1E37">
              <w:rPr>
                <w:rFonts w:cs="Arial"/>
                <w:color w:val="000000"/>
                <w:sz w:val="20"/>
                <w:szCs w:val="20"/>
              </w:rPr>
              <w:t>175</w:t>
            </w:r>
          </w:p>
        </w:tc>
        <w:tc>
          <w:tcPr>
            <w:tcW w:w="1196"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center"/>
          </w:tcPr>
          <w:p w14:paraId="07E11E5E" w14:textId="77777777" w:rsidR="009F65EE" w:rsidRPr="007C1E37" w:rsidRDefault="009F65EE" w:rsidP="001E519A">
            <w:pPr>
              <w:spacing w:before="60" w:after="60"/>
              <w:jc w:val="right"/>
              <w:rPr>
                <w:rFonts w:cs="Arial"/>
                <w:color w:val="000000"/>
                <w:sz w:val="20"/>
                <w:szCs w:val="20"/>
              </w:rPr>
            </w:pPr>
            <w:r w:rsidRPr="007C1E37">
              <w:rPr>
                <w:rFonts w:cs="Arial"/>
                <w:color w:val="000000"/>
                <w:sz w:val="20"/>
                <w:szCs w:val="20"/>
              </w:rPr>
              <w:t>187</w:t>
            </w:r>
          </w:p>
        </w:tc>
        <w:tc>
          <w:tcPr>
            <w:tcW w:w="1196"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center"/>
          </w:tcPr>
          <w:p w14:paraId="6256A19C" w14:textId="77777777" w:rsidR="009F65EE" w:rsidRPr="007C1E37" w:rsidRDefault="009F65EE" w:rsidP="001E519A">
            <w:pPr>
              <w:spacing w:before="60" w:after="60"/>
              <w:jc w:val="right"/>
              <w:rPr>
                <w:rFonts w:cs="Arial"/>
                <w:color w:val="000000"/>
                <w:sz w:val="20"/>
                <w:szCs w:val="20"/>
              </w:rPr>
            </w:pPr>
            <w:r w:rsidRPr="007C1E37">
              <w:rPr>
                <w:rFonts w:cs="Arial"/>
                <w:color w:val="000000"/>
                <w:sz w:val="20"/>
                <w:szCs w:val="20"/>
              </w:rPr>
              <w:t>199</w:t>
            </w:r>
          </w:p>
        </w:tc>
        <w:tc>
          <w:tcPr>
            <w:tcW w:w="1196"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center"/>
          </w:tcPr>
          <w:p w14:paraId="3082D6FB" w14:textId="77777777" w:rsidR="009F65EE" w:rsidRPr="007C1E37" w:rsidRDefault="009F65EE" w:rsidP="001E519A">
            <w:pPr>
              <w:spacing w:before="60" w:after="60"/>
              <w:jc w:val="right"/>
              <w:rPr>
                <w:rFonts w:cs="Arial"/>
                <w:color w:val="000000"/>
                <w:sz w:val="20"/>
                <w:szCs w:val="20"/>
              </w:rPr>
            </w:pPr>
            <w:r w:rsidRPr="007C1E37">
              <w:rPr>
                <w:rFonts w:cs="Arial"/>
                <w:color w:val="000000"/>
                <w:sz w:val="20"/>
                <w:szCs w:val="20"/>
              </w:rPr>
              <w:t>212</w:t>
            </w:r>
          </w:p>
        </w:tc>
        <w:tc>
          <w:tcPr>
            <w:tcW w:w="1196"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center"/>
          </w:tcPr>
          <w:p w14:paraId="267E37F2" w14:textId="77777777" w:rsidR="009F65EE" w:rsidRPr="007C1E37" w:rsidRDefault="009F65EE" w:rsidP="001E519A">
            <w:pPr>
              <w:spacing w:before="60" w:after="60"/>
              <w:jc w:val="right"/>
              <w:rPr>
                <w:rFonts w:cs="Arial"/>
                <w:color w:val="000000"/>
                <w:sz w:val="20"/>
                <w:szCs w:val="20"/>
              </w:rPr>
            </w:pPr>
            <w:r w:rsidRPr="007C1E37">
              <w:rPr>
                <w:rFonts w:cs="Arial"/>
                <w:color w:val="000000"/>
                <w:sz w:val="20"/>
                <w:szCs w:val="20"/>
              </w:rPr>
              <w:t>215</w:t>
            </w:r>
          </w:p>
        </w:tc>
        <w:tc>
          <w:tcPr>
            <w:tcW w:w="1196" w:type="dxa"/>
            <w:tcBorders>
              <w:top w:val="single" w:sz="4" w:space="0" w:color="BA61C9"/>
              <w:left w:val="single" w:sz="4" w:space="0" w:color="BA61C9" w:themeColor="accent1" w:themeTint="99"/>
              <w:bottom w:val="single" w:sz="4" w:space="0" w:color="BA61C9"/>
              <w:right w:val="single" w:sz="4" w:space="0" w:color="BA61C9"/>
            </w:tcBorders>
            <w:vAlign w:val="center"/>
          </w:tcPr>
          <w:p w14:paraId="533513CF" w14:textId="77777777" w:rsidR="009F65EE" w:rsidRPr="007C1E37" w:rsidRDefault="009F65EE" w:rsidP="001E519A">
            <w:pPr>
              <w:spacing w:before="60" w:after="60"/>
              <w:jc w:val="right"/>
              <w:rPr>
                <w:rFonts w:cs="Arial"/>
                <w:color w:val="000000"/>
                <w:sz w:val="20"/>
                <w:szCs w:val="20"/>
              </w:rPr>
            </w:pPr>
            <w:r w:rsidRPr="007C1E37">
              <w:rPr>
                <w:rFonts w:cs="Arial"/>
                <w:color w:val="000000"/>
                <w:sz w:val="20"/>
                <w:szCs w:val="20"/>
              </w:rPr>
              <w:t>227</w:t>
            </w:r>
          </w:p>
        </w:tc>
      </w:tr>
      <w:tr w:rsidR="009F65EE" w:rsidRPr="007C1E37" w14:paraId="311E4B9D" w14:textId="77777777" w:rsidTr="001E519A">
        <w:trPr>
          <w:trHeight w:val="397"/>
        </w:trPr>
        <w:tc>
          <w:tcPr>
            <w:tcW w:w="1758" w:type="dxa"/>
            <w:tcBorders>
              <w:top w:val="single" w:sz="4" w:space="0" w:color="BA61C9"/>
              <w:left w:val="single" w:sz="4" w:space="0" w:color="BA61C9"/>
              <w:bottom w:val="single" w:sz="4" w:space="0" w:color="BA61C9"/>
              <w:right w:val="single" w:sz="4" w:space="0" w:color="BA61C9" w:themeColor="accent1" w:themeTint="99"/>
            </w:tcBorders>
            <w:vAlign w:val="center"/>
          </w:tcPr>
          <w:p w14:paraId="2CA32CA0" w14:textId="77777777" w:rsidR="009F65EE" w:rsidRPr="007C1E37" w:rsidRDefault="009F65EE" w:rsidP="001E519A">
            <w:pPr>
              <w:spacing w:before="60" w:after="60"/>
              <w:ind w:left="37"/>
              <w:rPr>
                <w:rFonts w:cs="Arial"/>
                <w:b/>
                <w:bCs/>
                <w:sz w:val="20"/>
                <w:szCs w:val="20"/>
                <w:lang w:eastAsia="en-AU"/>
              </w:rPr>
            </w:pPr>
            <w:r w:rsidRPr="007C1E37">
              <w:rPr>
                <w:rFonts w:cs="Arial"/>
                <w:b/>
                <w:bCs/>
                <w:sz w:val="20"/>
                <w:szCs w:val="20"/>
                <w:lang w:eastAsia="en-AU"/>
              </w:rPr>
              <w:t xml:space="preserve">Total for </w:t>
            </w:r>
            <w:r>
              <w:rPr>
                <w:rFonts w:cs="Arial"/>
                <w:b/>
                <w:bCs/>
                <w:sz w:val="20"/>
                <w:szCs w:val="20"/>
                <w:lang w:eastAsia="en-AU"/>
              </w:rPr>
              <w:t>R</w:t>
            </w:r>
            <w:r w:rsidRPr="007C1E37">
              <w:rPr>
                <w:rFonts w:cs="Arial"/>
                <w:b/>
                <w:bCs/>
                <w:sz w:val="20"/>
                <w:szCs w:val="20"/>
                <w:lang w:eastAsia="en-AU"/>
              </w:rPr>
              <w:t>egistered</w:t>
            </w:r>
          </w:p>
        </w:tc>
        <w:tc>
          <w:tcPr>
            <w:tcW w:w="1196"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center"/>
          </w:tcPr>
          <w:p w14:paraId="0AF3D1FE" w14:textId="77777777" w:rsidR="009F65EE" w:rsidRPr="007C1E37" w:rsidRDefault="009F65EE" w:rsidP="001E519A">
            <w:pPr>
              <w:spacing w:before="60" w:after="60"/>
              <w:jc w:val="right"/>
              <w:rPr>
                <w:rFonts w:cs="Arial"/>
                <w:b/>
                <w:bCs/>
                <w:color w:val="000000"/>
                <w:sz w:val="20"/>
                <w:szCs w:val="20"/>
              </w:rPr>
            </w:pPr>
            <w:r w:rsidRPr="007C1E37">
              <w:rPr>
                <w:rFonts w:cs="Arial"/>
                <w:b/>
                <w:bCs/>
                <w:color w:val="000000"/>
                <w:sz w:val="20"/>
                <w:szCs w:val="20"/>
              </w:rPr>
              <w:t>3,044</w:t>
            </w:r>
          </w:p>
        </w:tc>
        <w:tc>
          <w:tcPr>
            <w:tcW w:w="1196"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center"/>
          </w:tcPr>
          <w:p w14:paraId="46CBA4E9" w14:textId="77777777" w:rsidR="009F65EE" w:rsidRPr="007C1E37" w:rsidRDefault="009F65EE" w:rsidP="001E519A">
            <w:pPr>
              <w:spacing w:before="60" w:after="60"/>
              <w:jc w:val="right"/>
              <w:rPr>
                <w:rFonts w:cs="Arial"/>
                <w:b/>
                <w:bCs/>
                <w:color w:val="000000"/>
                <w:sz w:val="20"/>
                <w:szCs w:val="20"/>
              </w:rPr>
            </w:pPr>
            <w:r w:rsidRPr="007C1E37">
              <w:rPr>
                <w:rFonts w:cs="Arial"/>
                <w:b/>
                <w:bCs/>
                <w:color w:val="000000"/>
                <w:sz w:val="20"/>
                <w:szCs w:val="20"/>
              </w:rPr>
              <w:t>3,332</w:t>
            </w:r>
          </w:p>
        </w:tc>
        <w:tc>
          <w:tcPr>
            <w:tcW w:w="1196"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center"/>
          </w:tcPr>
          <w:p w14:paraId="0D825BDC" w14:textId="77777777" w:rsidR="009F65EE" w:rsidRPr="007C1E37" w:rsidRDefault="009F65EE" w:rsidP="001E519A">
            <w:pPr>
              <w:spacing w:before="60" w:after="60"/>
              <w:jc w:val="right"/>
              <w:rPr>
                <w:rFonts w:cs="Arial"/>
                <w:b/>
                <w:bCs/>
                <w:color w:val="000000"/>
                <w:sz w:val="20"/>
                <w:szCs w:val="20"/>
              </w:rPr>
            </w:pPr>
            <w:r w:rsidRPr="007C1E37">
              <w:rPr>
                <w:rFonts w:cs="Arial"/>
                <w:b/>
                <w:bCs/>
                <w:color w:val="000000"/>
                <w:sz w:val="20"/>
                <w:szCs w:val="20"/>
              </w:rPr>
              <w:t>3,503</w:t>
            </w:r>
          </w:p>
        </w:tc>
        <w:tc>
          <w:tcPr>
            <w:tcW w:w="1196"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center"/>
          </w:tcPr>
          <w:p w14:paraId="5D0AB8E6" w14:textId="77777777" w:rsidR="009F65EE" w:rsidRPr="007C1E37" w:rsidRDefault="009F65EE" w:rsidP="001E519A">
            <w:pPr>
              <w:spacing w:before="60" w:after="60"/>
              <w:jc w:val="right"/>
              <w:rPr>
                <w:rFonts w:cs="Arial"/>
                <w:b/>
                <w:bCs/>
                <w:color w:val="000000"/>
                <w:sz w:val="20"/>
                <w:szCs w:val="20"/>
              </w:rPr>
            </w:pPr>
            <w:r w:rsidRPr="007C1E37">
              <w:rPr>
                <w:rFonts w:cs="Arial"/>
                <w:b/>
                <w:bCs/>
                <w:color w:val="000000"/>
                <w:sz w:val="20"/>
                <w:szCs w:val="20"/>
              </w:rPr>
              <w:t>3,686</w:t>
            </w:r>
          </w:p>
        </w:tc>
        <w:tc>
          <w:tcPr>
            <w:tcW w:w="1196"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center"/>
          </w:tcPr>
          <w:p w14:paraId="7F642F4F" w14:textId="77777777" w:rsidR="009F65EE" w:rsidRPr="007C1E37" w:rsidRDefault="009F65EE" w:rsidP="001E519A">
            <w:pPr>
              <w:spacing w:before="60" w:after="60"/>
              <w:jc w:val="right"/>
              <w:rPr>
                <w:rFonts w:cs="Arial"/>
                <w:b/>
                <w:bCs/>
                <w:color w:val="000000"/>
                <w:sz w:val="20"/>
                <w:szCs w:val="20"/>
              </w:rPr>
            </w:pPr>
            <w:r w:rsidRPr="007C1E37">
              <w:rPr>
                <w:rFonts w:cs="Arial"/>
                <w:b/>
                <w:bCs/>
                <w:color w:val="000000"/>
                <w:sz w:val="20"/>
                <w:szCs w:val="20"/>
              </w:rPr>
              <w:t>3,877</w:t>
            </w:r>
          </w:p>
        </w:tc>
        <w:tc>
          <w:tcPr>
            <w:tcW w:w="1196" w:type="dxa"/>
            <w:tcBorders>
              <w:top w:val="single" w:sz="4" w:space="0" w:color="BA61C9"/>
              <w:left w:val="single" w:sz="4" w:space="0" w:color="BA61C9" w:themeColor="accent1" w:themeTint="99"/>
              <w:bottom w:val="single" w:sz="4" w:space="0" w:color="BA61C9"/>
              <w:right w:val="single" w:sz="4" w:space="0" w:color="BA61C9"/>
            </w:tcBorders>
            <w:vAlign w:val="center"/>
          </w:tcPr>
          <w:p w14:paraId="4177EF26" w14:textId="77777777" w:rsidR="009F65EE" w:rsidRPr="007C1E37" w:rsidRDefault="009F65EE" w:rsidP="001E519A">
            <w:pPr>
              <w:spacing w:before="60" w:after="60"/>
              <w:jc w:val="right"/>
              <w:rPr>
                <w:rFonts w:cs="Arial"/>
                <w:b/>
                <w:bCs/>
                <w:color w:val="000000"/>
                <w:sz w:val="20"/>
                <w:szCs w:val="20"/>
              </w:rPr>
            </w:pPr>
            <w:r w:rsidRPr="007C1E37">
              <w:rPr>
                <w:rFonts w:cs="Arial"/>
                <w:b/>
                <w:bCs/>
                <w:color w:val="000000"/>
                <w:sz w:val="20"/>
                <w:szCs w:val="20"/>
              </w:rPr>
              <w:t>4,153</w:t>
            </w:r>
          </w:p>
        </w:tc>
      </w:tr>
    </w:tbl>
    <w:p w14:paraId="50E4E080" w14:textId="77777777" w:rsidR="009F65EE" w:rsidRPr="008034CE" w:rsidRDefault="009F65EE" w:rsidP="008B47AD">
      <w:pPr>
        <w:pStyle w:val="Sourcefortableorfigure"/>
      </w:pPr>
      <w:bookmarkStart w:id="518" w:name="_Ref195091273"/>
      <w:r w:rsidRPr="008034CE">
        <w:t>Source: NDIS internal administrative data</w:t>
      </w:r>
    </w:p>
    <w:p w14:paraId="77857260" w14:textId="3A40371A" w:rsidR="009F65EE" w:rsidRPr="008034CE" w:rsidRDefault="009F65EE" w:rsidP="008B47AD">
      <w:pPr>
        <w:pStyle w:val="Caption"/>
        <w:spacing w:before="320"/>
      </w:pPr>
      <w:bookmarkStart w:id="519" w:name="_Ref196411792"/>
      <w:r w:rsidRPr="008034CE">
        <w:t xml:space="preserve">Table </w:t>
      </w:r>
      <w:r w:rsidR="005763F9">
        <w:fldChar w:fldCharType="begin"/>
      </w:r>
      <w:r w:rsidR="005763F9">
        <w:instrText xml:space="preserve"> SEQ Table \* ARABIC </w:instrText>
      </w:r>
      <w:r w:rsidR="005763F9">
        <w:fldChar w:fldCharType="separate"/>
      </w:r>
      <w:r w:rsidR="005763F9">
        <w:rPr>
          <w:noProof/>
        </w:rPr>
        <w:t>28</w:t>
      </w:r>
      <w:r w:rsidR="005763F9">
        <w:rPr>
          <w:noProof/>
        </w:rPr>
        <w:fldChar w:fldCharType="end"/>
      </w:r>
      <w:bookmarkEnd w:id="518"/>
      <w:bookmarkEnd w:id="519"/>
      <w:r w:rsidRPr="008034CE">
        <w:t>: Unregistered Providers by Remoteness for Support Coordination Supports, January 2022 to December 2024</w:t>
      </w:r>
    </w:p>
    <w:tbl>
      <w:tblPr>
        <w:tblStyle w:val="GridTable4-Accent12"/>
        <w:tblW w:w="0" w:type="auto"/>
        <w:tblInd w:w="-5" w:type="dxa"/>
        <w:tblLayout w:type="fixed"/>
        <w:tblLook w:val="0420" w:firstRow="1" w:lastRow="0" w:firstColumn="0" w:lastColumn="0" w:noHBand="0" w:noVBand="1"/>
      </w:tblPr>
      <w:tblGrid>
        <w:gridCol w:w="1758"/>
        <w:gridCol w:w="1196"/>
        <w:gridCol w:w="1196"/>
        <w:gridCol w:w="1196"/>
        <w:gridCol w:w="1196"/>
        <w:gridCol w:w="1196"/>
        <w:gridCol w:w="1196"/>
      </w:tblGrid>
      <w:tr w:rsidR="009F65EE" w:rsidRPr="007C1E37" w14:paraId="149C07C7" w14:textId="77777777" w:rsidTr="001E519A">
        <w:trPr>
          <w:cnfStyle w:val="100000000000" w:firstRow="1" w:lastRow="0" w:firstColumn="0" w:lastColumn="0" w:oddVBand="0" w:evenVBand="0" w:oddHBand="0" w:evenHBand="0" w:firstRowFirstColumn="0" w:firstRowLastColumn="0" w:lastRowFirstColumn="0" w:lastRowLastColumn="0"/>
          <w:trHeight w:val="567"/>
          <w:tblHeader/>
        </w:trPr>
        <w:tc>
          <w:tcPr>
            <w:tcW w:w="1758" w:type="dxa"/>
            <w:tcBorders>
              <w:top w:val="single" w:sz="4" w:space="0" w:color="501E58" w:themeColor="accent5" w:themeShade="BF"/>
              <w:left w:val="single" w:sz="4" w:space="0" w:color="501E58" w:themeColor="accent5" w:themeShade="BF"/>
              <w:bottom w:val="single" w:sz="4" w:space="0" w:color="501E58" w:themeColor="accent5" w:themeShade="BF"/>
              <w:right w:val="single" w:sz="6" w:space="0" w:color="501E58" w:themeColor="accent5" w:themeShade="BF"/>
            </w:tcBorders>
            <w:hideMark/>
          </w:tcPr>
          <w:p w14:paraId="0B131787" w14:textId="77777777" w:rsidR="009F65EE" w:rsidRPr="007C1E37" w:rsidRDefault="009F65EE" w:rsidP="001E519A">
            <w:pPr>
              <w:spacing w:before="60" w:after="60"/>
              <w:rPr>
                <w:rFonts w:cs="Arial"/>
                <w:sz w:val="20"/>
                <w:szCs w:val="20"/>
                <w:lang w:eastAsia="en-AU"/>
              </w:rPr>
            </w:pPr>
            <w:r w:rsidRPr="007C1E37">
              <w:rPr>
                <w:rFonts w:cs="Arial"/>
                <w:sz w:val="20"/>
                <w:szCs w:val="20"/>
                <w:lang w:eastAsia="en-AU"/>
              </w:rPr>
              <w:t>Remoteness</w:t>
            </w:r>
          </w:p>
        </w:tc>
        <w:tc>
          <w:tcPr>
            <w:tcW w:w="1196"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tcPr>
          <w:p w14:paraId="767A5AF9" w14:textId="77777777" w:rsidR="009F65EE" w:rsidRPr="007C1E37" w:rsidRDefault="009F65EE" w:rsidP="001E519A">
            <w:pPr>
              <w:spacing w:before="60" w:after="0"/>
              <w:jc w:val="right"/>
              <w:rPr>
                <w:rFonts w:cs="Arial"/>
                <w:sz w:val="20"/>
                <w:szCs w:val="20"/>
              </w:rPr>
            </w:pPr>
            <w:r w:rsidRPr="007C1E37">
              <w:rPr>
                <w:rFonts w:cs="Arial"/>
                <w:sz w:val="20"/>
                <w:szCs w:val="20"/>
              </w:rPr>
              <w:t>January – June</w:t>
            </w:r>
          </w:p>
          <w:p w14:paraId="4F0106DB" w14:textId="77777777" w:rsidR="009F65EE" w:rsidRPr="007C1E37" w:rsidRDefault="009F65EE" w:rsidP="001E519A">
            <w:pPr>
              <w:spacing w:after="60"/>
              <w:jc w:val="right"/>
              <w:rPr>
                <w:rFonts w:cs="Arial"/>
                <w:sz w:val="20"/>
                <w:szCs w:val="20"/>
                <w:lang w:eastAsia="en-AU"/>
              </w:rPr>
            </w:pPr>
            <w:r w:rsidRPr="007C1E37">
              <w:rPr>
                <w:rFonts w:cs="Arial"/>
                <w:sz w:val="20"/>
                <w:szCs w:val="20"/>
              </w:rPr>
              <w:t>2022</w:t>
            </w:r>
          </w:p>
        </w:tc>
        <w:tc>
          <w:tcPr>
            <w:tcW w:w="1196"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tcPr>
          <w:p w14:paraId="7570D7E5" w14:textId="77777777" w:rsidR="009F65EE" w:rsidRPr="007C1E37" w:rsidRDefault="009F65EE" w:rsidP="001E519A">
            <w:pPr>
              <w:spacing w:before="60" w:after="60"/>
              <w:jc w:val="right"/>
              <w:rPr>
                <w:rFonts w:cs="Arial"/>
                <w:sz w:val="20"/>
                <w:szCs w:val="20"/>
                <w:lang w:eastAsia="en-AU"/>
              </w:rPr>
            </w:pPr>
            <w:r w:rsidRPr="007C1E37">
              <w:rPr>
                <w:rFonts w:cs="Arial"/>
                <w:sz w:val="20"/>
                <w:szCs w:val="20"/>
              </w:rPr>
              <w:t>July – December 2022</w:t>
            </w:r>
          </w:p>
        </w:tc>
        <w:tc>
          <w:tcPr>
            <w:tcW w:w="1196"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tcPr>
          <w:p w14:paraId="05177251" w14:textId="77777777" w:rsidR="009F65EE" w:rsidRPr="007C1E37" w:rsidRDefault="009F65EE" w:rsidP="001E519A">
            <w:pPr>
              <w:spacing w:before="60" w:after="0"/>
              <w:jc w:val="right"/>
              <w:rPr>
                <w:rFonts w:cs="Arial"/>
                <w:sz w:val="20"/>
                <w:szCs w:val="20"/>
              </w:rPr>
            </w:pPr>
            <w:r w:rsidRPr="007C1E37">
              <w:rPr>
                <w:rFonts w:cs="Arial"/>
                <w:sz w:val="20"/>
                <w:szCs w:val="20"/>
              </w:rPr>
              <w:t>January – June</w:t>
            </w:r>
          </w:p>
          <w:p w14:paraId="6F89464B" w14:textId="77777777" w:rsidR="009F65EE" w:rsidRPr="007C1E37" w:rsidRDefault="009F65EE" w:rsidP="001E519A">
            <w:pPr>
              <w:spacing w:after="60"/>
              <w:jc w:val="right"/>
              <w:rPr>
                <w:rFonts w:cs="Arial"/>
                <w:sz w:val="20"/>
                <w:szCs w:val="20"/>
                <w:lang w:eastAsia="en-AU"/>
              </w:rPr>
            </w:pPr>
            <w:r w:rsidRPr="007C1E37">
              <w:rPr>
                <w:rFonts w:cs="Arial"/>
                <w:sz w:val="20"/>
                <w:szCs w:val="20"/>
              </w:rPr>
              <w:t>2023</w:t>
            </w:r>
          </w:p>
        </w:tc>
        <w:tc>
          <w:tcPr>
            <w:tcW w:w="1196"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hideMark/>
          </w:tcPr>
          <w:p w14:paraId="005AA648" w14:textId="77777777" w:rsidR="009F65EE" w:rsidRPr="007C1E37" w:rsidRDefault="009F65EE" w:rsidP="001E519A">
            <w:pPr>
              <w:spacing w:before="60" w:after="60"/>
              <w:jc w:val="right"/>
              <w:rPr>
                <w:rFonts w:cs="Arial"/>
                <w:sz w:val="20"/>
                <w:szCs w:val="20"/>
                <w:lang w:eastAsia="en-AU"/>
              </w:rPr>
            </w:pPr>
            <w:r w:rsidRPr="007C1E37">
              <w:rPr>
                <w:rFonts w:cs="Arial"/>
                <w:sz w:val="20"/>
                <w:szCs w:val="20"/>
              </w:rPr>
              <w:t>July – December 2023</w:t>
            </w:r>
          </w:p>
        </w:tc>
        <w:tc>
          <w:tcPr>
            <w:tcW w:w="1196"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hideMark/>
          </w:tcPr>
          <w:p w14:paraId="30A9D586" w14:textId="77777777" w:rsidR="009F65EE" w:rsidRPr="007C1E37" w:rsidRDefault="009F65EE" w:rsidP="001E519A">
            <w:pPr>
              <w:spacing w:before="60" w:after="0"/>
              <w:jc w:val="right"/>
              <w:rPr>
                <w:rFonts w:cs="Arial"/>
                <w:sz w:val="20"/>
                <w:szCs w:val="20"/>
              </w:rPr>
            </w:pPr>
            <w:r w:rsidRPr="007C1E37">
              <w:rPr>
                <w:rFonts w:cs="Arial"/>
                <w:sz w:val="20"/>
                <w:szCs w:val="20"/>
              </w:rPr>
              <w:t>January – June</w:t>
            </w:r>
          </w:p>
          <w:p w14:paraId="7E714673" w14:textId="77777777" w:rsidR="009F65EE" w:rsidRPr="007C1E37" w:rsidRDefault="009F65EE" w:rsidP="001E519A">
            <w:pPr>
              <w:spacing w:after="60"/>
              <w:jc w:val="right"/>
              <w:rPr>
                <w:rFonts w:cs="Arial"/>
                <w:sz w:val="20"/>
                <w:szCs w:val="20"/>
                <w:lang w:eastAsia="en-AU"/>
              </w:rPr>
            </w:pPr>
            <w:r w:rsidRPr="007C1E37">
              <w:rPr>
                <w:rFonts w:cs="Arial"/>
                <w:sz w:val="20"/>
                <w:szCs w:val="20"/>
              </w:rPr>
              <w:t>2024</w:t>
            </w:r>
          </w:p>
        </w:tc>
        <w:tc>
          <w:tcPr>
            <w:tcW w:w="1196" w:type="dxa"/>
            <w:tcBorders>
              <w:top w:val="single" w:sz="4" w:space="0" w:color="501E58" w:themeColor="accent5" w:themeShade="BF"/>
              <w:left w:val="single" w:sz="6" w:space="0" w:color="501E58" w:themeColor="accent5" w:themeShade="BF"/>
              <w:bottom w:val="single" w:sz="4" w:space="0" w:color="501E58" w:themeColor="accent5" w:themeShade="BF"/>
              <w:right w:val="single" w:sz="4" w:space="0" w:color="501E58" w:themeColor="accent5" w:themeShade="BF"/>
            </w:tcBorders>
            <w:hideMark/>
          </w:tcPr>
          <w:p w14:paraId="5AA8B106" w14:textId="77777777" w:rsidR="009F65EE" w:rsidRPr="007C1E37" w:rsidRDefault="009F65EE" w:rsidP="001E519A">
            <w:pPr>
              <w:spacing w:before="60" w:after="60"/>
              <w:jc w:val="right"/>
              <w:rPr>
                <w:rFonts w:cs="Arial"/>
                <w:sz w:val="20"/>
                <w:szCs w:val="20"/>
                <w:lang w:eastAsia="en-AU"/>
              </w:rPr>
            </w:pPr>
            <w:r w:rsidRPr="007C1E37">
              <w:rPr>
                <w:rFonts w:cs="Arial"/>
                <w:sz w:val="20"/>
                <w:szCs w:val="20"/>
              </w:rPr>
              <w:t>July – December 2024</w:t>
            </w:r>
          </w:p>
        </w:tc>
      </w:tr>
      <w:tr w:rsidR="009F65EE" w:rsidRPr="007C1E37" w14:paraId="078156B9" w14:textId="77777777" w:rsidTr="001E519A">
        <w:trPr>
          <w:cnfStyle w:val="000000100000" w:firstRow="0" w:lastRow="0" w:firstColumn="0" w:lastColumn="0" w:oddVBand="0" w:evenVBand="0" w:oddHBand="1" w:evenHBand="0" w:firstRowFirstColumn="0" w:firstRowLastColumn="0" w:lastRowFirstColumn="0" w:lastRowLastColumn="0"/>
          <w:trHeight w:val="397"/>
        </w:trPr>
        <w:tc>
          <w:tcPr>
            <w:tcW w:w="1758"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40E3138B" w14:textId="77777777" w:rsidR="009F65EE" w:rsidRPr="007C1E37" w:rsidRDefault="009F65EE" w:rsidP="001E519A">
            <w:pPr>
              <w:spacing w:before="60" w:after="60"/>
              <w:ind w:left="37"/>
              <w:rPr>
                <w:rFonts w:cs="Arial"/>
                <w:sz w:val="20"/>
                <w:szCs w:val="20"/>
                <w:lang w:eastAsia="en-AU"/>
              </w:rPr>
            </w:pPr>
            <w:r w:rsidRPr="007C1E37">
              <w:rPr>
                <w:rFonts w:cs="Arial"/>
                <w:sz w:val="20"/>
                <w:szCs w:val="20"/>
                <w:lang w:eastAsia="en-AU"/>
              </w:rPr>
              <w:t>Non-remote</w:t>
            </w:r>
          </w:p>
        </w:tc>
        <w:tc>
          <w:tcPr>
            <w:tcW w:w="1196"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62718274" w14:textId="77777777" w:rsidR="009F65EE" w:rsidRPr="007C1E37" w:rsidRDefault="009F65EE" w:rsidP="001E519A">
            <w:pPr>
              <w:spacing w:before="60" w:after="60"/>
              <w:jc w:val="right"/>
              <w:rPr>
                <w:rFonts w:cs="Arial"/>
                <w:color w:val="000000"/>
                <w:sz w:val="20"/>
                <w:szCs w:val="20"/>
              </w:rPr>
            </w:pPr>
            <w:r w:rsidRPr="007C1E37">
              <w:rPr>
                <w:rFonts w:cs="Arial"/>
                <w:color w:val="000000"/>
                <w:sz w:val="20"/>
                <w:szCs w:val="20"/>
              </w:rPr>
              <w:t>2,712</w:t>
            </w:r>
          </w:p>
        </w:tc>
        <w:tc>
          <w:tcPr>
            <w:tcW w:w="1196"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37A67681" w14:textId="77777777" w:rsidR="009F65EE" w:rsidRPr="007C1E37" w:rsidRDefault="009F65EE" w:rsidP="001E519A">
            <w:pPr>
              <w:spacing w:before="60" w:after="60"/>
              <w:jc w:val="right"/>
              <w:rPr>
                <w:rFonts w:cs="Arial"/>
                <w:color w:val="000000"/>
                <w:sz w:val="20"/>
                <w:szCs w:val="20"/>
              </w:rPr>
            </w:pPr>
            <w:r w:rsidRPr="007C1E37">
              <w:rPr>
                <w:rFonts w:cs="Arial"/>
                <w:color w:val="000000"/>
                <w:sz w:val="20"/>
                <w:szCs w:val="20"/>
              </w:rPr>
              <w:t>3,472</w:t>
            </w:r>
          </w:p>
        </w:tc>
        <w:tc>
          <w:tcPr>
            <w:tcW w:w="1196"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081D0EF4" w14:textId="77777777" w:rsidR="009F65EE" w:rsidRPr="007C1E37" w:rsidRDefault="009F65EE" w:rsidP="001E519A">
            <w:pPr>
              <w:spacing w:before="60" w:after="60"/>
              <w:jc w:val="right"/>
              <w:rPr>
                <w:rFonts w:cs="Arial"/>
                <w:color w:val="000000"/>
                <w:sz w:val="20"/>
                <w:szCs w:val="20"/>
              </w:rPr>
            </w:pPr>
            <w:r w:rsidRPr="007C1E37">
              <w:rPr>
                <w:rFonts w:cs="Arial"/>
                <w:color w:val="000000"/>
                <w:sz w:val="20"/>
                <w:szCs w:val="20"/>
              </w:rPr>
              <w:t>4,366</w:t>
            </w:r>
          </w:p>
        </w:tc>
        <w:tc>
          <w:tcPr>
            <w:tcW w:w="1196"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5DD3632E" w14:textId="77777777" w:rsidR="009F65EE" w:rsidRPr="007C1E37" w:rsidRDefault="009F65EE" w:rsidP="001E519A">
            <w:pPr>
              <w:spacing w:before="60" w:after="60"/>
              <w:jc w:val="right"/>
              <w:rPr>
                <w:rFonts w:cs="Arial"/>
                <w:color w:val="000000"/>
                <w:sz w:val="20"/>
                <w:szCs w:val="20"/>
              </w:rPr>
            </w:pPr>
            <w:r w:rsidRPr="007C1E37">
              <w:rPr>
                <w:rFonts w:cs="Arial"/>
                <w:color w:val="000000"/>
                <w:sz w:val="20"/>
                <w:szCs w:val="20"/>
              </w:rPr>
              <w:t>5,242</w:t>
            </w:r>
          </w:p>
        </w:tc>
        <w:tc>
          <w:tcPr>
            <w:tcW w:w="1196"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1190D2ED" w14:textId="77777777" w:rsidR="009F65EE" w:rsidRPr="007C1E37" w:rsidRDefault="009F65EE" w:rsidP="001E519A">
            <w:pPr>
              <w:spacing w:before="60" w:after="60"/>
              <w:jc w:val="right"/>
              <w:rPr>
                <w:rFonts w:cs="Arial"/>
                <w:color w:val="000000"/>
                <w:sz w:val="20"/>
                <w:szCs w:val="20"/>
              </w:rPr>
            </w:pPr>
            <w:r w:rsidRPr="007C1E37">
              <w:rPr>
                <w:rFonts w:cs="Arial"/>
                <w:color w:val="000000"/>
                <w:sz w:val="20"/>
                <w:szCs w:val="20"/>
              </w:rPr>
              <w:t>5,709</w:t>
            </w:r>
          </w:p>
        </w:tc>
        <w:tc>
          <w:tcPr>
            <w:tcW w:w="1196"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7BF88132" w14:textId="77777777" w:rsidR="009F65EE" w:rsidRPr="007C1E37" w:rsidRDefault="009F65EE" w:rsidP="001E519A">
            <w:pPr>
              <w:spacing w:before="60" w:after="60"/>
              <w:jc w:val="right"/>
              <w:rPr>
                <w:rFonts w:cs="Arial"/>
                <w:color w:val="000000"/>
                <w:sz w:val="20"/>
                <w:szCs w:val="20"/>
              </w:rPr>
            </w:pPr>
            <w:r w:rsidRPr="007C1E37">
              <w:rPr>
                <w:rFonts w:cs="Arial"/>
                <w:color w:val="000000"/>
                <w:sz w:val="20"/>
                <w:szCs w:val="20"/>
              </w:rPr>
              <w:t>6,128</w:t>
            </w:r>
          </w:p>
        </w:tc>
      </w:tr>
      <w:tr w:rsidR="009F65EE" w:rsidRPr="007C1E37" w14:paraId="55BA9000" w14:textId="77777777" w:rsidTr="001E519A">
        <w:trPr>
          <w:trHeight w:val="397"/>
        </w:trPr>
        <w:tc>
          <w:tcPr>
            <w:tcW w:w="175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07E8BEEB" w14:textId="77777777" w:rsidR="009F65EE" w:rsidRPr="007C1E37" w:rsidRDefault="009F65EE" w:rsidP="001E519A">
            <w:pPr>
              <w:spacing w:before="60" w:after="60"/>
              <w:ind w:left="37"/>
              <w:rPr>
                <w:rFonts w:cs="Arial"/>
                <w:sz w:val="20"/>
                <w:szCs w:val="20"/>
                <w:lang w:eastAsia="en-AU"/>
              </w:rPr>
            </w:pPr>
            <w:r w:rsidRPr="007C1E37">
              <w:rPr>
                <w:rFonts w:cs="Arial"/>
                <w:sz w:val="20"/>
                <w:szCs w:val="20"/>
                <w:lang w:eastAsia="en-AU"/>
              </w:rPr>
              <w:t>Remote</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06F0EA55" w14:textId="77777777" w:rsidR="009F65EE" w:rsidRPr="007C1E37" w:rsidRDefault="009F65EE" w:rsidP="001E519A">
            <w:pPr>
              <w:spacing w:before="60" w:after="60"/>
              <w:jc w:val="right"/>
              <w:rPr>
                <w:rFonts w:cs="Arial"/>
                <w:color w:val="000000"/>
                <w:sz w:val="20"/>
                <w:szCs w:val="20"/>
              </w:rPr>
            </w:pPr>
            <w:r w:rsidRPr="007C1E37">
              <w:rPr>
                <w:rFonts w:cs="Arial"/>
                <w:color w:val="000000"/>
                <w:sz w:val="20"/>
                <w:szCs w:val="20"/>
              </w:rPr>
              <w:t>85</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635A71C1" w14:textId="77777777" w:rsidR="009F65EE" w:rsidRPr="007C1E37" w:rsidRDefault="009F65EE" w:rsidP="001E519A">
            <w:pPr>
              <w:spacing w:before="60" w:after="60"/>
              <w:jc w:val="right"/>
              <w:rPr>
                <w:rFonts w:cs="Arial"/>
                <w:color w:val="000000"/>
                <w:sz w:val="20"/>
                <w:szCs w:val="20"/>
              </w:rPr>
            </w:pPr>
            <w:r w:rsidRPr="007C1E37">
              <w:rPr>
                <w:rFonts w:cs="Arial"/>
                <w:color w:val="000000"/>
                <w:sz w:val="20"/>
                <w:szCs w:val="20"/>
              </w:rPr>
              <w:t>121</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1FCADFC4" w14:textId="77777777" w:rsidR="009F65EE" w:rsidRPr="007C1E37" w:rsidRDefault="009F65EE" w:rsidP="001E519A">
            <w:pPr>
              <w:spacing w:before="60" w:after="60"/>
              <w:jc w:val="right"/>
              <w:rPr>
                <w:rFonts w:cs="Arial"/>
                <w:color w:val="000000"/>
                <w:sz w:val="20"/>
                <w:szCs w:val="20"/>
              </w:rPr>
            </w:pPr>
            <w:r w:rsidRPr="007C1E37">
              <w:rPr>
                <w:rFonts w:cs="Arial"/>
                <w:color w:val="000000"/>
                <w:sz w:val="20"/>
                <w:szCs w:val="20"/>
              </w:rPr>
              <w:t>160</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44F73633" w14:textId="77777777" w:rsidR="009F65EE" w:rsidRPr="007C1E37" w:rsidRDefault="009F65EE" w:rsidP="001E519A">
            <w:pPr>
              <w:spacing w:before="60" w:after="60"/>
              <w:jc w:val="right"/>
              <w:rPr>
                <w:rFonts w:cs="Arial"/>
                <w:color w:val="000000"/>
                <w:sz w:val="20"/>
                <w:szCs w:val="20"/>
              </w:rPr>
            </w:pPr>
            <w:r w:rsidRPr="007C1E37">
              <w:rPr>
                <w:rFonts w:cs="Arial"/>
                <w:color w:val="000000"/>
                <w:sz w:val="20"/>
                <w:szCs w:val="20"/>
              </w:rPr>
              <w:t>197</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5AE70DC1" w14:textId="77777777" w:rsidR="009F65EE" w:rsidRPr="007C1E37" w:rsidRDefault="009F65EE" w:rsidP="001E519A">
            <w:pPr>
              <w:spacing w:before="60" w:after="60"/>
              <w:jc w:val="right"/>
              <w:rPr>
                <w:rFonts w:cs="Arial"/>
                <w:color w:val="000000"/>
                <w:sz w:val="20"/>
                <w:szCs w:val="20"/>
              </w:rPr>
            </w:pPr>
            <w:r w:rsidRPr="007C1E37">
              <w:rPr>
                <w:rFonts w:cs="Arial"/>
                <w:color w:val="000000"/>
                <w:sz w:val="20"/>
                <w:szCs w:val="20"/>
              </w:rPr>
              <w:t>298</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6D078D09" w14:textId="77777777" w:rsidR="009F65EE" w:rsidRPr="007C1E37" w:rsidRDefault="009F65EE" w:rsidP="001E519A">
            <w:pPr>
              <w:spacing w:before="60" w:after="60"/>
              <w:jc w:val="right"/>
              <w:rPr>
                <w:rFonts w:cs="Arial"/>
                <w:color w:val="000000"/>
                <w:sz w:val="20"/>
                <w:szCs w:val="20"/>
              </w:rPr>
            </w:pPr>
            <w:r w:rsidRPr="007C1E37">
              <w:rPr>
                <w:rFonts w:cs="Arial"/>
                <w:color w:val="000000"/>
                <w:sz w:val="20"/>
                <w:szCs w:val="20"/>
              </w:rPr>
              <w:t>329</w:t>
            </w:r>
          </w:p>
        </w:tc>
      </w:tr>
      <w:tr w:rsidR="009F65EE" w:rsidRPr="007C1E37" w14:paraId="59FA3ADA" w14:textId="77777777" w:rsidTr="001E519A">
        <w:trPr>
          <w:cnfStyle w:val="000000100000" w:firstRow="0" w:lastRow="0" w:firstColumn="0" w:lastColumn="0" w:oddVBand="0" w:evenVBand="0" w:oddHBand="1" w:evenHBand="0" w:firstRowFirstColumn="0" w:firstRowLastColumn="0" w:lastRowFirstColumn="0" w:lastRowLastColumn="0"/>
          <w:trHeight w:val="397"/>
        </w:trPr>
        <w:tc>
          <w:tcPr>
            <w:tcW w:w="175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7133220B" w14:textId="77777777" w:rsidR="009F65EE" w:rsidRPr="007C1E37" w:rsidRDefault="009F65EE" w:rsidP="001E519A">
            <w:pPr>
              <w:spacing w:before="60" w:after="60"/>
              <w:ind w:left="37"/>
              <w:rPr>
                <w:rFonts w:cs="Arial"/>
                <w:sz w:val="20"/>
                <w:szCs w:val="20"/>
                <w:lang w:eastAsia="en-AU"/>
              </w:rPr>
            </w:pPr>
            <w:r w:rsidRPr="007C1E37">
              <w:rPr>
                <w:rFonts w:cs="Arial"/>
                <w:sz w:val="20"/>
                <w:szCs w:val="20"/>
                <w:lang w:eastAsia="en-AU"/>
              </w:rPr>
              <w:t>Very remote</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51ADFC3A" w14:textId="77777777" w:rsidR="009F65EE" w:rsidRPr="007C1E37" w:rsidRDefault="009F65EE" w:rsidP="001E519A">
            <w:pPr>
              <w:spacing w:before="60" w:after="60"/>
              <w:jc w:val="right"/>
              <w:rPr>
                <w:rFonts w:cs="Arial"/>
                <w:color w:val="000000"/>
                <w:sz w:val="20"/>
                <w:szCs w:val="20"/>
              </w:rPr>
            </w:pPr>
            <w:r w:rsidRPr="007C1E37">
              <w:rPr>
                <w:rFonts w:cs="Arial"/>
                <w:color w:val="000000"/>
                <w:sz w:val="20"/>
                <w:szCs w:val="20"/>
              </w:rPr>
              <w:t>47</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1AB21D35" w14:textId="77777777" w:rsidR="009F65EE" w:rsidRPr="007C1E37" w:rsidRDefault="009F65EE" w:rsidP="001E519A">
            <w:pPr>
              <w:spacing w:before="60" w:after="60"/>
              <w:jc w:val="right"/>
              <w:rPr>
                <w:rFonts w:cs="Arial"/>
                <w:color w:val="000000"/>
                <w:sz w:val="20"/>
                <w:szCs w:val="20"/>
              </w:rPr>
            </w:pPr>
            <w:r w:rsidRPr="007C1E37">
              <w:rPr>
                <w:rFonts w:cs="Arial"/>
                <w:color w:val="000000"/>
                <w:sz w:val="20"/>
                <w:szCs w:val="20"/>
              </w:rPr>
              <w:t>69</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3E172F74" w14:textId="77777777" w:rsidR="009F65EE" w:rsidRPr="007C1E37" w:rsidRDefault="009F65EE" w:rsidP="001E519A">
            <w:pPr>
              <w:spacing w:before="60" w:after="60"/>
              <w:jc w:val="right"/>
              <w:rPr>
                <w:rFonts w:cs="Arial"/>
                <w:color w:val="000000"/>
                <w:sz w:val="20"/>
                <w:szCs w:val="20"/>
              </w:rPr>
            </w:pPr>
            <w:r w:rsidRPr="007C1E37">
              <w:rPr>
                <w:rFonts w:cs="Arial"/>
                <w:color w:val="000000"/>
                <w:sz w:val="20"/>
                <w:szCs w:val="20"/>
              </w:rPr>
              <w:t>80</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1A844DA2" w14:textId="77777777" w:rsidR="009F65EE" w:rsidRPr="007C1E37" w:rsidRDefault="009F65EE" w:rsidP="001E519A">
            <w:pPr>
              <w:spacing w:before="60" w:after="60"/>
              <w:jc w:val="right"/>
              <w:rPr>
                <w:rFonts w:cs="Arial"/>
                <w:color w:val="000000"/>
                <w:sz w:val="20"/>
                <w:szCs w:val="20"/>
              </w:rPr>
            </w:pPr>
            <w:r w:rsidRPr="007C1E37">
              <w:rPr>
                <w:rFonts w:cs="Arial"/>
                <w:color w:val="000000"/>
                <w:sz w:val="20"/>
                <w:szCs w:val="20"/>
              </w:rPr>
              <w:t>98</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60A3072E" w14:textId="77777777" w:rsidR="009F65EE" w:rsidRPr="007C1E37" w:rsidRDefault="009F65EE" w:rsidP="001E519A">
            <w:pPr>
              <w:spacing w:before="60" w:after="60"/>
              <w:jc w:val="right"/>
              <w:rPr>
                <w:rFonts w:cs="Arial"/>
                <w:color w:val="000000"/>
                <w:sz w:val="20"/>
                <w:szCs w:val="20"/>
              </w:rPr>
            </w:pPr>
            <w:r w:rsidRPr="007C1E37">
              <w:rPr>
                <w:rFonts w:cs="Arial"/>
                <w:color w:val="000000"/>
                <w:sz w:val="20"/>
                <w:szCs w:val="20"/>
              </w:rPr>
              <w:t>114</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69576CEA" w14:textId="77777777" w:rsidR="009F65EE" w:rsidRPr="007C1E37" w:rsidRDefault="009F65EE" w:rsidP="001E519A">
            <w:pPr>
              <w:spacing w:before="60" w:after="60"/>
              <w:jc w:val="right"/>
              <w:rPr>
                <w:rFonts w:cs="Arial"/>
                <w:color w:val="000000"/>
                <w:sz w:val="20"/>
                <w:szCs w:val="20"/>
              </w:rPr>
            </w:pPr>
            <w:r w:rsidRPr="007C1E37">
              <w:rPr>
                <w:rFonts w:cs="Arial"/>
                <w:color w:val="000000"/>
                <w:sz w:val="20"/>
                <w:szCs w:val="20"/>
              </w:rPr>
              <w:t>143</w:t>
            </w:r>
          </w:p>
        </w:tc>
      </w:tr>
      <w:tr w:rsidR="009F65EE" w:rsidRPr="007C1E37" w14:paraId="4678F6EB" w14:textId="77777777" w:rsidTr="001E519A">
        <w:trPr>
          <w:trHeight w:val="397"/>
        </w:trPr>
        <w:tc>
          <w:tcPr>
            <w:tcW w:w="175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6FB0A1F9" w14:textId="77777777" w:rsidR="009F65EE" w:rsidRPr="007C1E37" w:rsidRDefault="009F65EE" w:rsidP="001E519A">
            <w:pPr>
              <w:spacing w:before="60" w:after="60"/>
              <w:ind w:left="37"/>
              <w:rPr>
                <w:rFonts w:cs="Arial"/>
                <w:b/>
                <w:bCs/>
                <w:sz w:val="20"/>
                <w:szCs w:val="20"/>
                <w:lang w:eastAsia="en-AU"/>
              </w:rPr>
            </w:pPr>
            <w:r w:rsidRPr="007C1E37">
              <w:rPr>
                <w:rFonts w:cs="Arial"/>
                <w:b/>
                <w:bCs/>
                <w:sz w:val="20"/>
                <w:szCs w:val="20"/>
                <w:lang w:eastAsia="en-AU"/>
              </w:rPr>
              <w:t xml:space="preserve">Total for </w:t>
            </w:r>
            <w:r>
              <w:rPr>
                <w:rFonts w:cs="Arial"/>
                <w:b/>
                <w:bCs/>
                <w:sz w:val="20"/>
                <w:szCs w:val="20"/>
                <w:lang w:eastAsia="en-AU"/>
              </w:rPr>
              <w:t>U</w:t>
            </w:r>
            <w:r w:rsidRPr="007C1E37">
              <w:rPr>
                <w:rFonts w:cs="Arial"/>
                <w:b/>
                <w:bCs/>
                <w:sz w:val="20"/>
                <w:szCs w:val="20"/>
                <w:lang w:eastAsia="en-AU"/>
              </w:rPr>
              <w:t>nregistered</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6642B30F" w14:textId="77777777" w:rsidR="009F65EE" w:rsidRPr="007C1E37" w:rsidRDefault="009F65EE" w:rsidP="001E519A">
            <w:pPr>
              <w:spacing w:before="60" w:after="60"/>
              <w:jc w:val="right"/>
              <w:rPr>
                <w:rFonts w:cs="Arial"/>
                <w:b/>
                <w:bCs/>
                <w:color w:val="000000"/>
                <w:sz w:val="20"/>
                <w:szCs w:val="20"/>
              </w:rPr>
            </w:pPr>
            <w:r w:rsidRPr="007C1E37">
              <w:rPr>
                <w:rFonts w:cs="Arial"/>
                <w:b/>
                <w:bCs/>
                <w:color w:val="000000"/>
                <w:sz w:val="20"/>
                <w:szCs w:val="20"/>
              </w:rPr>
              <w:t>2,739</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27DC2BFB" w14:textId="77777777" w:rsidR="009F65EE" w:rsidRPr="007C1E37" w:rsidRDefault="009F65EE" w:rsidP="001E519A">
            <w:pPr>
              <w:spacing w:before="60" w:after="60"/>
              <w:jc w:val="right"/>
              <w:rPr>
                <w:rFonts w:cs="Arial"/>
                <w:b/>
                <w:bCs/>
                <w:color w:val="000000"/>
                <w:sz w:val="20"/>
                <w:szCs w:val="20"/>
              </w:rPr>
            </w:pPr>
            <w:r w:rsidRPr="007C1E37">
              <w:rPr>
                <w:rFonts w:cs="Arial"/>
                <w:b/>
                <w:bCs/>
                <w:color w:val="000000"/>
                <w:sz w:val="20"/>
                <w:szCs w:val="20"/>
              </w:rPr>
              <w:t>3,518</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448FF461" w14:textId="77777777" w:rsidR="009F65EE" w:rsidRPr="007C1E37" w:rsidRDefault="009F65EE" w:rsidP="001E519A">
            <w:pPr>
              <w:spacing w:before="60" w:after="60"/>
              <w:jc w:val="right"/>
              <w:rPr>
                <w:rFonts w:cs="Arial"/>
                <w:b/>
                <w:bCs/>
                <w:color w:val="000000"/>
                <w:sz w:val="20"/>
                <w:szCs w:val="20"/>
              </w:rPr>
            </w:pPr>
            <w:r w:rsidRPr="007C1E37">
              <w:rPr>
                <w:rFonts w:cs="Arial"/>
                <w:b/>
                <w:bCs/>
                <w:color w:val="000000"/>
                <w:sz w:val="20"/>
                <w:szCs w:val="20"/>
              </w:rPr>
              <w:t>4,420</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619F0FEB" w14:textId="77777777" w:rsidR="009F65EE" w:rsidRPr="007C1E37" w:rsidRDefault="009F65EE" w:rsidP="001E519A">
            <w:pPr>
              <w:spacing w:before="60" w:after="60"/>
              <w:jc w:val="right"/>
              <w:rPr>
                <w:rFonts w:cs="Arial"/>
                <w:b/>
                <w:bCs/>
                <w:color w:val="000000"/>
                <w:sz w:val="20"/>
                <w:szCs w:val="20"/>
              </w:rPr>
            </w:pPr>
            <w:r w:rsidRPr="007C1E37">
              <w:rPr>
                <w:rFonts w:cs="Arial"/>
                <w:b/>
                <w:bCs/>
                <w:color w:val="000000"/>
                <w:sz w:val="20"/>
                <w:szCs w:val="20"/>
              </w:rPr>
              <w:t>5,300</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2E328CAE" w14:textId="77777777" w:rsidR="009F65EE" w:rsidRPr="007C1E37" w:rsidRDefault="009F65EE" w:rsidP="001E519A">
            <w:pPr>
              <w:spacing w:before="60" w:after="60"/>
              <w:jc w:val="right"/>
              <w:rPr>
                <w:rFonts w:cs="Arial"/>
                <w:b/>
                <w:bCs/>
                <w:color w:val="000000"/>
                <w:sz w:val="20"/>
                <w:szCs w:val="20"/>
              </w:rPr>
            </w:pPr>
            <w:r w:rsidRPr="007C1E37">
              <w:rPr>
                <w:rFonts w:cs="Arial"/>
                <w:b/>
                <w:bCs/>
                <w:color w:val="000000"/>
                <w:sz w:val="20"/>
                <w:szCs w:val="20"/>
              </w:rPr>
              <w:t>5,771</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644BAEAC" w14:textId="77777777" w:rsidR="009F65EE" w:rsidRPr="007C1E37" w:rsidRDefault="009F65EE" w:rsidP="001E519A">
            <w:pPr>
              <w:spacing w:before="60" w:after="60"/>
              <w:jc w:val="right"/>
              <w:rPr>
                <w:rFonts w:cs="Arial"/>
                <w:b/>
                <w:bCs/>
                <w:color w:val="000000"/>
                <w:sz w:val="20"/>
                <w:szCs w:val="20"/>
              </w:rPr>
            </w:pPr>
            <w:r w:rsidRPr="007C1E37">
              <w:rPr>
                <w:rFonts w:cs="Arial"/>
                <w:b/>
                <w:bCs/>
                <w:color w:val="000000"/>
                <w:sz w:val="20"/>
                <w:szCs w:val="20"/>
              </w:rPr>
              <w:t>6,207</w:t>
            </w:r>
          </w:p>
        </w:tc>
      </w:tr>
    </w:tbl>
    <w:p w14:paraId="2E17A328" w14:textId="77777777" w:rsidR="009F65EE" w:rsidRPr="008034CE" w:rsidRDefault="009F65EE" w:rsidP="008B47AD">
      <w:pPr>
        <w:pStyle w:val="Sourcefortableorfigure"/>
        <w:spacing w:after="0"/>
      </w:pPr>
      <w:r w:rsidRPr="008034CE">
        <w:t>Source: NDIS internal administrative data</w:t>
      </w:r>
    </w:p>
    <w:p w14:paraId="5BDAF3DF" w14:textId="77777777" w:rsidR="009F65EE" w:rsidRPr="008034CE" w:rsidRDefault="009F65EE" w:rsidP="008B47AD">
      <w:pPr>
        <w:pStyle w:val="Notefortableorfigure"/>
        <w:spacing w:after="0"/>
      </w:pPr>
      <w:r w:rsidRPr="008034CE">
        <w:t xml:space="preserve">Note: Remoteness of providers uses the NDIS participant’s address as a proxy for location. Providers may be counted more than once if a provider provides support to participants located across varying remoteness levels. </w:t>
      </w:r>
    </w:p>
    <w:p w14:paraId="79CA90A5" w14:textId="77777777" w:rsidR="009F65EE" w:rsidRPr="008034CE" w:rsidRDefault="009F65EE" w:rsidP="009F65EE">
      <w:pPr>
        <w:pStyle w:val="Heading5"/>
      </w:pPr>
      <w:bookmarkStart w:id="520" w:name="_Toc195099188"/>
      <w:bookmarkStart w:id="521" w:name="_Toc200103562"/>
      <w:bookmarkStart w:id="522" w:name="_Toc200271674"/>
      <w:r w:rsidRPr="008034CE">
        <w:lastRenderedPageBreak/>
        <w:t>Market Composition</w:t>
      </w:r>
      <w:bookmarkEnd w:id="520"/>
      <w:bookmarkEnd w:id="521"/>
      <w:bookmarkEnd w:id="522"/>
    </w:p>
    <w:p w14:paraId="6B1BF397" w14:textId="0BD427F3" w:rsidR="009F65EE" w:rsidRPr="008034CE" w:rsidRDefault="009F65EE" w:rsidP="009F65EE">
      <w:r w:rsidRPr="008034CE">
        <w:t>Sole traders and companies represent the most active legal entity types delivering support coordination, but they can support participants differently based on their size and scale of operations. Between July and December 2024, companies supported 214,654 participants through 5,303 active providers, with total claims of $442.5 million at an average of $83,445 per provider (</w:t>
      </w:r>
      <w:r w:rsidR="008F5F63">
        <w:fldChar w:fldCharType="begin"/>
      </w:r>
      <w:r w:rsidR="008F5F63">
        <w:instrText xml:space="preserve"> REF _Ref195091287 \h </w:instrText>
      </w:r>
      <w:r w:rsidR="008F5F63">
        <w:fldChar w:fldCharType="separate"/>
      </w:r>
      <w:r w:rsidR="005763F9" w:rsidRPr="008034CE">
        <w:t xml:space="preserve">Table </w:t>
      </w:r>
      <w:r w:rsidR="005763F9">
        <w:rPr>
          <w:noProof/>
        </w:rPr>
        <w:t>29</w:t>
      </w:r>
      <w:r w:rsidR="008F5F63">
        <w:fldChar w:fldCharType="end"/>
      </w:r>
      <w:r w:rsidRPr="008034CE">
        <w:t>). In contrast, over the same period, sole traders supported 40,997 participants with 4,089 active providers and, claiming $78.3 million in total, an average of $19,152 per provider (</w:t>
      </w:r>
      <w:r w:rsidR="008F5F63">
        <w:fldChar w:fldCharType="begin"/>
      </w:r>
      <w:r w:rsidR="008F5F63">
        <w:instrText xml:space="preserve"> REF _Ref195091287 \h </w:instrText>
      </w:r>
      <w:r w:rsidR="008F5F63">
        <w:fldChar w:fldCharType="separate"/>
      </w:r>
      <w:r w:rsidR="005763F9" w:rsidRPr="008034CE">
        <w:t xml:space="preserve">Table </w:t>
      </w:r>
      <w:r w:rsidR="005763F9">
        <w:rPr>
          <w:noProof/>
        </w:rPr>
        <w:t>29</w:t>
      </w:r>
      <w:r w:rsidR="008F5F63">
        <w:fldChar w:fldCharType="end"/>
      </w:r>
      <w:r w:rsidRPr="008034CE">
        <w:t xml:space="preserve">). </w:t>
      </w:r>
    </w:p>
    <w:p w14:paraId="2A5CC631" w14:textId="37E8E042" w:rsidR="009F65EE" w:rsidRPr="008034CE" w:rsidRDefault="009F65EE" w:rsidP="009F65EE">
      <w:r w:rsidRPr="008034CE">
        <w:t>Despite making up a larger share of the provider base, between July and December 2024 sole traders accounted for approximately</w:t>
      </w:r>
      <w:r w:rsidRPr="008034CE" w:rsidDel="00B46B02">
        <w:t xml:space="preserve"> </w:t>
      </w:r>
      <w:r w:rsidRPr="008034CE">
        <w:t>16% of the total participant volume serviced and claimed 14% of the total support coordination support payments (</w:t>
      </w:r>
      <w:r w:rsidR="008F5F63">
        <w:fldChar w:fldCharType="begin"/>
      </w:r>
      <w:r w:rsidR="008F5F63">
        <w:instrText xml:space="preserve"> REF _Ref195091287 \h </w:instrText>
      </w:r>
      <w:r w:rsidR="008F5F63">
        <w:fldChar w:fldCharType="separate"/>
      </w:r>
      <w:r w:rsidR="005763F9" w:rsidRPr="008034CE">
        <w:t xml:space="preserve">Table </w:t>
      </w:r>
      <w:r w:rsidR="005763F9">
        <w:rPr>
          <w:noProof/>
        </w:rPr>
        <w:t>29</w:t>
      </w:r>
      <w:r w:rsidR="008F5F63">
        <w:fldChar w:fldCharType="end"/>
      </w:r>
      <w:r w:rsidRPr="008034CE">
        <w:t>). This suggests that sole trader delivery models are typically smaller in</w:t>
      </w:r>
      <w:r w:rsidR="0089703A">
        <w:t> </w:t>
      </w:r>
      <w:r w:rsidRPr="008034CE">
        <w:t>scale and support a smaller proportion of participants within the broader Support</w:t>
      </w:r>
      <w:r w:rsidR="0089703A">
        <w:t> </w:t>
      </w:r>
      <w:r w:rsidRPr="008034CE">
        <w:t xml:space="preserve">Coordination market. </w:t>
      </w:r>
    </w:p>
    <w:p w14:paraId="442C13A7" w14:textId="1019DE89" w:rsidR="009F65EE" w:rsidRPr="008034CE" w:rsidRDefault="00DD6C9E" w:rsidP="009F65EE">
      <w:r>
        <w:fldChar w:fldCharType="begin"/>
      </w:r>
      <w:r>
        <w:instrText xml:space="preserve"> REF _Ref195091390 \h </w:instrText>
      </w:r>
      <w:r>
        <w:fldChar w:fldCharType="separate"/>
      </w:r>
      <w:r w:rsidR="005763F9" w:rsidRPr="008034CE">
        <w:t xml:space="preserve">Figure </w:t>
      </w:r>
      <w:r w:rsidR="005763F9">
        <w:rPr>
          <w:noProof/>
        </w:rPr>
        <w:t>29</w:t>
      </w:r>
      <w:r>
        <w:fldChar w:fldCharType="end"/>
      </w:r>
      <w:r w:rsidR="009F65EE" w:rsidRPr="008034CE">
        <w:t xml:space="preserve"> and </w:t>
      </w:r>
      <w:r>
        <w:fldChar w:fldCharType="begin"/>
      </w:r>
      <w:r>
        <w:instrText xml:space="preserve"> REF _Ref195091391 \h </w:instrText>
      </w:r>
      <w:r>
        <w:fldChar w:fldCharType="separate"/>
      </w:r>
      <w:r w:rsidR="005763F9" w:rsidRPr="008034CE">
        <w:t xml:space="preserve">Figure </w:t>
      </w:r>
      <w:r w:rsidR="005763F9">
        <w:rPr>
          <w:noProof/>
        </w:rPr>
        <w:t>30</w:t>
      </w:r>
      <w:r>
        <w:fldChar w:fldCharType="end"/>
      </w:r>
      <w:r w:rsidR="009F65EE" w:rsidRPr="008034CE">
        <w:t xml:space="preserve"> reinforce this pattern, showing that for the period between July and December 2024 most sole traders claim in the lower payment bands, particularly under $50,000, with the volume of these claims concentrated in the unregistered providers group. Companies, on the other hand, are more evenly distributed across higher payment brackets and are more prominent among registered providers over the same period. </w:t>
      </w:r>
    </w:p>
    <w:p w14:paraId="69FABCF1" w14:textId="10AAD7C8" w:rsidR="009F65EE" w:rsidRPr="008034CE" w:rsidRDefault="009F65EE" w:rsidP="009F65EE">
      <w:pPr>
        <w:pStyle w:val="Caption"/>
      </w:pPr>
      <w:bookmarkStart w:id="523" w:name="_Ref195091287"/>
      <w:r w:rsidRPr="008034CE">
        <w:t xml:space="preserve">Table </w:t>
      </w:r>
      <w:r w:rsidR="005763F9">
        <w:fldChar w:fldCharType="begin"/>
      </w:r>
      <w:r w:rsidR="005763F9">
        <w:instrText xml:space="preserve"> SEQ Table \* ARABIC </w:instrText>
      </w:r>
      <w:r w:rsidR="005763F9">
        <w:fldChar w:fldCharType="separate"/>
      </w:r>
      <w:r w:rsidR="005763F9">
        <w:rPr>
          <w:noProof/>
        </w:rPr>
        <w:t>29</w:t>
      </w:r>
      <w:r w:rsidR="005763F9">
        <w:rPr>
          <w:noProof/>
        </w:rPr>
        <w:fldChar w:fldCharType="end"/>
      </w:r>
      <w:bookmarkEnd w:id="523"/>
      <w:r w:rsidRPr="008034CE">
        <w:t>: Support Coordination-Related Supports Scheme Statistics by Legal Entity Type, July to December 2024</w:t>
      </w:r>
    </w:p>
    <w:tbl>
      <w:tblPr>
        <w:tblStyle w:val="GridTable4-Accent12"/>
        <w:tblW w:w="0" w:type="auto"/>
        <w:tblInd w:w="-5" w:type="dxa"/>
        <w:tblLayout w:type="fixed"/>
        <w:tblLook w:val="0420" w:firstRow="1" w:lastRow="0" w:firstColumn="0" w:lastColumn="0" w:noHBand="0" w:noVBand="1"/>
      </w:tblPr>
      <w:tblGrid>
        <w:gridCol w:w="2835"/>
        <w:gridCol w:w="1134"/>
        <w:gridCol w:w="1418"/>
        <w:gridCol w:w="1418"/>
        <w:gridCol w:w="1134"/>
        <w:gridCol w:w="1134"/>
      </w:tblGrid>
      <w:tr w:rsidR="009F65EE" w:rsidRPr="007C1E37" w14:paraId="5F11EA98" w14:textId="77777777" w:rsidTr="001E519A">
        <w:trPr>
          <w:cnfStyle w:val="100000000000" w:firstRow="1" w:lastRow="0" w:firstColumn="0" w:lastColumn="0" w:oddVBand="0" w:evenVBand="0" w:oddHBand="0" w:evenHBand="0" w:firstRowFirstColumn="0" w:firstRowLastColumn="0" w:lastRowFirstColumn="0" w:lastRowLastColumn="0"/>
          <w:trHeight w:val="567"/>
          <w:tblHeader/>
        </w:trPr>
        <w:tc>
          <w:tcPr>
            <w:tcW w:w="2835" w:type="dxa"/>
            <w:tcBorders>
              <w:top w:val="single" w:sz="4" w:space="0" w:color="501E58" w:themeColor="accent1" w:themeShade="BF"/>
              <w:left w:val="single" w:sz="4" w:space="0" w:color="501E58" w:themeColor="accent1" w:themeShade="BF"/>
              <w:bottom w:val="single" w:sz="4" w:space="0" w:color="501E58" w:themeColor="accent1" w:themeShade="BF"/>
              <w:right w:val="single" w:sz="6" w:space="0" w:color="501E58" w:themeColor="accent1" w:themeShade="BF"/>
            </w:tcBorders>
          </w:tcPr>
          <w:p w14:paraId="3B8A6CDD" w14:textId="77777777" w:rsidR="009F65EE" w:rsidRPr="007C1E37" w:rsidRDefault="009F65EE" w:rsidP="001E519A">
            <w:pPr>
              <w:spacing w:before="60" w:after="60"/>
              <w:rPr>
                <w:rFonts w:cs="Arial"/>
                <w:sz w:val="20"/>
                <w:szCs w:val="20"/>
                <w:lang w:eastAsia="en-AU"/>
              </w:rPr>
            </w:pPr>
            <w:r w:rsidRPr="007C1E37">
              <w:rPr>
                <w:sz w:val="20"/>
                <w:szCs w:val="20"/>
              </w:rPr>
              <w:t>Statistics</w:t>
            </w:r>
          </w:p>
        </w:tc>
        <w:tc>
          <w:tcPr>
            <w:tcW w:w="1134"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tcPr>
          <w:p w14:paraId="487F3F5D" w14:textId="77777777" w:rsidR="009F65EE" w:rsidRPr="007C1E37" w:rsidRDefault="009F65EE" w:rsidP="001E519A">
            <w:pPr>
              <w:spacing w:before="60" w:after="60"/>
              <w:jc w:val="right"/>
              <w:rPr>
                <w:rFonts w:cs="Arial"/>
                <w:sz w:val="20"/>
                <w:szCs w:val="20"/>
                <w:lang w:eastAsia="en-AU"/>
              </w:rPr>
            </w:pPr>
            <w:r w:rsidRPr="007C1E37">
              <w:rPr>
                <w:sz w:val="20"/>
                <w:szCs w:val="20"/>
              </w:rPr>
              <w:t>Company</w:t>
            </w:r>
          </w:p>
        </w:tc>
        <w:tc>
          <w:tcPr>
            <w:tcW w:w="1418"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tcPr>
          <w:p w14:paraId="54AEADE6" w14:textId="77777777" w:rsidR="009F65EE" w:rsidRPr="007C1E37" w:rsidRDefault="009F65EE" w:rsidP="001E519A">
            <w:pPr>
              <w:spacing w:before="60" w:after="60"/>
              <w:jc w:val="right"/>
              <w:rPr>
                <w:sz w:val="20"/>
                <w:szCs w:val="20"/>
              </w:rPr>
            </w:pPr>
            <w:r w:rsidRPr="007C1E37">
              <w:rPr>
                <w:sz w:val="20"/>
                <w:szCs w:val="20"/>
              </w:rPr>
              <w:t xml:space="preserve">Government Entity </w:t>
            </w:r>
          </w:p>
        </w:tc>
        <w:tc>
          <w:tcPr>
            <w:tcW w:w="1418"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tcPr>
          <w:p w14:paraId="4C522599" w14:textId="77777777" w:rsidR="009F65EE" w:rsidRPr="007C1E37" w:rsidRDefault="009F65EE" w:rsidP="001E519A">
            <w:pPr>
              <w:spacing w:before="60" w:after="60"/>
              <w:jc w:val="right"/>
              <w:rPr>
                <w:rFonts w:cs="Arial"/>
                <w:sz w:val="20"/>
                <w:szCs w:val="20"/>
                <w:lang w:eastAsia="en-AU"/>
              </w:rPr>
            </w:pPr>
            <w:r w:rsidRPr="007C1E37">
              <w:rPr>
                <w:sz w:val="20"/>
                <w:szCs w:val="20"/>
              </w:rPr>
              <w:t>Partnership (Other)</w:t>
            </w:r>
          </w:p>
        </w:tc>
        <w:tc>
          <w:tcPr>
            <w:tcW w:w="1134"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tcPr>
          <w:p w14:paraId="06793EA5" w14:textId="77777777" w:rsidR="009F65EE" w:rsidRPr="007C1E37" w:rsidRDefault="009F65EE" w:rsidP="001E519A">
            <w:pPr>
              <w:spacing w:before="60" w:after="60"/>
              <w:jc w:val="right"/>
              <w:rPr>
                <w:rFonts w:cs="Arial"/>
                <w:sz w:val="20"/>
                <w:szCs w:val="20"/>
                <w:lang w:eastAsia="en-AU"/>
              </w:rPr>
            </w:pPr>
            <w:r w:rsidRPr="007C1E37">
              <w:rPr>
                <w:rFonts w:cs="Arial"/>
                <w:sz w:val="20"/>
                <w:szCs w:val="20"/>
                <w:lang w:eastAsia="en-AU"/>
              </w:rPr>
              <w:t>Trust</w:t>
            </w:r>
            <w:r>
              <w:rPr>
                <w:rFonts w:cs="Arial"/>
                <w:sz w:val="20"/>
                <w:szCs w:val="20"/>
                <w:lang w:eastAsia="en-AU"/>
              </w:rPr>
              <w:t xml:space="preserve"> </w:t>
            </w:r>
            <w:r w:rsidRPr="007C1E37">
              <w:rPr>
                <w:rFonts w:cs="Arial"/>
                <w:sz w:val="20"/>
                <w:szCs w:val="20"/>
                <w:lang w:eastAsia="en-AU"/>
              </w:rPr>
              <w:t>/</w:t>
            </w:r>
            <w:r>
              <w:rPr>
                <w:rFonts w:cs="Arial"/>
                <w:sz w:val="20"/>
                <w:szCs w:val="20"/>
                <w:lang w:eastAsia="en-AU"/>
              </w:rPr>
              <w:t xml:space="preserve"> </w:t>
            </w:r>
            <w:r w:rsidRPr="007C1E37">
              <w:rPr>
                <w:rFonts w:cs="Arial"/>
                <w:sz w:val="20"/>
                <w:szCs w:val="20"/>
                <w:lang w:eastAsia="en-AU"/>
              </w:rPr>
              <w:t xml:space="preserve">Super </w:t>
            </w:r>
          </w:p>
        </w:tc>
        <w:tc>
          <w:tcPr>
            <w:tcW w:w="1134"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tcPr>
          <w:p w14:paraId="7464EE2B" w14:textId="77777777" w:rsidR="009F65EE" w:rsidRPr="007C1E37" w:rsidRDefault="009F65EE" w:rsidP="001E519A">
            <w:pPr>
              <w:spacing w:before="60" w:after="60"/>
              <w:jc w:val="right"/>
              <w:rPr>
                <w:rFonts w:cs="Arial"/>
                <w:sz w:val="20"/>
                <w:szCs w:val="20"/>
                <w:lang w:eastAsia="en-AU"/>
              </w:rPr>
            </w:pPr>
            <w:r w:rsidRPr="007C1E37">
              <w:rPr>
                <w:sz w:val="20"/>
                <w:szCs w:val="20"/>
              </w:rPr>
              <w:t xml:space="preserve">Sole trader </w:t>
            </w:r>
          </w:p>
        </w:tc>
      </w:tr>
      <w:tr w:rsidR="009F65EE" w:rsidRPr="007C1E37" w14:paraId="3AB64CDF" w14:textId="77777777" w:rsidTr="001E519A">
        <w:trPr>
          <w:cnfStyle w:val="000000100000" w:firstRow="0" w:lastRow="0" w:firstColumn="0" w:lastColumn="0" w:oddVBand="0" w:evenVBand="0" w:oddHBand="1" w:evenHBand="0" w:firstRowFirstColumn="0" w:firstRowLastColumn="0" w:lastRowFirstColumn="0" w:lastRowLastColumn="0"/>
          <w:trHeight w:val="397"/>
        </w:trPr>
        <w:tc>
          <w:tcPr>
            <w:tcW w:w="2835" w:type="dxa"/>
            <w:tcBorders>
              <w:top w:val="single" w:sz="4" w:space="0" w:color="501E58" w:themeColor="accent1" w:themeShade="BF"/>
              <w:left w:val="single" w:sz="4" w:space="0" w:color="BA61C9"/>
              <w:bottom w:val="single" w:sz="4" w:space="0" w:color="BA61C9"/>
              <w:right w:val="single" w:sz="4" w:space="0" w:color="BA61C9"/>
            </w:tcBorders>
            <w:vAlign w:val="center"/>
          </w:tcPr>
          <w:p w14:paraId="4D61B68A" w14:textId="77777777" w:rsidR="009F65EE" w:rsidRPr="007C1E37" w:rsidRDefault="009F65EE" w:rsidP="001E519A">
            <w:pPr>
              <w:spacing w:before="60" w:after="60"/>
              <w:ind w:left="37"/>
              <w:rPr>
                <w:rFonts w:cs="Arial"/>
                <w:sz w:val="20"/>
                <w:szCs w:val="20"/>
                <w:lang w:eastAsia="en-AU"/>
              </w:rPr>
            </w:pPr>
            <w:r w:rsidRPr="007C1E37">
              <w:rPr>
                <w:rFonts w:cs="Arial"/>
                <w:sz w:val="20"/>
                <w:szCs w:val="20"/>
                <w:lang w:eastAsia="en-AU"/>
              </w:rPr>
              <w:t>Number of NDIS participants </w:t>
            </w:r>
          </w:p>
        </w:tc>
        <w:tc>
          <w:tcPr>
            <w:tcW w:w="1134" w:type="dxa"/>
            <w:tcBorders>
              <w:top w:val="single" w:sz="4" w:space="0" w:color="501E58" w:themeColor="accent1" w:themeShade="BF"/>
              <w:left w:val="single" w:sz="4" w:space="0" w:color="BA61C9"/>
              <w:bottom w:val="single" w:sz="4" w:space="0" w:color="BA61C9"/>
              <w:right w:val="single" w:sz="4" w:space="0" w:color="BA61C9"/>
            </w:tcBorders>
            <w:vAlign w:val="center"/>
          </w:tcPr>
          <w:p w14:paraId="38A4A67F" w14:textId="77777777" w:rsidR="009F65EE" w:rsidRPr="007C1E37" w:rsidRDefault="009F65EE" w:rsidP="001E519A">
            <w:pPr>
              <w:spacing w:before="60" w:after="60"/>
              <w:jc w:val="right"/>
              <w:rPr>
                <w:rFonts w:cs="Arial"/>
                <w:color w:val="000000"/>
                <w:sz w:val="20"/>
                <w:szCs w:val="20"/>
              </w:rPr>
            </w:pPr>
            <w:r w:rsidRPr="007C1E37">
              <w:rPr>
                <w:rFonts w:cs="Arial"/>
                <w:color w:val="000000"/>
                <w:sz w:val="20"/>
                <w:szCs w:val="20"/>
              </w:rPr>
              <w:t>214,654</w:t>
            </w:r>
          </w:p>
        </w:tc>
        <w:tc>
          <w:tcPr>
            <w:tcW w:w="1418" w:type="dxa"/>
            <w:tcBorders>
              <w:top w:val="single" w:sz="4" w:space="0" w:color="501E58" w:themeColor="accent1" w:themeShade="BF"/>
              <w:left w:val="single" w:sz="4" w:space="0" w:color="BA61C9"/>
              <w:bottom w:val="single" w:sz="4" w:space="0" w:color="BA61C9"/>
              <w:right w:val="single" w:sz="4" w:space="0" w:color="BA61C9"/>
            </w:tcBorders>
            <w:vAlign w:val="center"/>
          </w:tcPr>
          <w:p w14:paraId="1F94323A" w14:textId="77777777" w:rsidR="009F65EE" w:rsidRPr="007C1E37" w:rsidRDefault="009F65EE" w:rsidP="001E519A">
            <w:pPr>
              <w:spacing w:before="60" w:after="60"/>
              <w:jc w:val="right"/>
              <w:rPr>
                <w:rFonts w:cs="Arial"/>
                <w:color w:val="000000"/>
                <w:sz w:val="20"/>
                <w:szCs w:val="20"/>
              </w:rPr>
            </w:pPr>
            <w:r w:rsidRPr="007C1E37">
              <w:rPr>
                <w:rFonts w:cs="Arial"/>
                <w:color w:val="000000"/>
                <w:sz w:val="20"/>
                <w:szCs w:val="20"/>
              </w:rPr>
              <w:t xml:space="preserve">1,112 </w:t>
            </w:r>
          </w:p>
        </w:tc>
        <w:tc>
          <w:tcPr>
            <w:tcW w:w="1418" w:type="dxa"/>
            <w:tcBorders>
              <w:top w:val="single" w:sz="4" w:space="0" w:color="501E58" w:themeColor="accent1" w:themeShade="BF"/>
              <w:left w:val="single" w:sz="4" w:space="0" w:color="BA61C9"/>
              <w:bottom w:val="single" w:sz="4" w:space="0" w:color="BA61C9"/>
              <w:right w:val="single" w:sz="4" w:space="0" w:color="BA61C9"/>
            </w:tcBorders>
            <w:vAlign w:val="center"/>
          </w:tcPr>
          <w:p w14:paraId="1357979E" w14:textId="77777777" w:rsidR="009F65EE" w:rsidRPr="007C1E37" w:rsidRDefault="009F65EE" w:rsidP="001E519A">
            <w:pPr>
              <w:spacing w:before="60" w:after="60"/>
              <w:jc w:val="right"/>
              <w:rPr>
                <w:rFonts w:cs="Arial"/>
                <w:color w:val="000000"/>
                <w:sz w:val="20"/>
                <w:szCs w:val="20"/>
              </w:rPr>
            </w:pPr>
            <w:r w:rsidRPr="007C1E37">
              <w:rPr>
                <w:rFonts w:cs="Arial"/>
                <w:color w:val="000000"/>
                <w:sz w:val="20"/>
                <w:szCs w:val="20"/>
              </w:rPr>
              <w:t xml:space="preserve">5,031 </w:t>
            </w:r>
          </w:p>
        </w:tc>
        <w:tc>
          <w:tcPr>
            <w:tcW w:w="1134" w:type="dxa"/>
            <w:tcBorders>
              <w:top w:val="single" w:sz="4" w:space="0" w:color="501E58" w:themeColor="accent1" w:themeShade="BF"/>
              <w:left w:val="single" w:sz="4" w:space="0" w:color="BA61C9"/>
              <w:bottom w:val="single" w:sz="4" w:space="0" w:color="BA61C9"/>
              <w:right w:val="single" w:sz="4" w:space="0" w:color="BA61C9"/>
            </w:tcBorders>
            <w:vAlign w:val="center"/>
          </w:tcPr>
          <w:p w14:paraId="226032E3" w14:textId="77777777" w:rsidR="009F65EE" w:rsidRPr="007C1E37" w:rsidRDefault="009F65EE" w:rsidP="001E519A">
            <w:pPr>
              <w:spacing w:before="60" w:after="60"/>
              <w:jc w:val="right"/>
              <w:rPr>
                <w:rFonts w:cs="Arial"/>
                <w:color w:val="000000"/>
                <w:sz w:val="20"/>
                <w:szCs w:val="20"/>
              </w:rPr>
            </w:pPr>
            <w:r w:rsidRPr="007C1E37">
              <w:rPr>
                <w:rFonts w:cs="Arial"/>
                <w:color w:val="000000"/>
                <w:sz w:val="20"/>
                <w:szCs w:val="20"/>
              </w:rPr>
              <w:t xml:space="preserve">15,137 </w:t>
            </w:r>
          </w:p>
        </w:tc>
        <w:tc>
          <w:tcPr>
            <w:tcW w:w="1134" w:type="dxa"/>
            <w:tcBorders>
              <w:top w:val="single" w:sz="4" w:space="0" w:color="501E58" w:themeColor="accent1" w:themeShade="BF"/>
              <w:left w:val="single" w:sz="4" w:space="0" w:color="BA61C9"/>
              <w:bottom w:val="single" w:sz="4" w:space="0" w:color="BA61C9"/>
              <w:right w:val="single" w:sz="4" w:space="0" w:color="BA61C9"/>
            </w:tcBorders>
            <w:vAlign w:val="center"/>
          </w:tcPr>
          <w:p w14:paraId="5F8CE190" w14:textId="77777777" w:rsidR="009F65EE" w:rsidRPr="007C1E37" w:rsidRDefault="009F65EE" w:rsidP="001E519A">
            <w:pPr>
              <w:spacing w:before="60" w:after="60"/>
              <w:jc w:val="right"/>
              <w:rPr>
                <w:rFonts w:cs="Arial"/>
                <w:color w:val="000000"/>
                <w:sz w:val="20"/>
                <w:szCs w:val="20"/>
              </w:rPr>
            </w:pPr>
            <w:r w:rsidRPr="007C1E37">
              <w:rPr>
                <w:rFonts w:cs="Arial"/>
                <w:color w:val="000000"/>
                <w:sz w:val="20"/>
                <w:szCs w:val="20"/>
              </w:rPr>
              <w:t xml:space="preserve">40,997 </w:t>
            </w:r>
          </w:p>
        </w:tc>
      </w:tr>
      <w:tr w:rsidR="009F65EE" w:rsidRPr="007C1E37" w14:paraId="096E634E" w14:textId="77777777" w:rsidTr="001E519A">
        <w:trPr>
          <w:trHeight w:val="397"/>
        </w:trPr>
        <w:tc>
          <w:tcPr>
            <w:tcW w:w="2835" w:type="dxa"/>
            <w:tcBorders>
              <w:top w:val="single" w:sz="4" w:space="0" w:color="BA61C9"/>
              <w:left w:val="single" w:sz="4" w:space="0" w:color="BA61C9"/>
              <w:bottom w:val="single" w:sz="4" w:space="0" w:color="BA61C9"/>
              <w:right w:val="single" w:sz="4" w:space="0" w:color="BA61C9"/>
            </w:tcBorders>
            <w:vAlign w:val="center"/>
          </w:tcPr>
          <w:p w14:paraId="7EAFCEA4" w14:textId="77777777" w:rsidR="009F65EE" w:rsidRPr="007C1E37" w:rsidRDefault="009F65EE" w:rsidP="001E519A">
            <w:pPr>
              <w:spacing w:before="60" w:after="60"/>
              <w:ind w:left="37"/>
              <w:rPr>
                <w:rFonts w:cs="Arial"/>
                <w:sz w:val="20"/>
                <w:szCs w:val="20"/>
                <w:lang w:eastAsia="en-AU"/>
              </w:rPr>
            </w:pPr>
            <w:r w:rsidRPr="007C1E37">
              <w:rPr>
                <w:rFonts w:cs="Arial"/>
                <w:sz w:val="20"/>
                <w:szCs w:val="20"/>
                <w:lang w:eastAsia="en-AU"/>
              </w:rPr>
              <w:t>Number of active providers </w:t>
            </w:r>
          </w:p>
        </w:tc>
        <w:tc>
          <w:tcPr>
            <w:tcW w:w="1134" w:type="dxa"/>
            <w:tcBorders>
              <w:top w:val="single" w:sz="4" w:space="0" w:color="BA61C9"/>
              <w:left w:val="single" w:sz="4" w:space="0" w:color="BA61C9"/>
              <w:bottom w:val="single" w:sz="4" w:space="0" w:color="BA61C9"/>
              <w:right w:val="single" w:sz="4" w:space="0" w:color="BA61C9"/>
            </w:tcBorders>
            <w:vAlign w:val="center"/>
          </w:tcPr>
          <w:p w14:paraId="39975C4B" w14:textId="77777777" w:rsidR="009F65EE" w:rsidRPr="007C1E37" w:rsidRDefault="009F65EE" w:rsidP="001E519A">
            <w:pPr>
              <w:spacing w:before="60" w:after="60"/>
              <w:jc w:val="right"/>
              <w:rPr>
                <w:rFonts w:cs="Arial"/>
                <w:color w:val="000000"/>
                <w:sz w:val="20"/>
                <w:szCs w:val="20"/>
              </w:rPr>
            </w:pPr>
            <w:r w:rsidRPr="007C1E37">
              <w:rPr>
                <w:rFonts w:cs="Arial"/>
                <w:color w:val="000000"/>
                <w:sz w:val="20"/>
                <w:szCs w:val="20"/>
              </w:rPr>
              <w:t xml:space="preserve">5,303 </w:t>
            </w:r>
          </w:p>
        </w:tc>
        <w:tc>
          <w:tcPr>
            <w:tcW w:w="1418" w:type="dxa"/>
            <w:tcBorders>
              <w:top w:val="single" w:sz="4" w:space="0" w:color="BA61C9"/>
              <w:left w:val="single" w:sz="4" w:space="0" w:color="BA61C9"/>
              <w:bottom w:val="single" w:sz="4" w:space="0" w:color="BA61C9"/>
              <w:right w:val="single" w:sz="4" w:space="0" w:color="BA61C9"/>
            </w:tcBorders>
            <w:vAlign w:val="center"/>
          </w:tcPr>
          <w:p w14:paraId="7EBC86AE" w14:textId="77777777" w:rsidR="009F65EE" w:rsidRPr="007C1E37" w:rsidRDefault="009F65EE" w:rsidP="001E519A">
            <w:pPr>
              <w:spacing w:before="60" w:after="60"/>
              <w:jc w:val="right"/>
              <w:rPr>
                <w:rFonts w:cs="Arial"/>
                <w:color w:val="000000"/>
                <w:sz w:val="20"/>
                <w:szCs w:val="20"/>
              </w:rPr>
            </w:pPr>
            <w:r w:rsidRPr="007C1E37">
              <w:rPr>
                <w:rFonts w:cs="Arial"/>
                <w:color w:val="000000"/>
                <w:sz w:val="20"/>
                <w:szCs w:val="20"/>
              </w:rPr>
              <w:t xml:space="preserve">20 </w:t>
            </w:r>
          </w:p>
        </w:tc>
        <w:tc>
          <w:tcPr>
            <w:tcW w:w="1418" w:type="dxa"/>
            <w:tcBorders>
              <w:top w:val="single" w:sz="4" w:space="0" w:color="BA61C9"/>
              <w:left w:val="single" w:sz="4" w:space="0" w:color="BA61C9"/>
              <w:bottom w:val="single" w:sz="4" w:space="0" w:color="BA61C9"/>
              <w:right w:val="single" w:sz="4" w:space="0" w:color="BA61C9"/>
            </w:tcBorders>
            <w:vAlign w:val="center"/>
          </w:tcPr>
          <w:p w14:paraId="2187AE75" w14:textId="77777777" w:rsidR="009F65EE" w:rsidRPr="007C1E37" w:rsidRDefault="009F65EE" w:rsidP="001E519A">
            <w:pPr>
              <w:spacing w:before="60" w:after="60"/>
              <w:jc w:val="right"/>
              <w:rPr>
                <w:rFonts w:cs="Arial"/>
                <w:color w:val="000000"/>
                <w:sz w:val="20"/>
                <w:szCs w:val="20"/>
              </w:rPr>
            </w:pPr>
            <w:r w:rsidRPr="007C1E37">
              <w:rPr>
                <w:rFonts w:cs="Arial"/>
                <w:color w:val="000000"/>
                <w:sz w:val="20"/>
                <w:szCs w:val="20"/>
              </w:rPr>
              <w:t xml:space="preserve">246 </w:t>
            </w:r>
          </w:p>
        </w:tc>
        <w:tc>
          <w:tcPr>
            <w:tcW w:w="1134" w:type="dxa"/>
            <w:tcBorders>
              <w:top w:val="single" w:sz="4" w:space="0" w:color="BA61C9"/>
              <w:left w:val="single" w:sz="4" w:space="0" w:color="BA61C9"/>
              <w:bottom w:val="single" w:sz="4" w:space="0" w:color="BA61C9"/>
              <w:right w:val="single" w:sz="4" w:space="0" w:color="BA61C9"/>
            </w:tcBorders>
            <w:vAlign w:val="center"/>
          </w:tcPr>
          <w:p w14:paraId="6D3C920C" w14:textId="77777777" w:rsidR="009F65EE" w:rsidRPr="007C1E37" w:rsidRDefault="009F65EE" w:rsidP="001E519A">
            <w:pPr>
              <w:spacing w:before="60" w:after="60"/>
              <w:jc w:val="right"/>
              <w:rPr>
                <w:rFonts w:cs="Arial"/>
                <w:color w:val="000000"/>
                <w:sz w:val="20"/>
                <w:szCs w:val="20"/>
              </w:rPr>
            </w:pPr>
            <w:r w:rsidRPr="007C1E37">
              <w:rPr>
                <w:rFonts w:cs="Arial"/>
                <w:color w:val="000000"/>
                <w:sz w:val="20"/>
                <w:szCs w:val="20"/>
              </w:rPr>
              <w:t xml:space="preserve">507 </w:t>
            </w:r>
          </w:p>
        </w:tc>
        <w:tc>
          <w:tcPr>
            <w:tcW w:w="1134" w:type="dxa"/>
            <w:tcBorders>
              <w:top w:val="single" w:sz="4" w:space="0" w:color="BA61C9"/>
              <w:left w:val="single" w:sz="4" w:space="0" w:color="BA61C9"/>
              <w:bottom w:val="single" w:sz="4" w:space="0" w:color="BA61C9"/>
              <w:right w:val="single" w:sz="4" w:space="0" w:color="BA61C9"/>
            </w:tcBorders>
            <w:vAlign w:val="center"/>
          </w:tcPr>
          <w:p w14:paraId="47BBC481" w14:textId="77777777" w:rsidR="009F65EE" w:rsidRPr="007C1E37" w:rsidRDefault="009F65EE" w:rsidP="001E519A">
            <w:pPr>
              <w:spacing w:before="60" w:after="60"/>
              <w:jc w:val="right"/>
              <w:rPr>
                <w:rFonts w:cs="Arial"/>
                <w:color w:val="000000"/>
                <w:sz w:val="20"/>
                <w:szCs w:val="20"/>
              </w:rPr>
            </w:pPr>
            <w:r w:rsidRPr="007C1E37">
              <w:rPr>
                <w:rFonts w:cs="Arial"/>
                <w:color w:val="000000"/>
                <w:sz w:val="20"/>
                <w:szCs w:val="20"/>
              </w:rPr>
              <w:t xml:space="preserve">4,089 </w:t>
            </w:r>
          </w:p>
        </w:tc>
      </w:tr>
      <w:tr w:rsidR="009F65EE" w:rsidRPr="007C1E37" w14:paraId="3D9227EE" w14:textId="77777777" w:rsidTr="001E519A">
        <w:trPr>
          <w:cnfStyle w:val="000000100000" w:firstRow="0" w:lastRow="0" w:firstColumn="0" w:lastColumn="0" w:oddVBand="0" w:evenVBand="0" w:oddHBand="1" w:evenHBand="0" w:firstRowFirstColumn="0" w:firstRowLastColumn="0" w:lastRowFirstColumn="0" w:lastRowLastColumn="0"/>
          <w:trHeight w:val="397"/>
        </w:trPr>
        <w:tc>
          <w:tcPr>
            <w:tcW w:w="2835" w:type="dxa"/>
            <w:tcBorders>
              <w:top w:val="single" w:sz="4" w:space="0" w:color="BA61C9"/>
              <w:left w:val="single" w:sz="4" w:space="0" w:color="BA61C9"/>
              <w:bottom w:val="single" w:sz="4" w:space="0" w:color="BA61C9"/>
              <w:right w:val="single" w:sz="4" w:space="0" w:color="BA61C9"/>
            </w:tcBorders>
            <w:vAlign w:val="center"/>
          </w:tcPr>
          <w:p w14:paraId="6AE46407" w14:textId="77777777" w:rsidR="009F65EE" w:rsidRPr="007C1E37" w:rsidRDefault="009F65EE" w:rsidP="001E519A">
            <w:pPr>
              <w:spacing w:before="60" w:after="60"/>
              <w:ind w:left="37"/>
              <w:rPr>
                <w:rFonts w:cs="Arial"/>
                <w:sz w:val="20"/>
                <w:szCs w:val="20"/>
                <w:lang w:eastAsia="en-AU"/>
              </w:rPr>
            </w:pPr>
            <w:r w:rsidRPr="007C1E37">
              <w:rPr>
                <w:rFonts w:cs="Arial"/>
                <w:sz w:val="20"/>
                <w:szCs w:val="20"/>
                <w:lang w:eastAsia="en-AU"/>
              </w:rPr>
              <w:t xml:space="preserve">Amount claimed by active providers of SC-related supports </w:t>
            </w:r>
            <w:r w:rsidRPr="00C173A6">
              <w:rPr>
                <w:rFonts w:cs="Arial"/>
                <w:b/>
                <w:bCs/>
                <w:sz w:val="20"/>
                <w:szCs w:val="20"/>
                <w:lang w:eastAsia="en-AU"/>
              </w:rPr>
              <w:t>(million)</w:t>
            </w:r>
            <w:r w:rsidRPr="007C1E37">
              <w:rPr>
                <w:rFonts w:cs="Arial"/>
                <w:sz w:val="20"/>
                <w:szCs w:val="20"/>
                <w:lang w:eastAsia="en-AU"/>
              </w:rPr>
              <w:t> </w:t>
            </w:r>
          </w:p>
        </w:tc>
        <w:tc>
          <w:tcPr>
            <w:tcW w:w="1134" w:type="dxa"/>
            <w:tcBorders>
              <w:top w:val="single" w:sz="4" w:space="0" w:color="BA61C9"/>
              <w:left w:val="single" w:sz="4" w:space="0" w:color="BA61C9"/>
              <w:bottom w:val="single" w:sz="4" w:space="0" w:color="BA61C9"/>
              <w:right w:val="single" w:sz="4" w:space="0" w:color="BA61C9"/>
            </w:tcBorders>
            <w:vAlign w:val="center"/>
          </w:tcPr>
          <w:p w14:paraId="56DE3F54" w14:textId="77777777" w:rsidR="009F65EE" w:rsidRPr="007C1E37" w:rsidRDefault="009F65EE" w:rsidP="001E519A">
            <w:pPr>
              <w:spacing w:before="60" w:after="60"/>
              <w:jc w:val="right"/>
              <w:rPr>
                <w:rFonts w:cs="Arial"/>
                <w:color w:val="000000"/>
                <w:sz w:val="20"/>
                <w:szCs w:val="20"/>
              </w:rPr>
            </w:pPr>
            <w:r w:rsidRPr="007C1E37">
              <w:rPr>
                <w:rFonts w:cs="Arial"/>
                <w:color w:val="000000"/>
                <w:sz w:val="20"/>
                <w:szCs w:val="20"/>
              </w:rPr>
              <w:t>$442.5</w:t>
            </w:r>
          </w:p>
        </w:tc>
        <w:tc>
          <w:tcPr>
            <w:tcW w:w="1418" w:type="dxa"/>
            <w:tcBorders>
              <w:top w:val="single" w:sz="4" w:space="0" w:color="BA61C9"/>
              <w:left w:val="single" w:sz="4" w:space="0" w:color="BA61C9"/>
              <w:bottom w:val="single" w:sz="4" w:space="0" w:color="BA61C9"/>
              <w:right w:val="single" w:sz="4" w:space="0" w:color="BA61C9"/>
            </w:tcBorders>
            <w:vAlign w:val="center"/>
          </w:tcPr>
          <w:p w14:paraId="27304AD1" w14:textId="77777777" w:rsidR="009F65EE" w:rsidRPr="007C1E37" w:rsidRDefault="009F65EE" w:rsidP="001E519A">
            <w:pPr>
              <w:spacing w:before="60" w:after="60"/>
              <w:jc w:val="right"/>
              <w:rPr>
                <w:rFonts w:cs="Arial"/>
                <w:color w:val="000000"/>
                <w:sz w:val="20"/>
                <w:szCs w:val="20"/>
              </w:rPr>
            </w:pPr>
            <w:r w:rsidRPr="007C1E37">
              <w:rPr>
                <w:rFonts w:cs="Arial"/>
                <w:color w:val="000000"/>
                <w:sz w:val="20"/>
                <w:szCs w:val="20"/>
              </w:rPr>
              <w:t>$2.0</w:t>
            </w:r>
          </w:p>
        </w:tc>
        <w:tc>
          <w:tcPr>
            <w:tcW w:w="1418" w:type="dxa"/>
            <w:tcBorders>
              <w:top w:val="single" w:sz="4" w:space="0" w:color="BA61C9"/>
              <w:left w:val="single" w:sz="4" w:space="0" w:color="BA61C9"/>
              <w:bottom w:val="single" w:sz="4" w:space="0" w:color="BA61C9"/>
              <w:right w:val="single" w:sz="4" w:space="0" w:color="BA61C9"/>
            </w:tcBorders>
            <w:vAlign w:val="center"/>
          </w:tcPr>
          <w:p w14:paraId="02B2EA7A" w14:textId="77777777" w:rsidR="009F65EE" w:rsidRPr="007C1E37" w:rsidRDefault="009F65EE" w:rsidP="001E519A">
            <w:pPr>
              <w:spacing w:before="60" w:after="60"/>
              <w:jc w:val="right"/>
              <w:rPr>
                <w:rFonts w:cs="Arial"/>
                <w:color w:val="000000"/>
                <w:sz w:val="20"/>
                <w:szCs w:val="20"/>
              </w:rPr>
            </w:pPr>
            <w:r w:rsidRPr="007C1E37">
              <w:rPr>
                <w:rFonts w:cs="Arial"/>
                <w:color w:val="000000"/>
                <w:sz w:val="20"/>
                <w:szCs w:val="20"/>
              </w:rPr>
              <w:t>$8.8</w:t>
            </w:r>
          </w:p>
        </w:tc>
        <w:tc>
          <w:tcPr>
            <w:tcW w:w="1134" w:type="dxa"/>
            <w:tcBorders>
              <w:top w:val="single" w:sz="4" w:space="0" w:color="BA61C9"/>
              <w:left w:val="single" w:sz="4" w:space="0" w:color="BA61C9"/>
              <w:bottom w:val="single" w:sz="4" w:space="0" w:color="BA61C9"/>
              <w:right w:val="single" w:sz="4" w:space="0" w:color="BA61C9"/>
            </w:tcBorders>
            <w:vAlign w:val="center"/>
          </w:tcPr>
          <w:p w14:paraId="24DA06CA" w14:textId="77777777" w:rsidR="009F65EE" w:rsidRPr="007C1E37" w:rsidRDefault="009F65EE" w:rsidP="001E519A">
            <w:pPr>
              <w:spacing w:before="60" w:after="60"/>
              <w:jc w:val="right"/>
              <w:rPr>
                <w:rFonts w:cs="Arial"/>
                <w:color w:val="000000"/>
                <w:sz w:val="20"/>
                <w:szCs w:val="20"/>
              </w:rPr>
            </w:pPr>
            <w:r w:rsidRPr="007C1E37">
              <w:rPr>
                <w:rFonts w:cs="Arial"/>
                <w:color w:val="000000"/>
                <w:sz w:val="20"/>
                <w:szCs w:val="20"/>
              </w:rPr>
              <w:t>$30.0</w:t>
            </w:r>
          </w:p>
        </w:tc>
        <w:tc>
          <w:tcPr>
            <w:tcW w:w="1134" w:type="dxa"/>
            <w:tcBorders>
              <w:top w:val="single" w:sz="4" w:space="0" w:color="BA61C9"/>
              <w:left w:val="single" w:sz="4" w:space="0" w:color="BA61C9"/>
              <w:bottom w:val="single" w:sz="4" w:space="0" w:color="BA61C9"/>
              <w:right w:val="single" w:sz="4" w:space="0" w:color="BA61C9"/>
            </w:tcBorders>
            <w:vAlign w:val="center"/>
          </w:tcPr>
          <w:p w14:paraId="5B433D43" w14:textId="77777777" w:rsidR="009F65EE" w:rsidRPr="007C1E37" w:rsidRDefault="009F65EE" w:rsidP="001E519A">
            <w:pPr>
              <w:spacing w:before="60" w:after="60"/>
              <w:jc w:val="right"/>
              <w:rPr>
                <w:rFonts w:cs="Arial"/>
                <w:color w:val="000000"/>
                <w:sz w:val="20"/>
                <w:szCs w:val="20"/>
              </w:rPr>
            </w:pPr>
            <w:r w:rsidRPr="007C1E37">
              <w:rPr>
                <w:rFonts w:cs="Arial"/>
                <w:color w:val="000000"/>
                <w:sz w:val="20"/>
                <w:szCs w:val="20"/>
              </w:rPr>
              <w:t>$78.3</w:t>
            </w:r>
          </w:p>
        </w:tc>
      </w:tr>
      <w:tr w:rsidR="009F65EE" w:rsidRPr="007C1E37" w14:paraId="1ADB799A" w14:textId="77777777" w:rsidTr="001E519A">
        <w:trPr>
          <w:trHeight w:val="397"/>
        </w:trPr>
        <w:tc>
          <w:tcPr>
            <w:tcW w:w="2835" w:type="dxa"/>
            <w:tcBorders>
              <w:top w:val="single" w:sz="4" w:space="0" w:color="BA61C9"/>
              <w:left w:val="single" w:sz="4" w:space="0" w:color="BA61C9"/>
              <w:bottom w:val="single" w:sz="4" w:space="0" w:color="BA61C9"/>
              <w:right w:val="single" w:sz="4" w:space="0" w:color="BA61C9"/>
            </w:tcBorders>
            <w:vAlign w:val="center"/>
          </w:tcPr>
          <w:p w14:paraId="2B12A137" w14:textId="77777777" w:rsidR="009F65EE" w:rsidRPr="007C1E37" w:rsidRDefault="009F65EE" w:rsidP="001E519A">
            <w:pPr>
              <w:spacing w:before="60" w:after="60"/>
              <w:ind w:left="37"/>
              <w:rPr>
                <w:rFonts w:cs="Arial"/>
                <w:sz w:val="20"/>
                <w:szCs w:val="20"/>
                <w:lang w:eastAsia="en-AU"/>
              </w:rPr>
            </w:pPr>
            <w:r w:rsidRPr="007C1E37">
              <w:rPr>
                <w:rFonts w:cs="Arial"/>
                <w:sz w:val="20"/>
                <w:szCs w:val="20"/>
                <w:lang w:eastAsia="en-AU"/>
              </w:rPr>
              <w:t>Average amount claimed by all active providers of SC-related supports </w:t>
            </w:r>
          </w:p>
        </w:tc>
        <w:tc>
          <w:tcPr>
            <w:tcW w:w="1134" w:type="dxa"/>
            <w:tcBorders>
              <w:top w:val="single" w:sz="4" w:space="0" w:color="BA61C9"/>
              <w:left w:val="single" w:sz="4" w:space="0" w:color="BA61C9"/>
              <w:bottom w:val="single" w:sz="4" w:space="0" w:color="BA61C9"/>
              <w:right w:val="single" w:sz="4" w:space="0" w:color="BA61C9"/>
            </w:tcBorders>
            <w:vAlign w:val="center"/>
          </w:tcPr>
          <w:p w14:paraId="04BF86F6" w14:textId="77777777" w:rsidR="009F65EE" w:rsidRPr="007C1E37" w:rsidRDefault="009F65EE" w:rsidP="001E519A">
            <w:pPr>
              <w:spacing w:before="60" w:after="60"/>
              <w:jc w:val="right"/>
              <w:rPr>
                <w:rFonts w:cs="Arial"/>
                <w:color w:val="000000"/>
                <w:sz w:val="20"/>
                <w:szCs w:val="20"/>
              </w:rPr>
            </w:pPr>
            <w:r w:rsidRPr="007C1E37">
              <w:rPr>
                <w:rFonts w:cs="Arial"/>
                <w:color w:val="000000"/>
                <w:sz w:val="20"/>
                <w:szCs w:val="20"/>
              </w:rPr>
              <w:t>$83,445</w:t>
            </w:r>
          </w:p>
        </w:tc>
        <w:tc>
          <w:tcPr>
            <w:tcW w:w="1418" w:type="dxa"/>
            <w:tcBorders>
              <w:top w:val="single" w:sz="4" w:space="0" w:color="BA61C9"/>
              <w:left w:val="single" w:sz="4" w:space="0" w:color="BA61C9"/>
              <w:bottom w:val="single" w:sz="4" w:space="0" w:color="BA61C9"/>
              <w:right w:val="single" w:sz="4" w:space="0" w:color="BA61C9"/>
            </w:tcBorders>
            <w:vAlign w:val="center"/>
          </w:tcPr>
          <w:p w14:paraId="42A945E3" w14:textId="77777777" w:rsidR="009F65EE" w:rsidRPr="007C1E37" w:rsidRDefault="009F65EE" w:rsidP="001E519A">
            <w:pPr>
              <w:spacing w:before="60" w:after="60"/>
              <w:jc w:val="right"/>
              <w:rPr>
                <w:rFonts w:cs="Arial"/>
                <w:color w:val="000000"/>
                <w:sz w:val="20"/>
                <w:szCs w:val="20"/>
              </w:rPr>
            </w:pPr>
            <w:r w:rsidRPr="007C1E37">
              <w:rPr>
                <w:rFonts w:cs="Arial"/>
                <w:color w:val="000000"/>
                <w:sz w:val="20"/>
                <w:szCs w:val="20"/>
              </w:rPr>
              <w:t>$98,982</w:t>
            </w:r>
          </w:p>
        </w:tc>
        <w:tc>
          <w:tcPr>
            <w:tcW w:w="1418" w:type="dxa"/>
            <w:tcBorders>
              <w:top w:val="single" w:sz="4" w:space="0" w:color="BA61C9"/>
              <w:left w:val="single" w:sz="4" w:space="0" w:color="BA61C9"/>
              <w:bottom w:val="single" w:sz="4" w:space="0" w:color="BA61C9"/>
              <w:right w:val="single" w:sz="4" w:space="0" w:color="BA61C9"/>
            </w:tcBorders>
            <w:vAlign w:val="center"/>
          </w:tcPr>
          <w:p w14:paraId="72EAE9FB" w14:textId="77777777" w:rsidR="009F65EE" w:rsidRPr="007C1E37" w:rsidRDefault="009F65EE" w:rsidP="001E519A">
            <w:pPr>
              <w:spacing w:before="60" w:after="60"/>
              <w:jc w:val="right"/>
              <w:rPr>
                <w:rFonts w:cs="Arial"/>
                <w:color w:val="000000"/>
                <w:sz w:val="20"/>
                <w:szCs w:val="20"/>
              </w:rPr>
            </w:pPr>
            <w:r w:rsidRPr="007C1E37">
              <w:rPr>
                <w:rFonts w:cs="Arial"/>
                <w:color w:val="000000"/>
                <w:sz w:val="20"/>
                <w:szCs w:val="20"/>
              </w:rPr>
              <w:t>$35,771</w:t>
            </w:r>
          </w:p>
        </w:tc>
        <w:tc>
          <w:tcPr>
            <w:tcW w:w="1134" w:type="dxa"/>
            <w:tcBorders>
              <w:top w:val="single" w:sz="4" w:space="0" w:color="BA61C9"/>
              <w:left w:val="single" w:sz="4" w:space="0" w:color="BA61C9"/>
              <w:bottom w:val="single" w:sz="4" w:space="0" w:color="BA61C9"/>
              <w:right w:val="single" w:sz="4" w:space="0" w:color="BA61C9"/>
            </w:tcBorders>
            <w:vAlign w:val="center"/>
          </w:tcPr>
          <w:p w14:paraId="391F3E31" w14:textId="77777777" w:rsidR="009F65EE" w:rsidRPr="007C1E37" w:rsidRDefault="009F65EE" w:rsidP="001E519A">
            <w:pPr>
              <w:spacing w:before="60" w:after="60"/>
              <w:jc w:val="right"/>
              <w:rPr>
                <w:rFonts w:cs="Arial"/>
                <w:color w:val="000000"/>
                <w:sz w:val="20"/>
                <w:szCs w:val="20"/>
              </w:rPr>
            </w:pPr>
            <w:r w:rsidRPr="007C1E37">
              <w:rPr>
                <w:rFonts w:cs="Arial"/>
                <w:color w:val="000000"/>
                <w:sz w:val="20"/>
                <w:szCs w:val="20"/>
              </w:rPr>
              <w:t>$59,079</w:t>
            </w:r>
          </w:p>
        </w:tc>
        <w:tc>
          <w:tcPr>
            <w:tcW w:w="1134" w:type="dxa"/>
            <w:tcBorders>
              <w:top w:val="single" w:sz="4" w:space="0" w:color="BA61C9"/>
              <w:left w:val="single" w:sz="4" w:space="0" w:color="BA61C9"/>
              <w:bottom w:val="single" w:sz="4" w:space="0" w:color="BA61C9"/>
              <w:right w:val="single" w:sz="4" w:space="0" w:color="BA61C9"/>
            </w:tcBorders>
            <w:vAlign w:val="center"/>
          </w:tcPr>
          <w:p w14:paraId="7EA1A8F3" w14:textId="77777777" w:rsidR="009F65EE" w:rsidRPr="007C1E37" w:rsidRDefault="009F65EE" w:rsidP="001E519A">
            <w:pPr>
              <w:spacing w:before="60" w:after="60"/>
              <w:jc w:val="right"/>
              <w:rPr>
                <w:rFonts w:cs="Arial"/>
                <w:color w:val="000000"/>
                <w:sz w:val="20"/>
                <w:szCs w:val="20"/>
              </w:rPr>
            </w:pPr>
            <w:r w:rsidRPr="007C1E37">
              <w:rPr>
                <w:rFonts w:cs="Arial"/>
                <w:color w:val="000000"/>
                <w:sz w:val="20"/>
                <w:szCs w:val="20"/>
              </w:rPr>
              <w:t>$19,152</w:t>
            </w:r>
          </w:p>
        </w:tc>
      </w:tr>
    </w:tbl>
    <w:p w14:paraId="02064DCF" w14:textId="77777777" w:rsidR="00C407C5" w:rsidRPr="008034CE" w:rsidRDefault="00C407C5" w:rsidP="0089703A">
      <w:pPr>
        <w:pStyle w:val="Sourcefortableorfigure"/>
        <w:spacing w:before="240"/>
      </w:pPr>
      <w:r w:rsidRPr="008034CE">
        <w:t>Source: NDIS internal administrative data</w:t>
      </w:r>
    </w:p>
    <w:p w14:paraId="46E3B0C7" w14:textId="3D99109C" w:rsidR="00C407C5" w:rsidRPr="008034CE" w:rsidRDefault="00C407C5" w:rsidP="00C407C5">
      <w:pPr>
        <w:pStyle w:val="Caption"/>
      </w:pPr>
      <w:bookmarkStart w:id="524" w:name="_Ref195091390"/>
      <w:r w:rsidRPr="008034CE">
        <w:lastRenderedPageBreak/>
        <w:t xml:space="preserve">Figure </w:t>
      </w:r>
      <w:r w:rsidR="005763F9">
        <w:fldChar w:fldCharType="begin"/>
      </w:r>
      <w:r w:rsidR="005763F9">
        <w:instrText xml:space="preserve"> SEQ Figure \* ARABIC </w:instrText>
      </w:r>
      <w:r w:rsidR="005763F9">
        <w:fldChar w:fldCharType="separate"/>
      </w:r>
      <w:r w:rsidR="005763F9">
        <w:rPr>
          <w:noProof/>
        </w:rPr>
        <w:t>29</w:t>
      </w:r>
      <w:r w:rsidR="005763F9">
        <w:rPr>
          <w:noProof/>
        </w:rPr>
        <w:fldChar w:fldCharType="end"/>
      </w:r>
      <w:bookmarkEnd w:id="524"/>
      <w:r w:rsidRPr="008034CE">
        <w:t>: The Counts of Registered Providers of Support Coordination Supports by Entity Type and Total Payments, July to December 2024</w:t>
      </w:r>
    </w:p>
    <w:p w14:paraId="28018D13" w14:textId="77777777" w:rsidR="00C407C5" w:rsidRPr="008034CE" w:rsidRDefault="00C407C5" w:rsidP="00C407C5">
      <w:pPr>
        <w:pStyle w:val="Image"/>
        <w:rPr>
          <w:noProof w:val="0"/>
        </w:rPr>
      </w:pPr>
      <w:r w:rsidRPr="008034CE">
        <w:drawing>
          <wp:inline distT="0" distB="0" distL="0" distR="0" wp14:anchorId="4FBBDBF1" wp14:editId="4F24205A">
            <wp:extent cx="5755136" cy="3369600"/>
            <wp:effectExtent l="0" t="0" r="0" b="2540"/>
            <wp:docPr id="1881331576" name="Picture 1" descr="A column graph showing the number of registered providers of support coordination supports by entity type and total payments. &#10;The $1m+ payment amount category has the greatest total number of providers. &#10;&#10;Across all total payment amount categories, companies are the most prevalent entity type, especially in the $1m+ category, where there are roughly 1,300 companies. In each of the other payment amount categories there are roughly between 250-700 companies.&#10;&#10;Sole traders are the next most prevalent entity type, and are mostly seen in the &lt;$50k category, where there are roughly 150 sole traders, and the $50k-$250k category, where there are roughly 200 sole traders.&#10;&#10;Trust/government/funds are less prevalent, with roughly less than 150 in each payment amount category.&#10;&#10;Partnerships are the least prevalent entity type, with roughly less than 50 partnerships in each payment amount category. &#10;&#10;Source: NDIS internal administrative dat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331576" name="Picture 1" descr="A column graph showing the number of registered providers of support coordination supports by entity type and total payments. &#10;The $1m+ payment amount category has the greatest total number of providers. &#10;&#10;Across all total payment amount categories, companies are the most prevalent entity type, especially in the $1m+ category, where there are roughly 1,300 companies. In each of the other payment amount categories there are roughly between 250-700 companies.&#10;&#10;Sole traders are the next most prevalent entity type, and are mostly seen in the &lt;$50k category, where there are roughly 150 sole traders, and the $50k-$250k category, where there are roughly 200 sole traders.&#10;&#10;Trust/government/funds are less prevalent, with roughly less than 150 in each payment amount category.&#10;&#10;Partnerships are the least prevalent entity type, with roughly less than 50 partnerships in each payment amount category. &#10;&#10;Source: NDIS internal administrative data. "/>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755136" cy="3369600"/>
                    </a:xfrm>
                    <a:prstGeom prst="rect">
                      <a:avLst/>
                    </a:prstGeom>
                  </pic:spPr>
                </pic:pic>
              </a:graphicData>
            </a:graphic>
          </wp:inline>
        </w:drawing>
      </w:r>
    </w:p>
    <w:p w14:paraId="5E8DE705" w14:textId="3518300A" w:rsidR="00C407C5" w:rsidRPr="008034CE" w:rsidRDefault="00C407C5" w:rsidP="00C407C5">
      <w:pPr>
        <w:pStyle w:val="Caption"/>
      </w:pPr>
      <w:bookmarkStart w:id="525" w:name="_Ref195091391"/>
      <w:r w:rsidRPr="008034CE">
        <w:t xml:space="preserve">Figure </w:t>
      </w:r>
      <w:r w:rsidR="005763F9">
        <w:fldChar w:fldCharType="begin"/>
      </w:r>
      <w:r w:rsidR="005763F9">
        <w:instrText xml:space="preserve"> SEQ Figure \* ARABIC </w:instrText>
      </w:r>
      <w:r w:rsidR="005763F9">
        <w:fldChar w:fldCharType="separate"/>
      </w:r>
      <w:r w:rsidR="005763F9">
        <w:rPr>
          <w:noProof/>
        </w:rPr>
        <w:t>30</w:t>
      </w:r>
      <w:r w:rsidR="005763F9">
        <w:rPr>
          <w:noProof/>
        </w:rPr>
        <w:fldChar w:fldCharType="end"/>
      </w:r>
      <w:bookmarkEnd w:id="525"/>
      <w:r w:rsidRPr="008034CE">
        <w:t>: The Counts of Unregistered Providers of Support Coordination Supports by Entity Type and Total Payments, July to December 2024</w:t>
      </w:r>
    </w:p>
    <w:p w14:paraId="3317CEAF" w14:textId="41E211D4" w:rsidR="00D5695E" w:rsidRDefault="00C407C5" w:rsidP="00D5695E">
      <w:pPr>
        <w:pStyle w:val="Image"/>
        <w:rPr>
          <w:noProof w:val="0"/>
        </w:rPr>
      </w:pPr>
      <w:r w:rsidRPr="008034CE">
        <w:drawing>
          <wp:inline distT="0" distB="0" distL="0" distR="0" wp14:anchorId="71363691" wp14:editId="545EAD1D">
            <wp:extent cx="5755136" cy="3369600"/>
            <wp:effectExtent l="0" t="0" r="0" b="2540"/>
            <wp:docPr id="1158914092" name="Picture 2" descr="A column graph showing the number of unregistered providers of support coordination supports by entity type and total payments. &#10;&#10;The &lt;$50k payment amount category has the greatest total number of providers.&#10;&#10;Sole traders are the most prevalent entity type in the &lt;$50k category, where there are roughly 2,500 sole traders, and in the $50k-$250k category, where there are roughly 1,000 sole traders.&#10;&#10;Companies are the next most prevalent entity type, with roughly between 100 to 700 companies across each of the payment amount categories. &#10;&#10;Trust/government/funds are less prevalent, with roughly less than 100 in each payment amount category.&#10;&#10;Partnerships are the least prevalent entity type, with roughly less than 50 partnerships in each payment amount category. &#10;&#10;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914092" name="Picture 2" descr="A column graph showing the number of unregistered providers of support coordination supports by entity type and total payments. &#10;&#10;The &lt;$50k payment amount category has the greatest total number of providers.&#10;&#10;Sole traders are the most prevalent entity type in the &lt;$50k category, where there are roughly 2,500 sole traders, and in the $50k-$250k category, where there are roughly 1,000 sole traders.&#10;&#10;Companies are the next most prevalent entity type, with roughly between 100 to 700 companies across each of the payment amount categories. &#10;&#10;Trust/government/funds are less prevalent, with roughly less than 100 in each payment amount category.&#10;&#10;Partnerships are the least prevalent entity type, with roughly less than 50 partnerships in each payment amount category. &#10;&#10;Source: NDIS internal administrative data."/>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755136" cy="3369600"/>
                    </a:xfrm>
                    <a:prstGeom prst="rect">
                      <a:avLst/>
                    </a:prstGeom>
                  </pic:spPr>
                </pic:pic>
              </a:graphicData>
            </a:graphic>
          </wp:inline>
        </w:drawing>
      </w:r>
    </w:p>
    <w:p w14:paraId="18D2C38A" w14:textId="77777777" w:rsidR="00D5695E" w:rsidRDefault="00D5695E">
      <w:pPr>
        <w:spacing w:before="120" w:after="120"/>
      </w:pPr>
      <w:r>
        <w:br w:type="page"/>
      </w:r>
    </w:p>
    <w:p w14:paraId="4E413C3E" w14:textId="77777777" w:rsidR="009C7E92" w:rsidRPr="008034CE" w:rsidRDefault="009C7E92" w:rsidP="009C7E92">
      <w:pPr>
        <w:pStyle w:val="Heading5"/>
      </w:pPr>
      <w:bookmarkStart w:id="526" w:name="_Toc195099189"/>
      <w:bookmarkStart w:id="527" w:name="_Toc200103563"/>
      <w:bookmarkStart w:id="528" w:name="_Toc200271675"/>
      <w:r w:rsidRPr="008034CE">
        <w:lastRenderedPageBreak/>
        <w:t>Provider Scale and Revenue Distribution</w:t>
      </w:r>
      <w:bookmarkEnd w:id="526"/>
      <w:bookmarkEnd w:id="527"/>
      <w:bookmarkEnd w:id="528"/>
      <w:r w:rsidRPr="008034CE">
        <w:t xml:space="preserve"> </w:t>
      </w:r>
    </w:p>
    <w:p w14:paraId="37B1033F" w14:textId="54853A18" w:rsidR="009C7E92" w:rsidRPr="008034CE" w:rsidRDefault="009C7E92" w:rsidP="009C7E92">
      <w:r w:rsidRPr="008034CE">
        <w:t>A total of 5,263 Support coordination providers</w:t>
      </w:r>
      <w:r w:rsidRPr="008034CE" w:rsidDel="009B2715">
        <w:t xml:space="preserve"> </w:t>
      </w:r>
      <w:r w:rsidRPr="008034CE">
        <w:t>serviced five or fewer participants in the July to December 2024 period, with those supporting a single participant claiming an average payment of just $2,000 (</w:t>
      </w:r>
      <w:r w:rsidR="008F5F63">
        <w:fldChar w:fldCharType="begin"/>
      </w:r>
      <w:r w:rsidR="008F5F63">
        <w:instrText xml:space="preserve"> REF _Ref195091294 \h </w:instrText>
      </w:r>
      <w:r w:rsidR="008F5F63">
        <w:fldChar w:fldCharType="separate"/>
      </w:r>
      <w:r w:rsidR="005763F9" w:rsidRPr="008034CE">
        <w:t xml:space="preserve">Table </w:t>
      </w:r>
      <w:r w:rsidR="005763F9">
        <w:rPr>
          <w:noProof/>
        </w:rPr>
        <w:t>30</w:t>
      </w:r>
      <w:r w:rsidR="008F5F63">
        <w:fldChar w:fldCharType="end"/>
      </w:r>
      <w:r w:rsidRPr="008034CE">
        <w:t>). In comparison, providers supporting between 11 and 50 participants, a cohort representing the mid-range of the market scale, averaged</w:t>
      </w:r>
      <w:r w:rsidRPr="008034CE" w:rsidDel="00B8637B">
        <w:t xml:space="preserve"> $</w:t>
      </w:r>
      <w:r w:rsidRPr="008034CE">
        <w:t>45,700 in claims per provider (</w:t>
      </w:r>
      <w:r w:rsidR="008F5F63">
        <w:fldChar w:fldCharType="begin"/>
      </w:r>
      <w:r w:rsidR="008F5F63">
        <w:instrText xml:space="preserve"> REF _Ref195091294 \h </w:instrText>
      </w:r>
      <w:r w:rsidR="008F5F63">
        <w:fldChar w:fldCharType="separate"/>
      </w:r>
      <w:r w:rsidR="005763F9" w:rsidRPr="008034CE">
        <w:t xml:space="preserve">Table </w:t>
      </w:r>
      <w:r w:rsidR="005763F9">
        <w:rPr>
          <w:noProof/>
        </w:rPr>
        <w:t>30</w:t>
      </w:r>
      <w:r w:rsidR="008F5F63">
        <w:fldChar w:fldCharType="end"/>
      </w:r>
      <w:r w:rsidRPr="008034CE">
        <w:t>). This</w:t>
      </w:r>
      <w:r w:rsidRPr="008034CE" w:rsidDel="001D6718">
        <w:t xml:space="preserve"> </w:t>
      </w:r>
      <w:r w:rsidRPr="008034CE">
        <w:t>significant difference suggests that the lower end of the market is dominated by providers operating at minimal scale, likely with limited infrastructure or short-term engagement (</w:t>
      </w:r>
      <w:r w:rsidR="008F5F63">
        <w:fldChar w:fldCharType="begin"/>
      </w:r>
      <w:r w:rsidR="008F5F63">
        <w:instrText xml:space="preserve"> REF _Ref195091294 \h </w:instrText>
      </w:r>
      <w:r w:rsidR="008F5F63">
        <w:fldChar w:fldCharType="separate"/>
      </w:r>
      <w:r w:rsidR="005763F9" w:rsidRPr="008034CE">
        <w:t xml:space="preserve">Table </w:t>
      </w:r>
      <w:r w:rsidR="005763F9">
        <w:rPr>
          <w:noProof/>
        </w:rPr>
        <w:t>30</w:t>
      </w:r>
      <w:r w:rsidR="008F5F63">
        <w:fldChar w:fldCharType="end"/>
      </w:r>
      <w:r w:rsidRPr="008034CE">
        <w:t xml:space="preserve">). </w:t>
      </w:r>
    </w:p>
    <w:p w14:paraId="1CD650DF" w14:textId="1D1DE520" w:rsidR="009C7E92" w:rsidRPr="008034CE" w:rsidRDefault="009C7E92" w:rsidP="009C7E92">
      <w:r w:rsidRPr="008034CE">
        <w:t>Overall, data suggests that one of the defining features in the support coordinator market is that small providers make up for more than half of the active provider base, and majority of the unregistered support coordination provider market (</w:t>
      </w:r>
      <w:r w:rsidR="008F5F63">
        <w:fldChar w:fldCharType="begin"/>
      </w:r>
      <w:r w:rsidR="008F5F63">
        <w:instrText xml:space="preserve"> REF _Ref195091294 \h </w:instrText>
      </w:r>
      <w:r w:rsidR="008F5F63">
        <w:fldChar w:fldCharType="separate"/>
      </w:r>
      <w:r w:rsidR="005763F9" w:rsidRPr="008034CE">
        <w:t xml:space="preserve">Table </w:t>
      </w:r>
      <w:r w:rsidR="005763F9">
        <w:rPr>
          <w:noProof/>
        </w:rPr>
        <w:t>30</w:t>
      </w:r>
      <w:r w:rsidR="008F5F63">
        <w:fldChar w:fldCharType="end"/>
      </w:r>
      <w:r w:rsidRPr="008034CE">
        <w:t xml:space="preserve">). </w:t>
      </w:r>
    </w:p>
    <w:p w14:paraId="64E92B57" w14:textId="30316D56" w:rsidR="009C7E92" w:rsidRPr="008034CE" w:rsidRDefault="009C7E92" w:rsidP="009C7E92">
      <w:pPr>
        <w:pStyle w:val="Caption"/>
      </w:pPr>
      <w:bookmarkStart w:id="529" w:name="_Ref195091294"/>
      <w:r w:rsidRPr="008034CE">
        <w:t xml:space="preserve">Table </w:t>
      </w:r>
      <w:r w:rsidR="005763F9">
        <w:fldChar w:fldCharType="begin"/>
      </w:r>
      <w:r w:rsidR="005763F9">
        <w:instrText xml:space="preserve"> SEQ Table \* ARABIC </w:instrText>
      </w:r>
      <w:r w:rsidR="005763F9">
        <w:fldChar w:fldCharType="separate"/>
      </w:r>
      <w:r w:rsidR="005763F9">
        <w:rPr>
          <w:noProof/>
        </w:rPr>
        <w:t>30</w:t>
      </w:r>
      <w:r w:rsidR="005763F9">
        <w:rPr>
          <w:noProof/>
        </w:rPr>
        <w:fldChar w:fldCharType="end"/>
      </w:r>
      <w:bookmarkEnd w:id="529"/>
      <w:r w:rsidRPr="008034CE">
        <w:t>: Statistics on the Size of Providers for Support Coordination Supports, July to December 2024</w:t>
      </w:r>
    </w:p>
    <w:tbl>
      <w:tblPr>
        <w:tblStyle w:val="GridTable4-Accent12"/>
        <w:tblW w:w="0" w:type="auto"/>
        <w:tblInd w:w="-5" w:type="dxa"/>
        <w:tblLayout w:type="fixed"/>
        <w:tblLook w:val="0420" w:firstRow="1" w:lastRow="0" w:firstColumn="0" w:lastColumn="0" w:noHBand="0" w:noVBand="1"/>
      </w:tblPr>
      <w:tblGrid>
        <w:gridCol w:w="2268"/>
        <w:gridCol w:w="1418"/>
        <w:gridCol w:w="1701"/>
        <w:gridCol w:w="1588"/>
        <w:gridCol w:w="1304"/>
      </w:tblGrid>
      <w:tr w:rsidR="009C7E92" w:rsidRPr="007C1E37" w14:paraId="73BDC30E" w14:textId="77777777" w:rsidTr="001E519A">
        <w:trPr>
          <w:cnfStyle w:val="100000000000" w:firstRow="1" w:lastRow="0" w:firstColumn="0" w:lastColumn="0" w:oddVBand="0" w:evenVBand="0" w:oddHBand="0" w:evenHBand="0" w:firstRowFirstColumn="0" w:firstRowLastColumn="0" w:lastRowFirstColumn="0" w:lastRowLastColumn="0"/>
          <w:trHeight w:val="567"/>
          <w:tblHeader/>
        </w:trPr>
        <w:tc>
          <w:tcPr>
            <w:tcW w:w="2268" w:type="dxa"/>
            <w:tcBorders>
              <w:top w:val="single" w:sz="4" w:space="0" w:color="501E58" w:themeColor="accent1" w:themeShade="BF"/>
              <w:left w:val="single" w:sz="4" w:space="0" w:color="501E58" w:themeColor="accent1" w:themeShade="BF"/>
              <w:bottom w:val="single" w:sz="4" w:space="0" w:color="501E58" w:themeColor="accent1" w:themeShade="BF"/>
              <w:right w:val="single" w:sz="6" w:space="0" w:color="501E58" w:themeColor="accent1" w:themeShade="BF"/>
            </w:tcBorders>
            <w:hideMark/>
          </w:tcPr>
          <w:p w14:paraId="491F2A00" w14:textId="77777777" w:rsidR="009C7E92" w:rsidRPr="007C1E37" w:rsidRDefault="009C7E92" w:rsidP="001E519A">
            <w:pPr>
              <w:spacing w:before="60" w:after="60"/>
              <w:rPr>
                <w:rFonts w:cs="Arial"/>
                <w:sz w:val="20"/>
                <w:szCs w:val="20"/>
                <w:lang w:eastAsia="en-AU"/>
              </w:rPr>
            </w:pPr>
            <w:r w:rsidRPr="007C1E37">
              <w:rPr>
                <w:rFonts w:cs="Arial"/>
                <w:sz w:val="20"/>
                <w:szCs w:val="20"/>
              </w:rPr>
              <w:t>Size of Provider (number of participants supported)</w:t>
            </w:r>
          </w:p>
        </w:tc>
        <w:tc>
          <w:tcPr>
            <w:tcW w:w="1418"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tcPr>
          <w:p w14:paraId="4B9B1ACA" w14:textId="77777777" w:rsidR="009C7E92" w:rsidRPr="007C1E37" w:rsidRDefault="009C7E92" w:rsidP="001E519A">
            <w:pPr>
              <w:spacing w:before="60" w:after="60"/>
              <w:jc w:val="right"/>
              <w:rPr>
                <w:rFonts w:cs="Arial"/>
                <w:sz w:val="20"/>
                <w:szCs w:val="20"/>
                <w:lang w:eastAsia="en-AU"/>
              </w:rPr>
            </w:pPr>
            <w:r w:rsidRPr="007C1E37">
              <w:rPr>
                <w:rFonts w:cs="Arial"/>
                <w:sz w:val="20"/>
                <w:szCs w:val="20"/>
              </w:rPr>
              <w:t xml:space="preserve">Number of Providers </w:t>
            </w:r>
          </w:p>
        </w:tc>
        <w:tc>
          <w:tcPr>
            <w:tcW w:w="1701"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tcPr>
          <w:p w14:paraId="185F9A97" w14:textId="77777777" w:rsidR="009C7E92" w:rsidRPr="007C1E37" w:rsidRDefault="009C7E92" w:rsidP="001E519A">
            <w:pPr>
              <w:spacing w:before="60" w:after="60"/>
              <w:jc w:val="right"/>
              <w:rPr>
                <w:rFonts w:cs="Arial"/>
                <w:sz w:val="20"/>
                <w:szCs w:val="20"/>
                <w:lang w:eastAsia="en-AU"/>
              </w:rPr>
            </w:pPr>
            <w:r w:rsidRPr="007C1E37">
              <w:rPr>
                <w:rFonts w:cs="Arial"/>
                <w:sz w:val="20"/>
                <w:szCs w:val="20"/>
              </w:rPr>
              <w:t>Total Payments to Providers (million)</w:t>
            </w:r>
          </w:p>
        </w:tc>
        <w:tc>
          <w:tcPr>
            <w:tcW w:w="1588"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tcPr>
          <w:p w14:paraId="26BA5937" w14:textId="77777777" w:rsidR="009C7E92" w:rsidRPr="007C1E37" w:rsidRDefault="009C7E92" w:rsidP="001E519A">
            <w:pPr>
              <w:spacing w:before="60" w:after="60"/>
              <w:jc w:val="right"/>
              <w:rPr>
                <w:rFonts w:cs="Arial"/>
                <w:sz w:val="20"/>
                <w:szCs w:val="20"/>
              </w:rPr>
            </w:pPr>
            <w:r w:rsidRPr="007C1E37">
              <w:rPr>
                <w:rFonts w:cs="Arial"/>
                <w:sz w:val="20"/>
                <w:szCs w:val="20"/>
              </w:rPr>
              <w:t xml:space="preserve">Average Payments to Providers </w:t>
            </w:r>
          </w:p>
        </w:tc>
        <w:tc>
          <w:tcPr>
            <w:tcW w:w="1304"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hideMark/>
          </w:tcPr>
          <w:p w14:paraId="55FD5BF6" w14:textId="77777777" w:rsidR="009C7E92" w:rsidRPr="007C1E37" w:rsidRDefault="009C7E92" w:rsidP="001E519A">
            <w:pPr>
              <w:spacing w:before="60" w:after="60"/>
              <w:jc w:val="right"/>
              <w:rPr>
                <w:rFonts w:cs="Arial"/>
                <w:sz w:val="20"/>
                <w:szCs w:val="20"/>
                <w:lang w:eastAsia="en-AU"/>
              </w:rPr>
            </w:pPr>
            <w:r w:rsidRPr="007C1E37">
              <w:rPr>
                <w:rFonts w:cs="Arial"/>
                <w:sz w:val="20"/>
                <w:szCs w:val="20"/>
              </w:rPr>
              <w:t>Share of Total Payments</w:t>
            </w:r>
          </w:p>
        </w:tc>
      </w:tr>
      <w:tr w:rsidR="009C7E92" w:rsidRPr="007C1E37" w14:paraId="2E87ECEF" w14:textId="77777777" w:rsidTr="001E519A">
        <w:trPr>
          <w:cnfStyle w:val="000000100000" w:firstRow="0" w:lastRow="0" w:firstColumn="0" w:lastColumn="0" w:oddVBand="0" w:evenVBand="0" w:oddHBand="1" w:evenHBand="0" w:firstRowFirstColumn="0" w:firstRowLastColumn="0" w:lastRowFirstColumn="0" w:lastRowLastColumn="0"/>
          <w:trHeight w:val="397"/>
        </w:trPr>
        <w:tc>
          <w:tcPr>
            <w:tcW w:w="2268" w:type="dxa"/>
            <w:tcBorders>
              <w:top w:val="single" w:sz="4" w:space="0" w:color="501E58" w:themeColor="accent1" w:themeShade="BF"/>
              <w:left w:val="single" w:sz="4" w:space="0" w:color="BA61C9"/>
              <w:bottom w:val="single" w:sz="4" w:space="0" w:color="BA61C9"/>
              <w:right w:val="single" w:sz="4" w:space="0" w:color="BA61C9" w:themeColor="accent1" w:themeTint="99"/>
            </w:tcBorders>
          </w:tcPr>
          <w:p w14:paraId="51F0F65B" w14:textId="77777777" w:rsidR="009C7E92" w:rsidRPr="007C1E37" w:rsidRDefault="009C7E92" w:rsidP="001E519A">
            <w:pPr>
              <w:spacing w:before="60" w:after="60"/>
              <w:ind w:left="37"/>
              <w:rPr>
                <w:rFonts w:cs="Arial"/>
                <w:sz w:val="20"/>
                <w:szCs w:val="20"/>
                <w:lang w:eastAsia="en-AU"/>
              </w:rPr>
            </w:pPr>
            <w:r w:rsidRPr="007C1E37">
              <w:rPr>
                <w:rFonts w:cs="Arial"/>
                <w:sz w:val="20"/>
                <w:szCs w:val="20"/>
              </w:rPr>
              <w:t>1</w:t>
            </w:r>
          </w:p>
        </w:tc>
        <w:tc>
          <w:tcPr>
            <w:tcW w:w="1418" w:type="dxa"/>
            <w:tcBorders>
              <w:top w:val="single" w:sz="4" w:space="0" w:color="501E58" w:themeColor="accent1" w:themeShade="BF"/>
              <w:left w:val="single" w:sz="4" w:space="0" w:color="BA61C9" w:themeColor="accent1" w:themeTint="99"/>
              <w:bottom w:val="single" w:sz="4" w:space="0" w:color="BA61C9"/>
              <w:right w:val="single" w:sz="4" w:space="0" w:color="BA61C9" w:themeColor="accent1" w:themeTint="99"/>
            </w:tcBorders>
            <w:vAlign w:val="bottom"/>
          </w:tcPr>
          <w:p w14:paraId="2427EE15" w14:textId="77777777" w:rsidR="009C7E92" w:rsidRPr="007C1E37" w:rsidRDefault="009C7E92" w:rsidP="001E519A">
            <w:pPr>
              <w:spacing w:before="60" w:after="60"/>
              <w:jc w:val="right"/>
              <w:rPr>
                <w:rFonts w:cs="Arial"/>
                <w:color w:val="000000"/>
                <w:sz w:val="20"/>
                <w:szCs w:val="20"/>
                <w:lang w:eastAsia="en-AU"/>
              </w:rPr>
            </w:pPr>
            <w:r w:rsidRPr="007C1E37">
              <w:rPr>
                <w:rFonts w:cs="Arial"/>
                <w:color w:val="000000"/>
                <w:sz w:val="20"/>
                <w:szCs w:val="20"/>
              </w:rPr>
              <w:t>2,964</w:t>
            </w:r>
          </w:p>
        </w:tc>
        <w:tc>
          <w:tcPr>
            <w:tcW w:w="1701" w:type="dxa"/>
            <w:tcBorders>
              <w:top w:val="single" w:sz="4" w:space="0" w:color="501E58" w:themeColor="accent1" w:themeShade="BF"/>
              <w:left w:val="single" w:sz="4" w:space="0" w:color="BA61C9" w:themeColor="accent1" w:themeTint="99"/>
              <w:bottom w:val="single" w:sz="4" w:space="0" w:color="BA61C9"/>
              <w:right w:val="single" w:sz="4" w:space="0" w:color="BA61C9" w:themeColor="accent1" w:themeTint="99"/>
            </w:tcBorders>
            <w:vAlign w:val="bottom"/>
          </w:tcPr>
          <w:p w14:paraId="2AE55A1F" w14:textId="77777777" w:rsidR="009C7E92" w:rsidRPr="0026024A" w:rsidRDefault="009C7E92" w:rsidP="001E519A">
            <w:pPr>
              <w:spacing w:before="60" w:after="60"/>
              <w:jc w:val="right"/>
              <w:rPr>
                <w:rFonts w:cs="Arial"/>
                <w:color w:val="000000"/>
                <w:sz w:val="20"/>
                <w:szCs w:val="20"/>
                <w:lang w:eastAsia="en-AU"/>
              </w:rPr>
            </w:pPr>
            <w:r w:rsidRPr="0026024A">
              <w:rPr>
                <w:rFonts w:cs="Arial"/>
                <w:color w:val="000000"/>
                <w:sz w:val="20"/>
                <w:szCs w:val="20"/>
              </w:rPr>
              <w:t>$5.9</w:t>
            </w:r>
          </w:p>
        </w:tc>
        <w:tc>
          <w:tcPr>
            <w:tcW w:w="1588" w:type="dxa"/>
            <w:tcBorders>
              <w:top w:val="single" w:sz="4" w:space="0" w:color="501E58" w:themeColor="accent1" w:themeShade="BF"/>
              <w:left w:val="single" w:sz="4" w:space="0" w:color="BA61C9" w:themeColor="accent1" w:themeTint="99"/>
              <w:bottom w:val="single" w:sz="4" w:space="0" w:color="BA61C9"/>
              <w:right w:val="single" w:sz="4" w:space="0" w:color="BA61C9" w:themeColor="accent1" w:themeTint="99"/>
            </w:tcBorders>
            <w:vAlign w:val="bottom"/>
          </w:tcPr>
          <w:p w14:paraId="3BBF1D78" w14:textId="77777777" w:rsidR="009C7E92" w:rsidRPr="0026024A" w:rsidRDefault="009C7E92" w:rsidP="001E519A">
            <w:pPr>
              <w:spacing w:before="60" w:after="60"/>
              <w:jc w:val="right"/>
              <w:rPr>
                <w:rFonts w:cs="Arial"/>
                <w:color w:val="000000"/>
                <w:sz w:val="20"/>
                <w:szCs w:val="20"/>
                <w:lang w:eastAsia="en-AU"/>
              </w:rPr>
            </w:pPr>
            <w:r w:rsidRPr="0026024A">
              <w:rPr>
                <w:rFonts w:cs="Arial"/>
                <w:color w:val="000000"/>
                <w:sz w:val="20"/>
                <w:szCs w:val="20"/>
              </w:rPr>
              <w:t>$2,000</w:t>
            </w:r>
          </w:p>
        </w:tc>
        <w:tc>
          <w:tcPr>
            <w:tcW w:w="1304" w:type="dxa"/>
            <w:tcBorders>
              <w:top w:val="single" w:sz="4" w:space="0" w:color="501E58" w:themeColor="accent1" w:themeShade="BF"/>
              <w:left w:val="single" w:sz="4" w:space="0" w:color="BA61C9" w:themeColor="accent1" w:themeTint="99"/>
              <w:bottom w:val="single" w:sz="4" w:space="0" w:color="BA61C9"/>
              <w:right w:val="single" w:sz="4" w:space="0" w:color="BA61C9" w:themeColor="accent1" w:themeTint="99"/>
            </w:tcBorders>
            <w:vAlign w:val="bottom"/>
          </w:tcPr>
          <w:p w14:paraId="2DDA6601" w14:textId="77777777" w:rsidR="009C7E92" w:rsidRPr="007C1E37" w:rsidRDefault="009C7E92" w:rsidP="001E519A">
            <w:pPr>
              <w:spacing w:before="60" w:after="60"/>
              <w:jc w:val="right"/>
              <w:rPr>
                <w:rFonts w:cs="Arial"/>
                <w:color w:val="000000"/>
                <w:sz w:val="20"/>
                <w:szCs w:val="20"/>
                <w:lang w:eastAsia="en-AU"/>
              </w:rPr>
            </w:pPr>
            <w:r w:rsidRPr="007C1E37">
              <w:rPr>
                <w:rFonts w:cs="Arial"/>
                <w:color w:val="000000"/>
                <w:sz w:val="20"/>
                <w:szCs w:val="20"/>
              </w:rPr>
              <w:t>1%</w:t>
            </w:r>
          </w:p>
        </w:tc>
      </w:tr>
      <w:tr w:rsidR="009C7E92" w:rsidRPr="007C1E37" w14:paraId="1BB0469E" w14:textId="77777777" w:rsidTr="001E519A">
        <w:trPr>
          <w:trHeight w:val="397"/>
        </w:trPr>
        <w:tc>
          <w:tcPr>
            <w:tcW w:w="2268" w:type="dxa"/>
            <w:tcBorders>
              <w:top w:val="single" w:sz="4" w:space="0" w:color="BA61C9"/>
              <w:left w:val="single" w:sz="4" w:space="0" w:color="BA61C9"/>
              <w:bottom w:val="single" w:sz="4" w:space="0" w:color="BA61C9"/>
              <w:right w:val="single" w:sz="4" w:space="0" w:color="BA61C9" w:themeColor="accent1" w:themeTint="99"/>
            </w:tcBorders>
          </w:tcPr>
          <w:p w14:paraId="2F996BFC" w14:textId="77777777" w:rsidR="009C7E92" w:rsidRPr="007C1E37" w:rsidRDefault="009C7E92" w:rsidP="001E519A">
            <w:pPr>
              <w:spacing w:before="60" w:after="60"/>
              <w:ind w:left="37"/>
              <w:rPr>
                <w:rFonts w:cs="Arial"/>
                <w:sz w:val="20"/>
                <w:szCs w:val="20"/>
                <w:lang w:eastAsia="en-AU"/>
              </w:rPr>
            </w:pPr>
            <w:r w:rsidRPr="007C1E37">
              <w:rPr>
                <w:rFonts w:cs="Arial"/>
                <w:sz w:val="20"/>
                <w:szCs w:val="20"/>
              </w:rPr>
              <w:t>2</w:t>
            </w:r>
          </w:p>
        </w:tc>
        <w:tc>
          <w:tcPr>
            <w:tcW w:w="1418"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bottom"/>
          </w:tcPr>
          <w:p w14:paraId="2BD07040" w14:textId="77777777" w:rsidR="009C7E92" w:rsidRPr="007C1E37" w:rsidRDefault="009C7E92" w:rsidP="001E519A">
            <w:pPr>
              <w:spacing w:before="60" w:after="60"/>
              <w:jc w:val="right"/>
              <w:rPr>
                <w:rFonts w:cs="Arial"/>
                <w:color w:val="000000"/>
                <w:sz w:val="20"/>
                <w:szCs w:val="20"/>
                <w:lang w:eastAsia="en-AU"/>
              </w:rPr>
            </w:pPr>
            <w:r w:rsidRPr="007C1E37">
              <w:rPr>
                <w:rFonts w:cs="Arial"/>
                <w:color w:val="000000"/>
                <w:sz w:val="20"/>
                <w:szCs w:val="20"/>
              </w:rPr>
              <w:t>920</w:t>
            </w:r>
          </w:p>
        </w:tc>
        <w:tc>
          <w:tcPr>
            <w:tcW w:w="1701"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bottom"/>
          </w:tcPr>
          <w:p w14:paraId="766F0896" w14:textId="77777777" w:rsidR="009C7E92" w:rsidRPr="0026024A" w:rsidRDefault="009C7E92" w:rsidP="001E519A">
            <w:pPr>
              <w:spacing w:before="60" w:after="60"/>
              <w:jc w:val="right"/>
              <w:rPr>
                <w:rFonts w:cs="Arial"/>
                <w:color w:val="000000"/>
                <w:sz w:val="20"/>
                <w:szCs w:val="20"/>
                <w:lang w:eastAsia="en-AU"/>
              </w:rPr>
            </w:pPr>
            <w:r w:rsidRPr="0026024A">
              <w:rPr>
                <w:rFonts w:cs="Arial"/>
                <w:color w:val="000000"/>
                <w:sz w:val="20"/>
                <w:szCs w:val="20"/>
              </w:rPr>
              <w:t>$3.8</w:t>
            </w:r>
          </w:p>
        </w:tc>
        <w:tc>
          <w:tcPr>
            <w:tcW w:w="1588"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bottom"/>
          </w:tcPr>
          <w:p w14:paraId="1CA94B52" w14:textId="77777777" w:rsidR="009C7E92" w:rsidRPr="0026024A" w:rsidRDefault="009C7E92" w:rsidP="001E519A">
            <w:pPr>
              <w:spacing w:before="60" w:after="60"/>
              <w:jc w:val="right"/>
              <w:rPr>
                <w:rFonts w:cs="Arial"/>
                <w:color w:val="000000"/>
                <w:sz w:val="20"/>
                <w:szCs w:val="20"/>
                <w:lang w:eastAsia="en-AU"/>
              </w:rPr>
            </w:pPr>
            <w:r w:rsidRPr="0026024A">
              <w:rPr>
                <w:rFonts w:cs="Arial"/>
                <w:color w:val="000000"/>
                <w:sz w:val="20"/>
                <w:szCs w:val="20"/>
              </w:rPr>
              <w:t>$4,200</w:t>
            </w:r>
          </w:p>
        </w:tc>
        <w:tc>
          <w:tcPr>
            <w:tcW w:w="1304"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bottom"/>
          </w:tcPr>
          <w:p w14:paraId="25BB40C3" w14:textId="77777777" w:rsidR="009C7E92" w:rsidRPr="007C1E37" w:rsidRDefault="009C7E92" w:rsidP="001E519A">
            <w:pPr>
              <w:spacing w:before="60" w:after="60"/>
              <w:jc w:val="right"/>
              <w:rPr>
                <w:rFonts w:cs="Arial"/>
                <w:color w:val="000000"/>
                <w:sz w:val="20"/>
                <w:szCs w:val="20"/>
                <w:lang w:eastAsia="en-AU"/>
              </w:rPr>
            </w:pPr>
            <w:r w:rsidRPr="007C1E37">
              <w:rPr>
                <w:rFonts w:cs="Arial"/>
                <w:color w:val="000000"/>
                <w:sz w:val="20"/>
                <w:szCs w:val="20"/>
              </w:rPr>
              <w:t>1%</w:t>
            </w:r>
          </w:p>
        </w:tc>
      </w:tr>
      <w:tr w:rsidR="009C7E92" w:rsidRPr="007C1E37" w14:paraId="45D80C69" w14:textId="77777777" w:rsidTr="001E519A">
        <w:trPr>
          <w:cnfStyle w:val="000000100000" w:firstRow="0" w:lastRow="0" w:firstColumn="0" w:lastColumn="0" w:oddVBand="0" w:evenVBand="0" w:oddHBand="1" w:evenHBand="0" w:firstRowFirstColumn="0" w:firstRowLastColumn="0" w:lastRowFirstColumn="0" w:lastRowLastColumn="0"/>
          <w:trHeight w:val="397"/>
        </w:trPr>
        <w:tc>
          <w:tcPr>
            <w:tcW w:w="2268" w:type="dxa"/>
            <w:tcBorders>
              <w:top w:val="single" w:sz="4" w:space="0" w:color="BA61C9"/>
              <w:left w:val="single" w:sz="4" w:space="0" w:color="BA61C9"/>
              <w:bottom w:val="single" w:sz="4" w:space="0" w:color="BA61C9"/>
              <w:right w:val="single" w:sz="4" w:space="0" w:color="BA61C9" w:themeColor="accent1" w:themeTint="99"/>
            </w:tcBorders>
          </w:tcPr>
          <w:p w14:paraId="5491E3B4" w14:textId="77777777" w:rsidR="009C7E92" w:rsidRPr="007C1E37" w:rsidRDefault="009C7E92" w:rsidP="001E519A">
            <w:pPr>
              <w:spacing w:before="60" w:after="60"/>
              <w:ind w:left="37"/>
              <w:rPr>
                <w:rFonts w:cs="Arial"/>
                <w:sz w:val="20"/>
                <w:szCs w:val="20"/>
                <w:lang w:eastAsia="en-AU"/>
              </w:rPr>
            </w:pPr>
            <w:r w:rsidRPr="007C1E37">
              <w:rPr>
                <w:rFonts w:cs="Arial"/>
                <w:sz w:val="20"/>
                <w:szCs w:val="20"/>
              </w:rPr>
              <w:t>3</w:t>
            </w:r>
          </w:p>
        </w:tc>
        <w:tc>
          <w:tcPr>
            <w:tcW w:w="1418"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bottom"/>
          </w:tcPr>
          <w:p w14:paraId="7BD95517" w14:textId="77777777" w:rsidR="009C7E92" w:rsidRPr="007C1E37" w:rsidRDefault="009C7E92" w:rsidP="001E519A">
            <w:pPr>
              <w:spacing w:before="60" w:after="60"/>
              <w:jc w:val="right"/>
              <w:rPr>
                <w:rFonts w:cs="Arial"/>
                <w:sz w:val="20"/>
                <w:szCs w:val="20"/>
              </w:rPr>
            </w:pPr>
            <w:r w:rsidRPr="007C1E37">
              <w:rPr>
                <w:rFonts w:cs="Arial"/>
                <w:color w:val="000000"/>
                <w:sz w:val="20"/>
                <w:szCs w:val="20"/>
              </w:rPr>
              <w:t>615</w:t>
            </w:r>
          </w:p>
        </w:tc>
        <w:tc>
          <w:tcPr>
            <w:tcW w:w="1701"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bottom"/>
          </w:tcPr>
          <w:p w14:paraId="5BA2585A" w14:textId="77777777" w:rsidR="009C7E92" w:rsidRPr="0026024A" w:rsidRDefault="009C7E92" w:rsidP="001E519A">
            <w:pPr>
              <w:spacing w:before="60" w:after="60"/>
              <w:jc w:val="right"/>
              <w:rPr>
                <w:rFonts w:cs="Arial"/>
                <w:sz w:val="20"/>
                <w:szCs w:val="20"/>
              </w:rPr>
            </w:pPr>
            <w:r w:rsidRPr="0026024A">
              <w:rPr>
                <w:rFonts w:cs="Arial"/>
                <w:color w:val="000000"/>
                <w:sz w:val="20"/>
                <w:szCs w:val="20"/>
              </w:rPr>
              <w:t>$3.9</w:t>
            </w:r>
          </w:p>
        </w:tc>
        <w:tc>
          <w:tcPr>
            <w:tcW w:w="1588"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bottom"/>
          </w:tcPr>
          <w:p w14:paraId="7E245E6A" w14:textId="77777777" w:rsidR="009C7E92" w:rsidRPr="0026024A" w:rsidRDefault="009C7E92" w:rsidP="001E519A">
            <w:pPr>
              <w:spacing w:before="60" w:after="60"/>
              <w:jc w:val="right"/>
              <w:rPr>
                <w:rFonts w:cs="Arial"/>
                <w:sz w:val="20"/>
                <w:szCs w:val="20"/>
              </w:rPr>
            </w:pPr>
            <w:r w:rsidRPr="0026024A">
              <w:rPr>
                <w:rFonts w:cs="Arial"/>
                <w:color w:val="000000"/>
                <w:sz w:val="20"/>
                <w:szCs w:val="20"/>
              </w:rPr>
              <w:t>$6,300</w:t>
            </w:r>
          </w:p>
        </w:tc>
        <w:tc>
          <w:tcPr>
            <w:tcW w:w="1304"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bottom"/>
          </w:tcPr>
          <w:p w14:paraId="54471406" w14:textId="77777777" w:rsidR="009C7E92" w:rsidRPr="007C1E37" w:rsidRDefault="009C7E92" w:rsidP="001E519A">
            <w:pPr>
              <w:spacing w:before="60" w:after="60"/>
              <w:jc w:val="right"/>
              <w:rPr>
                <w:rFonts w:cs="Arial"/>
                <w:sz w:val="20"/>
                <w:szCs w:val="20"/>
              </w:rPr>
            </w:pPr>
            <w:r w:rsidRPr="007C1E37">
              <w:rPr>
                <w:rFonts w:cs="Arial"/>
                <w:color w:val="000000"/>
                <w:sz w:val="20"/>
                <w:szCs w:val="20"/>
              </w:rPr>
              <w:t>1%</w:t>
            </w:r>
          </w:p>
        </w:tc>
      </w:tr>
      <w:tr w:rsidR="009C7E92" w:rsidRPr="007C1E37" w14:paraId="6CDF6DFA" w14:textId="77777777" w:rsidTr="001E519A">
        <w:trPr>
          <w:trHeight w:val="397"/>
        </w:trPr>
        <w:tc>
          <w:tcPr>
            <w:tcW w:w="2268" w:type="dxa"/>
            <w:tcBorders>
              <w:top w:val="single" w:sz="4" w:space="0" w:color="BA61C9"/>
              <w:left w:val="single" w:sz="4" w:space="0" w:color="BA61C9"/>
              <w:bottom w:val="single" w:sz="4" w:space="0" w:color="BA61C9"/>
              <w:right w:val="single" w:sz="4" w:space="0" w:color="BA61C9" w:themeColor="accent1" w:themeTint="99"/>
            </w:tcBorders>
          </w:tcPr>
          <w:p w14:paraId="0C60F702" w14:textId="77777777" w:rsidR="009C7E92" w:rsidRPr="007C1E37" w:rsidRDefault="009C7E92" w:rsidP="001E519A">
            <w:pPr>
              <w:spacing w:before="60" w:after="60"/>
              <w:ind w:left="37"/>
              <w:rPr>
                <w:rFonts w:cs="Arial"/>
                <w:b/>
                <w:bCs/>
                <w:sz w:val="20"/>
                <w:szCs w:val="20"/>
                <w:lang w:eastAsia="en-AU"/>
              </w:rPr>
            </w:pPr>
            <w:r w:rsidRPr="007C1E37">
              <w:rPr>
                <w:rFonts w:cs="Arial"/>
                <w:sz w:val="20"/>
                <w:szCs w:val="20"/>
              </w:rPr>
              <w:t>4</w:t>
            </w:r>
          </w:p>
        </w:tc>
        <w:tc>
          <w:tcPr>
            <w:tcW w:w="1418"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bottom"/>
          </w:tcPr>
          <w:p w14:paraId="7EF0B98D" w14:textId="77777777" w:rsidR="009C7E92" w:rsidRPr="007C1E37" w:rsidRDefault="009C7E92" w:rsidP="001E519A">
            <w:pPr>
              <w:spacing w:before="60" w:after="60"/>
              <w:jc w:val="right"/>
              <w:rPr>
                <w:rFonts w:cs="Arial"/>
                <w:b/>
                <w:bCs/>
                <w:sz w:val="20"/>
                <w:szCs w:val="20"/>
              </w:rPr>
            </w:pPr>
            <w:r w:rsidRPr="007C1E37">
              <w:rPr>
                <w:rFonts w:cs="Arial"/>
                <w:color w:val="000000"/>
                <w:sz w:val="20"/>
                <w:szCs w:val="20"/>
              </w:rPr>
              <w:t>429</w:t>
            </w:r>
          </w:p>
        </w:tc>
        <w:tc>
          <w:tcPr>
            <w:tcW w:w="1701"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bottom"/>
          </w:tcPr>
          <w:p w14:paraId="740B4E68" w14:textId="77777777" w:rsidR="009C7E92" w:rsidRPr="0026024A" w:rsidRDefault="009C7E92" w:rsidP="001E519A">
            <w:pPr>
              <w:spacing w:before="60" w:after="60"/>
              <w:jc w:val="right"/>
              <w:rPr>
                <w:rFonts w:cs="Arial"/>
                <w:b/>
                <w:bCs/>
                <w:sz w:val="20"/>
                <w:szCs w:val="20"/>
              </w:rPr>
            </w:pPr>
            <w:r w:rsidRPr="0026024A">
              <w:rPr>
                <w:rFonts w:cs="Arial"/>
                <w:color w:val="000000"/>
                <w:sz w:val="20"/>
                <w:szCs w:val="20"/>
              </w:rPr>
              <w:t>$3.6</w:t>
            </w:r>
          </w:p>
        </w:tc>
        <w:tc>
          <w:tcPr>
            <w:tcW w:w="1588"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bottom"/>
          </w:tcPr>
          <w:p w14:paraId="70CBD31B" w14:textId="77777777" w:rsidR="009C7E92" w:rsidRPr="0026024A" w:rsidRDefault="009C7E92" w:rsidP="001E519A">
            <w:pPr>
              <w:spacing w:before="60" w:after="60"/>
              <w:jc w:val="right"/>
              <w:rPr>
                <w:rFonts w:cs="Arial"/>
                <w:b/>
                <w:bCs/>
                <w:sz w:val="20"/>
                <w:szCs w:val="20"/>
              </w:rPr>
            </w:pPr>
            <w:r w:rsidRPr="0026024A">
              <w:rPr>
                <w:rFonts w:cs="Arial"/>
                <w:color w:val="000000"/>
                <w:sz w:val="20"/>
                <w:szCs w:val="20"/>
              </w:rPr>
              <w:t>$8,400</w:t>
            </w:r>
          </w:p>
        </w:tc>
        <w:tc>
          <w:tcPr>
            <w:tcW w:w="1304"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bottom"/>
          </w:tcPr>
          <w:p w14:paraId="566E9F3B" w14:textId="77777777" w:rsidR="009C7E92" w:rsidRPr="007C1E37" w:rsidRDefault="009C7E92" w:rsidP="001E519A">
            <w:pPr>
              <w:spacing w:before="60" w:after="60"/>
              <w:jc w:val="right"/>
              <w:rPr>
                <w:rFonts w:cs="Arial"/>
                <w:b/>
                <w:bCs/>
                <w:sz w:val="20"/>
                <w:szCs w:val="20"/>
              </w:rPr>
            </w:pPr>
            <w:r w:rsidRPr="007C1E37">
              <w:rPr>
                <w:rFonts w:cs="Arial"/>
                <w:color w:val="000000"/>
                <w:sz w:val="20"/>
                <w:szCs w:val="20"/>
              </w:rPr>
              <w:t>1%</w:t>
            </w:r>
          </w:p>
        </w:tc>
      </w:tr>
      <w:tr w:rsidR="009C7E92" w:rsidRPr="007C1E37" w14:paraId="36EEE4D9" w14:textId="77777777" w:rsidTr="001E519A">
        <w:trPr>
          <w:cnfStyle w:val="000000100000" w:firstRow="0" w:lastRow="0" w:firstColumn="0" w:lastColumn="0" w:oddVBand="0" w:evenVBand="0" w:oddHBand="1" w:evenHBand="0" w:firstRowFirstColumn="0" w:firstRowLastColumn="0" w:lastRowFirstColumn="0" w:lastRowLastColumn="0"/>
          <w:trHeight w:val="397"/>
        </w:trPr>
        <w:tc>
          <w:tcPr>
            <w:tcW w:w="2268" w:type="dxa"/>
            <w:tcBorders>
              <w:top w:val="single" w:sz="4" w:space="0" w:color="BA61C9"/>
              <w:left w:val="single" w:sz="4" w:space="0" w:color="BA61C9"/>
              <w:bottom w:val="single" w:sz="4" w:space="0" w:color="BA61C9"/>
              <w:right w:val="single" w:sz="4" w:space="0" w:color="BA61C9" w:themeColor="accent1" w:themeTint="99"/>
            </w:tcBorders>
          </w:tcPr>
          <w:p w14:paraId="528AFDF7" w14:textId="77777777" w:rsidR="009C7E92" w:rsidRPr="007C1E37" w:rsidRDefault="009C7E92" w:rsidP="001E519A">
            <w:pPr>
              <w:spacing w:before="60" w:after="60"/>
              <w:ind w:left="37"/>
              <w:rPr>
                <w:rFonts w:cs="Arial"/>
                <w:b/>
                <w:bCs/>
                <w:sz w:val="20"/>
                <w:szCs w:val="20"/>
                <w:lang w:eastAsia="en-AU"/>
              </w:rPr>
            </w:pPr>
            <w:r w:rsidRPr="007C1E37">
              <w:rPr>
                <w:rFonts w:cs="Arial"/>
                <w:sz w:val="20"/>
                <w:szCs w:val="20"/>
              </w:rPr>
              <w:t>5</w:t>
            </w:r>
          </w:p>
        </w:tc>
        <w:tc>
          <w:tcPr>
            <w:tcW w:w="1418"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bottom"/>
          </w:tcPr>
          <w:p w14:paraId="393DC72B" w14:textId="77777777" w:rsidR="009C7E92" w:rsidRPr="007C1E37" w:rsidRDefault="009C7E92" w:rsidP="001E519A">
            <w:pPr>
              <w:spacing w:before="60" w:after="60"/>
              <w:jc w:val="right"/>
              <w:rPr>
                <w:rFonts w:cs="Arial"/>
                <w:b/>
                <w:bCs/>
                <w:sz w:val="20"/>
                <w:szCs w:val="20"/>
              </w:rPr>
            </w:pPr>
            <w:r w:rsidRPr="007C1E37">
              <w:rPr>
                <w:rFonts w:cs="Arial"/>
                <w:color w:val="000000"/>
                <w:sz w:val="20"/>
                <w:szCs w:val="20"/>
              </w:rPr>
              <w:t>335</w:t>
            </w:r>
          </w:p>
        </w:tc>
        <w:tc>
          <w:tcPr>
            <w:tcW w:w="1701"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bottom"/>
          </w:tcPr>
          <w:p w14:paraId="120E9FAE" w14:textId="77777777" w:rsidR="009C7E92" w:rsidRPr="0026024A" w:rsidRDefault="009C7E92" w:rsidP="001E519A">
            <w:pPr>
              <w:spacing w:before="60" w:after="60"/>
              <w:jc w:val="right"/>
              <w:rPr>
                <w:rFonts w:cs="Arial"/>
                <w:b/>
                <w:bCs/>
                <w:sz w:val="20"/>
                <w:szCs w:val="20"/>
              </w:rPr>
            </w:pPr>
            <w:r w:rsidRPr="0026024A">
              <w:rPr>
                <w:rFonts w:cs="Arial"/>
                <w:color w:val="000000"/>
                <w:sz w:val="20"/>
                <w:szCs w:val="20"/>
              </w:rPr>
              <w:t>$3.6</w:t>
            </w:r>
          </w:p>
        </w:tc>
        <w:tc>
          <w:tcPr>
            <w:tcW w:w="1588"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bottom"/>
          </w:tcPr>
          <w:p w14:paraId="56108EA2" w14:textId="77777777" w:rsidR="009C7E92" w:rsidRPr="0026024A" w:rsidRDefault="009C7E92" w:rsidP="001E519A">
            <w:pPr>
              <w:spacing w:before="60" w:after="60"/>
              <w:jc w:val="right"/>
              <w:rPr>
                <w:rFonts w:cs="Arial"/>
                <w:b/>
                <w:bCs/>
                <w:sz w:val="20"/>
                <w:szCs w:val="20"/>
              </w:rPr>
            </w:pPr>
            <w:r w:rsidRPr="0026024A">
              <w:rPr>
                <w:rFonts w:cs="Arial"/>
                <w:color w:val="000000"/>
                <w:sz w:val="20"/>
                <w:szCs w:val="20"/>
              </w:rPr>
              <w:t>$10,800</w:t>
            </w:r>
          </w:p>
        </w:tc>
        <w:tc>
          <w:tcPr>
            <w:tcW w:w="1304"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bottom"/>
          </w:tcPr>
          <w:p w14:paraId="543CAE13" w14:textId="77777777" w:rsidR="009C7E92" w:rsidRPr="007C1E37" w:rsidRDefault="009C7E92" w:rsidP="001E519A">
            <w:pPr>
              <w:spacing w:before="60" w:after="60"/>
              <w:jc w:val="right"/>
              <w:rPr>
                <w:rFonts w:cs="Arial"/>
                <w:b/>
                <w:bCs/>
                <w:sz w:val="20"/>
                <w:szCs w:val="20"/>
              </w:rPr>
            </w:pPr>
            <w:r w:rsidRPr="007C1E37">
              <w:rPr>
                <w:rFonts w:cs="Arial"/>
                <w:color w:val="000000"/>
                <w:sz w:val="20"/>
                <w:szCs w:val="20"/>
              </w:rPr>
              <w:t>1%</w:t>
            </w:r>
          </w:p>
        </w:tc>
      </w:tr>
      <w:tr w:rsidR="009C7E92" w:rsidRPr="007C1E37" w14:paraId="78C11AC4" w14:textId="77777777" w:rsidTr="001E519A">
        <w:trPr>
          <w:trHeight w:val="397"/>
        </w:trPr>
        <w:tc>
          <w:tcPr>
            <w:tcW w:w="2268" w:type="dxa"/>
            <w:tcBorders>
              <w:top w:val="single" w:sz="4" w:space="0" w:color="BA61C9"/>
              <w:left w:val="single" w:sz="4" w:space="0" w:color="BA61C9"/>
              <w:bottom w:val="single" w:sz="4" w:space="0" w:color="BA61C9"/>
              <w:right w:val="single" w:sz="4" w:space="0" w:color="BA61C9" w:themeColor="accent1" w:themeTint="99"/>
            </w:tcBorders>
          </w:tcPr>
          <w:p w14:paraId="05CE196D" w14:textId="77777777" w:rsidR="009C7E92" w:rsidRPr="007C1E37" w:rsidRDefault="009C7E92" w:rsidP="001E519A">
            <w:pPr>
              <w:spacing w:before="60" w:after="60"/>
              <w:ind w:left="37"/>
              <w:rPr>
                <w:rFonts w:cs="Arial"/>
                <w:b/>
                <w:bCs/>
                <w:sz w:val="20"/>
                <w:szCs w:val="20"/>
                <w:lang w:eastAsia="en-AU"/>
              </w:rPr>
            </w:pPr>
            <w:r w:rsidRPr="007C1E37">
              <w:rPr>
                <w:rFonts w:cs="Arial"/>
                <w:sz w:val="20"/>
                <w:szCs w:val="20"/>
              </w:rPr>
              <w:t>6-10</w:t>
            </w:r>
          </w:p>
        </w:tc>
        <w:tc>
          <w:tcPr>
            <w:tcW w:w="1418"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bottom"/>
          </w:tcPr>
          <w:p w14:paraId="4EB20DBD" w14:textId="77777777" w:rsidR="009C7E92" w:rsidRPr="007C1E37" w:rsidRDefault="009C7E92" w:rsidP="001E519A">
            <w:pPr>
              <w:spacing w:before="60" w:after="60"/>
              <w:jc w:val="right"/>
              <w:rPr>
                <w:rFonts w:cs="Arial"/>
                <w:b/>
                <w:bCs/>
                <w:sz w:val="20"/>
                <w:szCs w:val="20"/>
              </w:rPr>
            </w:pPr>
            <w:r w:rsidRPr="007C1E37">
              <w:rPr>
                <w:rFonts w:cs="Arial"/>
                <w:color w:val="000000"/>
                <w:sz w:val="20"/>
                <w:szCs w:val="20"/>
              </w:rPr>
              <w:t>1,110</w:t>
            </w:r>
          </w:p>
        </w:tc>
        <w:tc>
          <w:tcPr>
            <w:tcW w:w="1701"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bottom"/>
          </w:tcPr>
          <w:p w14:paraId="1FC5ECC5" w14:textId="77777777" w:rsidR="009C7E92" w:rsidRPr="0026024A" w:rsidRDefault="009C7E92" w:rsidP="001E519A">
            <w:pPr>
              <w:spacing w:before="60" w:after="60"/>
              <w:jc w:val="right"/>
              <w:rPr>
                <w:rFonts w:cs="Arial"/>
                <w:b/>
                <w:bCs/>
                <w:sz w:val="20"/>
                <w:szCs w:val="20"/>
              </w:rPr>
            </w:pPr>
            <w:r w:rsidRPr="0026024A">
              <w:rPr>
                <w:rFonts w:cs="Arial"/>
                <w:color w:val="000000"/>
                <w:sz w:val="20"/>
                <w:szCs w:val="20"/>
              </w:rPr>
              <w:t>$17.3</w:t>
            </w:r>
          </w:p>
        </w:tc>
        <w:tc>
          <w:tcPr>
            <w:tcW w:w="1588"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bottom"/>
          </w:tcPr>
          <w:p w14:paraId="071904A2" w14:textId="77777777" w:rsidR="009C7E92" w:rsidRPr="0026024A" w:rsidRDefault="009C7E92" w:rsidP="001E519A">
            <w:pPr>
              <w:spacing w:before="60" w:after="60"/>
              <w:jc w:val="right"/>
              <w:rPr>
                <w:rFonts w:cs="Arial"/>
                <w:b/>
                <w:bCs/>
                <w:sz w:val="20"/>
                <w:szCs w:val="20"/>
              </w:rPr>
            </w:pPr>
            <w:r w:rsidRPr="0026024A">
              <w:rPr>
                <w:rFonts w:cs="Arial"/>
                <w:color w:val="000000"/>
                <w:sz w:val="20"/>
                <w:szCs w:val="20"/>
              </w:rPr>
              <w:t>$15,600</w:t>
            </w:r>
          </w:p>
        </w:tc>
        <w:tc>
          <w:tcPr>
            <w:tcW w:w="1304"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bottom"/>
          </w:tcPr>
          <w:p w14:paraId="65D35DC4" w14:textId="77777777" w:rsidR="009C7E92" w:rsidRPr="007C1E37" w:rsidRDefault="009C7E92" w:rsidP="001E519A">
            <w:pPr>
              <w:spacing w:before="60" w:after="60"/>
              <w:jc w:val="right"/>
              <w:rPr>
                <w:rFonts w:cs="Arial"/>
                <w:b/>
                <w:bCs/>
                <w:sz w:val="20"/>
                <w:szCs w:val="20"/>
              </w:rPr>
            </w:pPr>
            <w:r w:rsidRPr="007C1E37">
              <w:rPr>
                <w:rFonts w:cs="Arial"/>
                <w:color w:val="000000"/>
                <w:sz w:val="20"/>
                <w:szCs w:val="20"/>
              </w:rPr>
              <w:t>3%</w:t>
            </w:r>
          </w:p>
        </w:tc>
      </w:tr>
      <w:tr w:rsidR="009C7E92" w:rsidRPr="007C1E37" w14:paraId="44CEBE29" w14:textId="77777777" w:rsidTr="001E519A">
        <w:trPr>
          <w:cnfStyle w:val="000000100000" w:firstRow="0" w:lastRow="0" w:firstColumn="0" w:lastColumn="0" w:oddVBand="0" w:evenVBand="0" w:oddHBand="1" w:evenHBand="0" w:firstRowFirstColumn="0" w:firstRowLastColumn="0" w:lastRowFirstColumn="0" w:lastRowLastColumn="0"/>
          <w:trHeight w:val="397"/>
        </w:trPr>
        <w:tc>
          <w:tcPr>
            <w:tcW w:w="2268" w:type="dxa"/>
            <w:tcBorders>
              <w:top w:val="single" w:sz="4" w:space="0" w:color="BA61C9"/>
              <w:left w:val="single" w:sz="4" w:space="0" w:color="BA61C9"/>
              <w:bottom w:val="single" w:sz="4" w:space="0" w:color="BA61C9"/>
              <w:right w:val="single" w:sz="4" w:space="0" w:color="BA61C9" w:themeColor="accent1" w:themeTint="99"/>
            </w:tcBorders>
          </w:tcPr>
          <w:p w14:paraId="232CC6FE" w14:textId="77777777" w:rsidR="009C7E92" w:rsidRPr="007C1E37" w:rsidRDefault="009C7E92" w:rsidP="001E519A">
            <w:pPr>
              <w:spacing w:before="60" w:after="60"/>
              <w:ind w:left="37"/>
              <w:rPr>
                <w:rFonts w:cs="Arial"/>
                <w:b/>
                <w:bCs/>
                <w:sz w:val="20"/>
                <w:szCs w:val="20"/>
                <w:lang w:eastAsia="en-AU"/>
              </w:rPr>
            </w:pPr>
            <w:r w:rsidRPr="007C1E37">
              <w:rPr>
                <w:rFonts w:cs="Arial"/>
                <w:sz w:val="20"/>
                <w:szCs w:val="20"/>
              </w:rPr>
              <w:t>11-50</w:t>
            </w:r>
          </w:p>
        </w:tc>
        <w:tc>
          <w:tcPr>
            <w:tcW w:w="1418"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bottom"/>
          </w:tcPr>
          <w:p w14:paraId="07DAC66F" w14:textId="77777777" w:rsidR="009C7E92" w:rsidRPr="007C1E37" w:rsidRDefault="009C7E92" w:rsidP="001E519A">
            <w:pPr>
              <w:spacing w:before="60" w:after="60"/>
              <w:jc w:val="right"/>
              <w:rPr>
                <w:rFonts w:cs="Arial"/>
                <w:b/>
                <w:bCs/>
                <w:sz w:val="20"/>
                <w:szCs w:val="20"/>
              </w:rPr>
            </w:pPr>
            <w:r w:rsidRPr="007C1E37">
              <w:rPr>
                <w:rFonts w:cs="Arial"/>
                <w:color w:val="000000"/>
                <w:sz w:val="20"/>
                <w:szCs w:val="20"/>
              </w:rPr>
              <w:t>2,552</w:t>
            </w:r>
          </w:p>
        </w:tc>
        <w:tc>
          <w:tcPr>
            <w:tcW w:w="1701"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bottom"/>
          </w:tcPr>
          <w:p w14:paraId="6EFB40BA" w14:textId="77777777" w:rsidR="009C7E92" w:rsidRPr="0026024A" w:rsidRDefault="009C7E92" w:rsidP="001E519A">
            <w:pPr>
              <w:spacing w:before="60" w:after="60"/>
              <w:jc w:val="right"/>
              <w:rPr>
                <w:rFonts w:cs="Arial"/>
                <w:b/>
                <w:bCs/>
                <w:sz w:val="20"/>
                <w:szCs w:val="20"/>
              </w:rPr>
            </w:pPr>
            <w:r w:rsidRPr="0026024A">
              <w:rPr>
                <w:rFonts w:cs="Arial"/>
                <w:color w:val="000000"/>
                <w:sz w:val="20"/>
                <w:szCs w:val="20"/>
              </w:rPr>
              <w:t>$116.7</w:t>
            </w:r>
          </w:p>
        </w:tc>
        <w:tc>
          <w:tcPr>
            <w:tcW w:w="1588"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bottom"/>
          </w:tcPr>
          <w:p w14:paraId="37EF0673" w14:textId="77777777" w:rsidR="009C7E92" w:rsidRPr="0026024A" w:rsidRDefault="009C7E92" w:rsidP="001E519A">
            <w:pPr>
              <w:spacing w:before="60" w:after="60"/>
              <w:jc w:val="right"/>
              <w:rPr>
                <w:rFonts w:cs="Arial"/>
                <w:b/>
                <w:bCs/>
                <w:sz w:val="20"/>
                <w:szCs w:val="20"/>
              </w:rPr>
            </w:pPr>
            <w:r w:rsidRPr="0026024A">
              <w:rPr>
                <w:rFonts w:cs="Arial"/>
                <w:color w:val="000000"/>
                <w:sz w:val="20"/>
                <w:szCs w:val="20"/>
              </w:rPr>
              <w:t>$45,700</w:t>
            </w:r>
          </w:p>
        </w:tc>
        <w:tc>
          <w:tcPr>
            <w:tcW w:w="1304"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bottom"/>
          </w:tcPr>
          <w:p w14:paraId="67D72C63" w14:textId="77777777" w:rsidR="009C7E92" w:rsidRPr="007C1E37" w:rsidRDefault="009C7E92" w:rsidP="001E519A">
            <w:pPr>
              <w:spacing w:before="60" w:after="60"/>
              <w:jc w:val="right"/>
              <w:rPr>
                <w:rFonts w:cs="Arial"/>
                <w:b/>
                <w:bCs/>
                <w:sz w:val="20"/>
                <w:szCs w:val="20"/>
              </w:rPr>
            </w:pPr>
            <w:r w:rsidRPr="007C1E37">
              <w:rPr>
                <w:rFonts w:cs="Arial"/>
                <w:color w:val="000000"/>
                <w:sz w:val="20"/>
                <w:szCs w:val="20"/>
              </w:rPr>
              <w:t>21%</w:t>
            </w:r>
          </w:p>
        </w:tc>
      </w:tr>
      <w:tr w:rsidR="009C7E92" w:rsidRPr="007C1E37" w14:paraId="047B1549" w14:textId="77777777" w:rsidTr="001E519A">
        <w:trPr>
          <w:trHeight w:val="397"/>
        </w:trPr>
        <w:tc>
          <w:tcPr>
            <w:tcW w:w="2268" w:type="dxa"/>
            <w:tcBorders>
              <w:top w:val="single" w:sz="4" w:space="0" w:color="BA61C9"/>
              <w:left w:val="single" w:sz="4" w:space="0" w:color="BA61C9"/>
              <w:bottom w:val="single" w:sz="4" w:space="0" w:color="BA61C9"/>
              <w:right w:val="single" w:sz="4" w:space="0" w:color="BA61C9" w:themeColor="accent1" w:themeTint="99"/>
            </w:tcBorders>
          </w:tcPr>
          <w:p w14:paraId="4A620FD3" w14:textId="77777777" w:rsidR="009C7E92" w:rsidRPr="007C1E37" w:rsidRDefault="009C7E92" w:rsidP="001E519A">
            <w:pPr>
              <w:spacing w:before="60" w:after="60"/>
              <w:ind w:left="37"/>
              <w:rPr>
                <w:rFonts w:cs="Arial"/>
                <w:b/>
                <w:bCs/>
                <w:sz w:val="20"/>
                <w:szCs w:val="20"/>
                <w:lang w:eastAsia="en-AU"/>
              </w:rPr>
            </w:pPr>
            <w:r w:rsidRPr="007C1E37">
              <w:rPr>
                <w:rFonts w:cs="Arial"/>
                <w:sz w:val="20"/>
                <w:szCs w:val="20"/>
              </w:rPr>
              <w:t>51-100</w:t>
            </w:r>
          </w:p>
        </w:tc>
        <w:tc>
          <w:tcPr>
            <w:tcW w:w="1418"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bottom"/>
          </w:tcPr>
          <w:p w14:paraId="2F05DED4" w14:textId="77777777" w:rsidR="009C7E92" w:rsidRPr="007C1E37" w:rsidRDefault="009C7E92" w:rsidP="001E519A">
            <w:pPr>
              <w:spacing w:before="60" w:after="60"/>
              <w:jc w:val="right"/>
              <w:rPr>
                <w:rFonts w:cs="Arial"/>
                <w:b/>
                <w:bCs/>
                <w:sz w:val="20"/>
                <w:szCs w:val="20"/>
              </w:rPr>
            </w:pPr>
            <w:r w:rsidRPr="007C1E37">
              <w:rPr>
                <w:rFonts w:cs="Arial"/>
                <w:color w:val="000000"/>
                <w:sz w:val="20"/>
                <w:szCs w:val="20"/>
              </w:rPr>
              <w:t>623</w:t>
            </w:r>
          </w:p>
        </w:tc>
        <w:tc>
          <w:tcPr>
            <w:tcW w:w="1701"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bottom"/>
          </w:tcPr>
          <w:p w14:paraId="0F42484E" w14:textId="77777777" w:rsidR="009C7E92" w:rsidRPr="0026024A" w:rsidRDefault="009C7E92" w:rsidP="001E519A">
            <w:pPr>
              <w:spacing w:before="60" w:after="60"/>
              <w:jc w:val="right"/>
              <w:rPr>
                <w:rFonts w:cs="Arial"/>
                <w:b/>
                <w:bCs/>
                <w:sz w:val="20"/>
                <w:szCs w:val="20"/>
              </w:rPr>
            </w:pPr>
            <w:r w:rsidRPr="0026024A">
              <w:rPr>
                <w:rFonts w:cs="Arial"/>
                <w:color w:val="000000"/>
                <w:sz w:val="20"/>
                <w:szCs w:val="20"/>
              </w:rPr>
              <w:t>$82.7</w:t>
            </w:r>
          </w:p>
        </w:tc>
        <w:tc>
          <w:tcPr>
            <w:tcW w:w="1588"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bottom"/>
          </w:tcPr>
          <w:p w14:paraId="7CDC9147" w14:textId="77777777" w:rsidR="009C7E92" w:rsidRPr="0026024A" w:rsidRDefault="009C7E92" w:rsidP="001E519A">
            <w:pPr>
              <w:spacing w:before="60" w:after="60"/>
              <w:jc w:val="right"/>
              <w:rPr>
                <w:rFonts w:cs="Arial"/>
                <w:b/>
                <w:bCs/>
                <w:sz w:val="20"/>
                <w:szCs w:val="20"/>
              </w:rPr>
            </w:pPr>
            <w:r w:rsidRPr="0026024A">
              <w:rPr>
                <w:rFonts w:cs="Arial"/>
                <w:color w:val="000000"/>
                <w:sz w:val="20"/>
                <w:szCs w:val="20"/>
              </w:rPr>
              <w:t>$132,700</w:t>
            </w:r>
          </w:p>
        </w:tc>
        <w:tc>
          <w:tcPr>
            <w:tcW w:w="1304"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bottom"/>
          </w:tcPr>
          <w:p w14:paraId="34BE52CB" w14:textId="77777777" w:rsidR="009C7E92" w:rsidRPr="007C1E37" w:rsidRDefault="009C7E92" w:rsidP="001E519A">
            <w:pPr>
              <w:spacing w:before="60" w:after="60"/>
              <w:jc w:val="right"/>
              <w:rPr>
                <w:rFonts w:cs="Arial"/>
                <w:b/>
                <w:bCs/>
                <w:sz w:val="20"/>
                <w:szCs w:val="20"/>
              </w:rPr>
            </w:pPr>
            <w:r w:rsidRPr="007C1E37">
              <w:rPr>
                <w:rFonts w:cs="Arial"/>
                <w:color w:val="000000"/>
                <w:sz w:val="20"/>
                <w:szCs w:val="20"/>
              </w:rPr>
              <w:t>15%</w:t>
            </w:r>
          </w:p>
        </w:tc>
      </w:tr>
      <w:tr w:rsidR="009C7E92" w:rsidRPr="007C1E37" w14:paraId="5F5FEF7C" w14:textId="77777777" w:rsidTr="001E519A">
        <w:trPr>
          <w:cnfStyle w:val="000000100000" w:firstRow="0" w:lastRow="0" w:firstColumn="0" w:lastColumn="0" w:oddVBand="0" w:evenVBand="0" w:oddHBand="1" w:evenHBand="0" w:firstRowFirstColumn="0" w:firstRowLastColumn="0" w:lastRowFirstColumn="0" w:lastRowLastColumn="0"/>
          <w:trHeight w:val="397"/>
        </w:trPr>
        <w:tc>
          <w:tcPr>
            <w:tcW w:w="2268" w:type="dxa"/>
            <w:tcBorders>
              <w:top w:val="single" w:sz="4" w:space="0" w:color="BA61C9"/>
              <w:left w:val="single" w:sz="4" w:space="0" w:color="BA61C9"/>
              <w:bottom w:val="single" w:sz="4" w:space="0" w:color="BA61C9"/>
              <w:right w:val="single" w:sz="4" w:space="0" w:color="BA61C9" w:themeColor="accent1" w:themeTint="99"/>
            </w:tcBorders>
          </w:tcPr>
          <w:p w14:paraId="00EC3557" w14:textId="77777777" w:rsidR="009C7E92" w:rsidRPr="007C1E37" w:rsidRDefault="009C7E92" w:rsidP="001E519A">
            <w:pPr>
              <w:spacing w:before="60" w:after="60"/>
              <w:ind w:left="37"/>
              <w:rPr>
                <w:rFonts w:cs="Arial"/>
                <w:b/>
                <w:bCs/>
                <w:sz w:val="20"/>
                <w:szCs w:val="20"/>
                <w:lang w:eastAsia="en-AU"/>
              </w:rPr>
            </w:pPr>
            <w:r w:rsidRPr="007C1E37">
              <w:rPr>
                <w:rFonts w:cs="Arial"/>
                <w:sz w:val="20"/>
                <w:szCs w:val="20"/>
              </w:rPr>
              <w:t>101-250</w:t>
            </w:r>
          </w:p>
        </w:tc>
        <w:tc>
          <w:tcPr>
            <w:tcW w:w="1418"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bottom"/>
          </w:tcPr>
          <w:p w14:paraId="00C6F758" w14:textId="77777777" w:rsidR="009C7E92" w:rsidRPr="007C1E37" w:rsidRDefault="009C7E92" w:rsidP="001E519A">
            <w:pPr>
              <w:spacing w:before="60" w:after="60"/>
              <w:jc w:val="right"/>
              <w:rPr>
                <w:rFonts w:cs="Arial"/>
                <w:b/>
                <w:bCs/>
                <w:sz w:val="20"/>
                <w:szCs w:val="20"/>
              </w:rPr>
            </w:pPr>
            <w:r w:rsidRPr="007C1E37">
              <w:rPr>
                <w:rFonts w:cs="Arial"/>
                <w:color w:val="000000"/>
                <w:sz w:val="20"/>
                <w:szCs w:val="20"/>
              </w:rPr>
              <w:t>452</w:t>
            </w:r>
          </w:p>
        </w:tc>
        <w:tc>
          <w:tcPr>
            <w:tcW w:w="1701"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bottom"/>
          </w:tcPr>
          <w:p w14:paraId="6C0B88F0" w14:textId="77777777" w:rsidR="009C7E92" w:rsidRPr="0026024A" w:rsidRDefault="009C7E92" w:rsidP="001E519A">
            <w:pPr>
              <w:spacing w:before="60" w:after="60"/>
              <w:jc w:val="right"/>
              <w:rPr>
                <w:rFonts w:cs="Arial"/>
                <w:b/>
                <w:bCs/>
                <w:sz w:val="20"/>
                <w:szCs w:val="20"/>
              </w:rPr>
            </w:pPr>
            <w:r w:rsidRPr="0026024A">
              <w:rPr>
                <w:rFonts w:cs="Arial"/>
                <w:color w:val="000000"/>
                <w:sz w:val="20"/>
                <w:szCs w:val="20"/>
              </w:rPr>
              <w:t>$128.9</w:t>
            </w:r>
          </w:p>
        </w:tc>
        <w:tc>
          <w:tcPr>
            <w:tcW w:w="1588"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bottom"/>
          </w:tcPr>
          <w:p w14:paraId="11915DB4" w14:textId="77777777" w:rsidR="009C7E92" w:rsidRPr="0026024A" w:rsidRDefault="009C7E92" w:rsidP="001E519A">
            <w:pPr>
              <w:spacing w:before="60" w:after="60"/>
              <w:jc w:val="right"/>
              <w:rPr>
                <w:rFonts w:cs="Arial"/>
                <w:b/>
                <w:bCs/>
                <w:sz w:val="20"/>
                <w:szCs w:val="20"/>
              </w:rPr>
            </w:pPr>
            <w:r w:rsidRPr="0026024A">
              <w:rPr>
                <w:rFonts w:cs="Arial"/>
                <w:color w:val="000000"/>
                <w:sz w:val="20"/>
                <w:szCs w:val="20"/>
              </w:rPr>
              <w:t>$285,100</w:t>
            </w:r>
          </w:p>
        </w:tc>
        <w:tc>
          <w:tcPr>
            <w:tcW w:w="1304"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bottom"/>
          </w:tcPr>
          <w:p w14:paraId="10C48CF3" w14:textId="77777777" w:rsidR="009C7E92" w:rsidRPr="007C1E37" w:rsidRDefault="009C7E92" w:rsidP="001E519A">
            <w:pPr>
              <w:spacing w:before="60" w:after="60"/>
              <w:jc w:val="right"/>
              <w:rPr>
                <w:rFonts w:cs="Arial"/>
                <w:b/>
                <w:bCs/>
                <w:sz w:val="20"/>
                <w:szCs w:val="20"/>
              </w:rPr>
            </w:pPr>
            <w:r w:rsidRPr="007C1E37">
              <w:rPr>
                <w:rFonts w:cs="Arial"/>
                <w:color w:val="000000"/>
                <w:sz w:val="20"/>
                <w:szCs w:val="20"/>
              </w:rPr>
              <w:t>23%</w:t>
            </w:r>
          </w:p>
        </w:tc>
      </w:tr>
      <w:tr w:rsidR="009C7E92" w:rsidRPr="007C1E37" w14:paraId="264966EF" w14:textId="77777777" w:rsidTr="001E519A">
        <w:trPr>
          <w:trHeight w:val="397"/>
        </w:trPr>
        <w:tc>
          <w:tcPr>
            <w:tcW w:w="2268" w:type="dxa"/>
            <w:tcBorders>
              <w:top w:val="single" w:sz="4" w:space="0" w:color="BA61C9"/>
              <w:left w:val="single" w:sz="4" w:space="0" w:color="BA61C9"/>
              <w:bottom w:val="single" w:sz="4" w:space="0" w:color="BA61C9"/>
              <w:right w:val="single" w:sz="4" w:space="0" w:color="BA61C9" w:themeColor="accent1" w:themeTint="99"/>
            </w:tcBorders>
          </w:tcPr>
          <w:p w14:paraId="7E736480" w14:textId="77777777" w:rsidR="009C7E92" w:rsidRPr="007C1E37" w:rsidRDefault="009C7E92" w:rsidP="001E519A">
            <w:pPr>
              <w:spacing w:before="60" w:after="60"/>
              <w:ind w:left="37"/>
              <w:rPr>
                <w:rFonts w:cs="Arial"/>
                <w:b/>
                <w:bCs/>
                <w:sz w:val="20"/>
                <w:szCs w:val="20"/>
                <w:lang w:eastAsia="en-AU"/>
              </w:rPr>
            </w:pPr>
            <w:r w:rsidRPr="007C1E37">
              <w:rPr>
                <w:rFonts w:cs="Arial"/>
                <w:sz w:val="20"/>
                <w:szCs w:val="20"/>
              </w:rPr>
              <w:t>251-1000</w:t>
            </w:r>
          </w:p>
        </w:tc>
        <w:tc>
          <w:tcPr>
            <w:tcW w:w="1418"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bottom"/>
          </w:tcPr>
          <w:p w14:paraId="2BE37764" w14:textId="77777777" w:rsidR="009C7E92" w:rsidRPr="007C1E37" w:rsidRDefault="009C7E92" w:rsidP="001E519A">
            <w:pPr>
              <w:spacing w:before="60" w:after="60"/>
              <w:jc w:val="right"/>
              <w:rPr>
                <w:rFonts w:cs="Arial"/>
                <w:b/>
                <w:bCs/>
                <w:sz w:val="20"/>
                <w:szCs w:val="20"/>
              </w:rPr>
            </w:pPr>
            <w:r w:rsidRPr="007C1E37">
              <w:rPr>
                <w:rFonts w:cs="Arial"/>
                <w:color w:val="000000"/>
                <w:sz w:val="20"/>
                <w:szCs w:val="20"/>
              </w:rPr>
              <w:t>162</w:t>
            </w:r>
          </w:p>
        </w:tc>
        <w:tc>
          <w:tcPr>
            <w:tcW w:w="1701"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bottom"/>
          </w:tcPr>
          <w:p w14:paraId="5067F897" w14:textId="77777777" w:rsidR="009C7E92" w:rsidRPr="0026024A" w:rsidRDefault="009C7E92" w:rsidP="001E519A">
            <w:pPr>
              <w:spacing w:before="60" w:after="60"/>
              <w:jc w:val="right"/>
              <w:rPr>
                <w:rFonts w:cs="Arial"/>
                <w:b/>
                <w:bCs/>
                <w:sz w:val="20"/>
                <w:szCs w:val="20"/>
              </w:rPr>
            </w:pPr>
            <w:r w:rsidRPr="0026024A">
              <w:rPr>
                <w:rFonts w:cs="Arial"/>
                <w:color w:val="000000"/>
                <w:sz w:val="20"/>
                <w:szCs w:val="20"/>
              </w:rPr>
              <w:t>$135.7</w:t>
            </w:r>
          </w:p>
        </w:tc>
        <w:tc>
          <w:tcPr>
            <w:tcW w:w="1588"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bottom"/>
          </w:tcPr>
          <w:p w14:paraId="3FB89AB6" w14:textId="77777777" w:rsidR="009C7E92" w:rsidRPr="0026024A" w:rsidRDefault="009C7E92" w:rsidP="001E519A">
            <w:pPr>
              <w:spacing w:before="60" w:after="60"/>
              <w:jc w:val="right"/>
              <w:rPr>
                <w:rFonts w:cs="Arial"/>
                <w:b/>
                <w:bCs/>
                <w:sz w:val="20"/>
                <w:szCs w:val="20"/>
              </w:rPr>
            </w:pPr>
            <w:r w:rsidRPr="0026024A">
              <w:rPr>
                <w:rFonts w:cs="Arial"/>
                <w:color w:val="000000"/>
                <w:sz w:val="20"/>
                <w:szCs w:val="20"/>
              </w:rPr>
              <w:t>$0.8m</w:t>
            </w:r>
          </w:p>
        </w:tc>
        <w:tc>
          <w:tcPr>
            <w:tcW w:w="1304"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bottom"/>
          </w:tcPr>
          <w:p w14:paraId="28141A80" w14:textId="77777777" w:rsidR="009C7E92" w:rsidRPr="007C1E37" w:rsidRDefault="009C7E92" w:rsidP="001E519A">
            <w:pPr>
              <w:spacing w:before="60" w:after="60"/>
              <w:jc w:val="right"/>
              <w:rPr>
                <w:rFonts w:cs="Arial"/>
                <w:b/>
                <w:bCs/>
                <w:sz w:val="20"/>
                <w:szCs w:val="20"/>
              </w:rPr>
            </w:pPr>
            <w:r w:rsidRPr="007C1E37">
              <w:rPr>
                <w:rFonts w:cs="Arial"/>
                <w:color w:val="000000"/>
                <w:sz w:val="20"/>
                <w:szCs w:val="20"/>
              </w:rPr>
              <w:t>24%</w:t>
            </w:r>
          </w:p>
        </w:tc>
      </w:tr>
      <w:tr w:rsidR="009C7E92" w:rsidRPr="007C1E37" w14:paraId="799B42BC" w14:textId="77777777" w:rsidTr="001E519A">
        <w:trPr>
          <w:cnfStyle w:val="000000100000" w:firstRow="0" w:lastRow="0" w:firstColumn="0" w:lastColumn="0" w:oddVBand="0" w:evenVBand="0" w:oddHBand="1" w:evenHBand="0" w:firstRowFirstColumn="0" w:firstRowLastColumn="0" w:lastRowFirstColumn="0" w:lastRowLastColumn="0"/>
          <w:trHeight w:val="397"/>
        </w:trPr>
        <w:tc>
          <w:tcPr>
            <w:tcW w:w="2268" w:type="dxa"/>
            <w:tcBorders>
              <w:top w:val="single" w:sz="4" w:space="0" w:color="BA61C9"/>
              <w:left w:val="single" w:sz="4" w:space="0" w:color="BA61C9"/>
              <w:bottom w:val="single" w:sz="4" w:space="0" w:color="BA61C9"/>
              <w:right w:val="single" w:sz="4" w:space="0" w:color="BA61C9" w:themeColor="accent1" w:themeTint="99"/>
            </w:tcBorders>
          </w:tcPr>
          <w:p w14:paraId="68FEAEC5" w14:textId="77777777" w:rsidR="009C7E92" w:rsidRPr="007C1E37" w:rsidRDefault="009C7E92" w:rsidP="001E519A">
            <w:pPr>
              <w:spacing w:before="60" w:after="60"/>
              <w:ind w:left="37"/>
              <w:rPr>
                <w:rFonts w:cs="Arial"/>
                <w:b/>
                <w:bCs/>
                <w:sz w:val="20"/>
                <w:szCs w:val="20"/>
                <w:lang w:eastAsia="en-AU"/>
              </w:rPr>
            </w:pPr>
            <w:r w:rsidRPr="007C1E37">
              <w:rPr>
                <w:rFonts w:cs="Arial"/>
                <w:sz w:val="20"/>
                <w:szCs w:val="20"/>
              </w:rPr>
              <w:t>1000+</w:t>
            </w:r>
          </w:p>
        </w:tc>
        <w:tc>
          <w:tcPr>
            <w:tcW w:w="1418"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bottom"/>
          </w:tcPr>
          <w:p w14:paraId="0D83B481" w14:textId="77777777" w:rsidR="009C7E92" w:rsidRPr="007C1E37" w:rsidRDefault="009C7E92" w:rsidP="001E519A">
            <w:pPr>
              <w:spacing w:before="60" w:after="60"/>
              <w:jc w:val="right"/>
              <w:rPr>
                <w:rFonts w:cs="Arial"/>
                <w:b/>
                <w:bCs/>
                <w:sz w:val="20"/>
                <w:szCs w:val="20"/>
              </w:rPr>
            </w:pPr>
            <w:r w:rsidRPr="007C1E37">
              <w:rPr>
                <w:rFonts w:cs="Arial"/>
                <w:color w:val="000000"/>
                <w:sz w:val="20"/>
                <w:szCs w:val="20"/>
              </w:rPr>
              <w:t>22</w:t>
            </w:r>
          </w:p>
        </w:tc>
        <w:tc>
          <w:tcPr>
            <w:tcW w:w="1701"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bottom"/>
          </w:tcPr>
          <w:p w14:paraId="10B072C9" w14:textId="77777777" w:rsidR="009C7E92" w:rsidRPr="0026024A" w:rsidRDefault="009C7E92" w:rsidP="001E519A">
            <w:pPr>
              <w:spacing w:before="60" w:after="60"/>
              <w:jc w:val="right"/>
              <w:rPr>
                <w:rFonts w:cs="Arial"/>
                <w:b/>
                <w:bCs/>
                <w:sz w:val="20"/>
                <w:szCs w:val="20"/>
              </w:rPr>
            </w:pPr>
            <w:r w:rsidRPr="0026024A">
              <w:rPr>
                <w:rFonts w:cs="Arial"/>
                <w:color w:val="000000"/>
                <w:sz w:val="20"/>
                <w:szCs w:val="20"/>
              </w:rPr>
              <w:t>$62.5</w:t>
            </w:r>
          </w:p>
        </w:tc>
        <w:tc>
          <w:tcPr>
            <w:tcW w:w="1588"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bottom"/>
          </w:tcPr>
          <w:p w14:paraId="5C304C27" w14:textId="77777777" w:rsidR="009C7E92" w:rsidRPr="0026024A" w:rsidRDefault="009C7E92" w:rsidP="001E519A">
            <w:pPr>
              <w:spacing w:before="60" w:after="60"/>
              <w:jc w:val="right"/>
              <w:rPr>
                <w:rFonts w:cs="Arial"/>
                <w:b/>
                <w:bCs/>
                <w:sz w:val="20"/>
                <w:szCs w:val="20"/>
              </w:rPr>
            </w:pPr>
            <w:r w:rsidRPr="0026024A">
              <w:rPr>
                <w:rFonts w:cs="Arial"/>
                <w:color w:val="000000"/>
                <w:sz w:val="20"/>
                <w:szCs w:val="20"/>
              </w:rPr>
              <w:t>$2.8m</w:t>
            </w:r>
          </w:p>
        </w:tc>
        <w:tc>
          <w:tcPr>
            <w:tcW w:w="1304"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bottom"/>
          </w:tcPr>
          <w:p w14:paraId="43E66AC8" w14:textId="77777777" w:rsidR="009C7E92" w:rsidRPr="007C1E37" w:rsidRDefault="009C7E92" w:rsidP="001E519A">
            <w:pPr>
              <w:spacing w:before="60" w:after="60"/>
              <w:jc w:val="right"/>
              <w:rPr>
                <w:rFonts w:cs="Arial"/>
                <w:b/>
                <w:bCs/>
                <w:sz w:val="20"/>
                <w:szCs w:val="20"/>
              </w:rPr>
            </w:pPr>
            <w:r w:rsidRPr="007C1E37">
              <w:rPr>
                <w:rFonts w:cs="Arial"/>
                <w:color w:val="000000"/>
                <w:sz w:val="20"/>
                <w:szCs w:val="20"/>
              </w:rPr>
              <w:t>11%</w:t>
            </w:r>
          </w:p>
        </w:tc>
      </w:tr>
      <w:tr w:rsidR="009C7E92" w:rsidRPr="007C1E37" w14:paraId="6F0B6B68" w14:textId="77777777" w:rsidTr="001E519A">
        <w:trPr>
          <w:trHeight w:val="397"/>
        </w:trPr>
        <w:tc>
          <w:tcPr>
            <w:tcW w:w="2268" w:type="dxa"/>
            <w:tcBorders>
              <w:top w:val="single" w:sz="4" w:space="0" w:color="BA61C9"/>
              <w:left w:val="single" w:sz="4" w:space="0" w:color="BA61C9"/>
              <w:bottom w:val="single" w:sz="4" w:space="0" w:color="BA61C9"/>
              <w:right w:val="single" w:sz="4" w:space="0" w:color="BA61C9" w:themeColor="accent1" w:themeTint="99"/>
            </w:tcBorders>
          </w:tcPr>
          <w:p w14:paraId="545C1C75" w14:textId="77777777" w:rsidR="009C7E92" w:rsidRPr="007C1E37" w:rsidRDefault="009C7E92" w:rsidP="001E519A">
            <w:pPr>
              <w:spacing w:before="60" w:after="60"/>
              <w:ind w:left="37"/>
              <w:rPr>
                <w:rFonts w:cs="Arial"/>
                <w:b/>
                <w:bCs/>
                <w:sz w:val="20"/>
                <w:szCs w:val="20"/>
              </w:rPr>
            </w:pPr>
            <w:r w:rsidRPr="007C1E37">
              <w:rPr>
                <w:rFonts w:cs="Arial"/>
                <w:b/>
                <w:bCs/>
                <w:sz w:val="20"/>
                <w:szCs w:val="20"/>
              </w:rPr>
              <w:t>Overall</w:t>
            </w:r>
          </w:p>
        </w:tc>
        <w:tc>
          <w:tcPr>
            <w:tcW w:w="1418"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bottom"/>
          </w:tcPr>
          <w:p w14:paraId="6CBC9F93" w14:textId="77777777" w:rsidR="009C7E92" w:rsidRPr="007C1E37" w:rsidRDefault="009C7E92" w:rsidP="001E519A">
            <w:pPr>
              <w:spacing w:before="60" w:after="60"/>
              <w:jc w:val="right"/>
              <w:rPr>
                <w:rFonts w:cs="Arial"/>
                <w:b/>
                <w:bCs/>
                <w:sz w:val="20"/>
                <w:szCs w:val="20"/>
              </w:rPr>
            </w:pPr>
            <w:r w:rsidRPr="007C1E37">
              <w:rPr>
                <w:rFonts w:cs="Arial"/>
                <w:b/>
                <w:bCs/>
                <w:color w:val="000000"/>
                <w:sz w:val="20"/>
                <w:szCs w:val="20"/>
              </w:rPr>
              <w:t>10,184</w:t>
            </w:r>
          </w:p>
        </w:tc>
        <w:tc>
          <w:tcPr>
            <w:tcW w:w="1701"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bottom"/>
          </w:tcPr>
          <w:p w14:paraId="1B42B9E6" w14:textId="77777777" w:rsidR="009C7E92" w:rsidRPr="0026024A" w:rsidRDefault="009C7E92" w:rsidP="001E519A">
            <w:pPr>
              <w:spacing w:before="60" w:after="60"/>
              <w:jc w:val="right"/>
              <w:rPr>
                <w:rFonts w:cs="Arial"/>
                <w:b/>
                <w:bCs/>
                <w:sz w:val="20"/>
                <w:szCs w:val="20"/>
              </w:rPr>
            </w:pPr>
            <w:r w:rsidRPr="0026024A">
              <w:rPr>
                <w:rFonts w:cs="Arial"/>
                <w:b/>
                <w:bCs/>
                <w:color w:val="000000"/>
                <w:sz w:val="20"/>
                <w:szCs w:val="20"/>
              </w:rPr>
              <w:t>$564.8</w:t>
            </w:r>
          </w:p>
        </w:tc>
        <w:tc>
          <w:tcPr>
            <w:tcW w:w="1588"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bottom"/>
          </w:tcPr>
          <w:p w14:paraId="69E26AD1" w14:textId="77777777" w:rsidR="009C7E92" w:rsidRPr="0026024A" w:rsidRDefault="009C7E92" w:rsidP="001E519A">
            <w:pPr>
              <w:spacing w:before="60" w:after="60"/>
              <w:jc w:val="right"/>
              <w:rPr>
                <w:rFonts w:cs="Arial"/>
                <w:b/>
                <w:bCs/>
                <w:sz w:val="20"/>
                <w:szCs w:val="20"/>
              </w:rPr>
            </w:pPr>
            <w:r w:rsidRPr="0026024A">
              <w:rPr>
                <w:rFonts w:cs="Arial"/>
                <w:b/>
                <w:bCs/>
                <w:color w:val="000000"/>
                <w:sz w:val="20"/>
                <w:szCs w:val="20"/>
              </w:rPr>
              <w:t>$55,500</w:t>
            </w:r>
          </w:p>
        </w:tc>
        <w:tc>
          <w:tcPr>
            <w:tcW w:w="1304"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bottom"/>
          </w:tcPr>
          <w:p w14:paraId="2E28D1F5" w14:textId="77777777" w:rsidR="009C7E92" w:rsidRPr="007C1E37" w:rsidRDefault="009C7E92" w:rsidP="001E519A">
            <w:pPr>
              <w:spacing w:before="60" w:after="60"/>
              <w:jc w:val="right"/>
              <w:rPr>
                <w:rFonts w:cs="Arial"/>
                <w:b/>
                <w:bCs/>
                <w:sz w:val="20"/>
                <w:szCs w:val="20"/>
              </w:rPr>
            </w:pPr>
            <w:r w:rsidRPr="007C1E37">
              <w:rPr>
                <w:rFonts w:cs="Arial"/>
                <w:b/>
                <w:bCs/>
                <w:color w:val="000000"/>
                <w:sz w:val="20"/>
                <w:szCs w:val="20"/>
              </w:rPr>
              <w:t>100%</w:t>
            </w:r>
          </w:p>
        </w:tc>
      </w:tr>
    </w:tbl>
    <w:p w14:paraId="40F1F69C" w14:textId="77777777" w:rsidR="009C7E92" w:rsidRPr="008034CE" w:rsidRDefault="009C7E92" w:rsidP="009C7E92">
      <w:pPr>
        <w:pStyle w:val="Sourcefortableorfigure"/>
        <w:spacing w:before="240"/>
      </w:pPr>
      <w:r w:rsidRPr="008034CE">
        <w:t>Source: NDIS internal administrative data</w:t>
      </w:r>
    </w:p>
    <w:p w14:paraId="1D8EA387" w14:textId="77777777" w:rsidR="009C7E92" w:rsidRPr="008034CE" w:rsidRDefault="009C7E92" w:rsidP="009C7E92">
      <w:pPr>
        <w:pStyle w:val="Sourcefortableorfigure"/>
        <w:rPr>
          <w:b w:val="0"/>
          <w:bCs/>
        </w:rPr>
      </w:pPr>
      <w:r w:rsidRPr="008034CE">
        <w:rPr>
          <w:b w:val="0"/>
          <w:bCs/>
        </w:rPr>
        <w:t>Note: Average revenue is rounded up to the nearest hundred.</w:t>
      </w:r>
    </w:p>
    <w:p w14:paraId="04243841" w14:textId="77777777" w:rsidR="009C7E92" w:rsidRPr="008034CE" w:rsidRDefault="009C7E92" w:rsidP="009C7E92">
      <w:pPr>
        <w:spacing w:after="0" w:line="240" w:lineRule="auto"/>
      </w:pPr>
      <w:r w:rsidRPr="008034CE">
        <w:br w:type="page"/>
      </w:r>
    </w:p>
    <w:p w14:paraId="11395F5D" w14:textId="77777777" w:rsidR="003F6D67" w:rsidRPr="008034CE" w:rsidRDefault="003F6D67" w:rsidP="003F6D67">
      <w:pPr>
        <w:pStyle w:val="Heading3"/>
      </w:pPr>
      <w:bookmarkStart w:id="530" w:name="_Toc195099190"/>
      <w:bookmarkStart w:id="531" w:name="_Toc196754644"/>
      <w:bookmarkStart w:id="532" w:name="_Toc196758246"/>
      <w:bookmarkStart w:id="533" w:name="_Toc197344322"/>
      <w:bookmarkStart w:id="534" w:name="_Toc200271676"/>
      <w:r w:rsidRPr="008034CE">
        <w:lastRenderedPageBreak/>
        <w:t>Business Dynamism</w:t>
      </w:r>
      <w:bookmarkEnd w:id="530"/>
      <w:bookmarkEnd w:id="531"/>
      <w:bookmarkEnd w:id="532"/>
      <w:bookmarkEnd w:id="533"/>
      <w:bookmarkEnd w:id="534"/>
    </w:p>
    <w:p w14:paraId="610C2CEE" w14:textId="77777777" w:rsidR="003F6D67" w:rsidRPr="008034CE" w:rsidRDefault="003F6D67" w:rsidP="003F6D67">
      <w:r w:rsidRPr="008034CE">
        <w:t>This section examines the activity and changes within the market for support coordination. Business dynamism refers to the rate at which new providers enter the market and existing providers exit. This is one of many indicators which looks at a market’s health, competitiveness, and its capacity to innovate and meet participants’ needs. The NDIA reviewed the payment activities of providers over a three-year period from January 2022 to December 2024.</w:t>
      </w:r>
      <w:r w:rsidRPr="008034CE">
        <w:rPr>
          <w:rStyle w:val="FootnoteReference"/>
        </w:rPr>
        <w:footnoteReference w:id="28"/>
      </w:r>
    </w:p>
    <w:p w14:paraId="2B247E81" w14:textId="77777777" w:rsidR="003F6D67" w:rsidRPr="008034CE" w:rsidDel="00A22561" w:rsidRDefault="003F6D67" w:rsidP="003F6D67">
      <w:pPr>
        <w:pStyle w:val="Heading4"/>
        <w:numPr>
          <w:ilvl w:val="2"/>
          <w:numId w:val="1"/>
        </w:numPr>
      </w:pPr>
      <w:bookmarkStart w:id="535" w:name="_Toc194056166"/>
      <w:bookmarkStart w:id="536" w:name="_Toc194056167"/>
      <w:bookmarkStart w:id="537" w:name="_Toc194056168"/>
      <w:bookmarkStart w:id="538" w:name="_Toc194056171"/>
      <w:bookmarkStart w:id="539" w:name="_Toc194056172"/>
      <w:bookmarkStart w:id="540" w:name="_Toc195099191"/>
      <w:bookmarkStart w:id="541" w:name="_Toc195099192"/>
      <w:bookmarkStart w:id="542" w:name="_Toc200103565"/>
      <w:bookmarkStart w:id="543" w:name="_Toc200271677"/>
      <w:bookmarkEnd w:id="535"/>
      <w:bookmarkEnd w:id="536"/>
      <w:bookmarkEnd w:id="537"/>
      <w:bookmarkEnd w:id="538"/>
      <w:bookmarkEnd w:id="539"/>
      <w:bookmarkEnd w:id="540"/>
      <w:r w:rsidRPr="008034CE">
        <w:t>The Number of Newly Active Providers Continues to Grow</w:t>
      </w:r>
      <w:bookmarkEnd w:id="541"/>
      <w:bookmarkEnd w:id="542"/>
      <w:bookmarkEnd w:id="543"/>
    </w:p>
    <w:p w14:paraId="3215DEC0" w14:textId="5C1DD53D" w:rsidR="003F6D67" w:rsidRPr="008034CE" w:rsidRDefault="008D7637" w:rsidP="003F6D67">
      <w:r>
        <w:fldChar w:fldCharType="begin"/>
      </w:r>
      <w:r>
        <w:instrText xml:space="preserve"> REF _Ref195091407 \h </w:instrText>
      </w:r>
      <w:r>
        <w:fldChar w:fldCharType="separate"/>
      </w:r>
      <w:r w:rsidR="005763F9" w:rsidRPr="008034CE">
        <w:t xml:space="preserve">Figure </w:t>
      </w:r>
      <w:r w:rsidR="005763F9">
        <w:rPr>
          <w:noProof/>
        </w:rPr>
        <w:t>31</w:t>
      </w:r>
      <w:r>
        <w:fldChar w:fldCharType="end"/>
      </w:r>
      <w:r w:rsidR="003F6D67" w:rsidRPr="008034CE">
        <w:t xml:space="preserve"> consistently shows new activity in the support coordination provider market, with particularly strong growth of unregistered providers across the three-year period to December 2024. Between January 2022 and December 2024, more than 9,300 unregistered providers entered the NDIS market. </w:t>
      </w:r>
    </w:p>
    <w:p w14:paraId="0C0F34F5" w14:textId="63F99400" w:rsidR="003F6D67" w:rsidRPr="008034CE" w:rsidRDefault="003F6D67" w:rsidP="003F6D67">
      <w:r w:rsidRPr="008034CE">
        <w:t>In the six months to December 2024, there were 1,722 newly active unregistered providers, compared to 483 newly active registered providers (</w:t>
      </w:r>
      <w:r w:rsidR="008D7637">
        <w:fldChar w:fldCharType="begin"/>
      </w:r>
      <w:r w:rsidR="008D7637">
        <w:instrText xml:space="preserve"> REF _Ref195091407 \h </w:instrText>
      </w:r>
      <w:r w:rsidR="008D7637">
        <w:fldChar w:fldCharType="separate"/>
      </w:r>
      <w:r w:rsidR="005763F9" w:rsidRPr="008034CE">
        <w:t xml:space="preserve">Figure </w:t>
      </w:r>
      <w:r w:rsidR="005763F9">
        <w:rPr>
          <w:noProof/>
        </w:rPr>
        <w:t>31</w:t>
      </w:r>
      <w:r w:rsidR="008D7637">
        <w:fldChar w:fldCharType="end"/>
      </w:r>
      <w:r w:rsidRPr="008034CE">
        <w:t xml:space="preserve">). This gap in new activity between unregistered and registered providers has persisted throughout the three-year period. This trend reflects the relatively low barriers to entry and the continued expansion in the number of smaller scale providers such as sole traders. </w:t>
      </w:r>
    </w:p>
    <w:p w14:paraId="3E6F603D" w14:textId="6B449C8B" w:rsidR="003F6D67" w:rsidRPr="008034CE" w:rsidRDefault="003F6D67" w:rsidP="003F6D67">
      <w:r w:rsidRPr="008034CE">
        <w:t>There was a</w:t>
      </w:r>
      <w:r w:rsidRPr="008034CE" w:rsidDel="00927AED">
        <w:t xml:space="preserve"> </w:t>
      </w:r>
      <w:r w:rsidRPr="008034CE">
        <w:t>notable rise in the number of newly active registered providers, increasing from 330 in January to June 2024 to 483 in July to December 2024, the highest half-year figure over the observed period (</w:t>
      </w:r>
      <w:r w:rsidR="008D7637">
        <w:fldChar w:fldCharType="begin"/>
      </w:r>
      <w:r w:rsidR="008D7637">
        <w:instrText xml:space="preserve"> REF _Ref195091407 \h </w:instrText>
      </w:r>
      <w:r w:rsidR="008D7637">
        <w:fldChar w:fldCharType="separate"/>
      </w:r>
      <w:r w:rsidR="005763F9" w:rsidRPr="008034CE">
        <w:t xml:space="preserve">Figure </w:t>
      </w:r>
      <w:r w:rsidR="005763F9">
        <w:rPr>
          <w:noProof/>
        </w:rPr>
        <w:t>31</w:t>
      </w:r>
      <w:r w:rsidR="008D7637">
        <w:fldChar w:fldCharType="end"/>
      </w:r>
      <w:r w:rsidRPr="008034CE">
        <w:t>). This may be driven by the announcement in September 2024 on the future mandatory registration required by all support coordination providers.</w:t>
      </w:r>
    </w:p>
    <w:p w14:paraId="316D1C43" w14:textId="36BA8793" w:rsidR="003F6D67" w:rsidRDefault="003F6D67">
      <w:pPr>
        <w:spacing w:before="120" w:after="120"/>
      </w:pPr>
      <w:r>
        <w:br w:type="page"/>
      </w:r>
    </w:p>
    <w:p w14:paraId="56C120E3" w14:textId="3E9B0FA6" w:rsidR="0010695B" w:rsidRPr="008034CE" w:rsidRDefault="0010695B" w:rsidP="0010695B">
      <w:pPr>
        <w:pStyle w:val="Caption"/>
      </w:pPr>
      <w:bookmarkStart w:id="544" w:name="_Ref195091407"/>
      <w:r w:rsidRPr="008034CE">
        <w:lastRenderedPageBreak/>
        <w:t xml:space="preserve">Figure </w:t>
      </w:r>
      <w:r w:rsidR="005763F9">
        <w:fldChar w:fldCharType="begin"/>
      </w:r>
      <w:r w:rsidR="005763F9">
        <w:instrText xml:space="preserve"> SEQ Figure \* ARABIC </w:instrText>
      </w:r>
      <w:r w:rsidR="005763F9">
        <w:fldChar w:fldCharType="separate"/>
      </w:r>
      <w:r w:rsidR="005763F9">
        <w:rPr>
          <w:noProof/>
        </w:rPr>
        <w:t>31</w:t>
      </w:r>
      <w:r w:rsidR="005763F9">
        <w:rPr>
          <w:noProof/>
        </w:rPr>
        <w:fldChar w:fldCharType="end"/>
      </w:r>
      <w:bookmarkEnd w:id="544"/>
      <w:r w:rsidRPr="008034CE">
        <w:t>: Newly Active Support Coordination Provider Counts, January 2022 to December 2024</w:t>
      </w:r>
    </w:p>
    <w:p w14:paraId="4A179AC7" w14:textId="77777777" w:rsidR="0010695B" w:rsidRPr="008034CE" w:rsidRDefault="0010695B" w:rsidP="0010695B">
      <w:pPr>
        <w:pStyle w:val="Image"/>
        <w:rPr>
          <w:noProof w:val="0"/>
        </w:rPr>
      </w:pPr>
      <w:r w:rsidRPr="008034CE">
        <w:drawing>
          <wp:inline distT="0" distB="0" distL="0" distR="0" wp14:anchorId="54AC7BAA" wp14:editId="7810F88E">
            <wp:extent cx="5817600" cy="3369600"/>
            <wp:effectExtent l="0" t="0" r="0" b="2540"/>
            <wp:docPr id="625827467" name="Picture 1" descr="A column graph showing the number of newly active support coordination providers from January 2022 to December 2024. &#10;&#10;From January to June 2022, there were 378 registered and 1,136 unregistered newly active supports coordination providers. &#10;&#10;From July to December 2022, there were 429 registered and 1,376 unregistered newly active supports coordination providers. &#10;&#10;From January to June 2023, there were 346 registered and 1,634 unregistered newly active supports coordination providers. &#10;&#10;From July to December 2023, there were 366 registered and 1,815 unregistered newly active supports coordination providers. &#10;&#10;From January to June 2024, there were 330 registered and 1,639 unregistered newly active supports coordination providers. &#10;&#10;From July to December 2024, there were 483 registered and 1,722 unregistered newly active supports coordination providers. &#10;&#10;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827467" name="Picture 1" descr="A column graph showing the number of newly active support coordination providers from January 2022 to December 2024. &#10;&#10;From January to June 2022, there were 378 registered and 1,136 unregistered newly active supports coordination providers. &#10;&#10;From July to December 2022, there were 429 registered and 1,376 unregistered newly active supports coordination providers. &#10;&#10;From January to June 2023, there were 346 registered and 1,634 unregistered newly active supports coordination providers. &#10;&#10;From July to December 2023, there were 366 registered and 1,815 unregistered newly active supports coordination providers. &#10;&#10;From January to June 2024, there were 330 registered and 1,639 unregistered newly active supports coordination providers. &#10;&#10;From July to December 2024, there were 483 registered and 1,722 unregistered newly active supports coordination providers. &#10;&#10;Source: NDIS internal administrative data."/>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817600" cy="3369600"/>
                    </a:xfrm>
                    <a:prstGeom prst="rect">
                      <a:avLst/>
                    </a:prstGeom>
                    <a:noFill/>
                  </pic:spPr>
                </pic:pic>
              </a:graphicData>
            </a:graphic>
          </wp:inline>
        </w:drawing>
      </w:r>
    </w:p>
    <w:p w14:paraId="069996DE" w14:textId="77777777" w:rsidR="0010695B" w:rsidRPr="008034CE" w:rsidRDefault="0010695B" w:rsidP="0010695B">
      <w:pPr>
        <w:pStyle w:val="Heading4"/>
      </w:pPr>
      <w:bookmarkStart w:id="545" w:name="_Toc164424437"/>
      <w:bookmarkStart w:id="546" w:name="_Toc164970298"/>
      <w:bookmarkStart w:id="547" w:name="_Toc195099193"/>
      <w:bookmarkStart w:id="548" w:name="_Toc200103566"/>
      <w:bookmarkStart w:id="549" w:name="_Toc200271678"/>
      <w:r w:rsidRPr="008034CE">
        <w:t>Comparison of provider payments for ‘new activity’ and ‘inactivity</w:t>
      </w:r>
      <w:bookmarkEnd w:id="545"/>
      <w:bookmarkEnd w:id="546"/>
      <w:bookmarkEnd w:id="547"/>
      <w:r w:rsidRPr="008034CE">
        <w:t>’</w:t>
      </w:r>
      <w:bookmarkEnd w:id="548"/>
      <w:bookmarkEnd w:id="549"/>
    </w:p>
    <w:p w14:paraId="4D3D7C91" w14:textId="77777777" w:rsidR="0010695B" w:rsidRPr="008034CE" w:rsidRDefault="0010695B" w:rsidP="0010695B">
      <w:r w:rsidRPr="008034CE">
        <w:t xml:space="preserve">This section explores payment activities of registered providers over a three-year period from January 2022 to December 2024. ‘New activity’ is characterised by providers receiving payments in the half-year who did not receive payments in the preceding half-year. Conversely, ‘inactivity’ refers to providers not receiving payments in a half-year after having received payments in the previous one. Each provider’s activity is quantified as a percentage of the total payments within that half-year for new activity, of the prior half-year for inactivity. This method provides the best estimation with the data available, recognising it may not reflect all market exits. </w:t>
      </w:r>
    </w:p>
    <w:p w14:paraId="4AE0B02D" w14:textId="4019D18E" w:rsidR="0010695B" w:rsidRPr="008034CE" w:rsidRDefault="008A52BA" w:rsidP="0010695B">
      <w:r>
        <w:fldChar w:fldCharType="begin"/>
      </w:r>
      <w:r>
        <w:instrText xml:space="preserve"> REF _Ref195091414 \h </w:instrText>
      </w:r>
      <w:r>
        <w:fldChar w:fldCharType="separate"/>
      </w:r>
      <w:r w:rsidR="005763F9" w:rsidRPr="008034CE">
        <w:t xml:space="preserve">Figure </w:t>
      </w:r>
      <w:r w:rsidR="005763F9">
        <w:rPr>
          <w:noProof/>
        </w:rPr>
        <w:t>32</w:t>
      </w:r>
      <w:r>
        <w:fldChar w:fldCharType="end"/>
      </w:r>
      <w:r w:rsidR="0010695B" w:rsidRPr="008034CE">
        <w:t xml:space="preserve"> shows that new provider activity consistently exceeded measures of inactivity over the observed period, indicating new growth in the provider market. Newly active registered providers accounted for between 1.0% and 2.1% of payments in each half year period, while inactive registered providers only represented between 0.5% and 0.9% of payments (</w:t>
      </w:r>
      <w:r w:rsidR="00AA68E9">
        <w:fldChar w:fldCharType="begin"/>
      </w:r>
      <w:r w:rsidR="00AA68E9">
        <w:instrText xml:space="preserve"> REF _Ref195091414 \h </w:instrText>
      </w:r>
      <w:r w:rsidR="00AA68E9">
        <w:fldChar w:fldCharType="separate"/>
      </w:r>
      <w:r w:rsidR="005763F9" w:rsidRPr="008034CE">
        <w:t xml:space="preserve">Figure </w:t>
      </w:r>
      <w:r w:rsidR="005763F9">
        <w:rPr>
          <w:noProof/>
        </w:rPr>
        <w:t>32</w:t>
      </w:r>
      <w:r w:rsidR="00AA68E9">
        <w:fldChar w:fldCharType="end"/>
      </w:r>
      <w:r w:rsidR="0010695B" w:rsidRPr="008034CE">
        <w:t xml:space="preserve">). While these percentages are relatively low overall, it suggests a relatively stable support coordination market. </w:t>
      </w:r>
    </w:p>
    <w:p w14:paraId="59262502" w14:textId="37C82205" w:rsidR="0010695B" w:rsidRPr="008034CE" w:rsidRDefault="0010695B" w:rsidP="005D6C04">
      <w:pPr>
        <w:pStyle w:val="Image"/>
        <w:jc w:val="left"/>
      </w:pPr>
      <w:r w:rsidRPr="008034CE">
        <w:t>However, when considered alongside total payments, these trends suggest that most providers with ‘new activity’ are operating at a modest scale. This aligns with</w:t>
      </w:r>
      <w:r w:rsidR="005D6C04">
        <w:t xml:space="preserve"> </w:t>
      </w:r>
      <w:r w:rsidRPr="008034CE">
        <w:t>earlier observations (</w:t>
      </w:r>
      <w:r w:rsidR="00FC09DB">
        <w:fldChar w:fldCharType="begin"/>
      </w:r>
      <w:r w:rsidR="00FC09DB">
        <w:instrText xml:space="preserve"> REF _Ref195707913 \h </w:instrText>
      </w:r>
      <w:r w:rsidR="00FC09DB">
        <w:fldChar w:fldCharType="separate"/>
      </w:r>
      <w:r w:rsidR="005763F9" w:rsidRPr="008034CE">
        <w:t xml:space="preserve">Table </w:t>
      </w:r>
      <w:r w:rsidR="005763F9">
        <w:t>25</w:t>
      </w:r>
      <w:r w:rsidR="00FC09DB">
        <w:fldChar w:fldCharType="end"/>
      </w:r>
      <w:r w:rsidRPr="008034CE">
        <w:t xml:space="preserve">) that a significant share of providers support a small number of participants and have relatively low total payment claims. </w:t>
      </w:r>
    </w:p>
    <w:p w14:paraId="2766B34A" w14:textId="1D04A978" w:rsidR="0010695B" w:rsidRPr="008034CE" w:rsidRDefault="0010695B" w:rsidP="0010695B">
      <w:pPr>
        <w:pStyle w:val="Caption"/>
      </w:pPr>
      <w:bookmarkStart w:id="550" w:name="_Ref195091414"/>
      <w:r w:rsidRPr="008034CE">
        <w:lastRenderedPageBreak/>
        <w:t xml:space="preserve">Figure </w:t>
      </w:r>
      <w:r w:rsidR="005763F9">
        <w:fldChar w:fldCharType="begin"/>
      </w:r>
      <w:r w:rsidR="005763F9">
        <w:instrText xml:space="preserve"> SEQ Figure \* ARABIC </w:instrText>
      </w:r>
      <w:r w:rsidR="005763F9">
        <w:fldChar w:fldCharType="separate"/>
      </w:r>
      <w:r w:rsidR="005763F9">
        <w:rPr>
          <w:noProof/>
        </w:rPr>
        <w:t>32</w:t>
      </w:r>
      <w:r w:rsidR="005763F9">
        <w:rPr>
          <w:noProof/>
        </w:rPr>
        <w:fldChar w:fldCharType="end"/>
      </w:r>
      <w:bookmarkEnd w:id="550"/>
      <w:r w:rsidRPr="008034CE">
        <w:t>: Registered Support Coordination Provider Activity Movements, January 2022 to December 2024</w:t>
      </w:r>
    </w:p>
    <w:p w14:paraId="29F8F780" w14:textId="77777777" w:rsidR="0010695B" w:rsidRPr="008034CE" w:rsidRDefault="0010695B" w:rsidP="0010695B">
      <w:pPr>
        <w:pStyle w:val="Image"/>
        <w:rPr>
          <w:noProof w:val="0"/>
        </w:rPr>
      </w:pPr>
      <w:r w:rsidRPr="008034CE">
        <w:drawing>
          <wp:inline distT="0" distB="0" distL="0" distR="0" wp14:anchorId="0E505E8F" wp14:editId="3C4848D9">
            <wp:extent cx="5817600" cy="3369600"/>
            <wp:effectExtent l="0" t="0" r="0" b="2540"/>
            <wp:docPr id="934189448" name="Picture 15" descr="A column graph showing the activity movements of registered support coordination providers from January 2022 to December 2024. New activity is measured as percent of total half-year payments, and inactivity is measured as percent of prior total half-year payments.&#10;&#10;From January to June 2022, new activity was at 1.3% and inactivity was at 0.6%.&#10;&#10;From July to December 2022, new activity was at 1.6% and inactivity was at 0.5%.&#10;&#10;From January to June 2023, new activity was at 1.3% and inactivity was at 0.5%.&#10;&#10;From July to December 2023, new activity was at 2.1% and inactivity was at 0.6%.&#10;&#10;From January to June 2024, new activity was at 1.0% and inactivity was at 0.9%.&#10;&#10;From July to December 2024, new activity at 1.4% and inactivity was at 0.8%.&#10;&#10;Source: NDIS internal administrative dat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49">
                      <a:extLst>
                        <a:ext uri="{28A0092B-C50C-407E-A947-70E740481C1C}">
                          <a14:useLocalDpi xmlns:a14="http://schemas.microsoft.com/office/drawing/2010/main" val="0"/>
                        </a:ext>
                      </a:extLst>
                    </a:blip>
                    <a:stretch>
                      <a:fillRect/>
                    </a:stretch>
                  </pic:blipFill>
                  <pic:spPr>
                    <a:xfrm>
                      <a:off x="0" y="0"/>
                      <a:ext cx="5817600" cy="3369600"/>
                    </a:xfrm>
                    <a:prstGeom prst="rect">
                      <a:avLst/>
                    </a:prstGeom>
                  </pic:spPr>
                </pic:pic>
              </a:graphicData>
            </a:graphic>
          </wp:inline>
        </w:drawing>
      </w:r>
    </w:p>
    <w:p w14:paraId="4F3BA644" w14:textId="77777777" w:rsidR="0010695B" w:rsidRPr="008034CE" w:rsidRDefault="0010695B" w:rsidP="0010695B">
      <w:pPr>
        <w:rPr>
          <w:sz w:val="18"/>
          <w:szCs w:val="18"/>
        </w:rPr>
      </w:pPr>
      <w:bookmarkStart w:id="551" w:name="_Toc164424438"/>
      <w:bookmarkStart w:id="552" w:name="_Toc164970299"/>
      <w:r w:rsidRPr="008034CE">
        <w:rPr>
          <w:sz w:val="18"/>
          <w:szCs w:val="18"/>
        </w:rPr>
        <w:t xml:space="preserve">Note: Providers are considered as registered if they were registered at any point in time between January 2022 to December 2024. This does not account for a change in registration status during the period. As a result, historical activity movement is slightly different to previous APR. (i.e. Registered providers, who deregistered in 2021 were included in previous APR but not included in the current APR.). </w:t>
      </w:r>
      <w:bookmarkEnd w:id="551"/>
      <w:bookmarkEnd w:id="552"/>
    </w:p>
    <w:p w14:paraId="3E666475" w14:textId="77777777" w:rsidR="0010695B" w:rsidRPr="008034CE" w:rsidRDefault="0010695B" w:rsidP="006239E6">
      <w:pPr>
        <w:pStyle w:val="Heading4"/>
      </w:pPr>
      <w:bookmarkStart w:id="553" w:name="_Toc195095102"/>
      <w:bookmarkStart w:id="554" w:name="_Toc195099194"/>
      <w:bookmarkStart w:id="555" w:name="_Toc195099195"/>
      <w:bookmarkStart w:id="556" w:name="_Toc200103567"/>
      <w:bookmarkStart w:id="557" w:name="_Toc200271679"/>
      <w:bookmarkEnd w:id="553"/>
      <w:bookmarkEnd w:id="554"/>
      <w:r w:rsidRPr="008034CE">
        <w:t>Payment Consistency</w:t>
      </w:r>
      <w:bookmarkEnd w:id="555"/>
      <w:bookmarkEnd w:id="556"/>
      <w:bookmarkEnd w:id="557"/>
      <w:r w:rsidRPr="008034CE">
        <w:t xml:space="preserve"> </w:t>
      </w:r>
    </w:p>
    <w:p w14:paraId="7928A99A" w14:textId="30E76F4B" w:rsidR="0010695B" w:rsidRPr="008034CE" w:rsidRDefault="0010695B" w:rsidP="0010695B">
      <w:r w:rsidRPr="008034CE">
        <w:t xml:space="preserve">As shown in </w:t>
      </w:r>
      <w:r w:rsidR="00AA68E9">
        <w:fldChar w:fldCharType="begin"/>
      </w:r>
      <w:r w:rsidR="00AA68E9">
        <w:instrText xml:space="preserve"> REF _Ref195091407 \h </w:instrText>
      </w:r>
      <w:r w:rsidR="00AA68E9">
        <w:fldChar w:fldCharType="separate"/>
      </w:r>
      <w:r w:rsidR="005763F9" w:rsidRPr="008034CE">
        <w:t xml:space="preserve">Figure </w:t>
      </w:r>
      <w:r w:rsidR="005763F9">
        <w:rPr>
          <w:noProof/>
        </w:rPr>
        <w:t>31</w:t>
      </w:r>
      <w:r w:rsidR="00AA68E9">
        <w:fldChar w:fldCharType="end"/>
      </w:r>
      <w:r w:rsidRPr="008034CE">
        <w:t xml:space="preserve">, there are clear differences between the number registered and unregistered providers. Among registered providers, </w:t>
      </w:r>
      <w:proofErr w:type="gramStart"/>
      <w:r w:rsidRPr="008034CE">
        <w:t>the majority of</w:t>
      </w:r>
      <w:proofErr w:type="gramEnd"/>
      <w:r w:rsidRPr="008034CE">
        <w:t xml:space="preserve"> total payments are concentrated among those that have delivered supports across all six half-year periods (</w:t>
      </w:r>
      <w:r w:rsidR="00AA68E9">
        <w:fldChar w:fldCharType="begin"/>
      </w:r>
      <w:r w:rsidR="00AA68E9">
        <w:instrText xml:space="preserve"> REF _Ref195091462 \h </w:instrText>
      </w:r>
      <w:r w:rsidR="00AA68E9">
        <w:fldChar w:fldCharType="separate"/>
      </w:r>
      <w:r w:rsidR="005763F9" w:rsidRPr="008034CE">
        <w:t xml:space="preserve">Figure </w:t>
      </w:r>
      <w:r w:rsidR="005763F9">
        <w:rPr>
          <w:noProof/>
        </w:rPr>
        <w:t>33</w:t>
      </w:r>
      <w:r w:rsidR="00AA68E9">
        <w:fldChar w:fldCharType="end"/>
      </w:r>
      <w:r w:rsidRPr="008034CE">
        <w:t>). This group represents around 30% of all registered providers but accounts for over 90% of registered payments (</w:t>
      </w:r>
      <w:r w:rsidR="00AA68E9">
        <w:fldChar w:fldCharType="begin"/>
      </w:r>
      <w:r w:rsidR="00AA68E9">
        <w:instrText xml:space="preserve"> REF _Ref195091462 \h </w:instrText>
      </w:r>
      <w:r w:rsidR="00AA68E9">
        <w:fldChar w:fldCharType="separate"/>
      </w:r>
      <w:r w:rsidR="005763F9" w:rsidRPr="008034CE">
        <w:t xml:space="preserve">Figure </w:t>
      </w:r>
      <w:r w:rsidR="005763F9">
        <w:rPr>
          <w:noProof/>
        </w:rPr>
        <w:t>33</w:t>
      </w:r>
      <w:r w:rsidR="00AA68E9">
        <w:fldChar w:fldCharType="end"/>
      </w:r>
      <w:r w:rsidRPr="008034CE">
        <w:t xml:space="preserve">). This suggests that the registered provider market is characterised by a relatively stable base of providers. </w:t>
      </w:r>
    </w:p>
    <w:p w14:paraId="2C36776A" w14:textId="7960A2C9" w:rsidR="005D6C04" w:rsidRDefault="0010695B" w:rsidP="005D6C04">
      <w:pPr>
        <w:pStyle w:val="Image"/>
        <w:jc w:val="left"/>
      </w:pPr>
      <w:r w:rsidRPr="008034CE">
        <w:t>By contrast, unregistered providers show relatively larger short-term activity (</w:t>
      </w:r>
      <w:r w:rsidR="00AA68E9">
        <w:fldChar w:fldCharType="begin"/>
      </w:r>
      <w:r w:rsidR="00AA68E9">
        <w:instrText xml:space="preserve"> REF _Ref195091462 \h </w:instrText>
      </w:r>
      <w:r w:rsidR="00AA68E9">
        <w:fldChar w:fldCharType="separate"/>
      </w:r>
      <w:r w:rsidR="005763F9" w:rsidRPr="008034CE">
        <w:t xml:space="preserve">Figure </w:t>
      </w:r>
      <w:r w:rsidR="005763F9">
        <w:t>33</w:t>
      </w:r>
      <w:r w:rsidR="00AA68E9">
        <w:fldChar w:fldCharType="end"/>
      </w:r>
      <w:r w:rsidRPr="008034CE">
        <w:t>). The largest share of unregistered providers was active for only one or two half-year periods, accounting for a small share of the overall payments (</w:t>
      </w:r>
      <w:r w:rsidR="00AA68E9">
        <w:fldChar w:fldCharType="begin"/>
      </w:r>
      <w:r w:rsidR="00AA68E9">
        <w:instrText xml:space="preserve"> REF _Ref195091462 \h </w:instrText>
      </w:r>
      <w:r w:rsidR="00AA68E9">
        <w:fldChar w:fldCharType="separate"/>
      </w:r>
      <w:r w:rsidR="005763F9" w:rsidRPr="008034CE">
        <w:t xml:space="preserve">Figure </w:t>
      </w:r>
      <w:r w:rsidR="005763F9">
        <w:t>33</w:t>
      </w:r>
      <w:r w:rsidR="00AA68E9">
        <w:fldChar w:fldCharType="end"/>
      </w:r>
      <w:r w:rsidRPr="008034CE">
        <w:t>). While some of these providers may operate at small scale, except for some unregistered</w:t>
      </w:r>
      <w:r w:rsidR="005D6C04">
        <w:t xml:space="preserve"> </w:t>
      </w:r>
      <w:r w:rsidRPr="008034CE">
        <w:t>providers active over all six half-year periods, others may reflect episodic or short-term engagement with the market.</w:t>
      </w:r>
    </w:p>
    <w:p w14:paraId="1362A799" w14:textId="77777777" w:rsidR="005D6C04" w:rsidRDefault="005D6C04">
      <w:pPr>
        <w:spacing w:before="120" w:after="120"/>
        <w:rPr>
          <w:noProof/>
        </w:rPr>
      </w:pPr>
      <w:r>
        <w:br w:type="page"/>
      </w:r>
    </w:p>
    <w:p w14:paraId="408FF147" w14:textId="77777777" w:rsidR="0010695B" w:rsidRPr="008034CE" w:rsidRDefault="0010695B" w:rsidP="0010695B">
      <w:r w:rsidRPr="008034CE">
        <w:lastRenderedPageBreak/>
        <w:t>Analyses in this section highlight that the support coordination market is dominated by two distinct groups - long-standing registered providers who have consistently supported a large proportion of participants, and more transient provider segments that are operating at a much smaller scale.</w:t>
      </w:r>
    </w:p>
    <w:p w14:paraId="6D280D7A" w14:textId="6E4A5E1E" w:rsidR="0010695B" w:rsidRPr="008034CE" w:rsidRDefault="0010695B" w:rsidP="0010695B">
      <w:pPr>
        <w:pStyle w:val="Caption"/>
      </w:pPr>
      <w:bookmarkStart w:id="558" w:name="_Ref195091462"/>
      <w:r w:rsidRPr="008034CE">
        <w:t xml:space="preserve">Figure </w:t>
      </w:r>
      <w:r w:rsidR="005763F9">
        <w:fldChar w:fldCharType="begin"/>
      </w:r>
      <w:r w:rsidR="005763F9">
        <w:instrText xml:space="preserve"> SEQ Figure \* ARABIC </w:instrText>
      </w:r>
      <w:r w:rsidR="005763F9">
        <w:fldChar w:fldCharType="separate"/>
      </w:r>
      <w:r w:rsidR="005763F9">
        <w:rPr>
          <w:noProof/>
        </w:rPr>
        <w:t>33</w:t>
      </w:r>
      <w:r w:rsidR="005763F9">
        <w:rPr>
          <w:noProof/>
        </w:rPr>
        <w:fldChar w:fldCharType="end"/>
      </w:r>
      <w:bookmarkEnd w:id="558"/>
      <w:r w:rsidRPr="008034CE">
        <w:t>: Provider Continuity by Registration Status and Percentage of Total Payments. Registered Providers (Left) and Unregistered Providers (Right), half year periods from January 2022 to December 2024</w:t>
      </w:r>
    </w:p>
    <w:p w14:paraId="3499F59C" w14:textId="77777777" w:rsidR="0010695B" w:rsidRPr="008034CE" w:rsidRDefault="0010695B" w:rsidP="0010695B">
      <w:pPr>
        <w:ind w:firstLine="720"/>
      </w:pPr>
      <w:r w:rsidRPr="008034CE">
        <w:rPr>
          <w:noProof/>
        </w:rPr>
        <w:drawing>
          <wp:anchor distT="0" distB="0" distL="114300" distR="114300" simplePos="0" relativeHeight="251661312" behindDoc="0" locked="0" layoutInCell="1" allowOverlap="1" wp14:anchorId="409E37EF" wp14:editId="0DBA7303">
            <wp:simplePos x="0" y="0"/>
            <wp:positionH relativeFrom="column">
              <wp:posOffset>2805332</wp:posOffset>
            </wp:positionH>
            <wp:positionV relativeFrom="paragraph">
              <wp:posOffset>348567</wp:posOffset>
            </wp:positionV>
            <wp:extent cx="2753995" cy="2141855"/>
            <wp:effectExtent l="0" t="0" r="8255" b="0"/>
            <wp:wrapSquare wrapText="bothSides"/>
            <wp:docPr id="1433337264" name="Picture 8" descr="The second image (right) is a column and dot graph showing the number of half years with payment, compared to the percentage of total payments, amongst unregistered providers from January 2022 to December 2024.&#10;&#10;A majority of unregistered providers are on one or two half years of payment, though those with 6 half years of payment are contributing roughly 40% of total payments.&#10;&#10;Source: NDIS internal administrative dat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337264" name="Picture 8" descr="The second image (right) is a column and dot graph showing the number of half years with payment, compared to the percentage of total payments, amongst unregistered providers from January 2022 to December 2024.&#10;&#10;A majority of unregistered providers are on one or two half years of payment, though those with 6 half years of payment are contributing roughly 40% of total payments.&#10;&#10;Source: NDIS internal administrative data.&#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753995" cy="2141855"/>
                    </a:xfrm>
                    <a:prstGeom prst="rect">
                      <a:avLst/>
                    </a:prstGeom>
                    <a:noFill/>
                  </pic:spPr>
                </pic:pic>
              </a:graphicData>
            </a:graphic>
            <wp14:sizeRelH relativeFrom="page">
              <wp14:pctWidth>0</wp14:pctWidth>
            </wp14:sizeRelH>
            <wp14:sizeRelV relativeFrom="page">
              <wp14:pctHeight>0</wp14:pctHeight>
            </wp14:sizeRelV>
          </wp:anchor>
        </w:drawing>
      </w:r>
      <w:r w:rsidRPr="008034CE">
        <w:rPr>
          <w:noProof/>
        </w:rPr>
        <w:drawing>
          <wp:anchor distT="0" distB="0" distL="114300" distR="114300" simplePos="0" relativeHeight="251657216" behindDoc="0" locked="0" layoutInCell="1" allowOverlap="1" wp14:anchorId="4B51207F" wp14:editId="025879BD">
            <wp:simplePos x="0" y="0"/>
            <wp:positionH relativeFrom="column">
              <wp:posOffset>-123825</wp:posOffset>
            </wp:positionH>
            <wp:positionV relativeFrom="paragraph">
              <wp:posOffset>294103</wp:posOffset>
            </wp:positionV>
            <wp:extent cx="2750185" cy="2145030"/>
            <wp:effectExtent l="0" t="0" r="0" b="7620"/>
            <wp:wrapSquare wrapText="bothSides"/>
            <wp:docPr id="2392302" name="Picture 7" descr="The first image (left) is a column and dot graph showing the number of half years with payment, compared to the percentage of total payments, amongst registered providers from January 2022 to December 2024.&#10;&#10;Most registered providers (roughly 2,300) had payments in all 6 of the last half years. These providers made up roughly 85% of total payments.&#10;&#10;There were roughly 1,200 registered providers who had only 1 half year with payments. These providers made up roughly close to 0% of total payments. &#10;&#10;Each of the remaining categories (2, 3, 4, and 5 half years with payments) each had roughly between 500 to 700 registered providers, and each made up roughly between 0 to 10% of total payments.&#10;&#10;Source: NDIS internal administrative dat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2302" name="Picture 7" descr="Figure 10: Provider Continuity by Registration Status and Percentage of Total Payments. Registered Providers, half year periods from January 2022 to December 2024.&#10;&#1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50185" cy="2145030"/>
                    </a:xfrm>
                    <a:prstGeom prst="rect">
                      <a:avLst/>
                    </a:prstGeom>
                    <a:noFill/>
                  </pic:spPr>
                </pic:pic>
              </a:graphicData>
            </a:graphic>
            <wp14:sizeRelH relativeFrom="page">
              <wp14:pctWidth>0</wp14:pctWidth>
            </wp14:sizeRelH>
            <wp14:sizeRelV relativeFrom="page">
              <wp14:pctHeight>0</wp14:pctHeight>
            </wp14:sizeRelV>
          </wp:anchor>
        </w:drawing>
      </w:r>
      <w:r w:rsidRPr="008034CE">
        <w:t xml:space="preserve">Registered providers </w:t>
      </w:r>
      <w:r w:rsidRPr="008034CE">
        <w:tab/>
      </w:r>
      <w:r w:rsidRPr="008034CE">
        <w:tab/>
      </w:r>
      <w:r w:rsidRPr="008034CE">
        <w:tab/>
      </w:r>
      <w:r w:rsidRPr="008034CE">
        <w:tab/>
        <w:t>Unregistered providers</w:t>
      </w:r>
    </w:p>
    <w:p w14:paraId="5740BF58" w14:textId="77777777" w:rsidR="005D6C04" w:rsidRPr="005D6C04" w:rsidRDefault="005D6C04" w:rsidP="005D6C04">
      <w:bookmarkStart w:id="559" w:name="_Toc195099196"/>
      <w:bookmarkStart w:id="560" w:name="_Toc196754645"/>
      <w:bookmarkStart w:id="561" w:name="_Toc196758247"/>
      <w:bookmarkStart w:id="562" w:name="_Toc197344323"/>
      <w:r w:rsidRPr="005D6C04">
        <w:br w:type="page"/>
      </w:r>
    </w:p>
    <w:p w14:paraId="191DE879" w14:textId="64882D5A" w:rsidR="0010695B" w:rsidRPr="008034CE" w:rsidRDefault="0010695B" w:rsidP="0010695B">
      <w:pPr>
        <w:pStyle w:val="Heading3"/>
        <w:spacing w:before="720"/>
      </w:pPr>
      <w:bookmarkStart w:id="563" w:name="_Toc200271680"/>
      <w:r w:rsidRPr="008034CE">
        <w:lastRenderedPageBreak/>
        <w:t>Discussion</w:t>
      </w:r>
      <w:bookmarkEnd w:id="559"/>
      <w:bookmarkEnd w:id="560"/>
      <w:bookmarkEnd w:id="561"/>
      <w:bookmarkEnd w:id="562"/>
      <w:bookmarkEnd w:id="563"/>
      <w:r w:rsidRPr="008034CE">
        <w:t xml:space="preserve"> </w:t>
      </w:r>
    </w:p>
    <w:p w14:paraId="2B6C22FB" w14:textId="1968A0AB" w:rsidR="0010695B" w:rsidRPr="008034CE" w:rsidRDefault="0010695B" w:rsidP="0010695B">
      <w:r w:rsidRPr="008034CE">
        <w:t>This chapter has explored the market structure and evolving landscape of the support coordination market. There continues to be a significant increase in both the number of providers and participants utilising support coordination services. number of active registered and unregistered providers has grown compared to the same time the previous year, at 13% and 17% respectively (</w:t>
      </w:r>
      <w:r w:rsidR="00821003">
        <w:fldChar w:fldCharType="begin"/>
      </w:r>
      <w:r w:rsidR="00821003">
        <w:instrText xml:space="preserve"> REF _Ref195707913 \h </w:instrText>
      </w:r>
      <w:r w:rsidR="00821003">
        <w:fldChar w:fldCharType="separate"/>
      </w:r>
      <w:r w:rsidR="005763F9" w:rsidRPr="008034CE">
        <w:t xml:space="preserve">Table </w:t>
      </w:r>
      <w:r w:rsidR="005763F9">
        <w:rPr>
          <w:noProof/>
        </w:rPr>
        <w:t>25</w:t>
      </w:r>
      <w:r w:rsidR="00821003">
        <w:fldChar w:fldCharType="end"/>
      </w:r>
      <w:r w:rsidRPr="008034CE">
        <w:t xml:space="preserve"> and </w:t>
      </w:r>
      <w:r w:rsidR="00821003">
        <w:fldChar w:fldCharType="begin"/>
      </w:r>
      <w:r w:rsidR="00821003">
        <w:instrText xml:space="preserve"> REF _Ref195710400 \h </w:instrText>
      </w:r>
      <w:r w:rsidR="00821003">
        <w:fldChar w:fldCharType="separate"/>
      </w:r>
      <w:r w:rsidR="005763F9" w:rsidRPr="008034CE">
        <w:t xml:space="preserve">Table </w:t>
      </w:r>
      <w:r w:rsidR="005763F9">
        <w:rPr>
          <w:noProof/>
        </w:rPr>
        <w:t>26</w:t>
      </w:r>
      <w:r w:rsidR="00821003">
        <w:fldChar w:fldCharType="end"/>
      </w:r>
      <w:r w:rsidRPr="008034CE">
        <w:t>). This, combined with 7% growth in the number of participants choosing to engage Support coordinators (</w:t>
      </w:r>
      <w:r w:rsidR="00821003">
        <w:fldChar w:fldCharType="begin"/>
      </w:r>
      <w:r w:rsidR="00821003">
        <w:instrText xml:space="preserve"> REF _Ref195091212 \h </w:instrText>
      </w:r>
      <w:r w:rsidR="00821003">
        <w:fldChar w:fldCharType="separate"/>
      </w:r>
      <w:r w:rsidR="005763F9" w:rsidRPr="008034CE">
        <w:t xml:space="preserve">Table </w:t>
      </w:r>
      <w:r w:rsidR="005763F9">
        <w:rPr>
          <w:noProof/>
        </w:rPr>
        <w:t>24</w:t>
      </w:r>
      <w:r w:rsidR="00821003">
        <w:fldChar w:fldCharType="end"/>
      </w:r>
      <w:r w:rsidRPr="008034CE">
        <w:t>), highlights the responsiveness of the support coordination market to meet NDIS participant support needs.</w:t>
      </w:r>
    </w:p>
    <w:p w14:paraId="6E86B36C" w14:textId="56643C6A" w:rsidR="0010695B" w:rsidRPr="008034CE" w:rsidRDefault="0010695B" w:rsidP="0010695B">
      <w:r w:rsidRPr="008034CE">
        <w:t>As the broader NDIS environment undergoes reform and adjustment, the NDIA continues to actively monitor and assess the performance and resilience of the support coordination market in its role as market steward. NDIS administrative data has used to assess existing market conditions such as market activity, payment volumes, and geographic distribution.</w:t>
      </w:r>
    </w:p>
    <w:p w14:paraId="1CCB7B22" w14:textId="698E3818" w:rsidR="005D6C04" w:rsidRDefault="000F71AA" w:rsidP="000F71AA">
      <w:r w:rsidRPr="008034CE">
        <w:t xml:space="preserve">Current indicators suggest that the support coordination market remains robust and adaptable. Provider activity remains strong among both registered and unregistered providers. Many participants can access supports from a mix of sole traders, small businesses, and mid-sized organisations. The spread of payments across a broad and diverse provider base suggests that participants continue to have meaningful choice, and that capacity exists to manage transitions where individual organisations exit the market. </w:t>
      </w:r>
    </w:p>
    <w:p w14:paraId="100ADD38" w14:textId="77777777" w:rsidR="005D6C04" w:rsidRDefault="005D6C04">
      <w:pPr>
        <w:spacing w:before="120" w:after="120"/>
      </w:pPr>
      <w:r>
        <w:br w:type="page"/>
      </w:r>
    </w:p>
    <w:p w14:paraId="453F8697" w14:textId="77777777" w:rsidR="000F71AA" w:rsidRPr="008034CE" w:rsidRDefault="000F71AA" w:rsidP="000F71AA">
      <w:pPr>
        <w:pStyle w:val="Heading3"/>
      </w:pPr>
      <w:bookmarkStart w:id="564" w:name="_Toc195095105"/>
      <w:bookmarkStart w:id="565" w:name="_Toc195099197"/>
      <w:bookmarkStart w:id="566" w:name="_Toc195095106"/>
      <w:bookmarkStart w:id="567" w:name="_Toc195099198"/>
      <w:bookmarkStart w:id="568" w:name="_Toc195095107"/>
      <w:bookmarkStart w:id="569" w:name="_Toc195099199"/>
      <w:bookmarkStart w:id="570" w:name="_Toc195095108"/>
      <w:bookmarkStart w:id="571" w:name="_Toc195099200"/>
      <w:bookmarkStart w:id="572" w:name="_Toc195095109"/>
      <w:bookmarkStart w:id="573" w:name="_Toc195099201"/>
      <w:bookmarkStart w:id="574" w:name="_Toc195095110"/>
      <w:bookmarkStart w:id="575" w:name="_Toc195099202"/>
      <w:bookmarkStart w:id="576" w:name="_Toc195095111"/>
      <w:bookmarkStart w:id="577" w:name="_Toc195099203"/>
      <w:bookmarkStart w:id="578" w:name="_Toc195099204"/>
      <w:bookmarkStart w:id="579" w:name="_Toc196754646"/>
      <w:bookmarkStart w:id="580" w:name="_Toc196758248"/>
      <w:bookmarkStart w:id="581" w:name="_Toc197344324"/>
      <w:bookmarkStart w:id="582" w:name="_Toc200271681"/>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r w:rsidRPr="008034CE">
        <w:lastRenderedPageBreak/>
        <w:t>Recommendations</w:t>
      </w:r>
      <w:bookmarkEnd w:id="578"/>
      <w:bookmarkEnd w:id="579"/>
      <w:bookmarkEnd w:id="580"/>
      <w:bookmarkEnd w:id="581"/>
      <w:bookmarkEnd w:id="582"/>
      <w:r w:rsidRPr="008034CE">
        <w:t xml:space="preserve"> </w:t>
      </w:r>
    </w:p>
    <w:p w14:paraId="311B3462" w14:textId="0DCFECCF" w:rsidR="000F71AA" w:rsidRPr="008034CE" w:rsidRDefault="000F71AA" w:rsidP="000F71AA">
      <w:r w:rsidRPr="008034CE">
        <w:t xml:space="preserve">It is considered reasonable that </w:t>
      </w:r>
      <w:r w:rsidRPr="008034CE">
        <w:rPr>
          <w:i/>
          <w:iCs/>
        </w:rPr>
        <w:t>Level 1: Support Connection</w:t>
      </w:r>
      <w:r w:rsidRPr="008034CE">
        <w:t xml:space="preserve"> supports and </w:t>
      </w:r>
      <w:r w:rsidRPr="008034CE">
        <w:rPr>
          <w:i/>
          <w:iCs/>
        </w:rPr>
        <w:t>Psychosocial Recovery Coaches</w:t>
      </w:r>
      <w:r w:rsidRPr="008034CE">
        <w:t xml:space="preserve">, which are currently priced using the DSW Cost Model, continue to be indexed in line with the DSW Cost Model. Continuing to align </w:t>
      </w:r>
      <w:r w:rsidRPr="008034CE">
        <w:rPr>
          <w:i/>
          <w:iCs/>
        </w:rPr>
        <w:t>Level 1: Support Connection</w:t>
      </w:r>
      <w:r w:rsidRPr="008034CE">
        <w:t xml:space="preserve"> price limits with the broader DSW pricing approach and framework ensures consistency in cost adjustments. </w:t>
      </w:r>
      <w:r w:rsidR="00C7595B" w:rsidRPr="00C7595B">
        <w:t>This is particularly in relation to mandatory workforce-related changes considered within the DSW Cost Model that providers must ensure they meet their legal obligations.</w:t>
      </w:r>
    </w:p>
    <w:p w14:paraId="7BB57228" w14:textId="6CBEB257" w:rsidR="000F71AA" w:rsidRPr="008034CE" w:rsidRDefault="000F71AA" w:rsidP="000F71AA">
      <w:pPr>
        <w:pStyle w:val="Recommendationheading"/>
      </w:pPr>
      <w:r w:rsidRPr="008034CE">
        <w:t>Recommendation 1</w:t>
      </w:r>
      <w:r w:rsidR="00C7595B">
        <w:t>3</w:t>
      </w:r>
      <w:r w:rsidRPr="008034CE">
        <w:t>:</w:t>
      </w:r>
    </w:p>
    <w:p w14:paraId="7AE97192" w14:textId="77777777" w:rsidR="000F71AA" w:rsidRPr="008034CE" w:rsidRDefault="000F71AA" w:rsidP="000F71AA">
      <w:pPr>
        <w:pStyle w:val="Normalrecommendationtext"/>
      </w:pPr>
      <w:r w:rsidRPr="008034CE">
        <w:t>The NDIA should index the price limits for Level 1: Support Connection services and Psychosocial Recovery Coaches service in line with the indexation of supports determined by the Disability Support Worker Cost Model in Recommendation 4 on 1 July 2025.</w:t>
      </w:r>
    </w:p>
    <w:p w14:paraId="68B6F6C8" w14:textId="77777777" w:rsidR="000F71AA" w:rsidRPr="008034CE" w:rsidRDefault="000F71AA" w:rsidP="000F71AA">
      <w:r w:rsidRPr="008034CE">
        <w:t xml:space="preserve">On balance, analyses in the chapter suggest that while the Support Coordination market structure and dynamics have been evolving in recent years, there is limited evidence to suggest that supply is unable to meet participant demand. </w:t>
      </w:r>
    </w:p>
    <w:p w14:paraId="4E264387" w14:textId="77777777" w:rsidR="000F71AA" w:rsidRPr="008034CE" w:rsidRDefault="000F71AA" w:rsidP="000F71AA">
      <w:r w:rsidRPr="008034CE">
        <w:t>The NDIA acknowledges that the support coordination market is still undergoing reform in consideration of upcoming changes regarding Navigators and mandatory registration by the NDIS Quality and Safeguards Commission. The NDIA will continue to monitor the impacts of these reforms on the support coordination market.</w:t>
      </w:r>
    </w:p>
    <w:p w14:paraId="2CF968F6" w14:textId="77777777" w:rsidR="000F71AA" w:rsidRPr="008034CE" w:rsidRDefault="000F71AA" w:rsidP="000F71AA">
      <w:r w:rsidRPr="008034CE">
        <w:t xml:space="preserve">The NDIA aims for its broader stewardship activities, including initiatives such as the Support Coordination Quality Supports Pilot, to help build a stronger evidence base for future policy and pricing design alongside these reforms. Together, these measures support a market that remains diverse and capable, while ensuring that participants continue accessing the support they need as the sector evolves. </w:t>
      </w:r>
    </w:p>
    <w:p w14:paraId="641E41EE" w14:textId="48D60CA2" w:rsidR="00382888" w:rsidRPr="008034CE" w:rsidRDefault="00382888" w:rsidP="00382888">
      <w:pPr>
        <w:pStyle w:val="Recommendationheading"/>
      </w:pPr>
      <w:r w:rsidRPr="008034CE">
        <w:t>Recommendation 1</w:t>
      </w:r>
      <w:r w:rsidR="00C7595B">
        <w:t>4</w:t>
      </w:r>
      <w:r w:rsidRPr="008034CE">
        <w:t>:</w:t>
      </w:r>
    </w:p>
    <w:p w14:paraId="77D433BB" w14:textId="77777777" w:rsidR="00382888" w:rsidRPr="008034CE" w:rsidRDefault="00382888" w:rsidP="00382888">
      <w:pPr>
        <w:pStyle w:val="Normalrecommendationtext"/>
      </w:pPr>
      <w:r w:rsidRPr="008034CE">
        <w:t xml:space="preserve">The NDIA should maintain the existing price limits for Level 2: Coordination of Supports and Level 3: Specialist Support Coordination, in alignment with current NDIS reforms. </w:t>
      </w:r>
    </w:p>
    <w:p w14:paraId="22D178D5" w14:textId="77777777" w:rsidR="00382888" w:rsidRPr="008034CE" w:rsidRDefault="00382888" w:rsidP="00382888">
      <w:pPr>
        <w:pStyle w:val="Normalrecommendationtext"/>
      </w:pPr>
      <w:r w:rsidRPr="008034CE">
        <w:t>This includes “Individualised Living Options - Exploration and Design” support (01_850_0106_1_1), aligned with Level 2 Support Coordination price limit.</w:t>
      </w:r>
    </w:p>
    <w:p w14:paraId="59154C6F" w14:textId="77777777" w:rsidR="00382888" w:rsidRPr="008034CE" w:rsidRDefault="00382888" w:rsidP="00382888">
      <w:pPr>
        <w:spacing w:after="0" w:line="240" w:lineRule="auto"/>
        <w:rPr>
          <w:color w:val="6B2876" w:themeColor="accent5"/>
        </w:rPr>
      </w:pPr>
      <w:r w:rsidRPr="008034CE">
        <w:rPr>
          <w:color w:val="6B2876" w:themeColor="accent5"/>
        </w:rPr>
        <w:br w:type="page"/>
      </w:r>
    </w:p>
    <w:p w14:paraId="4AA659FE" w14:textId="77777777" w:rsidR="008D4E45" w:rsidRPr="008034CE" w:rsidRDefault="008D4E45" w:rsidP="008D4E45">
      <w:pPr>
        <w:pStyle w:val="Heading2"/>
        <w:numPr>
          <w:ilvl w:val="0"/>
          <w:numId w:val="1"/>
        </w:numPr>
      </w:pPr>
      <w:bookmarkStart w:id="583" w:name="_Toc196304223"/>
      <w:bookmarkStart w:id="584" w:name="_Toc196754647"/>
      <w:bookmarkStart w:id="585" w:name="_Toc196758249"/>
      <w:bookmarkStart w:id="586" w:name="_Toc197344325"/>
      <w:bookmarkStart w:id="587" w:name="_Toc200271682"/>
      <w:r w:rsidRPr="008034CE">
        <w:lastRenderedPageBreak/>
        <w:t>Plan Management</w:t>
      </w:r>
      <w:bookmarkEnd w:id="583"/>
      <w:bookmarkEnd w:id="584"/>
      <w:bookmarkEnd w:id="585"/>
      <w:bookmarkEnd w:id="586"/>
      <w:bookmarkEnd w:id="587"/>
    </w:p>
    <w:p w14:paraId="6AD73B4A" w14:textId="77777777" w:rsidR="008D4E45" w:rsidRPr="008034CE" w:rsidRDefault="008D4E45" w:rsidP="008D4E45">
      <w:pPr>
        <w:pStyle w:val="Heading3"/>
        <w:numPr>
          <w:ilvl w:val="1"/>
          <w:numId w:val="1"/>
        </w:numPr>
      </w:pPr>
      <w:bookmarkStart w:id="588" w:name="_Toc196304224"/>
      <w:bookmarkStart w:id="589" w:name="_Toc196754648"/>
      <w:bookmarkStart w:id="590" w:name="_Toc196758250"/>
      <w:bookmarkStart w:id="591" w:name="_Toc197344326"/>
      <w:bookmarkStart w:id="592" w:name="_Toc200271683"/>
      <w:r w:rsidRPr="008034CE">
        <w:t>Context</w:t>
      </w:r>
      <w:bookmarkEnd w:id="588"/>
      <w:bookmarkEnd w:id="589"/>
      <w:bookmarkEnd w:id="590"/>
      <w:bookmarkEnd w:id="591"/>
      <w:bookmarkEnd w:id="592"/>
    </w:p>
    <w:p w14:paraId="5E0A73CD" w14:textId="77777777" w:rsidR="008D4E45" w:rsidRPr="008034CE" w:rsidRDefault="008D4E45" w:rsidP="008D4E45">
      <w:r w:rsidRPr="008034CE">
        <w:t xml:space="preserve">Plan management is one of three ways participants can manage their NDIS funding. Participants can engage a registered plan manager to pay invoices, monitor budgets, and maintain financial records on their behalf, where participants can access both registered and unregistered service providers. This option supports participant choice and reduces the administrative burden of managing their plan. Participants may also choose agency or self-management or use a combination of all three options within the same plan. </w:t>
      </w:r>
    </w:p>
    <w:p w14:paraId="52096B4B" w14:textId="77777777" w:rsidR="008D4E45" w:rsidRPr="008034CE" w:rsidRDefault="008D4E45" w:rsidP="008D4E45">
      <w:r w:rsidRPr="008034CE">
        <w:t xml:space="preserve">Plan managers can claim for three types of services they provide under the </w:t>
      </w:r>
      <w:r w:rsidRPr="008034CE">
        <w:rPr>
          <w:i/>
          <w:iCs/>
        </w:rPr>
        <w:t>Improved Life Choices</w:t>
      </w:r>
      <w:r w:rsidRPr="008034CE">
        <w:t xml:space="preserve"> support category: </w:t>
      </w:r>
    </w:p>
    <w:p w14:paraId="4E6604B2" w14:textId="77777777" w:rsidR="008D4E45" w:rsidRPr="008034CE" w:rsidRDefault="008D4E45" w:rsidP="008D4E45">
      <w:pPr>
        <w:pStyle w:val="ListParagraph"/>
        <w:numPr>
          <w:ilvl w:val="0"/>
          <w:numId w:val="33"/>
        </w:numPr>
        <w:spacing w:line="288" w:lineRule="auto"/>
      </w:pPr>
      <w:r w:rsidRPr="008034CE">
        <w:t>A monthly administrative fee for ongoing financial processing</w:t>
      </w:r>
    </w:p>
    <w:p w14:paraId="3ACF0272" w14:textId="77777777" w:rsidR="008D4E45" w:rsidRPr="008034CE" w:rsidRDefault="008D4E45" w:rsidP="008D4E45">
      <w:pPr>
        <w:pStyle w:val="ListParagraph"/>
        <w:numPr>
          <w:ilvl w:val="0"/>
          <w:numId w:val="33"/>
        </w:numPr>
        <w:spacing w:line="288" w:lineRule="auto"/>
      </w:pPr>
      <w:r w:rsidRPr="008034CE">
        <w:t>A one-off establishment payment for plan management, available once per plan</w:t>
      </w:r>
    </w:p>
    <w:p w14:paraId="329DAAD4" w14:textId="77777777" w:rsidR="008D4E45" w:rsidRPr="008034CE" w:rsidRDefault="008D4E45" w:rsidP="008D4E45">
      <w:pPr>
        <w:pStyle w:val="ListParagraph"/>
        <w:numPr>
          <w:ilvl w:val="0"/>
          <w:numId w:val="33"/>
        </w:numPr>
        <w:spacing w:line="288" w:lineRule="auto"/>
      </w:pPr>
      <w:r w:rsidRPr="008034CE">
        <w:t>A capacity-building support, claimable when helping participants build skills to manage funding independently</w:t>
      </w:r>
    </w:p>
    <w:p w14:paraId="65AF5191" w14:textId="77777777" w:rsidR="008D4E45" w:rsidRPr="008034CE" w:rsidRDefault="008D4E45" w:rsidP="008D4E45">
      <w:r w:rsidRPr="008034CE">
        <w:t xml:space="preserve">The first two items are fixed administrative payments, reflecting the operational nature of plan management and must be delivered by registered providers. In contrast, the capacity building support is a claimable service delivered to the participant. </w:t>
      </w:r>
    </w:p>
    <w:p w14:paraId="11D91D9E" w14:textId="77777777" w:rsidR="008D4E45" w:rsidRPr="008034CE" w:rsidRDefault="008D4E45" w:rsidP="008D4E45">
      <w:r w:rsidRPr="008034CE">
        <w:t xml:space="preserve">As plan management has become a widely used funding option, the provider market has developed with growth in larger, more specialised organisations that have systems and scale to operate efficiently. This chapter examines the current pricing arrangements, scheme statistics, providers and the market to draw conclusions on potential changes to the pricing framework. </w:t>
      </w:r>
    </w:p>
    <w:p w14:paraId="5151E621" w14:textId="77777777" w:rsidR="008D4E45" w:rsidRPr="008034CE" w:rsidRDefault="008D4E45" w:rsidP="008D4E45">
      <w:pPr>
        <w:pStyle w:val="Heading3"/>
        <w:numPr>
          <w:ilvl w:val="1"/>
          <w:numId w:val="1"/>
        </w:numPr>
      </w:pPr>
      <w:bookmarkStart w:id="593" w:name="_Toc196304225"/>
      <w:bookmarkStart w:id="594" w:name="_Toc196754649"/>
      <w:bookmarkStart w:id="595" w:name="_Toc196758251"/>
      <w:bookmarkStart w:id="596" w:name="_Toc197344327"/>
      <w:bookmarkStart w:id="597" w:name="_Toc200271684"/>
      <w:r w:rsidRPr="008034CE">
        <w:t>Scheme Statistics</w:t>
      </w:r>
      <w:bookmarkEnd w:id="593"/>
      <w:bookmarkEnd w:id="594"/>
      <w:bookmarkEnd w:id="595"/>
      <w:bookmarkEnd w:id="596"/>
      <w:bookmarkEnd w:id="597"/>
      <w:r w:rsidRPr="008034CE">
        <w:t xml:space="preserve"> </w:t>
      </w:r>
    </w:p>
    <w:p w14:paraId="4DF64E83" w14:textId="77777777" w:rsidR="008D4E45" w:rsidRPr="008034CE" w:rsidRDefault="008D4E45" w:rsidP="008D4E45">
      <w:pPr>
        <w:pStyle w:val="Heading4"/>
        <w:numPr>
          <w:ilvl w:val="2"/>
          <w:numId w:val="1"/>
        </w:numPr>
      </w:pPr>
      <w:bookmarkStart w:id="598" w:name="_Toc196304226"/>
      <w:bookmarkStart w:id="599" w:name="_Toc200103573"/>
      <w:bookmarkStart w:id="600" w:name="_Toc200271685"/>
      <w:r w:rsidRPr="008034CE">
        <w:t>Market Overview</w:t>
      </w:r>
      <w:bookmarkEnd w:id="598"/>
      <w:bookmarkEnd w:id="599"/>
      <w:bookmarkEnd w:id="600"/>
    </w:p>
    <w:p w14:paraId="1012EB7E" w14:textId="34A145F7" w:rsidR="008D4E45" w:rsidRPr="008034CE" w:rsidRDefault="008D4E45" w:rsidP="005D6C04">
      <w:pPr>
        <w:pStyle w:val="Image"/>
        <w:jc w:val="left"/>
      </w:pPr>
      <w:r w:rsidRPr="008034CE">
        <w:t>Between July and December 2024, 1,624 registered plan managers submitted at least one claim, processing $13.45 billion in payments from participant plans (</w:t>
      </w:r>
      <w:r w:rsidR="00830233">
        <w:fldChar w:fldCharType="begin"/>
      </w:r>
      <w:r w:rsidR="00830233">
        <w:instrText xml:space="preserve"> REF _Ref195636401 \h </w:instrText>
      </w:r>
      <w:r w:rsidR="00830233">
        <w:fldChar w:fldCharType="separate"/>
      </w:r>
      <w:r w:rsidR="005763F9" w:rsidRPr="008034CE">
        <w:t xml:space="preserve">Table </w:t>
      </w:r>
      <w:r w:rsidR="005763F9">
        <w:t>31</w:t>
      </w:r>
      <w:r w:rsidR="00830233">
        <w:fldChar w:fldCharType="end"/>
      </w:r>
      <w:r w:rsidRPr="008034CE">
        <w:t>). Of this, $292 million was claimed directly as plan management fees, while the remaining $13.16 billion reflects payments made to other providers on behalf of</w:t>
      </w:r>
      <w:r w:rsidR="005D6C04">
        <w:t xml:space="preserve"> </w:t>
      </w:r>
      <w:r w:rsidRPr="008034CE">
        <w:t xml:space="preserve">participants. A total of 448,986 participants, 65% of total NDIS participants, had their funding partly or fully managed by a registered plan manager during this period. </w:t>
      </w:r>
    </w:p>
    <w:p w14:paraId="40E10808" w14:textId="00BA40D2" w:rsidR="008D4E45" w:rsidRPr="008034CE" w:rsidRDefault="008D4E45" w:rsidP="008D4E45">
      <w:pPr>
        <w:pStyle w:val="Caption"/>
      </w:pPr>
      <w:bookmarkStart w:id="601" w:name="_Ref195636401"/>
      <w:r w:rsidRPr="008034CE">
        <w:lastRenderedPageBreak/>
        <w:t xml:space="preserve">Table </w:t>
      </w:r>
      <w:r w:rsidR="005763F9">
        <w:fldChar w:fldCharType="begin"/>
      </w:r>
      <w:r w:rsidR="005763F9">
        <w:instrText xml:space="preserve"> SEQ Table \* ARABIC </w:instrText>
      </w:r>
      <w:r w:rsidR="005763F9">
        <w:fldChar w:fldCharType="separate"/>
      </w:r>
      <w:r w:rsidR="005763F9">
        <w:rPr>
          <w:noProof/>
        </w:rPr>
        <w:t>31</w:t>
      </w:r>
      <w:r w:rsidR="005763F9">
        <w:rPr>
          <w:noProof/>
        </w:rPr>
        <w:fldChar w:fldCharType="end"/>
      </w:r>
      <w:bookmarkEnd w:id="601"/>
      <w:r w:rsidRPr="008034CE">
        <w:t>: Plan Management Scheme Statistics</w:t>
      </w:r>
    </w:p>
    <w:tbl>
      <w:tblPr>
        <w:tblStyle w:val="GridTable4-Accent12"/>
        <w:tblW w:w="9074" w:type="dxa"/>
        <w:tblInd w:w="-5" w:type="dxa"/>
        <w:tblLayout w:type="fixed"/>
        <w:tblLook w:val="04A0" w:firstRow="1" w:lastRow="0" w:firstColumn="1" w:lastColumn="0" w:noHBand="0" w:noVBand="1"/>
      </w:tblPr>
      <w:tblGrid>
        <w:gridCol w:w="3686"/>
        <w:gridCol w:w="1985"/>
        <w:gridCol w:w="1985"/>
        <w:gridCol w:w="1418"/>
      </w:tblGrid>
      <w:tr w:rsidR="00942533" w:rsidRPr="007C1E37" w14:paraId="7805D2D6" w14:textId="77777777" w:rsidTr="001E519A">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501E58" w:themeColor="accent1" w:themeShade="BF"/>
              <w:left w:val="single" w:sz="4" w:space="0" w:color="501E58" w:themeColor="accent1" w:themeShade="BF"/>
              <w:bottom w:val="single" w:sz="4" w:space="0" w:color="501E58" w:themeColor="accent1" w:themeShade="BF"/>
              <w:right w:val="single" w:sz="6" w:space="0" w:color="501E58" w:themeColor="accent1" w:themeShade="BF"/>
            </w:tcBorders>
            <w:hideMark/>
          </w:tcPr>
          <w:p w14:paraId="1932A4F1" w14:textId="77777777" w:rsidR="00942533" w:rsidRPr="007C1E37" w:rsidRDefault="00942533" w:rsidP="001E519A">
            <w:pPr>
              <w:spacing w:before="60" w:after="60"/>
              <w:rPr>
                <w:rFonts w:cs="Arial"/>
                <w:sz w:val="20"/>
                <w:szCs w:val="20"/>
                <w:lang w:eastAsia="zh-CN" w:bidi="th-TH"/>
              </w:rPr>
            </w:pPr>
            <w:r w:rsidRPr="007C1E37">
              <w:rPr>
                <w:rFonts w:cs="Arial"/>
                <w:sz w:val="20"/>
                <w:szCs w:val="20"/>
                <w:lang w:eastAsia="zh-CN" w:bidi="th-TH"/>
              </w:rPr>
              <w:t>Statistics</w:t>
            </w:r>
          </w:p>
        </w:tc>
        <w:tc>
          <w:tcPr>
            <w:tcW w:w="1985"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tcPr>
          <w:p w14:paraId="46EE6D32" w14:textId="77777777" w:rsidR="00942533" w:rsidRPr="007C1E37" w:rsidRDefault="00942533" w:rsidP="001E519A">
            <w:pPr>
              <w:spacing w:before="60" w:after="60"/>
              <w:jc w:val="center"/>
              <w:cnfStyle w:val="100000000000" w:firstRow="1" w:lastRow="0" w:firstColumn="0" w:lastColumn="0" w:oddVBand="0" w:evenVBand="0" w:oddHBand="0" w:evenHBand="0" w:firstRowFirstColumn="0" w:firstRowLastColumn="0" w:lastRowFirstColumn="0" w:lastRowLastColumn="0"/>
              <w:rPr>
                <w:rFonts w:cs="Arial"/>
                <w:sz w:val="20"/>
                <w:szCs w:val="20"/>
                <w:lang w:eastAsia="zh-CN" w:bidi="th-TH"/>
              </w:rPr>
            </w:pPr>
            <w:r w:rsidRPr="007C1E37">
              <w:rPr>
                <w:rFonts w:cs="Arial"/>
                <w:sz w:val="20"/>
                <w:szCs w:val="20"/>
                <w:lang w:eastAsia="zh-CN" w:bidi="th-TH"/>
              </w:rPr>
              <w:t>July – December 2023</w:t>
            </w:r>
          </w:p>
        </w:tc>
        <w:tc>
          <w:tcPr>
            <w:tcW w:w="1985"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hideMark/>
          </w:tcPr>
          <w:p w14:paraId="43DFE11E" w14:textId="77777777" w:rsidR="00942533" w:rsidRPr="007C1E37" w:rsidRDefault="00942533" w:rsidP="001E519A">
            <w:pPr>
              <w:spacing w:before="60" w:after="60"/>
              <w:jc w:val="center"/>
              <w:cnfStyle w:val="100000000000" w:firstRow="1" w:lastRow="0" w:firstColumn="0" w:lastColumn="0" w:oddVBand="0" w:evenVBand="0" w:oddHBand="0" w:evenHBand="0" w:firstRowFirstColumn="0" w:firstRowLastColumn="0" w:lastRowFirstColumn="0" w:lastRowLastColumn="0"/>
              <w:rPr>
                <w:rFonts w:cs="Arial"/>
                <w:sz w:val="20"/>
                <w:szCs w:val="20"/>
                <w:lang w:eastAsia="zh-CN" w:bidi="th-TH"/>
              </w:rPr>
            </w:pPr>
            <w:r w:rsidRPr="007C1E37">
              <w:rPr>
                <w:rFonts w:cs="Arial"/>
                <w:sz w:val="20"/>
                <w:szCs w:val="20"/>
                <w:lang w:eastAsia="zh-CN" w:bidi="th-TH"/>
              </w:rPr>
              <w:t>July – December 2024</w:t>
            </w:r>
          </w:p>
        </w:tc>
        <w:tc>
          <w:tcPr>
            <w:tcW w:w="1418" w:type="dxa"/>
            <w:tcBorders>
              <w:top w:val="single" w:sz="4" w:space="0" w:color="501E58" w:themeColor="accent1" w:themeShade="BF"/>
              <w:left w:val="single" w:sz="6" w:space="0" w:color="501E58" w:themeColor="accent1" w:themeShade="BF"/>
              <w:bottom w:val="single" w:sz="4" w:space="0" w:color="501E58" w:themeColor="accent1" w:themeShade="BF"/>
              <w:right w:val="single" w:sz="4" w:space="0" w:color="501E58" w:themeColor="accent1" w:themeShade="BF"/>
            </w:tcBorders>
          </w:tcPr>
          <w:p w14:paraId="7ECC2073" w14:textId="77777777" w:rsidR="00942533" w:rsidRPr="007C1E37" w:rsidRDefault="00942533" w:rsidP="001E519A">
            <w:pPr>
              <w:spacing w:before="60" w:after="60"/>
              <w:jc w:val="center"/>
              <w:cnfStyle w:val="100000000000" w:firstRow="1" w:lastRow="0" w:firstColumn="0" w:lastColumn="0" w:oddVBand="0" w:evenVBand="0" w:oddHBand="0" w:evenHBand="0" w:firstRowFirstColumn="0" w:firstRowLastColumn="0" w:lastRowFirstColumn="0" w:lastRowLastColumn="0"/>
              <w:rPr>
                <w:rFonts w:cs="Arial"/>
                <w:sz w:val="20"/>
                <w:szCs w:val="20"/>
                <w:lang w:eastAsia="zh-CN" w:bidi="th-TH"/>
              </w:rPr>
            </w:pPr>
            <w:r w:rsidRPr="007C1E37">
              <w:rPr>
                <w:rFonts w:cs="Arial"/>
                <w:sz w:val="20"/>
                <w:szCs w:val="20"/>
                <w:lang w:eastAsia="zh-CN" w:bidi="th-TH"/>
              </w:rPr>
              <w:t>Percentage Change</w:t>
            </w:r>
          </w:p>
        </w:tc>
      </w:tr>
      <w:tr w:rsidR="00942533" w:rsidRPr="007C1E37" w14:paraId="1120355D" w14:textId="77777777" w:rsidTr="001E519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501E58" w:themeColor="accent1" w:themeShade="BF"/>
            </w:tcBorders>
            <w:noWrap/>
            <w:vAlign w:val="center"/>
          </w:tcPr>
          <w:p w14:paraId="12764DB6" w14:textId="77777777" w:rsidR="00942533" w:rsidRPr="007C1E37" w:rsidRDefault="00942533" w:rsidP="001E519A">
            <w:pPr>
              <w:spacing w:before="60" w:after="60"/>
              <w:rPr>
                <w:rFonts w:cs="Arial"/>
                <w:b/>
                <w:color w:val="000000"/>
                <w:sz w:val="20"/>
                <w:szCs w:val="20"/>
                <w:lang w:eastAsia="zh-CN" w:bidi="th-TH"/>
              </w:rPr>
            </w:pPr>
            <w:r w:rsidRPr="007C1E37">
              <w:rPr>
                <w:rFonts w:cs="Arial"/>
                <w:sz w:val="20"/>
                <w:szCs w:val="20"/>
              </w:rPr>
              <w:t>Total number of NDIS participants</w:t>
            </w:r>
          </w:p>
        </w:tc>
        <w:tc>
          <w:tcPr>
            <w:tcW w:w="1985" w:type="dxa"/>
            <w:tcBorders>
              <w:top w:val="single" w:sz="4" w:space="0" w:color="501E58" w:themeColor="accent1" w:themeShade="BF"/>
            </w:tcBorders>
            <w:vAlign w:val="center"/>
          </w:tcPr>
          <w:p w14:paraId="5F8FFD3B" w14:textId="77777777" w:rsidR="00942533" w:rsidRPr="007C1E37" w:rsidRDefault="00942533" w:rsidP="001E519A">
            <w:pPr>
              <w:spacing w:before="60" w:after="60"/>
              <w:ind w:right="397"/>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7C1E37">
              <w:rPr>
                <w:sz w:val="20"/>
                <w:szCs w:val="20"/>
              </w:rPr>
              <w:t>400,436</w:t>
            </w:r>
          </w:p>
        </w:tc>
        <w:tc>
          <w:tcPr>
            <w:tcW w:w="1985" w:type="dxa"/>
            <w:tcBorders>
              <w:top w:val="single" w:sz="4" w:space="0" w:color="501E58" w:themeColor="accent1" w:themeShade="BF"/>
            </w:tcBorders>
            <w:noWrap/>
            <w:vAlign w:val="center"/>
          </w:tcPr>
          <w:p w14:paraId="31F2B087" w14:textId="77777777" w:rsidR="00942533" w:rsidRPr="007C1E37" w:rsidRDefault="00942533" w:rsidP="001E519A">
            <w:pPr>
              <w:spacing w:before="60" w:after="60"/>
              <w:ind w:right="397"/>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7C1E37">
              <w:rPr>
                <w:sz w:val="20"/>
                <w:szCs w:val="20"/>
              </w:rPr>
              <w:t>448,986</w:t>
            </w:r>
          </w:p>
        </w:tc>
        <w:tc>
          <w:tcPr>
            <w:tcW w:w="1418" w:type="dxa"/>
            <w:tcBorders>
              <w:top w:val="single" w:sz="4" w:space="0" w:color="501E58" w:themeColor="accent1" w:themeShade="BF"/>
            </w:tcBorders>
            <w:vAlign w:val="center"/>
          </w:tcPr>
          <w:p w14:paraId="466AFAB1" w14:textId="77777777" w:rsidR="00942533" w:rsidRPr="007C1E37" w:rsidRDefault="00942533" w:rsidP="001E519A">
            <w:pPr>
              <w:spacing w:before="60" w:after="60"/>
              <w:ind w:right="340"/>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7C1E37">
              <w:rPr>
                <w:sz w:val="20"/>
                <w:szCs w:val="20"/>
              </w:rPr>
              <w:t>12.1%</w:t>
            </w:r>
          </w:p>
        </w:tc>
      </w:tr>
      <w:tr w:rsidR="00942533" w:rsidRPr="007C1E37" w14:paraId="3EA20D4F" w14:textId="77777777" w:rsidTr="001E519A">
        <w:trPr>
          <w:trHeight w:val="397"/>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1BABFB31" w14:textId="77777777" w:rsidR="00942533" w:rsidRPr="007C1E37" w:rsidRDefault="00942533" w:rsidP="001E519A">
            <w:pPr>
              <w:spacing w:before="60" w:after="60"/>
              <w:rPr>
                <w:rFonts w:cs="Arial"/>
                <w:b/>
                <w:color w:val="000000"/>
                <w:sz w:val="20"/>
                <w:szCs w:val="20"/>
                <w:lang w:eastAsia="zh-CN" w:bidi="th-TH"/>
              </w:rPr>
            </w:pPr>
            <w:r w:rsidRPr="007C1E37">
              <w:rPr>
                <w:rFonts w:cs="Arial"/>
                <w:sz w:val="20"/>
                <w:szCs w:val="20"/>
              </w:rPr>
              <w:t>Total number of active providers</w:t>
            </w:r>
          </w:p>
        </w:tc>
        <w:tc>
          <w:tcPr>
            <w:tcW w:w="1985" w:type="dxa"/>
            <w:vAlign w:val="center"/>
          </w:tcPr>
          <w:p w14:paraId="2FD04870" w14:textId="77777777" w:rsidR="00942533" w:rsidRPr="007C1E37" w:rsidRDefault="00942533" w:rsidP="001E519A">
            <w:pPr>
              <w:spacing w:before="60" w:after="60"/>
              <w:ind w:right="397"/>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zh-CN" w:bidi="th-TH"/>
              </w:rPr>
            </w:pPr>
            <w:r w:rsidRPr="007C1E37">
              <w:rPr>
                <w:sz w:val="20"/>
                <w:szCs w:val="20"/>
              </w:rPr>
              <w:t>1,625</w:t>
            </w:r>
          </w:p>
        </w:tc>
        <w:tc>
          <w:tcPr>
            <w:tcW w:w="1985" w:type="dxa"/>
            <w:noWrap/>
            <w:vAlign w:val="center"/>
          </w:tcPr>
          <w:p w14:paraId="6477CF05" w14:textId="77777777" w:rsidR="00942533" w:rsidRPr="007C1E37" w:rsidRDefault="00942533" w:rsidP="001E519A">
            <w:pPr>
              <w:spacing w:before="60" w:after="60"/>
              <w:ind w:right="397"/>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zh-CN" w:bidi="th-TH"/>
              </w:rPr>
            </w:pPr>
            <w:r w:rsidRPr="007C1E37">
              <w:rPr>
                <w:sz w:val="20"/>
                <w:szCs w:val="20"/>
              </w:rPr>
              <w:t>1,624</w:t>
            </w:r>
          </w:p>
        </w:tc>
        <w:tc>
          <w:tcPr>
            <w:tcW w:w="1418" w:type="dxa"/>
            <w:vAlign w:val="center"/>
          </w:tcPr>
          <w:p w14:paraId="634DE6F4" w14:textId="77777777" w:rsidR="00942533" w:rsidRPr="007C1E37" w:rsidRDefault="00942533" w:rsidP="001E519A">
            <w:pPr>
              <w:spacing w:before="60" w:after="60"/>
              <w:ind w:right="340"/>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7C1E37">
              <w:rPr>
                <w:sz w:val="20"/>
                <w:szCs w:val="20"/>
              </w:rPr>
              <w:t>-0.1%</w:t>
            </w:r>
          </w:p>
        </w:tc>
      </w:tr>
      <w:tr w:rsidR="00942533" w:rsidRPr="007C1E37" w14:paraId="096FFADF" w14:textId="77777777" w:rsidTr="001E519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69E57467" w14:textId="77777777" w:rsidR="00942533" w:rsidRPr="007C1E37" w:rsidRDefault="00942533" w:rsidP="001E519A">
            <w:pPr>
              <w:spacing w:before="60" w:after="60"/>
              <w:rPr>
                <w:rFonts w:cs="Arial"/>
                <w:b/>
                <w:color w:val="000000"/>
                <w:sz w:val="20"/>
                <w:szCs w:val="20"/>
                <w:lang w:eastAsia="zh-CN" w:bidi="th-TH"/>
              </w:rPr>
            </w:pPr>
            <w:r w:rsidRPr="007C1E37">
              <w:rPr>
                <w:rFonts w:cs="Arial"/>
                <w:sz w:val="20"/>
                <w:szCs w:val="20"/>
              </w:rPr>
              <w:t xml:space="preserve">Total </w:t>
            </w:r>
            <w:r w:rsidRPr="007C1E37">
              <w:rPr>
                <w:sz w:val="20"/>
                <w:szCs w:val="20"/>
              </w:rPr>
              <w:t xml:space="preserve">amount claimed for </w:t>
            </w:r>
            <w:r w:rsidRPr="007C1E37">
              <w:rPr>
                <w:rFonts w:cs="Arial"/>
                <w:sz w:val="20"/>
                <w:szCs w:val="20"/>
              </w:rPr>
              <w:t xml:space="preserve">plan management fees </w:t>
            </w:r>
          </w:p>
        </w:tc>
        <w:tc>
          <w:tcPr>
            <w:tcW w:w="1985" w:type="dxa"/>
            <w:vAlign w:val="center"/>
          </w:tcPr>
          <w:p w14:paraId="22AF720E" w14:textId="77777777" w:rsidR="00942533" w:rsidRPr="007C1E37" w:rsidRDefault="00942533" w:rsidP="001E519A">
            <w:pPr>
              <w:spacing w:before="60" w:after="60"/>
              <w:ind w:right="397"/>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7C1E37">
              <w:rPr>
                <w:sz w:val="20"/>
                <w:szCs w:val="20"/>
              </w:rPr>
              <w:t>$271 million</w:t>
            </w:r>
          </w:p>
        </w:tc>
        <w:tc>
          <w:tcPr>
            <w:tcW w:w="1985" w:type="dxa"/>
            <w:noWrap/>
            <w:vAlign w:val="center"/>
          </w:tcPr>
          <w:p w14:paraId="3FB7465F" w14:textId="77777777" w:rsidR="00942533" w:rsidRPr="007C1E37" w:rsidRDefault="00942533" w:rsidP="001E519A">
            <w:pPr>
              <w:spacing w:before="60" w:after="60"/>
              <w:ind w:right="397"/>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7C1E37">
              <w:rPr>
                <w:sz w:val="20"/>
                <w:szCs w:val="20"/>
              </w:rPr>
              <w:t>$292 million</w:t>
            </w:r>
          </w:p>
        </w:tc>
        <w:tc>
          <w:tcPr>
            <w:tcW w:w="1418" w:type="dxa"/>
            <w:vAlign w:val="center"/>
          </w:tcPr>
          <w:p w14:paraId="751388B2" w14:textId="77777777" w:rsidR="00942533" w:rsidRPr="007C1E37" w:rsidRDefault="00942533" w:rsidP="001E519A">
            <w:pPr>
              <w:spacing w:before="60" w:after="60"/>
              <w:ind w:right="340"/>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7C1E37">
              <w:rPr>
                <w:sz w:val="20"/>
                <w:szCs w:val="20"/>
              </w:rPr>
              <w:t>7.7%</w:t>
            </w:r>
          </w:p>
        </w:tc>
      </w:tr>
      <w:tr w:rsidR="00942533" w:rsidRPr="007C1E37" w14:paraId="53BC7DDD" w14:textId="77777777" w:rsidTr="001E519A">
        <w:trPr>
          <w:trHeight w:val="397"/>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27F7E733" w14:textId="77777777" w:rsidR="00942533" w:rsidRPr="007C1E37" w:rsidRDefault="00942533" w:rsidP="001E519A">
            <w:pPr>
              <w:spacing w:before="60" w:after="60"/>
              <w:rPr>
                <w:rFonts w:cs="Arial"/>
                <w:b/>
                <w:sz w:val="20"/>
                <w:szCs w:val="20"/>
              </w:rPr>
            </w:pPr>
            <w:r w:rsidRPr="007C1E37">
              <w:rPr>
                <w:rFonts w:cs="Arial"/>
                <w:sz w:val="20"/>
                <w:szCs w:val="20"/>
              </w:rPr>
              <w:t>Total number of active providers with claiming fees</w:t>
            </w:r>
          </w:p>
        </w:tc>
        <w:tc>
          <w:tcPr>
            <w:tcW w:w="1985" w:type="dxa"/>
            <w:vAlign w:val="center"/>
          </w:tcPr>
          <w:p w14:paraId="6C6D4D1E" w14:textId="77777777" w:rsidR="00942533" w:rsidRPr="007C1E37" w:rsidRDefault="00942533" w:rsidP="001E519A">
            <w:pPr>
              <w:spacing w:before="60" w:after="60"/>
              <w:ind w:right="397"/>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7C1E37">
              <w:rPr>
                <w:sz w:val="20"/>
                <w:szCs w:val="20"/>
              </w:rPr>
              <w:t>1,332</w:t>
            </w:r>
          </w:p>
        </w:tc>
        <w:tc>
          <w:tcPr>
            <w:tcW w:w="1985" w:type="dxa"/>
            <w:noWrap/>
            <w:vAlign w:val="center"/>
          </w:tcPr>
          <w:p w14:paraId="38345D94" w14:textId="77777777" w:rsidR="00942533" w:rsidRPr="007C1E37" w:rsidRDefault="00942533" w:rsidP="001E519A">
            <w:pPr>
              <w:spacing w:before="60" w:after="60"/>
              <w:ind w:right="397"/>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7C1E37">
              <w:rPr>
                <w:sz w:val="20"/>
                <w:szCs w:val="20"/>
              </w:rPr>
              <w:t>1,377</w:t>
            </w:r>
          </w:p>
        </w:tc>
        <w:tc>
          <w:tcPr>
            <w:tcW w:w="1418" w:type="dxa"/>
            <w:vAlign w:val="center"/>
          </w:tcPr>
          <w:p w14:paraId="4BF6BCF9" w14:textId="77777777" w:rsidR="00942533" w:rsidRPr="007C1E37" w:rsidRDefault="00942533" w:rsidP="001E519A">
            <w:pPr>
              <w:spacing w:before="60" w:after="60"/>
              <w:ind w:right="340"/>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7C1E37">
              <w:rPr>
                <w:sz w:val="20"/>
                <w:szCs w:val="20"/>
              </w:rPr>
              <w:t>3.4%</w:t>
            </w:r>
          </w:p>
        </w:tc>
      </w:tr>
      <w:tr w:rsidR="00942533" w:rsidRPr="007C1E37" w14:paraId="0F733ADF" w14:textId="77777777" w:rsidTr="001E519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01356639" w14:textId="77777777" w:rsidR="00942533" w:rsidRPr="007C1E37" w:rsidRDefault="00942533" w:rsidP="001E519A">
            <w:pPr>
              <w:spacing w:before="60" w:after="60"/>
              <w:rPr>
                <w:rFonts w:cs="Arial"/>
                <w:b/>
                <w:sz w:val="20"/>
                <w:szCs w:val="20"/>
              </w:rPr>
            </w:pPr>
            <w:r w:rsidRPr="007C1E37">
              <w:rPr>
                <w:rFonts w:cs="Arial"/>
                <w:sz w:val="20"/>
                <w:szCs w:val="20"/>
              </w:rPr>
              <w:t>Average amount claimed for plan management fees per provider</w:t>
            </w:r>
          </w:p>
        </w:tc>
        <w:tc>
          <w:tcPr>
            <w:tcW w:w="1985" w:type="dxa"/>
            <w:vAlign w:val="center"/>
          </w:tcPr>
          <w:p w14:paraId="789F5180" w14:textId="77777777" w:rsidR="00942533" w:rsidRPr="007C1E37" w:rsidRDefault="00942533" w:rsidP="001E519A">
            <w:pPr>
              <w:spacing w:before="60" w:after="60"/>
              <w:ind w:right="397"/>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7C1E37">
              <w:rPr>
                <w:sz w:val="20"/>
                <w:szCs w:val="20"/>
              </w:rPr>
              <w:t>$203,300</w:t>
            </w:r>
          </w:p>
        </w:tc>
        <w:tc>
          <w:tcPr>
            <w:tcW w:w="1985" w:type="dxa"/>
            <w:noWrap/>
            <w:vAlign w:val="center"/>
          </w:tcPr>
          <w:p w14:paraId="13068F91" w14:textId="77777777" w:rsidR="00942533" w:rsidRPr="007C1E37" w:rsidRDefault="00942533" w:rsidP="001E519A">
            <w:pPr>
              <w:spacing w:before="60" w:after="60"/>
              <w:ind w:right="397"/>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7C1E37">
              <w:rPr>
                <w:sz w:val="20"/>
                <w:szCs w:val="20"/>
              </w:rPr>
              <w:t>$211,800</w:t>
            </w:r>
          </w:p>
        </w:tc>
        <w:tc>
          <w:tcPr>
            <w:tcW w:w="1418" w:type="dxa"/>
            <w:vAlign w:val="center"/>
          </w:tcPr>
          <w:p w14:paraId="7DBE7AA0" w14:textId="77777777" w:rsidR="00942533" w:rsidRPr="007C1E37" w:rsidRDefault="00942533" w:rsidP="001E519A">
            <w:pPr>
              <w:spacing w:before="60" w:after="60"/>
              <w:ind w:right="340"/>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7C1E37">
              <w:rPr>
                <w:sz w:val="20"/>
                <w:szCs w:val="20"/>
              </w:rPr>
              <w:t>4.2%</w:t>
            </w:r>
          </w:p>
        </w:tc>
      </w:tr>
    </w:tbl>
    <w:p w14:paraId="0F24C643" w14:textId="77777777" w:rsidR="008D4E45" w:rsidRPr="008034CE" w:rsidRDefault="008D4E45" w:rsidP="00942533">
      <w:pPr>
        <w:spacing w:before="240" w:after="60" w:line="240" w:lineRule="atLeast"/>
        <w:rPr>
          <w:b/>
          <w:iCs/>
          <w:sz w:val="20"/>
          <w:szCs w:val="20"/>
        </w:rPr>
      </w:pPr>
      <w:r w:rsidRPr="008034CE">
        <w:rPr>
          <w:b/>
          <w:iCs/>
          <w:sz w:val="20"/>
          <w:szCs w:val="20"/>
        </w:rPr>
        <w:t>Source: NDIS internal administrative data</w:t>
      </w:r>
    </w:p>
    <w:p w14:paraId="10D6B662" w14:textId="77777777" w:rsidR="008D4E45" w:rsidRPr="008034CE" w:rsidRDefault="008D4E45" w:rsidP="008D4E45">
      <w:pPr>
        <w:spacing w:before="60" w:after="60" w:line="240" w:lineRule="atLeast"/>
        <w:rPr>
          <w:rFonts w:cs="Calibri"/>
          <w:sz w:val="20"/>
          <w:szCs w:val="18"/>
        </w:rPr>
      </w:pPr>
      <w:r w:rsidRPr="008034CE">
        <w:rPr>
          <w:rFonts w:cs="Calibri"/>
          <w:sz w:val="20"/>
          <w:szCs w:val="18"/>
        </w:rPr>
        <w:t xml:space="preserve">Note: Figures reflect payments made for plan management supports and may differ from the number of providers registered with the NDIS Quality and Safeguards Commission or participants with plan-management funding. </w:t>
      </w:r>
    </w:p>
    <w:p w14:paraId="181F905E" w14:textId="77777777" w:rsidR="008D4E45" w:rsidRPr="008034CE" w:rsidRDefault="008D4E45" w:rsidP="008D4E45">
      <w:pPr>
        <w:numPr>
          <w:ilvl w:val="0"/>
          <w:numId w:val="34"/>
        </w:numPr>
        <w:spacing w:before="60" w:after="60" w:line="240" w:lineRule="atLeast"/>
        <w:rPr>
          <w:rFonts w:cs="Calibri"/>
          <w:sz w:val="20"/>
          <w:szCs w:val="18"/>
        </w:rPr>
      </w:pPr>
      <w:r w:rsidRPr="008034CE">
        <w:rPr>
          <w:rFonts w:cs="Calibri"/>
          <w:sz w:val="20"/>
          <w:szCs w:val="18"/>
        </w:rPr>
        <w:t xml:space="preserve">Active providers are those registered in the plan management group, as reported in the QRDM. </w:t>
      </w:r>
    </w:p>
    <w:p w14:paraId="0DF2138F" w14:textId="77777777" w:rsidR="008D4E45" w:rsidRPr="008034CE" w:rsidRDefault="008D4E45" w:rsidP="008D4E45">
      <w:pPr>
        <w:numPr>
          <w:ilvl w:val="0"/>
          <w:numId w:val="34"/>
        </w:numPr>
        <w:spacing w:before="60" w:after="60" w:line="240" w:lineRule="atLeast"/>
        <w:rPr>
          <w:rFonts w:cs="Calibri"/>
          <w:sz w:val="20"/>
          <w:szCs w:val="18"/>
        </w:rPr>
      </w:pPr>
      <w:r w:rsidRPr="008034CE">
        <w:rPr>
          <w:rFonts w:cs="Calibri"/>
          <w:sz w:val="20"/>
          <w:szCs w:val="18"/>
        </w:rPr>
        <w:t xml:space="preserve">Active providers with claiming fees are those who submitted claims for set-up or management fees during the period. This definition underpins the analysis unless otherwise stated. </w:t>
      </w:r>
    </w:p>
    <w:p w14:paraId="5FEE4A5A" w14:textId="6CBB9BEF" w:rsidR="008D4E45" w:rsidRPr="008034CE" w:rsidRDefault="00845B39" w:rsidP="008D4E45">
      <w:pPr>
        <w:spacing w:before="480" w:line="240" w:lineRule="auto"/>
      </w:pPr>
      <w:r>
        <w:fldChar w:fldCharType="begin"/>
      </w:r>
      <w:r>
        <w:instrText xml:space="preserve"> REF _Ref195636422 \h </w:instrText>
      </w:r>
      <w:r>
        <w:fldChar w:fldCharType="separate"/>
      </w:r>
      <w:r w:rsidR="005763F9" w:rsidRPr="008034CE">
        <w:t xml:space="preserve">Table </w:t>
      </w:r>
      <w:r w:rsidR="005763F9">
        <w:rPr>
          <w:noProof/>
        </w:rPr>
        <w:t>32</w:t>
      </w:r>
      <w:r>
        <w:fldChar w:fldCharType="end"/>
      </w:r>
      <w:r w:rsidR="008D4E45" w:rsidRPr="008034CE">
        <w:t xml:space="preserve"> shows that plan-managed payments grew by 19.8% compared to the previous six-month period, up from $11.23 billion to $13.45 billion six months to December 2024. Growth over this period was strong across most categories, for instance in Core – Daily Activities (up 20.8%), Core – Community (up 20.6%), and Capacity Building (CB) – Support Coordination (up 25.2%), and CB – Daily Activities (up 16.9%).</w:t>
      </w:r>
    </w:p>
    <w:p w14:paraId="2F3DE31C" w14:textId="41E775DE" w:rsidR="008D4E45" w:rsidRDefault="008D4E45">
      <w:pPr>
        <w:spacing w:before="120" w:after="120"/>
      </w:pPr>
      <w:r>
        <w:br w:type="page"/>
      </w:r>
    </w:p>
    <w:p w14:paraId="2AF94D43" w14:textId="0297B128" w:rsidR="006B7B84" w:rsidRPr="008034CE" w:rsidRDefault="006B7B84" w:rsidP="006B7B84">
      <w:pPr>
        <w:pStyle w:val="Caption"/>
      </w:pPr>
      <w:bookmarkStart w:id="602" w:name="_Ref195636422"/>
      <w:r w:rsidRPr="008034CE">
        <w:lastRenderedPageBreak/>
        <w:t xml:space="preserve">Table </w:t>
      </w:r>
      <w:r w:rsidR="005763F9">
        <w:fldChar w:fldCharType="begin"/>
      </w:r>
      <w:r w:rsidR="005763F9">
        <w:instrText xml:space="preserve"> SEQ Table \* ARABIC </w:instrText>
      </w:r>
      <w:r w:rsidR="005763F9">
        <w:fldChar w:fldCharType="separate"/>
      </w:r>
      <w:r w:rsidR="005763F9">
        <w:rPr>
          <w:noProof/>
        </w:rPr>
        <w:t>32</w:t>
      </w:r>
      <w:r w:rsidR="005763F9">
        <w:rPr>
          <w:noProof/>
        </w:rPr>
        <w:fldChar w:fldCharType="end"/>
      </w:r>
      <w:bookmarkEnd w:id="602"/>
      <w:r w:rsidRPr="008034CE">
        <w:t>: Total Payment via Active Registered Plan Managers (including plan management fee)</w:t>
      </w:r>
    </w:p>
    <w:tbl>
      <w:tblPr>
        <w:tblStyle w:val="GridTable4-Accent12"/>
        <w:tblW w:w="9074" w:type="dxa"/>
        <w:tblInd w:w="-5" w:type="dxa"/>
        <w:tblLayout w:type="fixed"/>
        <w:tblLook w:val="04A0" w:firstRow="1" w:lastRow="0" w:firstColumn="1" w:lastColumn="0" w:noHBand="0" w:noVBand="1"/>
      </w:tblPr>
      <w:tblGrid>
        <w:gridCol w:w="3686"/>
        <w:gridCol w:w="1985"/>
        <w:gridCol w:w="1985"/>
        <w:gridCol w:w="1418"/>
      </w:tblGrid>
      <w:tr w:rsidR="006B7B84" w:rsidRPr="007C1E37" w14:paraId="5B2DFDC0" w14:textId="77777777" w:rsidTr="001E519A">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501E58" w:themeColor="accent1" w:themeShade="BF"/>
              <w:left w:val="single" w:sz="4" w:space="0" w:color="501E58" w:themeColor="accent1" w:themeShade="BF"/>
              <w:bottom w:val="single" w:sz="4" w:space="0" w:color="501E58" w:themeColor="accent1" w:themeShade="BF"/>
              <w:right w:val="single" w:sz="6" w:space="0" w:color="501E58" w:themeColor="accent1" w:themeShade="BF"/>
            </w:tcBorders>
            <w:hideMark/>
          </w:tcPr>
          <w:p w14:paraId="3D294A90" w14:textId="77777777" w:rsidR="006B7B84" w:rsidRPr="007C1E37" w:rsidRDefault="006B7B84" w:rsidP="001E519A">
            <w:pPr>
              <w:spacing w:before="60" w:after="60"/>
              <w:rPr>
                <w:rFonts w:cs="Arial"/>
                <w:sz w:val="20"/>
                <w:szCs w:val="20"/>
                <w:lang w:eastAsia="zh-CN" w:bidi="th-TH"/>
              </w:rPr>
            </w:pPr>
            <w:r w:rsidRPr="007C1E37">
              <w:rPr>
                <w:rFonts w:cs="Arial"/>
                <w:sz w:val="20"/>
                <w:szCs w:val="20"/>
                <w:lang w:eastAsia="zh-CN" w:bidi="th-TH"/>
              </w:rPr>
              <w:t>Support Category</w:t>
            </w:r>
          </w:p>
        </w:tc>
        <w:tc>
          <w:tcPr>
            <w:tcW w:w="1985"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tcPr>
          <w:p w14:paraId="741E43C9" w14:textId="77777777" w:rsidR="006B7B84" w:rsidRPr="007C1E37" w:rsidRDefault="006B7B84" w:rsidP="001E519A">
            <w:pPr>
              <w:spacing w:before="60" w:after="0"/>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lang w:eastAsia="zh-CN" w:bidi="th-TH"/>
              </w:rPr>
            </w:pPr>
            <w:r w:rsidRPr="007C1E37">
              <w:rPr>
                <w:rFonts w:cs="Arial"/>
                <w:sz w:val="20"/>
                <w:szCs w:val="20"/>
                <w:lang w:eastAsia="zh-CN" w:bidi="th-TH"/>
              </w:rPr>
              <w:t>July – December 2023</w:t>
            </w:r>
          </w:p>
          <w:p w14:paraId="481B6F2E" w14:textId="77777777" w:rsidR="006B7B84" w:rsidRPr="007C1E37" w:rsidRDefault="006B7B84" w:rsidP="001E519A">
            <w:pPr>
              <w:spacing w:after="60"/>
              <w:jc w:val="center"/>
              <w:cnfStyle w:val="100000000000" w:firstRow="1" w:lastRow="0" w:firstColumn="0" w:lastColumn="0" w:oddVBand="0" w:evenVBand="0" w:oddHBand="0" w:evenHBand="0" w:firstRowFirstColumn="0" w:firstRowLastColumn="0" w:lastRowFirstColumn="0" w:lastRowLastColumn="0"/>
              <w:rPr>
                <w:rFonts w:cs="Arial"/>
                <w:sz w:val="20"/>
                <w:szCs w:val="20"/>
                <w:lang w:eastAsia="zh-CN" w:bidi="th-TH"/>
              </w:rPr>
            </w:pPr>
            <w:r w:rsidRPr="007C1E37">
              <w:rPr>
                <w:rFonts w:cs="Arial"/>
                <w:sz w:val="20"/>
                <w:szCs w:val="20"/>
                <w:lang w:eastAsia="zh-CN" w:bidi="th-TH"/>
              </w:rPr>
              <w:t>(million)</w:t>
            </w:r>
          </w:p>
        </w:tc>
        <w:tc>
          <w:tcPr>
            <w:tcW w:w="1985"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hideMark/>
          </w:tcPr>
          <w:p w14:paraId="5F85069C" w14:textId="77777777" w:rsidR="006B7B84" w:rsidRPr="007C1E37" w:rsidRDefault="006B7B84" w:rsidP="001E519A">
            <w:pPr>
              <w:spacing w:before="60" w:after="0"/>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lang w:eastAsia="zh-CN" w:bidi="th-TH"/>
              </w:rPr>
            </w:pPr>
            <w:r w:rsidRPr="007C1E37">
              <w:rPr>
                <w:rFonts w:cs="Arial"/>
                <w:sz w:val="20"/>
                <w:szCs w:val="20"/>
                <w:lang w:eastAsia="zh-CN" w:bidi="th-TH"/>
              </w:rPr>
              <w:t>July – December 2024</w:t>
            </w:r>
          </w:p>
          <w:p w14:paraId="0D5B72C8" w14:textId="77777777" w:rsidR="006B7B84" w:rsidRPr="007C1E37" w:rsidRDefault="006B7B84" w:rsidP="001E519A">
            <w:pPr>
              <w:spacing w:after="60"/>
              <w:jc w:val="center"/>
              <w:cnfStyle w:val="100000000000" w:firstRow="1" w:lastRow="0" w:firstColumn="0" w:lastColumn="0" w:oddVBand="0" w:evenVBand="0" w:oddHBand="0" w:evenHBand="0" w:firstRowFirstColumn="0" w:firstRowLastColumn="0" w:lastRowFirstColumn="0" w:lastRowLastColumn="0"/>
              <w:rPr>
                <w:rFonts w:cs="Arial"/>
                <w:sz w:val="20"/>
                <w:szCs w:val="20"/>
                <w:lang w:eastAsia="zh-CN" w:bidi="th-TH"/>
              </w:rPr>
            </w:pPr>
            <w:r w:rsidRPr="007C1E37">
              <w:rPr>
                <w:rFonts w:cs="Arial"/>
                <w:sz w:val="20"/>
                <w:szCs w:val="20"/>
                <w:lang w:eastAsia="zh-CN" w:bidi="th-TH"/>
              </w:rPr>
              <w:t>(million)</w:t>
            </w:r>
          </w:p>
        </w:tc>
        <w:tc>
          <w:tcPr>
            <w:tcW w:w="1418" w:type="dxa"/>
            <w:tcBorders>
              <w:top w:val="single" w:sz="4" w:space="0" w:color="501E58" w:themeColor="accent1" w:themeShade="BF"/>
              <w:left w:val="single" w:sz="6" w:space="0" w:color="501E58" w:themeColor="accent1" w:themeShade="BF"/>
              <w:bottom w:val="single" w:sz="4" w:space="0" w:color="501E58" w:themeColor="accent1" w:themeShade="BF"/>
              <w:right w:val="single" w:sz="4" w:space="0" w:color="501E58" w:themeColor="accent1" w:themeShade="BF"/>
            </w:tcBorders>
          </w:tcPr>
          <w:p w14:paraId="084F098C" w14:textId="77777777" w:rsidR="006B7B84" w:rsidRPr="007C1E37" w:rsidRDefault="006B7B84" w:rsidP="001E519A">
            <w:pPr>
              <w:spacing w:before="60" w:after="60"/>
              <w:jc w:val="center"/>
              <w:cnfStyle w:val="100000000000" w:firstRow="1" w:lastRow="0" w:firstColumn="0" w:lastColumn="0" w:oddVBand="0" w:evenVBand="0" w:oddHBand="0" w:evenHBand="0" w:firstRowFirstColumn="0" w:firstRowLastColumn="0" w:lastRowFirstColumn="0" w:lastRowLastColumn="0"/>
              <w:rPr>
                <w:rFonts w:cs="Arial"/>
                <w:sz w:val="20"/>
                <w:szCs w:val="20"/>
                <w:lang w:eastAsia="zh-CN" w:bidi="th-TH"/>
              </w:rPr>
            </w:pPr>
            <w:r w:rsidRPr="007C1E37">
              <w:rPr>
                <w:rFonts w:cs="Arial"/>
                <w:sz w:val="20"/>
                <w:szCs w:val="20"/>
                <w:lang w:eastAsia="zh-CN" w:bidi="th-TH"/>
              </w:rPr>
              <w:t>Percentage Change</w:t>
            </w:r>
          </w:p>
        </w:tc>
      </w:tr>
      <w:tr w:rsidR="006B7B84" w:rsidRPr="007C1E37" w14:paraId="0F96977E" w14:textId="77777777" w:rsidTr="001E519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501E58" w:themeColor="accent1" w:themeShade="BF"/>
            </w:tcBorders>
            <w:noWrap/>
            <w:vAlign w:val="center"/>
          </w:tcPr>
          <w:p w14:paraId="0E6C89F1" w14:textId="77777777" w:rsidR="006B7B84" w:rsidRPr="007C1E37" w:rsidRDefault="006B7B84" w:rsidP="001E519A">
            <w:pPr>
              <w:spacing w:before="60" w:after="60"/>
              <w:rPr>
                <w:rFonts w:cs="Arial"/>
                <w:b/>
                <w:color w:val="000000"/>
                <w:sz w:val="20"/>
                <w:szCs w:val="20"/>
                <w:lang w:eastAsia="zh-CN" w:bidi="th-TH"/>
              </w:rPr>
            </w:pPr>
            <w:r w:rsidRPr="007C1E37">
              <w:rPr>
                <w:rFonts w:cs="Arial"/>
                <w:sz w:val="20"/>
                <w:szCs w:val="20"/>
              </w:rPr>
              <w:t>Core - Transport</w:t>
            </w:r>
          </w:p>
        </w:tc>
        <w:tc>
          <w:tcPr>
            <w:tcW w:w="1985" w:type="dxa"/>
            <w:tcBorders>
              <w:top w:val="single" w:sz="4" w:space="0" w:color="501E58" w:themeColor="accent1" w:themeShade="BF"/>
            </w:tcBorders>
            <w:vAlign w:val="center"/>
          </w:tcPr>
          <w:p w14:paraId="74F49832" w14:textId="77777777" w:rsidR="006B7B84" w:rsidRPr="007C1E37" w:rsidRDefault="006B7B84" w:rsidP="001E519A">
            <w:pPr>
              <w:spacing w:before="60" w:after="60"/>
              <w:ind w:right="454"/>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7C1E37">
              <w:rPr>
                <w:sz w:val="20"/>
                <w:szCs w:val="20"/>
              </w:rPr>
              <w:t>$13.7</w:t>
            </w:r>
          </w:p>
        </w:tc>
        <w:tc>
          <w:tcPr>
            <w:tcW w:w="1985" w:type="dxa"/>
            <w:tcBorders>
              <w:top w:val="single" w:sz="4" w:space="0" w:color="501E58" w:themeColor="accent1" w:themeShade="BF"/>
            </w:tcBorders>
            <w:noWrap/>
            <w:vAlign w:val="center"/>
          </w:tcPr>
          <w:p w14:paraId="667FB876" w14:textId="77777777" w:rsidR="006B7B84" w:rsidRPr="007C1E37" w:rsidRDefault="006B7B84" w:rsidP="001E519A">
            <w:pPr>
              <w:spacing w:before="60" w:after="60"/>
              <w:ind w:right="454"/>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7C1E37">
              <w:rPr>
                <w:sz w:val="20"/>
                <w:szCs w:val="20"/>
              </w:rPr>
              <w:t>$15.2</w:t>
            </w:r>
          </w:p>
        </w:tc>
        <w:tc>
          <w:tcPr>
            <w:tcW w:w="1418" w:type="dxa"/>
            <w:tcBorders>
              <w:top w:val="single" w:sz="4" w:space="0" w:color="501E58" w:themeColor="accent1" w:themeShade="BF"/>
            </w:tcBorders>
            <w:vAlign w:val="center"/>
          </w:tcPr>
          <w:p w14:paraId="4CD48246" w14:textId="77777777" w:rsidR="006B7B84" w:rsidRPr="007C1E37" w:rsidRDefault="006B7B84" w:rsidP="001E519A">
            <w:pPr>
              <w:spacing w:before="60" w:after="60"/>
              <w:ind w:right="340"/>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7C1E37">
              <w:rPr>
                <w:rFonts w:cs="Arial"/>
                <w:sz w:val="20"/>
                <w:szCs w:val="20"/>
              </w:rPr>
              <w:t>11.0%</w:t>
            </w:r>
          </w:p>
        </w:tc>
      </w:tr>
      <w:tr w:rsidR="006B7B84" w:rsidRPr="007C1E37" w14:paraId="197CCF1F" w14:textId="77777777" w:rsidTr="001E519A">
        <w:trPr>
          <w:trHeight w:val="397"/>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1F3E6B02" w14:textId="77777777" w:rsidR="006B7B84" w:rsidRPr="007C1E37" w:rsidRDefault="006B7B84" w:rsidP="001E519A">
            <w:pPr>
              <w:spacing w:before="60" w:after="60"/>
              <w:rPr>
                <w:rFonts w:cs="Arial"/>
                <w:b/>
                <w:color w:val="000000"/>
                <w:sz w:val="20"/>
                <w:szCs w:val="20"/>
                <w:lang w:eastAsia="zh-CN" w:bidi="th-TH"/>
              </w:rPr>
            </w:pPr>
            <w:r w:rsidRPr="007C1E37">
              <w:rPr>
                <w:rFonts w:cs="Arial"/>
                <w:sz w:val="20"/>
                <w:szCs w:val="20"/>
              </w:rPr>
              <w:t>Core - Daily Activities</w:t>
            </w:r>
          </w:p>
        </w:tc>
        <w:tc>
          <w:tcPr>
            <w:tcW w:w="1985" w:type="dxa"/>
            <w:vAlign w:val="center"/>
          </w:tcPr>
          <w:p w14:paraId="389BE1FA" w14:textId="77777777" w:rsidR="006B7B84" w:rsidRPr="007C1E37" w:rsidRDefault="006B7B84" w:rsidP="001E519A">
            <w:pPr>
              <w:spacing w:before="60" w:after="60"/>
              <w:ind w:right="454"/>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zh-CN" w:bidi="th-TH"/>
              </w:rPr>
            </w:pPr>
            <w:r w:rsidRPr="007C1E37">
              <w:rPr>
                <w:sz w:val="20"/>
                <w:szCs w:val="20"/>
              </w:rPr>
              <w:t>$4,976.5</w:t>
            </w:r>
          </w:p>
        </w:tc>
        <w:tc>
          <w:tcPr>
            <w:tcW w:w="1985" w:type="dxa"/>
            <w:noWrap/>
            <w:vAlign w:val="center"/>
          </w:tcPr>
          <w:p w14:paraId="4F38FAC7" w14:textId="77777777" w:rsidR="006B7B84" w:rsidRPr="007C1E37" w:rsidRDefault="006B7B84" w:rsidP="001E519A">
            <w:pPr>
              <w:spacing w:before="60" w:after="60"/>
              <w:ind w:right="454"/>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zh-CN" w:bidi="th-TH"/>
              </w:rPr>
            </w:pPr>
            <w:r w:rsidRPr="007C1E37">
              <w:rPr>
                <w:sz w:val="20"/>
                <w:szCs w:val="20"/>
              </w:rPr>
              <w:t>$6,013.2</w:t>
            </w:r>
          </w:p>
        </w:tc>
        <w:tc>
          <w:tcPr>
            <w:tcW w:w="1418" w:type="dxa"/>
            <w:vAlign w:val="center"/>
          </w:tcPr>
          <w:p w14:paraId="57F97EA8" w14:textId="77777777" w:rsidR="006B7B84" w:rsidRPr="007C1E37" w:rsidRDefault="006B7B84" w:rsidP="001E519A">
            <w:pPr>
              <w:spacing w:before="60" w:after="60"/>
              <w:ind w:right="340"/>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7C1E37">
              <w:rPr>
                <w:rFonts w:cs="Arial"/>
                <w:sz w:val="20"/>
                <w:szCs w:val="20"/>
              </w:rPr>
              <w:t>20.8%</w:t>
            </w:r>
          </w:p>
        </w:tc>
      </w:tr>
      <w:tr w:rsidR="006B7B84" w:rsidRPr="007C1E37" w14:paraId="76E73AA5" w14:textId="77777777" w:rsidTr="001E519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642294CD" w14:textId="77777777" w:rsidR="006B7B84" w:rsidRPr="007C1E37" w:rsidRDefault="006B7B84" w:rsidP="001E519A">
            <w:pPr>
              <w:spacing w:before="60" w:after="60"/>
              <w:rPr>
                <w:rFonts w:cs="Arial"/>
                <w:b/>
                <w:color w:val="000000"/>
                <w:sz w:val="20"/>
                <w:szCs w:val="20"/>
                <w:lang w:eastAsia="zh-CN" w:bidi="th-TH"/>
              </w:rPr>
            </w:pPr>
            <w:r w:rsidRPr="007C1E37">
              <w:rPr>
                <w:rFonts w:cs="Arial"/>
                <w:sz w:val="20"/>
                <w:szCs w:val="20"/>
              </w:rPr>
              <w:t>Core - Consumables</w:t>
            </w:r>
          </w:p>
        </w:tc>
        <w:tc>
          <w:tcPr>
            <w:tcW w:w="1985" w:type="dxa"/>
            <w:vAlign w:val="center"/>
          </w:tcPr>
          <w:p w14:paraId="1DB373B0" w14:textId="77777777" w:rsidR="006B7B84" w:rsidRPr="007C1E37" w:rsidRDefault="006B7B84" w:rsidP="001E519A">
            <w:pPr>
              <w:spacing w:before="60" w:after="60"/>
              <w:ind w:right="454"/>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7C1E37">
              <w:rPr>
                <w:sz w:val="20"/>
                <w:szCs w:val="20"/>
              </w:rPr>
              <w:t>$223.2</w:t>
            </w:r>
          </w:p>
        </w:tc>
        <w:tc>
          <w:tcPr>
            <w:tcW w:w="1985" w:type="dxa"/>
            <w:noWrap/>
            <w:vAlign w:val="center"/>
          </w:tcPr>
          <w:p w14:paraId="0869DA0B" w14:textId="77777777" w:rsidR="006B7B84" w:rsidRPr="007C1E37" w:rsidRDefault="006B7B84" w:rsidP="001E519A">
            <w:pPr>
              <w:spacing w:before="60" w:after="60"/>
              <w:ind w:right="454"/>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7C1E37">
              <w:rPr>
                <w:sz w:val="20"/>
                <w:szCs w:val="20"/>
              </w:rPr>
              <w:t>$226.9</w:t>
            </w:r>
          </w:p>
        </w:tc>
        <w:tc>
          <w:tcPr>
            <w:tcW w:w="1418" w:type="dxa"/>
            <w:vAlign w:val="center"/>
          </w:tcPr>
          <w:p w14:paraId="5FDE86D3" w14:textId="77777777" w:rsidR="006B7B84" w:rsidRPr="007C1E37" w:rsidRDefault="006B7B84" w:rsidP="001E519A">
            <w:pPr>
              <w:spacing w:before="60" w:after="60"/>
              <w:ind w:right="340"/>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7C1E37">
              <w:rPr>
                <w:rFonts w:cs="Arial"/>
                <w:sz w:val="20"/>
                <w:szCs w:val="20"/>
              </w:rPr>
              <w:t>1.6%</w:t>
            </w:r>
          </w:p>
        </w:tc>
      </w:tr>
      <w:tr w:rsidR="006B7B84" w:rsidRPr="007C1E37" w14:paraId="7003BDB0" w14:textId="77777777" w:rsidTr="001E519A">
        <w:trPr>
          <w:trHeight w:val="397"/>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1FC1BEA9" w14:textId="77777777" w:rsidR="006B7B84" w:rsidRPr="007C1E37" w:rsidRDefault="006B7B84" w:rsidP="001E519A">
            <w:pPr>
              <w:spacing w:before="60" w:after="60"/>
              <w:rPr>
                <w:rFonts w:cs="Arial"/>
                <w:b/>
                <w:sz w:val="20"/>
                <w:szCs w:val="20"/>
              </w:rPr>
            </w:pPr>
            <w:r w:rsidRPr="007C1E37">
              <w:rPr>
                <w:rFonts w:cs="Arial"/>
                <w:sz w:val="20"/>
                <w:szCs w:val="20"/>
              </w:rPr>
              <w:t>Core - Community</w:t>
            </w:r>
          </w:p>
        </w:tc>
        <w:tc>
          <w:tcPr>
            <w:tcW w:w="1985" w:type="dxa"/>
            <w:vAlign w:val="center"/>
          </w:tcPr>
          <w:p w14:paraId="66BC1077" w14:textId="77777777" w:rsidR="006B7B84" w:rsidRPr="007C1E37" w:rsidRDefault="006B7B84" w:rsidP="001E519A">
            <w:pPr>
              <w:spacing w:before="60" w:after="60"/>
              <w:ind w:right="454"/>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7C1E37">
              <w:rPr>
                <w:sz w:val="20"/>
                <w:szCs w:val="20"/>
              </w:rPr>
              <w:t>$3,438.1</w:t>
            </w:r>
          </w:p>
        </w:tc>
        <w:tc>
          <w:tcPr>
            <w:tcW w:w="1985" w:type="dxa"/>
            <w:noWrap/>
            <w:vAlign w:val="center"/>
          </w:tcPr>
          <w:p w14:paraId="57D0927A" w14:textId="77777777" w:rsidR="006B7B84" w:rsidRPr="007C1E37" w:rsidRDefault="006B7B84" w:rsidP="001E519A">
            <w:pPr>
              <w:spacing w:before="60" w:after="60"/>
              <w:ind w:right="454"/>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7C1E37">
              <w:rPr>
                <w:sz w:val="20"/>
                <w:szCs w:val="20"/>
              </w:rPr>
              <w:t>$4,147.8</w:t>
            </w:r>
          </w:p>
        </w:tc>
        <w:tc>
          <w:tcPr>
            <w:tcW w:w="1418" w:type="dxa"/>
            <w:vAlign w:val="center"/>
          </w:tcPr>
          <w:p w14:paraId="779025B6" w14:textId="77777777" w:rsidR="006B7B84" w:rsidRPr="007C1E37" w:rsidRDefault="006B7B84" w:rsidP="001E519A">
            <w:pPr>
              <w:spacing w:before="60" w:after="60"/>
              <w:ind w:right="340"/>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7C1E37">
              <w:rPr>
                <w:rFonts w:cs="Arial"/>
                <w:sz w:val="20"/>
                <w:szCs w:val="20"/>
              </w:rPr>
              <w:t>20.6%</w:t>
            </w:r>
          </w:p>
        </w:tc>
      </w:tr>
      <w:tr w:rsidR="006B7B84" w:rsidRPr="007C1E37" w14:paraId="44696B3E" w14:textId="77777777" w:rsidTr="001E519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5A90EB78" w14:textId="77777777" w:rsidR="006B7B84" w:rsidRPr="007C1E37" w:rsidRDefault="006B7B84" w:rsidP="001E519A">
            <w:pPr>
              <w:spacing w:before="60" w:after="60"/>
              <w:rPr>
                <w:rFonts w:cs="Arial"/>
                <w:sz w:val="20"/>
                <w:szCs w:val="20"/>
              </w:rPr>
            </w:pPr>
            <w:r w:rsidRPr="007C1E37">
              <w:rPr>
                <w:rFonts w:cs="Arial"/>
                <w:sz w:val="20"/>
                <w:szCs w:val="20"/>
              </w:rPr>
              <w:t>Capital - Home Modifications</w:t>
            </w:r>
          </w:p>
        </w:tc>
        <w:tc>
          <w:tcPr>
            <w:tcW w:w="1985" w:type="dxa"/>
            <w:vAlign w:val="center"/>
          </w:tcPr>
          <w:p w14:paraId="04A62F0B" w14:textId="77777777" w:rsidR="006B7B84" w:rsidRPr="007C1E37" w:rsidRDefault="006B7B84" w:rsidP="001E519A">
            <w:pPr>
              <w:spacing w:before="60" w:after="60"/>
              <w:ind w:right="454"/>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7C1E37">
              <w:rPr>
                <w:sz w:val="20"/>
                <w:szCs w:val="20"/>
              </w:rPr>
              <w:t>$47.3</w:t>
            </w:r>
          </w:p>
        </w:tc>
        <w:tc>
          <w:tcPr>
            <w:tcW w:w="1985" w:type="dxa"/>
            <w:noWrap/>
            <w:vAlign w:val="center"/>
          </w:tcPr>
          <w:p w14:paraId="7667614E" w14:textId="77777777" w:rsidR="006B7B84" w:rsidRPr="007C1E37" w:rsidRDefault="006B7B84" w:rsidP="001E519A">
            <w:pPr>
              <w:spacing w:before="60" w:after="60"/>
              <w:ind w:right="454"/>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7C1E37">
              <w:rPr>
                <w:sz w:val="20"/>
                <w:szCs w:val="20"/>
              </w:rPr>
              <w:t>$48.6</w:t>
            </w:r>
          </w:p>
        </w:tc>
        <w:tc>
          <w:tcPr>
            <w:tcW w:w="1418" w:type="dxa"/>
            <w:vAlign w:val="center"/>
          </w:tcPr>
          <w:p w14:paraId="770CE2E5" w14:textId="77777777" w:rsidR="006B7B84" w:rsidRPr="007C1E37" w:rsidRDefault="006B7B84" w:rsidP="001E519A">
            <w:pPr>
              <w:spacing w:before="60" w:after="60"/>
              <w:ind w:right="340"/>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7C1E37">
              <w:rPr>
                <w:rFonts w:cs="Arial"/>
                <w:sz w:val="20"/>
                <w:szCs w:val="20"/>
              </w:rPr>
              <w:t>2.9%</w:t>
            </w:r>
          </w:p>
        </w:tc>
      </w:tr>
      <w:tr w:rsidR="006B7B84" w:rsidRPr="007C1E37" w14:paraId="374CDF11" w14:textId="77777777" w:rsidTr="001E519A">
        <w:trPr>
          <w:trHeight w:val="397"/>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1B4413B3" w14:textId="77777777" w:rsidR="006B7B84" w:rsidRPr="007C1E37" w:rsidRDefault="006B7B84" w:rsidP="001E519A">
            <w:pPr>
              <w:spacing w:before="60" w:after="60"/>
              <w:rPr>
                <w:rFonts w:cs="Arial"/>
                <w:sz w:val="20"/>
                <w:szCs w:val="20"/>
              </w:rPr>
            </w:pPr>
            <w:r w:rsidRPr="007C1E37">
              <w:rPr>
                <w:rFonts w:cs="Arial"/>
                <w:sz w:val="20"/>
                <w:szCs w:val="20"/>
              </w:rPr>
              <w:t>Capital - Assistive Technology</w:t>
            </w:r>
          </w:p>
        </w:tc>
        <w:tc>
          <w:tcPr>
            <w:tcW w:w="1985" w:type="dxa"/>
            <w:vAlign w:val="center"/>
          </w:tcPr>
          <w:p w14:paraId="1DB47C44" w14:textId="77777777" w:rsidR="006B7B84" w:rsidRPr="007C1E37" w:rsidRDefault="006B7B84" w:rsidP="001E519A">
            <w:pPr>
              <w:spacing w:before="60" w:after="60"/>
              <w:ind w:right="454"/>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7C1E37">
              <w:rPr>
                <w:sz w:val="20"/>
                <w:szCs w:val="20"/>
              </w:rPr>
              <w:t>$201.2</w:t>
            </w:r>
          </w:p>
        </w:tc>
        <w:tc>
          <w:tcPr>
            <w:tcW w:w="1985" w:type="dxa"/>
            <w:noWrap/>
            <w:vAlign w:val="center"/>
          </w:tcPr>
          <w:p w14:paraId="3010060F" w14:textId="77777777" w:rsidR="006B7B84" w:rsidRPr="007C1E37" w:rsidRDefault="006B7B84" w:rsidP="001E519A">
            <w:pPr>
              <w:spacing w:before="60" w:after="60"/>
              <w:ind w:right="454"/>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7C1E37">
              <w:rPr>
                <w:sz w:val="20"/>
                <w:szCs w:val="20"/>
              </w:rPr>
              <w:t>$237.0</w:t>
            </w:r>
          </w:p>
        </w:tc>
        <w:tc>
          <w:tcPr>
            <w:tcW w:w="1418" w:type="dxa"/>
            <w:vAlign w:val="center"/>
          </w:tcPr>
          <w:p w14:paraId="71C5409E" w14:textId="77777777" w:rsidR="006B7B84" w:rsidRPr="007C1E37" w:rsidRDefault="006B7B84" w:rsidP="001E519A">
            <w:pPr>
              <w:spacing w:before="60" w:after="60"/>
              <w:ind w:right="340"/>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7C1E37">
              <w:rPr>
                <w:rFonts w:cs="Arial"/>
                <w:sz w:val="20"/>
                <w:szCs w:val="20"/>
              </w:rPr>
              <w:t>17.8%</w:t>
            </w:r>
          </w:p>
        </w:tc>
      </w:tr>
      <w:tr w:rsidR="006B7B84" w:rsidRPr="007C1E37" w14:paraId="4FDF2818" w14:textId="77777777" w:rsidTr="001E519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1B1657C9" w14:textId="77777777" w:rsidR="006B7B84" w:rsidRPr="007C1E37" w:rsidRDefault="006B7B84" w:rsidP="001E519A">
            <w:pPr>
              <w:spacing w:before="60" w:after="60"/>
              <w:rPr>
                <w:rFonts w:cs="Arial"/>
                <w:sz w:val="20"/>
                <w:szCs w:val="20"/>
              </w:rPr>
            </w:pPr>
            <w:r w:rsidRPr="007C1E37">
              <w:rPr>
                <w:rFonts w:cs="Arial"/>
                <w:sz w:val="20"/>
                <w:szCs w:val="20"/>
              </w:rPr>
              <w:t>Capacity Building - Support Coordination</w:t>
            </w:r>
          </w:p>
        </w:tc>
        <w:tc>
          <w:tcPr>
            <w:tcW w:w="1985" w:type="dxa"/>
            <w:vAlign w:val="center"/>
          </w:tcPr>
          <w:p w14:paraId="43326DDF" w14:textId="77777777" w:rsidR="006B7B84" w:rsidRPr="007C1E37" w:rsidRDefault="006B7B84" w:rsidP="001E519A">
            <w:pPr>
              <w:spacing w:before="60" w:after="60"/>
              <w:ind w:right="454"/>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7C1E37">
              <w:rPr>
                <w:sz w:val="20"/>
                <w:szCs w:val="20"/>
              </w:rPr>
              <w:t>$252.6</w:t>
            </w:r>
          </w:p>
        </w:tc>
        <w:tc>
          <w:tcPr>
            <w:tcW w:w="1985" w:type="dxa"/>
            <w:noWrap/>
            <w:vAlign w:val="center"/>
          </w:tcPr>
          <w:p w14:paraId="00ADD22B" w14:textId="77777777" w:rsidR="006B7B84" w:rsidRPr="007C1E37" w:rsidRDefault="006B7B84" w:rsidP="001E519A">
            <w:pPr>
              <w:spacing w:before="60" w:after="60"/>
              <w:ind w:right="454"/>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7C1E37">
              <w:rPr>
                <w:sz w:val="20"/>
                <w:szCs w:val="20"/>
              </w:rPr>
              <w:t>$316.2</w:t>
            </w:r>
          </w:p>
        </w:tc>
        <w:tc>
          <w:tcPr>
            <w:tcW w:w="1418" w:type="dxa"/>
            <w:vAlign w:val="center"/>
          </w:tcPr>
          <w:p w14:paraId="27645A0B" w14:textId="77777777" w:rsidR="006B7B84" w:rsidRPr="007C1E37" w:rsidRDefault="006B7B84" w:rsidP="001E519A">
            <w:pPr>
              <w:spacing w:before="60" w:after="60"/>
              <w:ind w:right="340"/>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7C1E37">
              <w:rPr>
                <w:rFonts w:cs="Arial"/>
                <w:sz w:val="20"/>
                <w:szCs w:val="20"/>
              </w:rPr>
              <w:t>25.2%</w:t>
            </w:r>
          </w:p>
        </w:tc>
      </w:tr>
      <w:tr w:rsidR="006B7B84" w:rsidRPr="007C1E37" w14:paraId="60E74153" w14:textId="77777777" w:rsidTr="001E519A">
        <w:trPr>
          <w:trHeight w:val="397"/>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3F120CBA" w14:textId="77777777" w:rsidR="006B7B84" w:rsidRPr="007C1E37" w:rsidRDefault="006B7B84" w:rsidP="001E519A">
            <w:pPr>
              <w:spacing w:before="60" w:after="60"/>
              <w:rPr>
                <w:rFonts w:cs="Arial"/>
                <w:sz w:val="20"/>
                <w:szCs w:val="20"/>
              </w:rPr>
            </w:pPr>
            <w:r w:rsidRPr="007C1E37">
              <w:rPr>
                <w:rFonts w:cs="Arial"/>
                <w:sz w:val="20"/>
                <w:szCs w:val="20"/>
              </w:rPr>
              <w:t>Capacity Building - Social and Civic</w:t>
            </w:r>
          </w:p>
        </w:tc>
        <w:tc>
          <w:tcPr>
            <w:tcW w:w="1985" w:type="dxa"/>
            <w:vAlign w:val="center"/>
          </w:tcPr>
          <w:p w14:paraId="327F2239" w14:textId="77777777" w:rsidR="006B7B84" w:rsidRPr="007C1E37" w:rsidRDefault="006B7B84" w:rsidP="001E519A">
            <w:pPr>
              <w:spacing w:before="60" w:after="60"/>
              <w:ind w:right="454"/>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7C1E37">
              <w:rPr>
                <w:sz w:val="20"/>
                <w:szCs w:val="20"/>
              </w:rPr>
              <w:t>$64.6</w:t>
            </w:r>
          </w:p>
        </w:tc>
        <w:tc>
          <w:tcPr>
            <w:tcW w:w="1985" w:type="dxa"/>
            <w:noWrap/>
            <w:vAlign w:val="center"/>
          </w:tcPr>
          <w:p w14:paraId="5250B8B3" w14:textId="77777777" w:rsidR="006B7B84" w:rsidRPr="007C1E37" w:rsidRDefault="006B7B84" w:rsidP="001E519A">
            <w:pPr>
              <w:spacing w:before="60" w:after="60"/>
              <w:ind w:right="454"/>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7C1E37">
              <w:rPr>
                <w:sz w:val="20"/>
                <w:szCs w:val="20"/>
              </w:rPr>
              <w:t>$75.5</w:t>
            </w:r>
          </w:p>
        </w:tc>
        <w:tc>
          <w:tcPr>
            <w:tcW w:w="1418" w:type="dxa"/>
            <w:vAlign w:val="center"/>
          </w:tcPr>
          <w:p w14:paraId="7DCA9C9D" w14:textId="77777777" w:rsidR="006B7B84" w:rsidRPr="007C1E37" w:rsidRDefault="006B7B84" w:rsidP="001E519A">
            <w:pPr>
              <w:spacing w:before="60" w:after="60"/>
              <w:ind w:right="340"/>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7C1E37">
              <w:rPr>
                <w:rFonts w:cs="Arial"/>
                <w:sz w:val="20"/>
                <w:szCs w:val="20"/>
              </w:rPr>
              <w:t>16.9%</w:t>
            </w:r>
          </w:p>
        </w:tc>
      </w:tr>
      <w:tr w:rsidR="006B7B84" w:rsidRPr="007C1E37" w14:paraId="5F372A41" w14:textId="77777777" w:rsidTr="001E519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22C1E499" w14:textId="77777777" w:rsidR="006B7B84" w:rsidRPr="007C1E37" w:rsidRDefault="006B7B84" w:rsidP="001E519A">
            <w:pPr>
              <w:spacing w:before="60" w:after="60"/>
              <w:rPr>
                <w:rFonts w:cs="Arial"/>
                <w:sz w:val="20"/>
                <w:szCs w:val="20"/>
              </w:rPr>
            </w:pPr>
            <w:r w:rsidRPr="007C1E37">
              <w:rPr>
                <w:rFonts w:cs="Arial"/>
                <w:sz w:val="20"/>
                <w:szCs w:val="20"/>
              </w:rPr>
              <w:t>Capacity Building - Relationships</w:t>
            </w:r>
          </w:p>
        </w:tc>
        <w:tc>
          <w:tcPr>
            <w:tcW w:w="1985" w:type="dxa"/>
            <w:vAlign w:val="center"/>
          </w:tcPr>
          <w:p w14:paraId="036B7416" w14:textId="77777777" w:rsidR="006B7B84" w:rsidRPr="007C1E37" w:rsidRDefault="006B7B84" w:rsidP="001E519A">
            <w:pPr>
              <w:spacing w:before="60" w:after="60"/>
              <w:ind w:right="454"/>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7C1E37">
              <w:rPr>
                <w:sz w:val="20"/>
                <w:szCs w:val="20"/>
              </w:rPr>
              <w:t>$40.5</w:t>
            </w:r>
          </w:p>
        </w:tc>
        <w:tc>
          <w:tcPr>
            <w:tcW w:w="1985" w:type="dxa"/>
            <w:noWrap/>
            <w:vAlign w:val="center"/>
          </w:tcPr>
          <w:p w14:paraId="4C5133CD" w14:textId="77777777" w:rsidR="006B7B84" w:rsidRPr="007C1E37" w:rsidRDefault="006B7B84" w:rsidP="001E519A">
            <w:pPr>
              <w:spacing w:before="60" w:after="60"/>
              <w:ind w:right="454"/>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7C1E37">
              <w:rPr>
                <w:sz w:val="20"/>
                <w:szCs w:val="20"/>
              </w:rPr>
              <w:t>$78.3</w:t>
            </w:r>
          </w:p>
        </w:tc>
        <w:tc>
          <w:tcPr>
            <w:tcW w:w="1418" w:type="dxa"/>
            <w:vAlign w:val="center"/>
          </w:tcPr>
          <w:p w14:paraId="623D2812" w14:textId="77777777" w:rsidR="006B7B84" w:rsidRPr="007C1E37" w:rsidRDefault="006B7B84" w:rsidP="001E519A">
            <w:pPr>
              <w:spacing w:before="60" w:after="60"/>
              <w:ind w:right="340"/>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7C1E37">
              <w:rPr>
                <w:rFonts w:cs="Arial"/>
                <w:sz w:val="20"/>
                <w:szCs w:val="20"/>
              </w:rPr>
              <w:t>93.3%</w:t>
            </w:r>
          </w:p>
        </w:tc>
      </w:tr>
      <w:tr w:rsidR="006B7B84" w:rsidRPr="007C1E37" w14:paraId="05E35F7D" w14:textId="77777777" w:rsidTr="001E519A">
        <w:trPr>
          <w:trHeight w:val="397"/>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625CF925" w14:textId="77777777" w:rsidR="006B7B84" w:rsidRPr="007C1E37" w:rsidRDefault="006B7B84" w:rsidP="001E519A">
            <w:pPr>
              <w:spacing w:before="60" w:after="60"/>
              <w:rPr>
                <w:rFonts w:cs="Arial"/>
                <w:sz w:val="20"/>
                <w:szCs w:val="20"/>
              </w:rPr>
            </w:pPr>
            <w:r w:rsidRPr="007C1E37">
              <w:rPr>
                <w:rFonts w:cs="Arial"/>
                <w:sz w:val="20"/>
                <w:szCs w:val="20"/>
              </w:rPr>
              <w:t>Capacity Building - Lifelong Learning</w:t>
            </w:r>
          </w:p>
        </w:tc>
        <w:tc>
          <w:tcPr>
            <w:tcW w:w="1985" w:type="dxa"/>
            <w:vAlign w:val="center"/>
          </w:tcPr>
          <w:p w14:paraId="23CEF21C" w14:textId="77777777" w:rsidR="006B7B84" w:rsidRPr="007C1E37" w:rsidRDefault="006B7B84" w:rsidP="001E519A">
            <w:pPr>
              <w:spacing w:before="60" w:after="60"/>
              <w:ind w:right="454"/>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7C1E37">
              <w:rPr>
                <w:sz w:val="20"/>
                <w:szCs w:val="20"/>
              </w:rPr>
              <w:t>$0.0</w:t>
            </w:r>
          </w:p>
        </w:tc>
        <w:tc>
          <w:tcPr>
            <w:tcW w:w="1985" w:type="dxa"/>
            <w:noWrap/>
            <w:vAlign w:val="center"/>
          </w:tcPr>
          <w:p w14:paraId="552AE4B4" w14:textId="77777777" w:rsidR="006B7B84" w:rsidRPr="007C1E37" w:rsidRDefault="006B7B84" w:rsidP="001E519A">
            <w:pPr>
              <w:spacing w:before="60" w:after="60"/>
              <w:ind w:right="454"/>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7C1E37">
              <w:rPr>
                <w:sz w:val="20"/>
                <w:szCs w:val="20"/>
              </w:rPr>
              <w:t>$0.1</w:t>
            </w:r>
          </w:p>
        </w:tc>
        <w:tc>
          <w:tcPr>
            <w:tcW w:w="1418" w:type="dxa"/>
            <w:vAlign w:val="center"/>
          </w:tcPr>
          <w:p w14:paraId="6994A0A2" w14:textId="77777777" w:rsidR="006B7B84" w:rsidRPr="007C1E37" w:rsidRDefault="006B7B84" w:rsidP="001E519A">
            <w:pPr>
              <w:spacing w:before="60" w:after="60"/>
              <w:ind w:right="340"/>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7C1E37">
              <w:rPr>
                <w:rFonts w:cs="Arial"/>
                <w:sz w:val="20"/>
                <w:szCs w:val="20"/>
              </w:rPr>
              <w:t>166.1%</w:t>
            </w:r>
          </w:p>
        </w:tc>
      </w:tr>
      <w:tr w:rsidR="006B7B84" w:rsidRPr="007C1E37" w14:paraId="59BC4DCD" w14:textId="77777777" w:rsidTr="001E519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7ED302D1" w14:textId="77777777" w:rsidR="006B7B84" w:rsidRPr="007C1E37" w:rsidRDefault="006B7B84" w:rsidP="001E519A">
            <w:pPr>
              <w:spacing w:before="60" w:after="60"/>
              <w:rPr>
                <w:rFonts w:cs="Arial"/>
                <w:sz w:val="20"/>
                <w:szCs w:val="20"/>
              </w:rPr>
            </w:pPr>
            <w:r w:rsidRPr="007C1E37">
              <w:rPr>
                <w:rFonts w:cs="Arial"/>
                <w:sz w:val="20"/>
                <w:szCs w:val="20"/>
              </w:rPr>
              <w:t>Capacity Building - Home Living</w:t>
            </w:r>
          </w:p>
        </w:tc>
        <w:tc>
          <w:tcPr>
            <w:tcW w:w="1985" w:type="dxa"/>
            <w:vAlign w:val="center"/>
          </w:tcPr>
          <w:p w14:paraId="002005EA" w14:textId="77777777" w:rsidR="006B7B84" w:rsidRPr="007C1E37" w:rsidRDefault="006B7B84" w:rsidP="001E519A">
            <w:pPr>
              <w:spacing w:before="60" w:after="60"/>
              <w:ind w:right="454"/>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7C1E37">
              <w:rPr>
                <w:sz w:val="20"/>
                <w:szCs w:val="20"/>
              </w:rPr>
              <w:t>$0.4</w:t>
            </w:r>
          </w:p>
        </w:tc>
        <w:tc>
          <w:tcPr>
            <w:tcW w:w="1985" w:type="dxa"/>
            <w:noWrap/>
            <w:vAlign w:val="center"/>
          </w:tcPr>
          <w:p w14:paraId="678F8A64" w14:textId="77777777" w:rsidR="006B7B84" w:rsidRPr="007C1E37" w:rsidRDefault="006B7B84" w:rsidP="001E519A">
            <w:pPr>
              <w:spacing w:before="60" w:after="60"/>
              <w:ind w:right="454"/>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7C1E37">
              <w:rPr>
                <w:sz w:val="20"/>
                <w:szCs w:val="20"/>
              </w:rPr>
              <w:t>$0.4</w:t>
            </w:r>
          </w:p>
        </w:tc>
        <w:tc>
          <w:tcPr>
            <w:tcW w:w="1418" w:type="dxa"/>
            <w:vAlign w:val="center"/>
          </w:tcPr>
          <w:p w14:paraId="08BD1ADD" w14:textId="77777777" w:rsidR="006B7B84" w:rsidRPr="007C1E37" w:rsidRDefault="006B7B84" w:rsidP="001E519A">
            <w:pPr>
              <w:spacing w:before="60" w:after="60"/>
              <w:ind w:right="340"/>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7C1E37">
              <w:rPr>
                <w:rFonts w:cs="Arial"/>
                <w:sz w:val="20"/>
                <w:szCs w:val="20"/>
              </w:rPr>
              <w:t>18.4%</w:t>
            </w:r>
          </w:p>
        </w:tc>
      </w:tr>
      <w:tr w:rsidR="006B7B84" w:rsidRPr="007C1E37" w14:paraId="297AE9FF" w14:textId="77777777" w:rsidTr="001E519A">
        <w:trPr>
          <w:trHeight w:val="397"/>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2801902F" w14:textId="77777777" w:rsidR="006B7B84" w:rsidRPr="007C1E37" w:rsidRDefault="006B7B84" w:rsidP="001E519A">
            <w:pPr>
              <w:spacing w:before="60" w:after="60"/>
              <w:rPr>
                <w:rFonts w:cs="Arial"/>
                <w:sz w:val="20"/>
                <w:szCs w:val="20"/>
              </w:rPr>
            </w:pPr>
            <w:r w:rsidRPr="007C1E37">
              <w:rPr>
                <w:rFonts w:cs="Arial"/>
                <w:sz w:val="20"/>
                <w:szCs w:val="20"/>
              </w:rPr>
              <w:t>Capacity Building - Health and Wellbeing</w:t>
            </w:r>
          </w:p>
        </w:tc>
        <w:tc>
          <w:tcPr>
            <w:tcW w:w="1985" w:type="dxa"/>
            <w:vAlign w:val="center"/>
          </w:tcPr>
          <w:p w14:paraId="5F052554" w14:textId="77777777" w:rsidR="006B7B84" w:rsidRPr="007C1E37" w:rsidRDefault="006B7B84" w:rsidP="001E519A">
            <w:pPr>
              <w:spacing w:before="60" w:after="60"/>
              <w:ind w:right="454"/>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7C1E37">
              <w:rPr>
                <w:sz w:val="20"/>
                <w:szCs w:val="20"/>
              </w:rPr>
              <w:t>$9.8</w:t>
            </w:r>
          </w:p>
        </w:tc>
        <w:tc>
          <w:tcPr>
            <w:tcW w:w="1985" w:type="dxa"/>
            <w:noWrap/>
            <w:vAlign w:val="center"/>
          </w:tcPr>
          <w:p w14:paraId="6375E194" w14:textId="77777777" w:rsidR="006B7B84" w:rsidRPr="007C1E37" w:rsidRDefault="006B7B84" w:rsidP="001E519A">
            <w:pPr>
              <w:spacing w:before="60" w:after="60"/>
              <w:ind w:right="454"/>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7C1E37">
              <w:rPr>
                <w:sz w:val="20"/>
                <w:szCs w:val="20"/>
              </w:rPr>
              <w:t>$8.8</w:t>
            </w:r>
          </w:p>
        </w:tc>
        <w:tc>
          <w:tcPr>
            <w:tcW w:w="1418" w:type="dxa"/>
            <w:vAlign w:val="center"/>
          </w:tcPr>
          <w:p w14:paraId="3C5BD158" w14:textId="77777777" w:rsidR="006B7B84" w:rsidRPr="007C1E37" w:rsidRDefault="006B7B84" w:rsidP="001E519A">
            <w:pPr>
              <w:spacing w:before="60" w:after="60"/>
              <w:ind w:right="340"/>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7C1E37">
              <w:rPr>
                <w:rFonts w:cs="Arial"/>
                <w:sz w:val="20"/>
                <w:szCs w:val="20"/>
              </w:rPr>
              <w:t>-10.3%</w:t>
            </w:r>
          </w:p>
        </w:tc>
      </w:tr>
      <w:tr w:rsidR="006B7B84" w:rsidRPr="007C1E37" w14:paraId="6162996B" w14:textId="77777777" w:rsidTr="001E519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6B6FAAFC" w14:textId="77777777" w:rsidR="006B7B84" w:rsidRPr="007C1E37" w:rsidRDefault="006B7B84" w:rsidP="001E519A">
            <w:pPr>
              <w:spacing w:before="60" w:after="60"/>
              <w:rPr>
                <w:rFonts w:cs="Arial"/>
                <w:sz w:val="20"/>
                <w:szCs w:val="20"/>
              </w:rPr>
            </w:pPr>
            <w:r w:rsidRPr="007C1E37">
              <w:rPr>
                <w:rFonts w:cs="Arial"/>
                <w:sz w:val="20"/>
                <w:szCs w:val="20"/>
              </w:rPr>
              <w:t>Capacity Building - Employment</w:t>
            </w:r>
          </w:p>
        </w:tc>
        <w:tc>
          <w:tcPr>
            <w:tcW w:w="1985" w:type="dxa"/>
            <w:vAlign w:val="center"/>
          </w:tcPr>
          <w:p w14:paraId="35FF6D19" w14:textId="77777777" w:rsidR="006B7B84" w:rsidRPr="007C1E37" w:rsidRDefault="006B7B84" w:rsidP="001E519A">
            <w:pPr>
              <w:spacing w:before="60" w:after="60"/>
              <w:ind w:right="454"/>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7C1E37">
              <w:rPr>
                <w:sz w:val="20"/>
                <w:szCs w:val="20"/>
              </w:rPr>
              <w:t>$38.1</w:t>
            </w:r>
          </w:p>
        </w:tc>
        <w:tc>
          <w:tcPr>
            <w:tcW w:w="1985" w:type="dxa"/>
            <w:noWrap/>
            <w:vAlign w:val="center"/>
          </w:tcPr>
          <w:p w14:paraId="2309331F" w14:textId="77777777" w:rsidR="006B7B84" w:rsidRPr="007C1E37" w:rsidRDefault="006B7B84" w:rsidP="001E519A">
            <w:pPr>
              <w:spacing w:before="60" w:after="60"/>
              <w:ind w:right="454"/>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7C1E37">
              <w:rPr>
                <w:sz w:val="20"/>
                <w:szCs w:val="20"/>
              </w:rPr>
              <w:t>$51.4</w:t>
            </w:r>
          </w:p>
        </w:tc>
        <w:tc>
          <w:tcPr>
            <w:tcW w:w="1418" w:type="dxa"/>
            <w:vAlign w:val="center"/>
          </w:tcPr>
          <w:p w14:paraId="32FAFA57" w14:textId="77777777" w:rsidR="006B7B84" w:rsidRPr="007C1E37" w:rsidRDefault="006B7B84" w:rsidP="001E519A">
            <w:pPr>
              <w:spacing w:before="60" w:after="60"/>
              <w:ind w:right="340"/>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7C1E37">
              <w:rPr>
                <w:rFonts w:cs="Arial"/>
                <w:sz w:val="20"/>
                <w:szCs w:val="20"/>
              </w:rPr>
              <w:t>34.9%</w:t>
            </w:r>
          </w:p>
        </w:tc>
      </w:tr>
      <w:tr w:rsidR="006B7B84" w:rsidRPr="007C1E37" w14:paraId="0313E89D" w14:textId="77777777" w:rsidTr="001E519A">
        <w:trPr>
          <w:trHeight w:val="397"/>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1EA49875" w14:textId="77777777" w:rsidR="006B7B84" w:rsidRPr="007C1E37" w:rsidRDefault="006B7B84" w:rsidP="001E519A">
            <w:pPr>
              <w:spacing w:before="60" w:after="60"/>
              <w:rPr>
                <w:rFonts w:cs="Arial"/>
                <w:sz w:val="20"/>
                <w:szCs w:val="20"/>
              </w:rPr>
            </w:pPr>
            <w:r w:rsidRPr="007C1E37">
              <w:rPr>
                <w:rFonts w:cs="Arial"/>
                <w:sz w:val="20"/>
                <w:szCs w:val="20"/>
              </w:rPr>
              <w:t>Capacity Building - Daily Activities</w:t>
            </w:r>
          </w:p>
        </w:tc>
        <w:tc>
          <w:tcPr>
            <w:tcW w:w="1985" w:type="dxa"/>
            <w:vAlign w:val="center"/>
          </w:tcPr>
          <w:p w14:paraId="2B797A46" w14:textId="77777777" w:rsidR="006B7B84" w:rsidRPr="007C1E37" w:rsidRDefault="006B7B84" w:rsidP="001E519A">
            <w:pPr>
              <w:spacing w:before="60" w:after="60"/>
              <w:ind w:right="454"/>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7C1E37">
              <w:rPr>
                <w:sz w:val="20"/>
                <w:szCs w:val="20"/>
              </w:rPr>
              <w:t>$1,647.4</w:t>
            </w:r>
          </w:p>
        </w:tc>
        <w:tc>
          <w:tcPr>
            <w:tcW w:w="1985" w:type="dxa"/>
            <w:noWrap/>
            <w:vAlign w:val="center"/>
          </w:tcPr>
          <w:p w14:paraId="6E54AAFD" w14:textId="77777777" w:rsidR="006B7B84" w:rsidRPr="007C1E37" w:rsidRDefault="006B7B84" w:rsidP="001E519A">
            <w:pPr>
              <w:spacing w:before="60" w:after="60"/>
              <w:ind w:right="454"/>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7C1E37">
              <w:rPr>
                <w:sz w:val="20"/>
                <w:szCs w:val="20"/>
              </w:rPr>
              <w:t>$1,925.4</w:t>
            </w:r>
          </w:p>
        </w:tc>
        <w:tc>
          <w:tcPr>
            <w:tcW w:w="1418" w:type="dxa"/>
            <w:vAlign w:val="center"/>
          </w:tcPr>
          <w:p w14:paraId="4130AAC4" w14:textId="77777777" w:rsidR="006B7B84" w:rsidRPr="007C1E37" w:rsidRDefault="006B7B84" w:rsidP="001E519A">
            <w:pPr>
              <w:spacing w:before="60" w:after="60"/>
              <w:ind w:right="340"/>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7C1E37">
              <w:rPr>
                <w:rFonts w:cs="Arial"/>
                <w:sz w:val="20"/>
                <w:szCs w:val="20"/>
              </w:rPr>
              <w:t>16.9%</w:t>
            </w:r>
          </w:p>
        </w:tc>
      </w:tr>
      <w:tr w:rsidR="006B7B84" w:rsidRPr="007C1E37" w14:paraId="7BDE23A2" w14:textId="77777777" w:rsidTr="001E519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2DCF867C" w14:textId="77777777" w:rsidR="006B7B84" w:rsidRPr="007C1E37" w:rsidRDefault="006B7B84" w:rsidP="001E519A">
            <w:pPr>
              <w:spacing w:before="60" w:after="60"/>
              <w:rPr>
                <w:rFonts w:cs="Arial"/>
                <w:sz w:val="20"/>
                <w:szCs w:val="20"/>
              </w:rPr>
            </w:pPr>
            <w:r w:rsidRPr="007C1E37">
              <w:rPr>
                <w:rFonts w:cs="Arial"/>
                <w:sz w:val="20"/>
                <w:szCs w:val="20"/>
              </w:rPr>
              <w:t>Capacity Building - Choice and Control</w:t>
            </w:r>
          </w:p>
        </w:tc>
        <w:tc>
          <w:tcPr>
            <w:tcW w:w="1985" w:type="dxa"/>
            <w:vAlign w:val="center"/>
          </w:tcPr>
          <w:p w14:paraId="0D67066A" w14:textId="77777777" w:rsidR="006B7B84" w:rsidRPr="007C1E37" w:rsidRDefault="006B7B84" w:rsidP="001E519A">
            <w:pPr>
              <w:spacing w:before="60" w:after="60"/>
              <w:ind w:right="454"/>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7C1E37">
              <w:rPr>
                <w:sz w:val="20"/>
                <w:szCs w:val="20"/>
              </w:rPr>
              <w:t>$274.6</w:t>
            </w:r>
          </w:p>
        </w:tc>
        <w:tc>
          <w:tcPr>
            <w:tcW w:w="1985" w:type="dxa"/>
            <w:noWrap/>
            <w:vAlign w:val="center"/>
          </w:tcPr>
          <w:p w14:paraId="446DBFF0" w14:textId="77777777" w:rsidR="006B7B84" w:rsidRPr="007C1E37" w:rsidRDefault="006B7B84" w:rsidP="001E519A">
            <w:pPr>
              <w:spacing w:before="60" w:after="60"/>
              <w:ind w:right="454"/>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7C1E37">
              <w:rPr>
                <w:sz w:val="20"/>
                <w:szCs w:val="20"/>
              </w:rPr>
              <w:t>$308.9</w:t>
            </w:r>
          </w:p>
        </w:tc>
        <w:tc>
          <w:tcPr>
            <w:tcW w:w="1418" w:type="dxa"/>
            <w:vAlign w:val="center"/>
          </w:tcPr>
          <w:p w14:paraId="41693334" w14:textId="77777777" w:rsidR="006B7B84" w:rsidRPr="007C1E37" w:rsidRDefault="006B7B84" w:rsidP="001E519A">
            <w:pPr>
              <w:spacing w:before="60" w:after="60"/>
              <w:ind w:right="340"/>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7C1E37">
              <w:rPr>
                <w:rFonts w:cs="Arial"/>
                <w:sz w:val="20"/>
                <w:szCs w:val="20"/>
              </w:rPr>
              <w:t>12.5%</w:t>
            </w:r>
          </w:p>
        </w:tc>
      </w:tr>
      <w:tr w:rsidR="006B7B84" w:rsidRPr="007C1E37" w14:paraId="61B62BA2" w14:textId="77777777" w:rsidTr="001E519A">
        <w:trPr>
          <w:trHeight w:val="397"/>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140A0493" w14:textId="77777777" w:rsidR="006B7B84" w:rsidRPr="007C1E37" w:rsidRDefault="006B7B84" w:rsidP="001E519A">
            <w:pPr>
              <w:spacing w:before="60" w:after="60"/>
              <w:rPr>
                <w:rFonts w:cs="Arial"/>
                <w:b/>
                <w:bCs w:val="0"/>
                <w:sz w:val="20"/>
                <w:szCs w:val="20"/>
              </w:rPr>
            </w:pPr>
            <w:r w:rsidRPr="007C1E37">
              <w:rPr>
                <w:rFonts w:cs="Arial"/>
                <w:b/>
                <w:bCs w:val="0"/>
                <w:sz w:val="20"/>
                <w:szCs w:val="20"/>
              </w:rPr>
              <w:t>Total Payments via Plan Managers (including plan management fee)</w:t>
            </w:r>
          </w:p>
        </w:tc>
        <w:tc>
          <w:tcPr>
            <w:tcW w:w="1985" w:type="dxa"/>
            <w:vAlign w:val="center"/>
          </w:tcPr>
          <w:p w14:paraId="5F5E45A8" w14:textId="77777777" w:rsidR="006B7B84" w:rsidRPr="007C1E37" w:rsidRDefault="006B7B84" w:rsidP="001E519A">
            <w:pPr>
              <w:spacing w:before="60" w:after="60"/>
              <w:ind w:right="454"/>
              <w:jc w:val="right"/>
              <w:cnfStyle w:val="000000000000" w:firstRow="0" w:lastRow="0" w:firstColumn="0" w:lastColumn="0" w:oddVBand="0" w:evenVBand="0" w:oddHBand="0" w:evenHBand="0" w:firstRowFirstColumn="0" w:firstRowLastColumn="0" w:lastRowFirstColumn="0" w:lastRowLastColumn="0"/>
              <w:rPr>
                <w:rFonts w:cs="Arial"/>
                <w:b/>
                <w:bCs/>
                <w:color w:val="000000"/>
                <w:sz w:val="20"/>
                <w:szCs w:val="20"/>
                <w:lang w:eastAsia="zh-CN" w:bidi="th-TH"/>
              </w:rPr>
            </w:pPr>
            <w:r w:rsidRPr="007C1E37">
              <w:rPr>
                <w:b/>
                <w:bCs/>
                <w:sz w:val="20"/>
                <w:szCs w:val="20"/>
              </w:rPr>
              <w:t>$11,228.0</w:t>
            </w:r>
          </w:p>
        </w:tc>
        <w:tc>
          <w:tcPr>
            <w:tcW w:w="1985" w:type="dxa"/>
            <w:noWrap/>
            <w:vAlign w:val="center"/>
          </w:tcPr>
          <w:p w14:paraId="3EA31818" w14:textId="77777777" w:rsidR="006B7B84" w:rsidRPr="007C1E37" w:rsidRDefault="006B7B84" w:rsidP="001E519A">
            <w:pPr>
              <w:spacing w:before="60" w:after="60"/>
              <w:ind w:right="454"/>
              <w:jc w:val="right"/>
              <w:cnfStyle w:val="000000000000" w:firstRow="0" w:lastRow="0" w:firstColumn="0" w:lastColumn="0" w:oddVBand="0" w:evenVBand="0" w:oddHBand="0" w:evenHBand="0" w:firstRowFirstColumn="0" w:firstRowLastColumn="0" w:lastRowFirstColumn="0" w:lastRowLastColumn="0"/>
              <w:rPr>
                <w:rFonts w:cs="Arial"/>
                <w:b/>
                <w:bCs/>
                <w:color w:val="000000"/>
                <w:sz w:val="20"/>
                <w:szCs w:val="20"/>
                <w:lang w:eastAsia="zh-CN" w:bidi="th-TH"/>
              </w:rPr>
            </w:pPr>
            <w:r w:rsidRPr="007C1E37">
              <w:rPr>
                <w:b/>
                <w:bCs/>
                <w:sz w:val="20"/>
                <w:szCs w:val="20"/>
              </w:rPr>
              <w:t>$13,453.8</w:t>
            </w:r>
          </w:p>
        </w:tc>
        <w:tc>
          <w:tcPr>
            <w:tcW w:w="1418" w:type="dxa"/>
            <w:vAlign w:val="center"/>
          </w:tcPr>
          <w:p w14:paraId="11E0374C" w14:textId="77777777" w:rsidR="006B7B84" w:rsidRPr="007C1E37" w:rsidRDefault="006B7B84" w:rsidP="001E519A">
            <w:pPr>
              <w:spacing w:before="60" w:after="60"/>
              <w:ind w:right="340"/>
              <w:jc w:val="right"/>
              <w:cnfStyle w:val="000000000000" w:firstRow="0" w:lastRow="0" w:firstColumn="0" w:lastColumn="0" w:oddVBand="0" w:evenVBand="0" w:oddHBand="0" w:evenHBand="0" w:firstRowFirstColumn="0" w:firstRowLastColumn="0" w:lastRowFirstColumn="0" w:lastRowLastColumn="0"/>
              <w:rPr>
                <w:rFonts w:cs="Arial"/>
                <w:b/>
                <w:sz w:val="20"/>
                <w:szCs w:val="20"/>
              </w:rPr>
            </w:pPr>
            <w:r w:rsidRPr="007C1E37">
              <w:rPr>
                <w:rFonts w:cs="Arial"/>
                <w:b/>
                <w:sz w:val="20"/>
                <w:szCs w:val="20"/>
              </w:rPr>
              <w:t>19.8%</w:t>
            </w:r>
          </w:p>
        </w:tc>
      </w:tr>
    </w:tbl>
    <w:p w14:paraId="1582AE84" w14:textId="77777777" w:rsidR="006B7B84" w:rsidRPr="008034CE" w:rsidRDefault="006B7B84" w:rsidP="006B7B84">
      <w:pPr>
        <w:spacing w:before="240" w:after="60" w:line="240" w:lineRule="atLeast"/>
        <w:rPr>
          <w:b/>
          <w:iCs/>
          <w:sz w:val="20"/>
          <w:szCs w:val="20"/>
        </w:rPr>
      </w:pPr>
      <w:r w:rsidRPr="008034CE">
        <w:rPr>
          <w:b/>
          <w:iCs/>
          <w:sz w:val="20"/>
          <w:szCs w:val="20"/>
        </w:rPr>
        <w:t>Source: NDIS internal administrative data.</w:t>
      </w:r>
    </w:p>
    <w:p w14:paraId="516DC6C8" w14:textId="77777777" w:rsidR="006B7B84" w:rsidRPr="008034CE" w:rsidRDefault="006B7B84" w:rsidP="006B7B84">
      <w:pPr>
        <w:spacing w:before="60" w:after="60" w:line="240" w:lineRule="atLeast"/>
        <w:rPr>
          <w:sz w:val="20"/>
          <w:szCs w:val="20"/>
        </w:rPr>
      </w:pPr>
      <w:r w:rsidRPr="008034CE">
        <w:rPr>
          <w:sz w:val="20"/>
          <w:szCs w:val="20"/>
        </w:rPr>
        <w:t>Note: Some support categories have experienced large percentage growth, reflecting increases from small bases. These categories and line items should be interpreted with caution.</w:t>
      </w:r>
    </w:p>
    <w:p w14:paraId="0C68F515" w14:textId="009D4B57" w:rsidR="006B7B84" w:rsidRPr="008034CE" w:rsidRDefault="006B7B84" w:rsidP="006B7B84">
      <w:pPr>
        <w:spacing w:before="360" w:line="240" w:lineRule="auto"/>
      </w:pPr>
      <w:r w:rsidRPr="008034CE">
        <w:t>The number of participants using registered plan managers to access specific supports also increased significantly. Between July and December 2024, plan-managed claims rose for Capacity Building (CB) - Support Coordination (from 126,598 to 157,529 participants, a 24.4% increase), CB - Employment (from 5,773 to 7,550 participants, 30.8% increase), and CB - Relationships (from 9,260 to 15.235, 64.5% increase) (</w:t>
      </w:r>
      <w:r w:rsidRPr="008034CE">
        <w:fldChar w:fldCharType="begin"/>
      </w:r>
      <w:r w:rsidRPr="008034CE">
        <w:instrText xml:space="preserve"> REF _Ref195636445 \h  \* MERGEFORMAT </w:instrText>
      </w:r>
      <w:r w:rsidRPr="008034CE">
        <w:fldChar w:fldCharType="separate"/>
      </w:r>
      <w:r w:rsidR="005763F9" w:rsidRPr="008034CE">
        <w:t xml:space="preserve">Table </w:t>
      </w:r>
      <w:r w:rsidR="005763F9">
        <w:t>33</w:t>
      </w:r>
      <w:r w:rsidRPr="008034CE">
        <w:fldChar w:fldCharType="end"/>
      </w:r>
      <w:r w:rsidRPr="008034CE">
        <w:t xml:space="preserve">). In contrast, a decline in the number of participants using plan managers to claim was observed in CB - Health and Wellbeing (down 13.5%) and Capital - Home Modifications (down 3.3%) over the same period. The distribution of total payments by support type is shown in </w:t>
      </w:r>
      <w:r w:rsidRPr="008034CE">
        <w:fldChar w:fldCharType="begin"/>
      </w:r>
      <w:r w:rsidRPr="008034CE">
        <w:instrText xml:space="preserve"> REF _Ref195636629 \h  \* MERGEFORMAT </w:instrText>
      </w:r>
      <w:r w:rsidRPr="008034CE">
        <w:fldChar w:fldCharType="separate"/>
      </w:r>
      <w:r w:rsidR="005763F9" w:rsidRPr="008034CE">
        <w:t xml:space="preserve">Figure </w:t>
      </w:r>
      <w:r w:rsidR="005763F9">
        <w:t>34</w:t>
      </w:r>
      <w:r w:rsidRPr="008034CE">
        <w:fldChar w:fldCharType="end"/>
      </w:r>
      <w:r w:rsidRPr="008034CE">
        <w:t xml:space="preserve">. </w:t>
      </w:r>
    </w:p>
    <w:p w14:paraId="67A19020" w14:textId="5C89AE6D" w:rsidR="006B7B84" w:rsidRDefault="006B7B84">
      <w:pPr>
        <w:spacing w:before="120" w:after="120"/>
      </w:pPr>
      <w:r>
        <w:br w:type="page"/>
      </w:r>
    </w:p>
    <w:p w14:paraId="40BA672E" w14:textId="77296319" w:rsidR="00B85F6B" w:rsidRPr="008034CE" w:rsidRDefault="00B85F6B" w:rsidP="00B85F6B">
      <w:pPr>
        <w:pStyle w:val="Caption"/>
      </w:pPr>
      <w:bookmarkStart w:id="603" w:name="_Ref195636445"/>
      <w:r w:rsidRPr="008034CE">
        <w:lastRenderedPageBreak/>
        <w:t xml:space="preserve">Table </w:t>
      </w:r>
      <w:r w:rsidR="005763F9">
        <w:fldChar w:fldCharType="begin"/>
      </w:r>
      <w:r w:rsidR="005763F9">
        <w:instrText xml:space="preserve"> SEQ Table \* ARABIC </w:instrText>
      </w:r>
      <w:r w:rsidR="005763F9">
        <w:fldChar w:fldCharType="separate"/>
      </w:r>
      <w:r w:rsidR="005763F9">
        <w:rPr>
          <w:noProof/>
        </w:rPr>
        <w:t>33</w:t>
      </w:r>
      <w:r w:rsidR="005763F9">
        <w:rPr>
          <w:noProof/>
        </w:rPr>
        <w:fldChar w:fldCharType="end"/>
      </w:r>
      <w:bookmarkEnd w:id="603"/>
      <w:r w:rsidRPr="008034CE">
        <w:t>: Number of Participants Using Active Plan Managers</w:t>
      </w:r>
    </w:p>
    <w:tbl>
      <w:tblPr>
        <w:tblStyle w:val="GridTable4-Accent12"/>
        <w:tblW w:w="9074" w:type="dxa"/>
        <w:tblInd w:w="-5" w:type="dxa"/>
        <w:tblLayout w:type="fixed"/>
        <w:tblLook w:val="04A0" w:firstRow="1" w:lastRow="0" w:firstColumn="1" w:lastColumn="0" w:noHBand="0" w:noVBand="1"/>
      </w:tblPr>
      <w:tblGrid>
        <w:gridCol w:w="3686"/>
        <w:gridCol w:w="1985"/>
        <w:gridCol w:w="1985"/>
        <w:gridCol w:w="1418"/>
      </w:tblGrid>
      <w:tr w:rsidR="00B85F6B" w:rsidRPr="007C1E37" w14:paraId="1EB21DB7" w14:textId="77777777" w:rsidTr="001E519A">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501E58" w:themeColor="accent1" w:themeShade="BF"/>
              <w:left w:val="single" w:sz="4" w:space="0" w:color="501E58" w:themeColor="accent1" w:themeShade="BF"/>
              <w:bottom w:val="single" w:sz="4" w:space="0" w:color="501E58" w:themeColor="accent1" w:themeShade="BF"/>
              <w:right w:val="single" w:sz="6" w:space="0" w:color="501E58" w:themeColor="accent1" w:themeShade="BF"/>
            </w:tcBorders>
            <w:hideMark/>
          </w:tcPr>
          <w:p w14:paraId="3D1D9EAF" w14:textId="77777777" w:rsidR="00B85F6B" w:rsidRPr="007C1E37" w:rsidRDefault="00B85F6B" w:rsidP="001E519A">
            <w:pPr>
              <w:spacing w:before="60" w:after="60"/>
              <w:rPr>
                <w:rFonts w:cs="Arial"/>
                <w:sz w:val="20"/>
                <w:szCs w:val="20"/>
                <w:lang w:eastAsia="zh-CN" w:bidi="th-TH"/>
              </w:rPr>
            </w:pPr>
            <w:r w:rsidRPr="007C1E37">
              <w:rPr>
                <w:rFonts w:cs="Arial"/>
                <w:sz w:val="20"/>
                <w:szCs w:val="20"/>
                <w:lang w:eastAsia="zh-CN" w:bidi="th-TH"/>
              </w:rPr>
              <w:t>Support Category</w:t>
            </w:r>
          </w:p>
        </w:tc>
        <w:tc>
          <w:tcPr>
            <w:tcW w:w="1985"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tcPr>
          <w:p w14:paraId="345D7A8A" w14:textId="77777777" w:rsidR="00B85F6B" w:rsidRPr="007C1E37" w:rsidRDefault="00B85F6B" w:rsidP="001E519A">
            <w:pPr>
              <w:spacing w:before="60" w:after="60"/>
              <w:jc w:val="center"/>
              <w:cnfStyle w:val="100000000000" w:firstRow="1" w:lastRow="0" w:firstColumn="0" w:lastColumn="0" w:oddVBand="0" w:evenVBand="0" w:oddHBand="0" w:evenHBand="0" w:firstRowFirstColumn="0" w:firstRowLastColumn="0" w:lastRowFirstColumn="0" w:lastRowLastColumn="0"/>
              <w:rPr>
                <w:rFonts w:cs="Arial"/>
                <w:sz w:val="20"/>
                <w:szCs w:val="20"/>
                <w:lang w:eastAsia="zh-CN" w:bidi="th-TH"/>
              </w:rPr>
            </w:pPr>
            <w:r w:rsidRPr="007C1E37">
              <w:rPr>
                <w:rFonts w:cs="Arial"/>
                <w:sz w:val="20"/>
                <w:szCs w:val="20"/>
                <w:lang w:eastAsia="zh-CN" w:bidi="th-TH"/>
              </w:rPr>
              <w:t>July – December 2023</w:t>
            </w:r>
          </w:p>
        </w:tc>
        <w:tc>
          <w:tcPr>
            <w:tcW w:w="1985"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hideMark/>
          </w:tcPr>
          <w:p w14:paraId="0132C73E" w14:textId="77777777" w:rsidR="00B85F6B" w:rsidRPr="007C1E37" w:rsidRDefault="00B85F6B" w:rsidP="001E519A">
            <w:pPr>
              <w:spacing w:before="60" w:after="60"/>
              <w:jc w:val="center"/>
              <w:cnfStyle w:val="100000000000" w:firstRow="1" w:lastRow="0" w:firstColumn="0" w:lastColumn="0" w:oddVBand="0" w:evenVBand="0" w:oddHBand="0" w:evenHBand="0" w:firstRowFirstColumn="0" w:firstRowLastColumn="0" w:lastRowFirstColumn="0" w:lastRowLastColumn="0"/>
              <w:rPr>
                <w:rFonts w:cs="Arial"/>
                <w:sz w:val="20"/>
                <w:szCs w:val="20"/>
                <w:lang w:eastAsia="zh-CN" w:bidi="th-TH"/>
              </w:rPr>
            </w:pPr>
            <w:r w:rsidRPr="007C1E37">
              <w:rPr>
                <w:rFonts w:cs="Arial"/>
                <w:sz w:val="20"/>
                <w:szCs w:val="20"/>
                <w:lang w:eastAsia="zh-CN" w:bidi="th-TH"/>
              </w:rPr>
              <w:t>July – December 2024</w:t>
            </w:r>
          </w:p>
        </w:tc>
        <w:tc>
          <w:tcPr>
            <w:tcW w:w="1418" w:type="dxa"/>
            <w:tcBorders>
              <w:top w:val="single" w:sz="4" w:space="0" w:color="501E58" w:themeColor="accent1" w:themeShade="BF"/>
              <w:left w:val="single" w:sz="6" w:space="0" w:color="501E58" w:themeColor="accent1" w:themeShade="BF"/>
              <w:bottom w:val="single" w:sz="4" w:space="0" w:color="501E58" w:themeColor="accent1" w:themeShade="BF"/>
              <w:right w:val="single" w:sz="4" w:space="0" w:color="501E58" w:themeColor="accent1" w:themeShade="BF"/>
            </w:tcBorders>
          </w:tcPr>
          <w:p w14:paraId="14125777" w14:textId="77777777" w:rsidR="00B85F6B" w:rsidRPr="007C1E37" w:rsidRDefault="00B85F6B" w:rsidP="001E519A">
            <w:pPr>
              <w:spacing w:before="60" w:after="60"/>
              <w:jc w:val="center"/>
              <w:cnfStyle w:val="100000000000" w:firstRow="1" w:lastRow="0" w:firstColumn="0" w:lastColumn="0" w:oddVBand="0" w:evenVBand="0" w:oddHBand="0" w:evenHBand="0" w:firstRowFirstColumn="0" w:firstRowLastColumn="0" w:lastRowFirstColumn="0" w:lastRowLastColumn="0"/>
              <w:rPr>
                <w:rFonts w:cs="Arial"/>
                <w:sz w:val="20"/>
                <w:szCs w:val="20"/>
                <w:lang w:eastAsia="zh-CN" w:bidi="th-TH"/>
              </w:rPr>
            </w:pPr>
            <w:r w:rsidRPr="007C1E37">
              <w:rPr>
                <w:rFonts w:cs="Arial"/>
                <w:sz w:val="20"/>
                <w:szCs w:val="20"/>
                <w:lang w:eastAsia="zh-CN" w:bidi="th-TH"/>
              </w:rPr>
              <w:t>Percentage Change</w:t>
            </w:r>
          </w:p>
        </w:tc>
      </w:tr>
      <w:tr w:rsidR="00B85F6B" w:rsidRPr="007C1E37" w14:paraId="2E022A33" w14:textId="77777777" w:rsidTr="001E519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501E58" w:themeColor="accent1" w:themeShade="BF"/>
            </w:tcBorders>
            <w:noWrap/>
            <w:vAlign w:val="center"/>
          </w:tcPr>
          <w:p w14:paraId="322ABE46" w14:textId="77777777" w:rsidR="00B85F6B" w:rsidRPr="007C1E37" w:rsidRDefault="00B85F6B" w:rsidP="001E519A">
            <w:pPr>
              <w:spacing w:before="60" w:after="60"/>
              <w:rPr>
                <w:rFonts w:cs="Arial"/>
                <w:b/>
                <w:color w:val="000000"/>
                <w:sz w:val="20"/>
                <w:szCs w:val="20"/>
                <w:lang w:eastAsia="zh-CN" w:bidi="th-TH"/>
              </w:rPr>
            </w:pPr>
            <w:r w:rsidRPr="007C1E37">
              <w:rPr>
                <w:rFonts w:cs="Arial"/>
                <w:sz w:val="20"/>
                <w:szCs w:val="20"/>
              </w:rPr>
              <w:t>Core - Transport</w:t>
            </w:r>
          </w:p>
        </w:tc>
        <w:tc>
          <w:tcPr>
            <w:tcW w:w="1985" w:type="dxa"/>
            <w:tcBorders>
              <w:top w:val="single" w:sz="4" w:space="0" w:color="501E58" w:themeColor="accent1" w:themeShade="BF"/>
            </w:tcBorders>
            <w:vAlign w:val="center"/>
          </w:tcPr>
          <w:p w14:paraId="2CD25BE2" w14:textId="77777777" w:rsidR="00B85F6B" w:rsidRPr="007C1E37" w:rsidRDefault="00B85F6B" w:rsidP="001E519A">
            <w:pPr>
              <w:spacing w:before="60" w:after="60"/>
              <w:ind w:right="51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7C1E37">
              <w:rPr>
                <w:rFonts w:cs="Arial"/>
                <w:sz w:val="20"/>
                <w:szCs w:val="20"/>
              </w:rPr>
              <w:t>11,111</w:t>
            </w:r>
          </w:p>
        </w:tc>
        <w:tc>
          <w:tcPr>
            <w:tcW w:w="1985" w:type="dxa"/>
            <w:tcBorders>
              <w:top w:val="single" w:sz="4" w:space="0" w:color="501E58" w:themeColor="accent1" w:themeShade="BF"/>
            </w:tcBorders>
            <w:noWrap/>
            <w:vAlign w:val="center"/>
          </w:tcPr>
          <w:p w14:paraId="1D1BC422" w14:textId="77777777" w:rsidR="00B85F6B" w:rsidRPr="007C1E37" w:rsidRDefault="00B85F6B" w:rsidP="001E519A">
            <w:pPr>
              <w:spacing w:before="60" w:after="60"/>
              <w:ind w:right="51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7C1E37">
              <w:rPr>
                <w:rFonts w:cs="Arial"/>
                <w:sz w:val="20"/>
                <w:szCs w:val="20"/>
              </w:rPr>
              <w:t>12,598</w:t>
            </w:r>
          </w:p>
        </w:tc>
        <w:tc>
          <w:tcPr>
            <w:tcW w:w="1418" w:type="dxa"/>
            <w:tcBorders>
              <w:top w:val="single" w:sz="4" w:space="0" w:color="501E58" w:themeColor="accent1" w:themeShade="BF"/>
            </w:tcBorders>
            <w:vAlign w:val="center"/>
          </w:tcPr>
          <w:p w14:paraId="4D401212" w14:textId="77777777" w:rsidR="00B85F6B" w:rsidRPr="007C1E37" w:rsidRDefault="00B85F6B" w:rsidP="001E519A">
            <w:pPr>
              <w:spacing w:before="60" w:after="60"/>
              <w:ind w:right="340"/>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7C1E37">
              <w:rPr>
                <w:rFonts w:cs="Arial"/>
                <w:sz w:val="20"/>
                <w:szCs w:val="20"/>
              </w:rPr>
              <w:t>13.4%</w:t>
            </w:r>
          </w:p>
        </w:tc>
      </w:tr>
      <w:tr w:rsidR="00B85F6B" w:rsidRPr="007C1E37" w14:paraId="1EFF9DE0" w14:textId="77777777" w:rsidTr="001E519A">
        <w:trPr>
          <w:trHeight w:val="397"/>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2419A6AB" w14:textId="77777777" w:rsidR="00B85F6B" w:rsidRPr="007C1E37" w:rsidRDefault="00B85F6B" w:rsidP="001E519A">
            <w:pPr>
              <w:spacing w:before="60" w:after="60"/>
              <w:rPr>
                <w:rFonts w:cs="Arial"/>
                <w:b/>
                <w:color w:val="000000"/>
                <w:sz w:val="20"/>
                <w:szCs w:val="20"/>
                <w:lang w:eastAsia="zh-CN" w:bidi="th-TH"/>
              </w:rPr>
            </w:pPr>
            <w:r w:rsidRPr="007C1E37">
              <w:rPr>
                <w:rFonts w:cs="Arial"/>
                <w:sz w:val="20"/>
                <w:szCs w:val="20"/>
              </w:rPr>
              <w:t>Core - Daily Activities</w:t>
            </w:r>
          </w:p>
        </w:tc>
        <w:tc>
          <w:tcPr>
            <w:tcW w:w="1985" w:type="dxa"/>
            <w:vAlign w:val="center"/>
          </w:tcPr>
          <w:p w14:paraId="071BB42F" w14:textId="77777777" w:rsidR="00B85F6B" w:rsidRPr="007C1E37" w:rsidRDefault="00B85F6B" w:rsidP="001E519A">
            <w:pPr>
              <w:spacing w:before="60" w:after="60"/>
              <w:ind w:right="51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zh-CN" w:bidi="th-TH"/>
              </w:rPr>
            </w:pPr>
            <w:r w:rsidRPr="007C1E37">
              <w:rPr>
                <w:rFonts w:cs="Arial"/>
                <w:sz w:val="20"/>
                <w:szCs w:val="20"/>
              </w:rPr>
              <w:t>195,425</w:t>
            </w:r>
          </w:p>
        </w:tc>
        <w:tc>
          <w:tcPr>
            <w:tcW w:w="1985" w:type="dxa"/>
            <w:noWrap/>
            <w:vAlign w:val="center"/>
          </w:tcPr>
          <w:p w14:paraId="4CDC1C2E" w14:textId="77777777" w:rsidR="00B85F6B" w:rsidRPr="007C1E37" w:rsidRDefault="00B85F6B" w:rsidP="001E519A">
            <w:pPr>
              <w:spacing w:before="60" w:after="60"/>
              <w:ind w:right="51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zh-CN" w:bidi="th-TH"/>
              </w:rPr>
            </w:pPr>
            <w:r w:rsidRPr="007C1E37">
              <w:rPr>
                <w:rFonts w:cs="Arial"/>
                <w:sz w:val="20"/>
                <w:szCs w:val="20"/>
              </w:rPr>
              <w:t>212,109</w:t>
            </w:r>
          </w:p>
        </w:tc>
        <w:tc>
          <w:tcPr>
            <w:tcW w:w="1418" w:type="dxa"/>
            <w:vAlign w:val="center"/>
          </w:tcPr>
          <w:p w14:paraId="3331F7E3" w14:textId="77777777" w:rsidR="00B85F6B" w:rsidRPr="007C1E37" w:rsidRDefault="00B85F6B" w:rsidP="001E519A">
            <w:pPr>
              <w:spacing w:before="60" w:after="60"/>
              <w:ind w:right="340"/>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7C1E37">
              <w:rPr>
                <w:rFonts w:cs="Arial"/>
                <w:sz w:val="20"/>
                <w:szCs w:val="20"/>
              </w:rPr>
              <w:t>8.5%</w:t>
            </w:r>
          </w:p>
        </w:tc>
      </w:tr>
      <w:tr w:rsidR="00B85F6B" w:rsidRPr="007C1E37" w14:paraId="05F41B83" w14:textId="77777777" w:rsidTr="001E519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4F586F1E" w14:textId="77777777" w:rsidR="00B85F6B" w:rsidRPr="007C1E37" w:rsidRDefault="00B85F6B" w:rsidP="001E519A">
            <w:pPr>
              <w:spacing w:before="60" w:after="60"/>
              <w:rPr>
                <w:rFonts w:cs="Arial"/>
                <w:b/>
                <w:color w:val="000000"/>
                <w:sz w:val="20"/>
                <w:szCs w:val="20"/>
                <w:lang w:eastAsia="zh-CN" w:bidi="th-TH"/>
              </w:rPr>
            </w:pPr>
            <w:r w:rsidRPr="007C1E37">
              <w:rPr>
                <w:rFonts w:cs="Arial"/>
                <w:sz w:val="20"/>
                <w:szCs w:val="20"/>
              </w:rPr>
              <w:t>Core - Consumables</w:t>
            </w:r>
          </w:p>
        </w:tc>
        <w:tc>
          <w:tcPr>
            <w:tcW w:w="1985" w:type="dxa"/>
            <w:vAlign w:val="center"/>
          </w:tcPr>
          <w:p w14:paraId="0EABBC73" w14:textId="77777777" w:rsidR="00B85F6B" w:rsidRPr="007C1E37" w:rsidRDefault="00B85F6B" w:rsidP="001E519A">
            <w:pPr>
              <w:spacing w:before="60" w:after="60"/>
              <w:ind w:right="51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7C1E37">
              <w:rPr>
                <w:rFonts w:cs="Arial"/>
                <w:sz w:val="20"/>
                <w:szCs w:val="20"/>
              </w:rPr>
              <w:t>134,970</w:t>
            </w:r>
          </w:p>
        </w:tc>
        <w:tc>
          <w:tcPr>
            <w:tcW w:w="1985" w:type="dxa"/>
            <w:noWrap/>
            <w:vAlign w:val="center"/>
          </w:tcPr>
          <w:p w14:paraId="6D69467D" w14:textId="77777777" w:rsidR="00B85F6B" w:rsidRPr="007C1E37" w:rsidRDefault="00B85F6B" w:rsidP="001E519A">
            <w:pPr>
              <w:spacing w:before="60" w:after="60"/>
              <w:ind w:right="51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7C1E37">
              <w:rPr>
                <w:rFonts w:cs="Arial"/>
                <w:sz w:val="20"/>
                <w:szCs w:val="20"/>
              </w:rPr>
              <w:t>135,665</w:t>
            </w:r>
          </w:p>
        </w:tc>
        <w:tc>
          <w:tcPr>
            <w:tcW w:w="1418" w:type="dxa"/>
            <w:vAlign w:val="center"/>
          </w:tcPr>
          <w:p w14:paraId="7AC22AE2" w14:textId="77777777" w:rsidR="00B85F6B" w:rsidRPr="007C1E37" w:rsidRDefault="00B85F6B" w:rsidP="001E519A">
            <w:pPr>
              <w:spacing w:before="60" w:after="60"/>
              <w:ind w:right="340"/>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7C1E37">
              <w:rPr>
                <w:rFonts w:cs="Arial"/>
                <w:sz w:val="20"/>
                <w:szCs w:val="20"/>
              </w:rPr>
              <w:t>0.5%</w:t>
            </w:r>
          </w:p>
        </w:tc>
      </w:tr>
      <w:tr w:rsidR="00B85F6B" w:rsidRPr="007C1E37" w14:paraId="59E30EC9" w14:textId="77777777" w:rsidTr="001E519A">
        <w:trPr>
          <w:trHeight w:val="397"/>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00D02A5D" w14:textId="77777777" w:rsidR="00B85F6B" w:rsidRPr="007C1E37" w:rsidRDefault="00B85F6B" w:rsidP="001E519A">
            <w:pPr>
              <w:spacing w:before="60" w:after="60"/>
              <w:rPr>
                <w:rFonts w:cs="Arial"/>
                <w:b/>
                <w:sz w:val="20"/>
                <w:szCs w:val="20"/>
              </w:rPr>
            </w:pPr>
            <w:r w:rsidRPr="007C1E37">
              <w:rPr>
                <w:rFonts w:cs="Arial"/>
                <w:sz w:val="20"/>
                <w:szCs w:val="20"/>
              </w:rPr>
              <w:t>Core - Community</w:t>
            </w:r>
          </w:p>
        </w:tc>
        <w:tc>
          <w:tcPr>
            <w:tcW w:w="1985" w:type="dxa"/>
            <w:vAlign w:val="center"/>
          </w:tcPr>
          <w:p w14:paraId="4CF5E6FC" w14:textId="77777777" w:rsidR="00B85F6B" w:rsidRPr="007C1E37" w:rsidRDefault="00B85F6B" w:rsidP="001E519A">
            <w:pPr>
              <w:spacing w:before="60" w:after="60"/>
              <w:ind w:right="510"/>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7C1E37">
              <w:rPr>
                <w:rFonts w:cs="Arial"/>
                <w:sz w:val="20"/>
                <w:szCs w:val="20"/>
              </w:rPr>
              <w:t>204,214</w:t>
            </w:r>
          </w:p>
        </w:tc>
        <w:tc>
          <w:tcPr>
            <w:tcW w:w="1985" w:type="dxa"/>
            <w:noWrap/>
            <w:vAlign w:val="center"/>
          </w:tcPr>
          <w:p w14:paraId="10AB2A0B" w14:textId="77777777" w:rsidR="00B85F6B" w:rsidRPr="007C1E37" w:rsidRDefault="00B85F6B" w:rsidP="001E519A">
            <w:pPr>
              <w:spacing w:before="60" w:after="60"/>
              <w:ind w:right="510"/>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7C1E37">
              <w:rPr>
                <w:rFonts w:cs="Arial"/>
                <w:sz w:val="20"/>
                <w:szCs w:val="20"/>
              </w:rPr>
              <w:t>225,988</w:t>
            </w:r>
          </w:p>
        </w:tc>
        <w:tc>
          <w:tcPr>
            <w:tcW w:w="1418" w:type="dxa"/>
            <w:vAlign w:val="center"/>
          </w:tcPr>
          <w:p w14:paraId="1178946F" w14:textId="77777777" w:rsidR="00B85F6B" w:rsidRPr="007C1E37" w:rsidRDefault="00B85F6B" w:rsidP="001E519A">
            <w:pPr>
              <w:spacing w:before="60" w:after="60"/>
              <w:ind w:right="340"/>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7C1E37">
              <w:rPr>
                <w:rFonts w:cs="Arial"/>
                <w:sz w:val="20"/>
                <w:szCs w:val="20"/>
              </w:rPr>
              <w:t>10.7%</w:t>
            </w:r>
          </w:p>
        </w:tc>
      </w:tr>
      <w:tr w:rsidR="00B85F6B" w:rsidRPr="007C1E37" w14:paraId="3BB7E367" w14:textId="77777777" w:rsidTr="001E519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76BB1227" w14:textId="77777777" w:rsidR="00B85F6B" w:rsidRPr="007C1E37" w:rsidRDefault="00B85F6B" w:rsidP="001E519A">
            <w:pPr>
              <w:spacing w:before="60" w:after="60"/>
              <w:rPr>
                <w:rFonts w:cs="Arial"/>
                <w:sz w:val="20"/>
                <w:szCs w:val="20"/>
              </w:rPr>
            </w:pPr>
            <w:r w:rsidRPr="007C1E37">
              <w:rPr>
                <w:rFonts w:cs="Arial"/>
                <w:sz w:val="20"/>
                <w:szCs w:val="20"/>
              </w:rPr>
              <w:t>Capital - Home Modifications</w:t>
            </w:r>
          </w:p>
        </w:tc>
        <w:tc>
          <w:tcPr>
            <w:tcW w:w="1985" w:type="dxa"/>
            <w:vAlign w:val="center"/>
          </w:tcPr>
          <w:p w14:paraId="01B459E8" w14:textId="77777777" w:rsidR="00B85F6B" w:rsidRPr="007C1E37" w:rsidRDefault="00B85F6B" w:rsidP="001E519A">
            <w:pPr>
              <w:spacing w:before="60" w:after="60"/>
              <w:ind w:right="510"/>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7C1E37">
              <w:rPr>
                <w:rFonts w:cs="Arial"/>
                <w:sz w:val="20"/>
                <w:szCs w:val="20"/>
              </w:rPr>
              <w:t>3,213</w:t>
            </w:r>
          </w:p>
        </w:tc>
        <w:tc>
          <w:tcPr>
            <w:tcW w:w="1985" w:type="dxa"/>
            <w:noWrap/>
            <w:vAlign w:val="center"/>
          </w:tcPr>
          <w:p w14:paraId="7EE9D6F2" w14:textId="77777777" w:rsidR="00B85F6B" w:rsidRPr="007C1E37" w:rsidRDefault="00B85F6B" w:rsidP="001E519A">
            <w:pPr>
              <w:spacing w:before="60" w:after="60"/>
              <w:ind w:right="510"/>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7C1E37">
              <w:rPr>
                <w:rFonts w:cs="Arial"/>
                <w:sz w:val="20"/>
                <w:szCs w:val="20"/>
              </w:rPr>
              <w:t>3,106</w:t>
            </w:r>
          </w:p>
        </w:tc>
        <w:tc>
          <w:tcPr>
            <w:tcW w:w="1418" w:type="dxa"/>
            <w:vAlign w:val="center"/>
          </w:tcPr>
          <w:p w14:paraId="6BE7EE8F" w14:textId="77777777" w:rsidR="00B85F6B" w:rsidRPr="007C1E37" w:rsidRDefault="00B85F6B" w:rsidP="001E519A">
            <w:pPr>
              <w:spacing w:before="60" w:after="60"/>
              <w:ind w:right="340"/>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7C1E37">
              <w:rPr>
                <w:rFonts w:cs="Arial"/>
                <w:sz w:val="20"/>
                <w:szCs w:val="20"/>
              </w:rPr>
              <w:t>-3.3%</w:t>
            </w:r>
          </w:p>
        </w:tc>
      </w:tr>
      <w:tr w:rsidR="00B85F6B" w:rsidRPr="007C1E37" w14:paraId="5E4B0B6A" w14:textId="77777777" w:rsidTr="001E519A">
        <w:trPr>
          <w:trHeight w:val="397"/>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189BBF36" w14:textId="77777777" w:rsidR="00B85F6B" w:rsidRPr="007C1E37" w:rsidRDefault="00B85F6B" w:rsidP="001E519A">
            <w:pPr>
              <w:spacing w:before="60" w:after="60"/>
              <w:rPr>
                <w:rFonts w:cs="Arial"/>
                <w:sz w:val="20"/>
                <w:szCs w:val="20"/>
              </w:rPr>
            </w:pPr>
            <w:r w:rsidRPr="007C1E37">
              <w:rPr>
                <w:rFonts w:cs="Arial"/>
                <w:sz w:val="20"/>
                <w:szCs w:val="20"/>
              </w:rPr>
              <w:t>Capital - Assistive Technology</w:t>
            </w:r>
          </w:p>
        </w:tc>
        <w:tc>
          <w:tcPr>
            <w:tcW w:w="1985" w:type="dxa"/>
            <w:vAlign w:val="center"/>
          </w:tcPr>
          <w:p w14:paraId="2A033776" w14:textId="77777777" w:rsidR="00B85F6B" w:rsidRPr="007C1E37" w:rsidRDefault="00B85F6B" w:rsidP="001E519A">
            <w:pPr>
              <w:spacing w:before="60" w:after="60"/>
              <w:ind w:right="510"/>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7C1E37">
              <w:rPr>
                <w:rFonts w:cs="Arial"/>
                <w:sz w:val="20"/>
                <w:szCs w:val="20"/>
              </w:rPr>
              <w:t>28,641</w:t>
            </w:r>
          </w:p>
        </w:tc>
        <w:tc>
          <w:tcPr>
            <w:tcW w:w="1985" w:type="dxa"/>
            <w:noWrap/>
            <w:vAlign w:val="center"/>
          </w:tcPr>
          <w:p w14:paraId="58737039" w14:textId="77777777" w:rsidR="00B85F6B" w:rsidRPr="007C1E37" w:rsidRDefault="00B85F6B" w:rsidP="001E519A">
            <w:pPr>
              <w:spacing w:before="60" w:after="60"/>
              <w:ind w:right="510"/>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7C1E37">
              <w:rPr>
                <w:rFonts w:cs="Arial"/>
                <w:sz w:val="20"/>
                <w:szCs w:val="20"/>
              </w:rPr>
              <w:t>33,242</w:t>
            </w:r>
          </w:p>
        </w:tc>
        <w:tc>
          <w:tcPr>
            <w:tcW w:w="1418" w:type="dxa"/>
            <w:vAlign w:val="center"/>
          </w:tcPr>
          <w:p w14:paraId="5FA52A0D" w14:textId="77777777" w:rsidR="00B85F6B" w:rsidRPr="007C1E37" w:rsidRDefault="00B85F6B" w:rsidP="001E519A">
            <w:pPr>
              <w:spacing w:before="60" w:after="60"/>
              <w:ind w:right="340"/>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7C1E37">
              <w:rPr>
                <w:rFonts w:cs="Arial"/>
                <w:sz w:val="20"/>
                <w:szCs w:val="20"/>
              </w:rPr>
              <w:t>16.1%</w:t>
            </w:r>
          </w:p>
        </w:tc>
      </w:tr>
      <w:tr w:rsidR="00B85F6B" w:rsidRPr="007C1E37" w14:paraId="5EB6FE52" w14:textId="77777777" w:rsidTr="001E519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0001C16C" w14:textId="77777777" w:rsidR="00B85F6B" w:rsidRPr="007C1E37" w:rsidRDefault="00B85F6B" w:rsidP="001E519A">
            <w:pPr>
              <w:spacing w:before="60" w:after="60"/>
              <w:rPr>
                <w:rFonts w:cs="Arial"/>
                <w:sz w:val="20"/>
                <w:szCs w:val="20"/>
              </w:rPr>
            </w:pPr>
            <w:r w:rsidRPr="007C1E37">
              <w:rPr>
                <w:rFonts w:cs="Arial"/>
                <w:sz w:val="20"/>
                <w:szCs w:val="20"/>
              </w:rPr>
              <w:t>Capacity Building - Support Coordination</w:t>
            </w:r>
          </w:p>
        </w:tc>
        <w:tc>
          <w:tcPr>
            <w:tcW w:w="1985" w:type="dxa"/>
            <w:vAlign w:val="center"/>
          </w:tcPr>
          <w:p w14:paraId="5E65EC87" w14:textId="77777777" w:rsidR="00B85F6B" w:rsidRPr="007C1E37" w:rsidRDefault="00B85F6B" w:rsidP="001E519A">
            <w:pPr>
              <w:spacing w:before="60" w:after="60"/>
              <w:ind w:right="510"/>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7C1E37">
              <w:rPr>
                <w:rFonts w:cs="Arial"/>
                <w:sz w:val="20"/>
                <w:szCs w:val="20"/>
              </w:rPr>
              <w:t>126,598</w:t>
            </w:r>
          </w:p>
        </w:tc>
        <w:tc>
          <w:tcPr>
            <w:tcW w:w="1985" w:type="dxa"/>
            <w:noWrap/>
            <w:vAlign w:val="center"/>
          </w:tcPr>
          <w:p w14:paraId="072FDBE7" w14:textId="77777777" w:rsidR="00B85F6B" w:rsidRPr="007C1E37" w:rsidRDefault="00B85F6B" w:rsidP="001E519A">
            <w:pPr>
              <w:spacing w:before="60" w:after="60"/>
              <w:ind w:right="510"/>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7C1E37">
              <w:rPr>
                <w:rFonts w:cs="Arial"/>
                <w:sz w:val="20"/>
                <w:szCs w:val="20"/>
              </w:rPr>
              <w:t>157,529</w:t>
            </w:r>
          </w:p>
        </w:tc>
        <w:tc>
          <w:tcPr>
            <w:tcW w:w="1418" w:type="dxa"/>
            <w:vAlign w:val="center"/>
          </w:tcPr>
          <w:p w14:paraId="5213DAA0" w14:textId="77777777" w:rsidR="00B85F6B" w:rsidRPr="007C1E37" w:rsidRDefault="00B85F6B" w:rsidP="001E519A">
            <w:pPr>
              <w:spacing w:before="60" w:after="60"/>
              <w:ind w:right="340"/>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7C1E37">
              <w:rPr>
                <w:rFonts w:cs="Arial"/>
                <w:sz w:val="20"/>
                <w:szCs w:val="20"/>
              </w:rPr>
              <w:t>24.4%</w:t>
            </w:r>
          </w:p>
        </w:tc>
      </w:tr>
      <w:tr w:rsidR="00B85F6B" w:rsidRPr="007C1E37" w14:paraId="61513637" w14:textId="77777777" w:rsidTr="001E519A">
        <w:trPr>
          <w:trHeight w:val="397"/>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2D477398" w14:textId="77777777" w:rsidR="00B85F6B" w:rsidRPr="007C1E37" w:rsidRDefault="00B85F6B" w:rsidP="001E519A">
            <w:pPr>
              <w:spacing w:before="60" w:after="60"/>
              <w:rPr>
                <w:rFonts w:cs="Arial"/>
                <w:sz w:val="20"/>
                <w:szCs w:val="20"/>
              </w:rPr>
            </w:pPr>
            <w:r w:rsidRPr="007C1E37">
              <w:rPr>
                <w:rFonts w:cs="Arial"/>
                <w:sz w:val="20"/>
                <w:szCs w:val="20"/>
              </w:rPr>
              <w:t>Capacity Building - Social and Civic</w:t>
            </w:r>
          </w:p>
        </w:tc>
        <w:tc>
          <w:tcPr>
            <w:tcW w:w="1985" w:type="dxa"/>
            <w:vAlign w:val="center"/>
          </w:tcPr>
          <w:p w14:paraId="292A65F6" w14:textId="77777777" w:rsidR="00B85F6B" w:rsidRPr="007C1E37" w:rsidRDefault="00B85F6B" w:rsidP="001E519A">
            <w:pPr>
              <w:spacing w:before="60" w:after="60"/>
              <w:ind w:right="510"/>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7C1E37">
              <w:rPr>
                <w:rFonts w:cs="Arial"/>
                <w:sz w:val="20"/>
                <w:szCs w:val="20"/>
              </w:rPr>
              <w:t>16,622</w:t>
            </w:r>
          </w:p>
        </w:tc>
        <w:tc>
          <w:tcPr>
            <w:tcW w:w="1985" w:type="dxa"/>
            <w:noWrap/>
            <w:vAlign w:val="center"/>
          </w:tcPr>
          <w:p w14:paraId="5A965CBE" w14:textId="77777777" w:rsidR="00B85F6B" w:rsidRPr="007C1E37" w:rsidRDefault="00B85F6B" w:rsidP="001E519A">
            <w:pPr>
              <w:spacing w:before="60" w:after="60"/>
              <w:ind w:right="510"/>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7C1E37">
              <w:rPr>
                <w:rFonts w:cs="Arial"/>
                <w:sz w:val="20"/>
                <w:szCs w:val="20"/>
              </w:rPr>
              <w:t>18,441</w:t>
            </w:r>
          </w:p>
        </w:tc>
        <w:tc>
          <w:tcPr>
            <w:tcW w:w="1418" w:type="dxa"/>
            <w:vAlign w:val="center"/>
          </w:tcPr>
          <w:p w14:paraId="5570BEB6" w14:textId="77777777" w:rsidR="00B85F6B" w:rsidRPr="007C1E37" w:rsidRDefault="00B85F6B" w:rsidP="001E519A">
            <w:pPr>
              <w:spacing w:before="60" w:after="60"/>
              <w:ind w:right="340"/>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7C1E37">
              <w:rPr>
                <w:rFonts w:cs="Arial"/>
                <w:sz w:val="20"/>
                <w:szCs w:val="20"/>
              </w:rPr>
              <w:t>10.9%</w:t>
            </w:r>
          </w:p>
        </w:tc>
      </w:tr>
      <w:tr w:rsidR="00B85F6B" w:rsidRPr="007C1E37" w14:paraId="6D90BB84" w14:textId="77777777" w:rsidTr="001E519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0399BD9E" w14:textId="77777777" w:rsidR="00B85F6B" w:rsidRPr="007C1E37" w:rsidRDefault="00B85F6B" w:rsidP="001E519A">
            <w:pPr>
              <w:spacing w:before="60" w:after="60"/>
              <w:rPr>
                <w:rFonts w:cs="Arial"/>
                <w:sz w:val="20"/>
                <w:szCs w:val="20"/>
              </w:rPr>
            </w:pPr>
            <w:r w:rsidRPr="007C1E37">
              <w:rPr>
                <w:rFonts w:cs="Arial"/>
                <w:sz w:val="20"/>
                <w:szCs w:val="20"/>
              </w:rPr>
              <w:t>Capacity Building - Relationships</w:t>
            </w:r>
          </w:p>
        </w:tc>
        <w:tc>
          <w:tcPr>
            <w:tcW w:w="1985" w:type="dxa"/>
            <w:vAlign w:val="center"/>
          </w:tcPr>
          <w:p w14:paraId="3C0BFD83" w14:textId="77777777" w:rsidR="00B85F6B" w:rsidRPr="007C1E37" w:rsidRDefault="00B85F6B" w:rsidP="001E519A">
            <w:pPr>
              <w:spacing w:before="60" w:after="60"/>
              <w:ind w:right="510"/>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7C1E37">
              <w:rPr>
                <w:rFonts w:cs="Arial"/>
                <w:sz w:val="20"/>
                <w:szCs w:val="20"/>
              </w:rPr>
              <w:t>9,260</w:t>
            </w:r>
          </w:p>
        </w:tc>
        <w:tc>
          <w:tcPr>
            <w:tcW w:w="1985" w:type="dxa"/>
            <w:noWrap/>
            <w:vAlign w:val="center"/>
          </w:tcPr>
          <w:p w14:paraId="33095D63" w14:textId="77777777" w:rsidR="00B85F6B" w:rsidRPr="007C1E37" w:rsidRDefault="00B85F6B" w:rsidP="001E519A">
            <w:pPr>
              <w:spacing w:before="60" w:after="60"/>
              <w:ind w:right="510"/>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7C1E37">
              <w:rPr>
                <w:rFonts w:cs="Arial"/>
                <w:sz w:val="20"/>
                <w:szCs w:val="20"/>
              </w:rPr>
              <w:t>15,235</w:t>
            </w:r>
          </w:p>
        </w:tc>
        <w:tc>
          <w:tcPr>
            <w:tcW w:w="1418" w:type="dxa"/>
            <w:vAlign w:val="center"/>
          </w:tcPr>
          <w:p w14:paraId="09506DCB" w14:textId="77777777" w:rsidR="00B85F6B" w:rsidRPr="007C1E37" w:rsidRDefault="00B85F6B" w:rsidP="001E519A">
            <w:pPr>
              <w:spacing w:before="60" w:after="60"/>
              <w:ind w:right="340"/>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7C1E37">
              <w:rPr>
                <w:rFonts w:cs="Arial"/>
                <w:sz w:val="20"/>
                <w:szCs w:val="20"/>
              </w:rPr>
              <w:t>64.5%</w:t>
            </w:r>
          </w:p>
        </w:tc>
      </w:tr>
      <w:tr w:rsidR="00B85F6B" w:rsidRPr="007C1E37" w14:paraId="3B8A7E10" w14:textId="77777777" w:rsidTr="001E519A">
        <w:trPr>
          <w:trHeight w:val="397"/>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6476AEB0" w14:textId="77777777" w:rsidR="00B85F6B" w:rsidRPr="007C1E37" w:rsidRDefault="00B85F6B" w:rsidP="001E519A">
            <w:pPr>
              <w:spacing w:before="60" w:after="60"/>
              <w:rPr>
                <w:rFonts w:cs="Arial"/>
                <w:sz w:val="20"/>
                <w:szCs w:val="20"/>
              </w:rPr>
            </w:pPr>
            <w:r w:rsidRPr="007C1E37">
              <w:rPr>
                <w:rFonts w:cs="Arial"/>
                <w:sz w:val="20"/>
                <w:szCs w:val="20"/>
              </w:rPr>
              <w:t>Capacity Building - Lifelong Learning</w:t>
            </w:r>
          </w:p>
        </w:tc>
        <w:tc>
          <w:tcPr>
            <w:tcW w:w="1985" w:type="dxa"/>
            <w:vAlign w:val="center"/>
          </w:tcPr>
          <w:p w14:paraId="381879F8" w14:textId="77777777" w:rsidR="00B85F6B" w:rsidRPr="007C1E37" w:rsidRDefault="00B85F6B" w:rsidP="001E519A">
            <w:pPr>
              <w:spacing w:before="60" w:after="60"/>
              <w:ind w:right="510"/>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7C1E37">
              <w:rPr>
                <w:rFonts w:cs="Arial"/>
                <w:sz w:val="20"/>
                <w:szCs w:val="20"/>
              </w:rPr>
              <w:t>11</w:t>
            </w:r>
          </w:p>
        </w:tc>
        <w:tc>
          <w:tcPr>
            <w:tcW w:w="1985" w:type="dxa"/>
            <w:noWrap/>
            <w:vAlign w:val="center"/>
          </w:tcPr>
          <w:p w14:paraId="1E0BE561" w14:textId="77777777" w:rsidR="00B85F6B" w:rsidRPr="007C1E37" w:rsidRDefault="00B85F6B" w:rsidP="001E519A">
            <w:pPr>
              <w:spacing w:before="60" w:after="60"/>
              <w:ind w:right="510"/>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7C1E37">
              <w:rPr>
                <w:rFonts w:cs="Arial"/>
                <w:sz w:val="20"/>
                <w:szCs w:val="20"/>
              </w:rPr>
              <w:t>32</w:t>
            </w:r>
          </w:p>
        </w:tc>
        <w:tc>
          <w:tcPr>
            <w:tcW w:w="1418" w:type="dxa"/>
            <w:vAlign w:val="center"/>
          </w:tcPr>
          <w:p w14:paraId="496B7C40" w14:textId="77777777" w:rsidR="00B85F6B" w:rsidRPr="007C1E37" w:rsidRDefault="00B85F6B" w:rsidP="001E519A">
            <w:pPr>
              <w:spacing w:before="60" w:after="60"/>
              <w:ind w:right="340"/>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7C1E37">
              <w:rPr>
                <w:rFonts w:cs="Arial"/>
                <w:sz w:val="20"/>
                <w:szCs w:val="20"/>
              </w:rPr>
              <w:t>190.9%</w:t>
            </w:r>
          </w:p>
        </w:tc>
      </w:tr>
      <w:tr w:rsidR="00B85F6B" w:rsidRPr="007C1E37" w14:paraId="3A420D15" w14:textId="77777777" w:rsidTr="001E519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4B130B59" w14:textId="77777777" w:rsidR="00B85F6B" w:rsidRPr="007C1E37" w:rsidRDefault="00B85F6B" w:rsidP="001E519A">
            <w:pPr>
              <w:spacing w:before="60" w:after="60"/>
              <w:rPr>
                <w:rFonts w:cs="Arial"/>
                <w:sz w:val="20"/>
                <w:szCs w:val="20"/>
              </w:rPr>
            </w:pPr>
            <w:r w:rsidRPr="007C1E37">
              <w:rPr>
                <w:rFonts w:cs="Arial"/>
                <w:sz w:val="20"/>
                <w:szCs w:val="20"/>
              </w:rPr>
              <w:t>Capacity Building - Home Living</w:t>
            </w:r>
          </w:p>
        </w:tc>
        <w:tc>
          <w:tcPr>
            <w:tcW w:w="1985" w:type="dxa"/>
            <w:vAlign w:val="center"/>
          </w:tcPr>
          <w:p w14:paraId="34A71F83" w14:textId="77777777" w:rsidR="00B85F6B" w:rsidRPr="007C1E37" w:rsidRDefault="00B85F6B" w:rsidP="001E519A">
            <w:pPr>
              <w:spacing w:before="60" w:after="60"/>
              <w:ind w:right="510"/>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7C1E37">
              <w:rPr>
                <w:rFonts w:cs="Arial"/>
                <w:sz w:val="20"/>
                <w:szCs w:val="20"/>
              </w:rPr>
              <w:t>232</w:t>
            </w:r>
          </w:p>
        </w:tc>
        <w:tc>
          <w:tcPr>
            <w:tcW w:w="1985" w:type="dxa"/>
            <w:noWrap/>
            <w:vAlign w:val="center"/>
          </w:tcPr>
          <w:p w14:paraId="0A70B7B0" w14:textId="77777777" w:rsidR="00B85F6B" w:rsidRPr="007C1E37" w:rsidRDefault="00B85F6B" w:rsidP="001E519A">
            <w:pPr>
              <w:spacing w:before="60" w:after="60"/>
              <w:ind w:right="510"/>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7C1E37">
              <w:rPr>
                <w:rFonts w:cs="Arial"/>
                <w:sz w:val="20"/>
                <w:szCs w:val="20"/>
              </w:rPr>
              <w:t>274</w:t>
            </w:r>
          </w:p>
        </w:tc>
        <w:tc>
          <w:tcPr>
            <w:tcW w:w="1418" w:type="dxa"/>
            <w:vAlign w:val="center"/>
          </w:tcPr>
          <w:p w14:paraId="21439F46" w14:textId="77777777" w:rsidR="00B85F6B" w:rsidRPr="007C1E37" w:rsidRDefault="00B85F6B" w:rsidP="001E519A">
            <w:pPr>
              <w:spacing w:before="60" w:after="60"/>
              <w:ind w:right="340"/>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7C1E37">
              <w:rPr>
                <w:rFonts w:cs="Arial"/>
                <w:sz w:val="20"/>
                <w:szCs w:val="20"/>
              </w:rPr>
              <w:t>18.1%</w:t>
            </w:r>
          </w:p>
        </w:tc>
      </w:tr>
      <w:tr w:rsidR="00B85F6B" w:rsidRPr="007C1E37" w14:paraId="71710A5A" w14:textId="77777777" w:rsidTr="001E519A">
        <w:trPr>
          <w:trHeight w:val="397"/>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12FCB181" w14:textId="77777777" w:rsidR="00B85F6B" w:rsidRPr="007C1E37" w:rsidRDefault="00B85F6B" w:rsidP="001E519A">
            <w:pPr>
              <w:spacing w:before="60" w:after="60"/>
              <w:rPr>
                <w:rFonts w:cs="Arial"/>
                <w:sz w:val="20"/>
                <w:szCs w:val="20"/>
              </w:rPr>
            </w:pPr>
            <w:r w:rsidRPr="007C1E37">
              <w:rPr>
                <w:rFonts w:cs="Arial"/>
                <w:sz w:val="20"/>
                <w:szCs w:val="20"/>
              </w:rPr>
              <w:t>Capacity Building - Health and Wellbeing</w:t>
            </w:r>
          </w:p>
        </w:tc>
        <w:tc>
          <w:tcPr>
            <w:tcW w:w="1985" w:type="dxa"/>
            <w:vAlign w:val="center"/>
          </w:tcPr>
          <w:p w14:paraId="0332514C" w14:textId="77777777" w:rsidR="00B85F6B" w:rsidRPr="007C1E37" w:rsidRDefault="00B85F6B" w:rsidP="001E519A">
            <w:pPr>
              <w:spacing w:before="60" w:after="60"/>
              <w:ind w:right="510"/>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7C1E37">
              <w:rPr>
                <w:rFonts w:cs="Arial"/>
                <w:sz w:val="20"/>
                <w:szCs w:val="20"/>
              </w:rPr>
              <w:t>7,277</w:t>
            </w:r>
          </w:p>
        </w:tc>
        <w:tc>
          <w:tcPr>
            <w:tcW w:w="1985" w:type="dxa"/>
            <w:noWrap/>
            <w:vAlign w:val="center"/>
          </w:tcPr>
          <w:p w14:paraId="3C658343" w14:textId="77777777" w:rsidR="00B85F6B" w:rsidRPr="007C1E37" w:rsidRDefault="00B85F6B" w:rsidP="001E519A">
            <w:pPr>
              <w:spacing w:before="60" w:after="60"/>
              <w:ind w:right="510"/>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7C1E37">
              <w:rPr>
                <w:rFonts w:cs="Arial"/>
                <w:sz w:val="20"/>
                <w:szCs w:val="20"/>
              </w:rPr>
              <w:t>6,298</w:t>
            </w:r>
          </w:p>
        </w:tc>
        <w:tc>
          <w:tcPr>
            <w:tcW w:w="1418" w:type="dxa"/>
            <w:vAlign w:val="center"/>
          </w:tcPr>
          <w:p w14:paraId="1D697317" w14:textId="77777777" w:rsidR="00B85F6B" w:rsidRPr="007C1E37" w:rsidRDefault="00B85F6B" w:rsidP="001E519A">
            <w:pPr>
              <w:spacing w:before="60" w:after="60"/>
              <w:ind w:right="340"/>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7C1E37">
              <w:rPr>
                <w:rFonts w:cs="Arial"/>
                <w:sz w:val="20"/>
                <w:szCs w:val="20"/>
              </w:rPr>
              <w:t>-13.5%</w:t>
            </w:r>
          </w:p>
        </w:tc>
      </w:tr>
      <w:tr w:rsidR="00B85F6B" w:rsidRPr="007C1E37" w14:paraId="4BFC9B55" w14:textId="77777777" w:rsidTr="001E519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18A70619" w14:textId="77777777" w:rsidR="00B85F6B" w:rsidRPr="007C1E37" w:rsidRDefault="00B85F6B" w:rsidP="001E519A">
            <w:pPr>
              <w:spacing w:before="60" w:after="60"/>
              <w:rPr>
                <w:rFonts w:cs="Arial"/>
                <w:sz w:val="20"/>
                <w:szCs w:val="20"/>
              </w:rPr>
            </w:pPr>
            <w:r w:rsidRPr="007C1E37">
              <w:rPr>
                <w:rFonts w:cs="Arial"/>
                <w:sz w:val="20"/>
                <w:szCs w:val="20"/>
              </w:rPr>
              <w:t>Capacity Building - Employment</w:t>
            </w:r>
          </w:p>
        </w:tc>
        <w:tc>
          <w:tcPr>
            <w:tcW w:w="1985" w:type="dxa"/>
            <w:vAlign w:val="center"/>
          </w:tcPr>
          <w:p w14:paraId="5AA1BA08" w14:textId="77777777" w:rsidR="00B85F6B" w:rsidRPr="007C1E37" w:rsidRDefault="00B85F6B" w:rsidP="001E519A">
            <w:pPr>
              <w:spacing w:before="60" w:after="60"/>
              <w:ind w:right="510"/>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7C1E37">
              <w:rPr>
                <w:rFonts w:cs="Arial"/>
                <w:sz w:val="20"/>
                <w:szCs w:val="20"/>
              </w:rPr>
              <w:t>5,773</w:t>
            </w:r>
          </w:p>
        </w:tc>
        <w:tc>
          <w:tcPr>
            <w:tcW w:w="1985" w:type="dxa"/>
            <w:noWrap/>
            <w:vAlign w:val="center"/>
          </w:tcPr>
          <w:p w14:paraId="096AB3A7" w14:textId="77777777" w:rsidR="00B85F6B" w:rsidRPr="007C1E37" w:rsidRDefault="00B85F6B" w:rsidP="001E519A">
            <w:pPr>
              <w:spacing w:before="60" w:after="60"/>
              <w:ind w:right="510"/>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7C1E37">
              <w:rPr>
                <w:rFonts w:cs="Arial"/>
                <w:sz w:val="20"/>
                <w:szCs w:val="20"/>
              </w:rPr>
              <w:t>7,550</w:t>
            </w:r>
          </w:p>
        </w:tc>
        <w:tc>
          <w:tcPr>
            <w:tcW w:w="1418" w:type="dxa"/>
            <w:vAlign w:val="center"/>
          </w:tcPr>
          <w:p w14:paraId="5D7AD2FA" w14:textId="77777777" w:rsidR="00B85F6B" w:rsidRPr="007C1E37" w:rsidRDefault="00B85F6B" w:rsidP="001E519A">
            <w:pPr>
              <w:spacing w:before="60" w:after="60"/>
              <w:ind w:right="340"/>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7C1E37">
              <w:rPr>
                <w:rFonts w:cs="Arial"/>
                <w:sz w:val="20"/>
                <w:szCs w:val="20"/>
              </w:rPr>
              <w:t>30.8%</w:t>
            </w:r>
          </w:p>
        </w:tc>
      </w:tr>
      <w:tr w:rsidR="00B85F6B" w:rsidRPr="007C1E37" w14:paraId="4B41999F" w14:textId="77777777" w:rsidTr="001E519A">
        <w:trPr>
          <w:trHeight w:val="397"/>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34DFF5E7" w14:textId="77777777" w:rsidR="00B85F6B" w:rsidRPr="007C1E37" w:rsidRDefault="00B85F6B" w:rsidP="001E519A">
            <w:pPr>
              <w:spacing w:before="60" w:after="60"/>
              <w:rPr>
                <w:rFonts w:cs="Arial"/>
                <w:sz w:val="20"/>
                <w:szCs w:val="20"/>
              </w:rPr>
            </w:pPr>
            <w:r w:rsidRPr="007C1E37">
              <w:rPr>
                <w:rFonts w:cs="Arial"/>
                <w:sz w:val="20"/>
                <w:szCs w:val="20"/>
              </w:rPr>
              <w:t>Capacity Building - Daily Activities</w:t>
            </w:r>
          </w:p>
        </w:tc>
        <w:tc>
          <w:tcPr>
            <w:tcW w:w="1985" w:type="dxa"/>
            <w:vAlign w:val="center"/>
          </w:tcPr>
          <w:p w14:paraId="0EE97996" w14:textId="77777777" w:rsidR="00B85F6B" w:rsidRPr="007C1E37" w:rsidRDefault="00B85F6B" w:rsidP="001E519A">
            <w:pPr>
              <w:spacing w:before="60" w:after="60"/>
              <w:ind w:right="510"/>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7C1E37">
              <w:rPr>
                <w:rFonts w:cs="Arial"/>
                <w:sz w:val="20"/>
                <w:szCs w:val="20"/>
              </w:rPr>
              <w:t>328,111</w:t>
            </w:r>
          </w:p>
        </w:tc>
        <w:tc>
          <w:tcPr>
            <w:tcW w:w="1985" w:type="dxa"/>
            <w:noWrap/>
            <w:vAlign w:val="center"/>
          </w:tcPr>
          <w:p w14:paraId="2DEA1ABA" w14:textId="77777777" w:rsidR="00B85F6B" w:rsidRPr="007C1E37" w:rsidRDefault="00B85F6B" w:rsidP="001E519A">
            <w:pPr>
              <w:spacing w:before="60" w:after="60"/>
              <w:ind w:right="510"/>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7C1E37">
              <w:rPr>
                <w:rFonts w:cs="Arial"/>
                <w:sz w:val="20"/>
                <w:szCs w:val="20"/>
              </w:rPr>
              <w:t>368,606</w:t>
            </w:r>
          </w:p>
        </w:tc>
        <w:tc>
          <w:tcPr>
            <w:tcW w:w="1418" w:type="dxa"/>
            <w:vAlign w:val="center"/>
          </w:tcPr>
          <w:p w14:paraId="091023FF" w14:textId="77777777" w:rsidR="00B85F6B" w:rsidRPr="007C1E37" w:rsidRDefault="00B85F6B" w:rsidP="001E519A">
            <w:pPr>
              <w:spacing w:before="60" w:after="60"/>
              <w:ind w:right="340"/>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7C1E37">
              <w:rPr>
                <w:rFonts w:cs="Arial"/>
                <w:sz w:val="20"/>
                <w:szCs w:val="20"/>
              </w:rPr>
              <w:t>12.3%</w:t>
            </w:r>
          </w:p>
        </w:tc>
      </w:tr>
      <w:tr w:rsidR="00B85F6B" w:rsidRPr="007C1E37" w14:paraId="52334648" w14:textId="77777777" w:rsidTr="001E519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2EAF3424" w14:textId="77777777" w:rsidR="00B85F6B" w:rsidRPr="007C1E37" w:rsidRDefault="00B85F6B" w:rsidP="001E519A">
            <w:pPr>
              <w:spacing w:before="60" w:after="60"/>
              <w:rPr>
                <w:rFonts w:cs="Arial"/>
                <w:sz w:val="20"/>
                <w:szCs w:val="20"/>
              </w:rPr>
            </w:pPr>
            <w:r w:rsidRPr="007C1E37">
              <w:rPr>
                <w:rFonts w:cs="Arial"/>
                <w:sz w:val="20"/>
                <w:szCs w:val="20"/>
              </w:rPr>
              <w:t>Capacity Building - Choice and Control</w:t>
            </w:r>
          </w:p>
        </w:tc>
        <w:tc>
          <w:tcPr>
            <w:tcW w:w="1985" w:type="dxa"/>
            <w:vAlign w:val="center"/>
          </w:tcPr>
          <w:p w14:paraId="12701895" w14:textId="77777777" w:rsidR="00B85F6B" w:rsidRPr="007C1E37" w:rsidRDefault="00B85F6B" w:rsidP="001E519A">
            <w:pPr>
              <w:spacing w:before="60" w:after="60"/>
              <w:ind w:right="510"/>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7C1E37">
              <w:rPr>
                <w:rFonts w:cs="Arial"/>
                <w:sz w:val="20"/>
                <w:szCs w:val="20"/>
              </w:rPr>
              <w:t>400,403</w:t>
            </w:r>
          </w:p>
        </w:tc>
        <w:tc>
          <w:tcPr>
            <w:tcW w:w="1985" w:type="dxa"/>
            <w:noWrap/>
            <w:vAlign w:val="center"/>
          </w:tcPr>
          <w:p w14:paraId="716BB4E3" w14:textId="77777777" w:rsidR="00B85F6B" w:rsidRPr="007C1E37" w:rsidRDefault="00B85F6B" w:rsidP="001E519A">
            <w:pPr>
              <w:spacing w:before="60" w:after="60"/>
              <w:ind w:right="510"/>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7C1E37">
              <w:rPr>
                <w:rFonts w:cs="Arial"/>
                <w:sz w:val="20"/>
                <w:szCs w:val="20"/>
              </w:rPr>
              <w:t>448,951</w:t>
            </w:r>
          </w:p>
        </w:tc>
        <w:tc>
          <w:tcPr>
            <w:tcW w:w="1418" w:type="dxa"/>
            <w:vAlign w:val="center"/>
          </w:tcPr>
          <w:p w14:paraId="4C076179" w14:textId="77777777" w:rsidR="00B85F6B" w:rsidRPr="007C1E37" w:rsidRDefault="00B85F6B" w:rsidP="001E519A">
            <w:pPr>
              <w:spacing w:before="60" w:after="60"/>
              <w:ind w:right="340"/>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7C1E37">
              <w:rPr>
                <w:rFonts w:cs="Arial"/>
                <w:sz w:val="20"/>
                <w:szCs w:val="20"/>
              </w:rPr>
              <w:t>12.1%</w:t>
            </w:r>
          </w:p>
        </w:tc>
      </w:tr>
      <w:tr w:rsidR="00B85F6B" w:rsidRPr="007C1E37" w14:paraId="630C6506" w14:textId="77777777" w:rsidTr="001E519A">
        <w:trPr>
          <w:trHeight w:val="397"/>
        </w:trPr>
        <w:tc>
          <w:tcPr>
            <w:cnfStyle w:val="001000000000" w:firstRow="0" w:lastRow="0" w:firstColumn="1" w:lastColumn="0" w:oddVBand="0" w:evenVBand="0" w:oddHBand="0" w:evenHBand="0" w:firstRowFirstColumn="0" w:firstRowLastColumn="0" w:lastRowFirstColumn="0" w:lastRowLastColumn="0"/>
            <w:tcW w:w="3686" w:type="dxa"/>
            <w:noWrap/>
            <w:vAlign w:val="center"/>
          </w:tcPr>
          <w:p w14:paraId="141C2481" w14:textId="77777777" w:rsidR="00B85F6B" w:rsidRPr="007C1E37" w:rsidRDefault="00B85F6B" w:rsidP="001E519A">
            <w:pPr>
              <w:spacing w:before="60" w:after="60"/>
              <w:rPr>
                <w:rFonts w:cs="Arial"/>
                <w:b/>
                <w:bCs w:val="0"/>
                <w:sz w:val="20"/>
                <w:szCs w:val="20"/>
              </w:rPr>
            </w:pPr>
            <w:r w:rsidRPr="007C1E37">
              <w:rPr>
                <w:rFonts w:cs="Arial"/>
                <w:b/>
                <w:bCs w:val="0"/>
                <w:sz w:val="20"/>
                <w:szCs w:val="20"/>
              </w:rPr>
              <w:t>Total</w:t>
            </w:r>
          </w:p>
        </w:tc>
        <w:tc>
          <w:tcPr>
            <w:tcW w:w="1985" w:type="dxa"/>
            <w:vAlign w:val="center"/>
          </w:tcPr>
          <w:p w14:paraId="16B1355E" w14:textId="77777777" w:rsidR="00B85F6B" w:rsidRPr="007C1E37" w:rsidRDefault="00B85F6B" w:rsidP="001E519A">
            <w:pPr>
              <w:spacing w:before="60" w:after="60"/>
              <w:ind w:right="510"/>
              <w:jc w:val="right"/>
              <w:cnfStyle w:val="000000000000" w:firstRow="0" w:lastRow="0" w:firstColumn="0" w:lastColumn="0" w:oddVBand="0" w:evenVBand="0" w:oddHBand="0" w:evenHBand="0" w:firstRowFirstColumn="0" w:firstRowLastColumn="0" w:lastRowFirstColumn="0" w:lastRowLastColumn="0"/>
              <w:rPr>
                <w:rFonts w:cs="Arial"/>
                <w:b/>
                <w:color w:val="000000"/>
                <w:sz w:val="20"/>
                <w:szCs w:val="20"/>
                <w:lang w:eastAsia="zh-CN" w:bidi="th-TH"/>
              </w:rPr>
            </w:pPr>
            <w:r w:rsidRPr="007C1E37">
              <w:rPr>
                <w:rFonts w:cs="Arial"/>
                <w:b/>
                <w:sz w:val="20"/>
                <w:szCs w:val="20"/>
              </w:rPr>
              <w:t>400,436</w:t>
            </w:r>
          </w:p>
        </w:tc>
        <w:tc>
          <w:tcPr>
            <w:tcW w:w="1985" w:type="dxa"/>
            <w:noWrap/>
            <w:vAlign w:val="center"/>
          </w:tcPr>
          <w:p w14:paraId="27591C16" w14:textId="77777777" w:rsidR="00B85F6B" w:rsidRPr="007C1E37" w:rsidRDefault="00B85F6B" w:rsidP="001E519A">
            <w:pPr>
              <w:spacing w:before="60" w:after="60"/>
              <w:ind w:right="510"/>
              <w:jc w:val="right"/>
              <w:cnfStyle w:val="000000000000" w:firstRow="0" w:lastRow="0" w:firstColumn="0" w:lastColumn="0" w:oddVBand="0" w:evenVBand="0" w:oddHBand="0" w:evenHBand="0" w:firstRowFirstColumn="0" w:firstRowLastColumn="0" w:lastRowFirstColumn="0" w:lastRowLastColumn="0"/>
              <w:rPr>
                <w:rFonts w:cs="Arial"/>
                <w:b/>
                <w:color w:val="000000"/>
                <w:sz w:val="20"/>
                <w:szCs w:val="20"/>
                <w:lang w:eastAsia="zh-CN" w:bidi="th-TH"/>
              </w:rPr>
            </w:pPr>
            <w:r w:rsidRPr="007C1E37">
              <w:rPr>
                <w:rFonts w:cs="Arial"/>
                <w:b/>
                <w:sz w:val="20"/>
                <w:szCs w:val="20"/>
              </w:rPr>
              <w:t>448,986</w:t>
            </w:r>
          </w:p>
        </w:tc>
        <w:tc>
          <w:tcPr>
            <w:tcW w:w="1418" w:type="dxa"/>
            <w:vAlign w:val="center"/>
          </w:tcPr>
          <w:p w14:paraId="20972FAB" w14:textId="77777777" w:rsidR="00B85F6B" w:rsidRPr="007C1E37" w:rsidRDefault="00B85F6B" w:rsidP="001E519A">
            <w:pPr>
              <w:spacing w:before="60" w:after="60"/>
              <w:ind w:right="340"/>
              <w:jc w:val="right"/>
              <w:cnfStyle w:val="000000000000" w:firstRow="0" w:lastRow="0" w:firstColumn="0" w:lastColumn="0" w:oddVBand="0" w:evenVBand="0" w:oddHBand="0" w:evenHBand="0" w:firstRowFirstColumn="0" w:firstRowLastColumn="0" w:lastRowFirstColumn="0" w:lastRowLastColumn="0"/>
              <w:rPr>
                <w:rFonts w:cs="Arial"/>
                <w:b/>
                <w:sz w:val="20"/>
                <w:szCs w:val="20"/>
              </w:rPr>
            </w:pPr>
            <w:r w:rsidRPr="007C1E37">
              <w:rPr>
                <w:rFonts w:cs="Arial"/>
                <w:b/>
                <w:sz w:val="20"/>
                <w:szCs w:val="20"/>
              </w:rPr>
              <w:t>12.1%</w:t>
            </w:r>
          </w:p>
        </w:tc>
      </w:tr>
    </w:tbl>
    <w:p w14:paraId="28C55973" w14:textId="567D8EC6" w:rsidR="0068149B" w:rsidRDefault="00B85F6B" w:rsidP="00B85F6B">
      <w:pPr>
        <w:spacing w:before="240" w:after="60" w:line="240" w:lineRule="atLeast"/>
        <w:rPr>
          <w:b/>
          <w:iCs/>
          <w:sz w:val="20"/>
          <w:szCs w:val="20"/>
        </w:rPr>
      </w:pPr>
      <w:r w:rsidRPr="008034CE">
        <w:rPr>
          <w:b/>
          <w:iCs/>
          <w:sz w:val="20"/>
          <w:szCs w:val="20"/>
        </w:rPr>
        <w:t>Source: NDIS internal administrative data.</w:t>
      </w:r>
    </w:p>
    <w:p w14:paraId="29DB1999" w14:textId="77777777" w:rsidR="0068149B" w:rsidRDefault="0068149B">
      <w:pPr>
        <w:spacing w:before="120" w:after="120"/>
        <w:rPr>
          <w:b/>
          <w:iCs/>
          <w:sz w:val="20"/>
          <w:szCs w:val="20"/>
        </w:rPr>
      </w:pPr>
      <w:r>
        <w:rPr>
          <w:b/>
          <w:iCs/>
          <w:sz w:val="20"/>
          <w:szCs w:val="20"/>
        </w:rPr>
        <w:br w:type="page"/>
      </w:r>
    </w:p>
    <w:p w14:paraId="579CC224" w14:textId="0AB4F09C" w:rsidR="00CC4748" w:rsidRPr="008034CE" w:rsidRDefault="00CC4748" w:rsidP="00CC4748">
      <w:pPr>
        <w:pStyle w:val="Caption"/>
      </w:pPr>
      <w:bookmarkStart w:id="604" w:name="_Ref195636629"/>
      <w:r w:rsidRPr="008034CE">
        <w:lastRenderedPageBreak/>
        <w:t xml:space="preserve">Figure </w:t>
      </w:r>
      <w:r w:rsidR="005763F9">
        <w:fldChar w:fldCharType="begin"/>
      </w:r>
      <w:r w:rsidR="005763F9">
        <w:instrText xml:space="preserve"> SEQ Figure \* ARABIC </w:instrText>
      </w:r>
      <w:r w:rsidR="005763F9">
        <w:fldChar w:fldCharType="separate"/>
      </w:r>
      <w:r w:rsidR="005763F9">
        <w:rPr>
          <w:noProof/>
        </w:rPr>
        <w:t>34</w:t>
      </w:r>
      <w:r w:rsidR="005763F9">
        <w:rPr>
          <w:noProof/>
        </w:rPr>
        <w:fldChar w:fldCharType="end"/>
      </w:r>
      <w:bookmarkEnd w:id="604"/>
      <w:r w:rsidRPr="008034CE">
        <w:t>: Support Category of Payment via Active Plan Manager and Total Amount Claimed for by Support Category, January 2022 to December 2024</w:t>
      </w:r>
    </w:p>
    <w:p w14:paraId="33D0C2BC" w14:textId="77777777" w:rsidR="00CC4748" w:rsidRPr="008034CE" w:rsidRDefault="00CC4748" w:rsidP="00CC4748">
      <w:pPr>
        <w:pStyle w:val="Caption"/>
      </w:pPr>
      <w:r w:rsidRPr="008034CE">
        <w:rPr>
          <w:noProof/>
        </w:rPr>
        <w:drawing>
          <wp:inline distT="0" distB="0" distL="0" distR="0" wp14:anchorId="675008E4" wp14:editId="0471F750">
            <wp:extent cx="5731510" cy="3488690"/>
            <wp:effectExtent l="0" t="0" r="2540" b="0"/>
            <wp:docPr id="274604934" name="Picture 1" descr="A column graph showing the support categories of payments made via active plan managers as well as the total amount claimed in each period. Spending has increased over time, with core – daily activities being the largest support category in each period.&#10;&#10;From January to June 2022, the total amount claimed by Plan Managers was $6.5b. Core – Daily Activities made up 48%, Core – Community made up 26%, Capacity Building – Daily Activities made up 15%, and the remaining support categories (Capacity Building – Choice and Control, Capacity Building – Support Coordination, and other support categories) made up the remaining 11%.&#10;&#10;From July to December 2022, the total amount claimed by Plan Managers was $8.1b. Core – Daily Activities made up 45%, Core – Community made up 28%, Capacity Building – Daily Activities made up 15%, and the remaining support categories (Capacity Building – Choice and Control, Capacity Building – Support Coordination, and other support categories) made up the remaining 12%.&#10;&#10;From January to June 2023, the total amount claimed by Plan Managers was $9.6b. Core – Daily Activities made up 45%, Core – Community made up 30%, Capacity Building – Daily Activities made up 14%, and the remaining support categories (Capacity Building – Choice and Control, Capacity Building – Support Coordination, and other support categories) made up the remaining 11%.&#10;&#10;From July to December 2023, the total amount claimed by Plan Managers was $11.2b. Core – Daily Activities made up 44%, Core – Community made up 31%, Capacity Building – Daily Activities made up 15%, and the remaining support categories (Capacity Building – Choice and Control, Capacity Building – Support Coordination, and other support categories) made up the remaining 10%.&#10;&#10;From January to June 2024, the total amount claimed by Plan Managers was $12.1b. Core – Daily Activities made up 46%, Core – Community made up 31%, Capacity Building – Daily Activities made up 14%, and the remaining support categories (Capacity Building – Choice and Control, Capacity Building – Support Coordination, and other support categories) made up the remaining 9%.&#10;&#10;From July to December 2024, the total amount claimed by Plan Managers was $13.5b. Core – Daily Activities made up 45%, Core – Community made up 31%, Capacity Building – Daily Activities made up 14%, and the remaining support categories (Capacity Building – Choice and Control, Capacity Building – Support Coordination, and other support categories) made up the remaining 10%.&#10;&#10;Source: NDIS internal administrative dat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2">
                      <a:extLst>
                        <a:ext uri="{28A0092B-C50C-407E-A947-70E740481C1C}">
                          <a14:useLocalDpi xmlns:a14="http://schemas.microsoft.com/office/drawing/2010/main" val="0"/>
                        </a:ext>
                      </a:extLst>
                    </a:blip>
                    <a:stretch>
                      <a:fillRect/>
                    </a:stretch>
                  </pic:blipFill>
                  <pic:spPr>
                    <a:xfrm>
                      <a:off x="0" y="0"/>
                      <a:ext cx="5731510" cy="3488690"/>
                    </a:xfrm>
                    <a:prstGeom prst="rect">
                      <a:avLst/>
                    </a:prstGeom>
                  </pic:spPr>
                </pic:pic>
              </a:graphicData>
            </a:graphic>
          </wp:inline>
        </w:drawing>
      </w:r>
    </w:p>
    <w:p w14:paraId="6ACB7019" w14:textId="77777777" w:rsidR="00CC4748" w:rsidRPr="008034CE" w:rsidRDefault="00CC4748" w:rsidP="00CC4748">
      <w:pPr>
        <w:pStyle w:val="Heading4"/>
      </w:pPr>
      <w:bookmarkStart w:id="605" w:name="_Toc196304227"/>
      <w:bookmarkStart w:id="606" w:name="_Toc200103574"/>
      <w:bookmarkStart w:id="607" w:name="_Toc200271686"/>
      <w:r w:rsidRPr="008034CE">
        <w:t>Participants</w:t>
      </w:r>
      <w:bookmarkEnd w:id="605"/>
      <w:bookmarkEnd w:id="606"/>
      <w:bookmarkEnd w:id="607"/>
    </w:p>
    <w:p w14:paraId="19986C11" w14:textId="3994E661" w:rsidR="00CC4748" w:rsidRPr="008034CE" w:rsidRDefault="00CC4748" w:rsidP="00CC4748">
      <w:r w:rsidRPr="008034CE">
        <w:fldChar w:fldCharType="begin"/>
      </w:r>
      <w:r w:rsidRPr="008034CE">
        <w:instrText xml:space="preserve"> REF _Ref195636638 \h  \* MERGEFORMAT </w:instrText>
      </w:r>
      <w:r w:rsidRPr="008034CE">
        <w:fldChar w:fldCharType="separate"/>
      </w:r>
      <w:r w:rsidR="005763F9" w:rsidRPr="008034CE">
        <w:t xml:space="preserve">Figure </w:t>
      </w:r>
      <w:r w:rsidR="005763F9">
        <w:t>35</w:t>
      </w:r>
      <w:r w:rsidRPr="008034CE">
        <w:fldChar w:fldCharType="end"/>
      </w:r>
      <w:r w:rsidRPr="008034CE">
        <w:t xml:space="preserve"> and </w:t>
      </w:r>
      <w:r w:rsidRPr="00AA68E9">
        <w:fldChar w:fldCharType="begin"/>
      </w:r>
      <w:r w:rsidRPr="00AA68E9">
        <w:instrText xml:space="preserve"> REF _Ref195636640 \h  \* MERGEFORMAT </w:instrText>
      </w:r>
      <w:r w:rsidRPr="00AA68E9">
        <w:fldChar w:fldCharType="separate"/>
      </w:r>
      <w:r w:rsidR="005763F9" w:rsidRPr="005763F9">
        <w:rPr>
          <w:lang w:val="en-US"/>
        </w:rPr>
        <w:t>Figure 36</w:t>
      </w:r>
      <w:r w:rsidRPr="00AA68E9">
        <w:fldChar w:fldCharType="end"/>
      </w:r>
      <w:r w:rsidRPr="008034CE">
        <w:t xml:space="preserve"> illustrate the growth in plan-managed participants and payments over the three years to December 2024. The proportion of participants who are plan-managed increased from 36% to 46%, while the proportion of total Scheme payments processed by plan managers grew from 47% to 61% over the same period.</w:t>
      </w:r>
      <w:r w:rsidRPr="008034CE">
        <w:rPr>
          <w:rStyle w:val="FootnoteReference"/>
        </w:rPr>
        <w:footnoteReference w:id="29"/>
      </w:r>
      <w:r w:rsidRPr="008034CE">
        <w:t xml:space="preserve"> </w:t>
      </w:r>
    </w:p>
    <w:p w14:paraId="07767AC2" w14:textId="3E4A6DE1" w:rsidR="00CC4748" w:rsidRPr="008034CE" w:rsidRDefault="00CC4748" w:rsidP="00CC4748">
      <w:r w:rsidRPr="008034CE">
        <w:t xml:space="preserve">This increase in participants with plan-management support aligns with the broader trends presented in </w:t>
      </w:r>
      <w:r w:rsidRPr="008034CE">
        <w:fldChar w:fldCharType="begin"/>
      </w:r>
      <w:r w:rsidRPr="008034CE">
        <w:instrText xml:space="preserve"> REF _Ref195636401 \h  \* MERGEFORMAT </w:instrText>
      </w:r>
      <w:r w:rsidRPr="008034CE">
        <w:fldChar w:fldCharType="separate"/>
      </w:r>
      <w:r w:rsidR="005763F9" w:rsidRPr="008034CE">
        <w:t xml:space="preserve">Table </w:t>
      </w:r>
      <w:r w:rsidR="005763F9">
        <w:t>31</w:t>
      </w:r>
      <w:r w:rsidRPr="008034CE">
        <w:fldChar w:fldCharType="end"/>
      </w:r>
      <w:r w:rsidRPr="008034CE">
        <w:t xml:space="preserve">, where the number of plan-managed participants grew by 12.1% the six months to December 2024. It also corresponds with changes in the type of support payments being processed by plan managers, as shown in </w:t>
      </w:r>
      <w:r w:rsidRPr="008034CE">
        <w:fldChar w:fldCharType="begin"/>
      </w:r>
      <w:r w:rsidRPr="008034CE">
        <w:instrText xml:space="preserve"> REF _Ref195636422 \h  \* MERGEFORMAT </w:instrText>
      </w:r>
      <w:r w:rsidRPr="008034CE">
        <w:fldChar w:fldCharType="separate"/>
      </w:r>
      <w:r w:rsidR="005763F9" w:rsidRPr="008034CE">
        <w:t xml:space="preserve">Table </w:t>
      </w:r>
      <w:r w:rsidR="005763F9">
        <w:t>32</w:t>
      </w:r>
      <w:r w:rsidRPr="008034CE">
        <w:fldChar w:fldCharType="end"/>
      </w:r>
      <w:r w:rsidRPr="008034CE">
        <w:t xml:space="preserve"> and </w:t>
      </w:r>
      <w:r w:rsidRPr="008034CE">
        <w:fldChar w:fldCharType="begin"/>
      </w:r>
      <w:r w:rsidRPr="008034CE">
        <w:instrText xml:space="preserve"> REF _Ref195636445 \h  \* MERGEFORMAT </w:instrText>
      </w:r>
      <w:r w:rsidRPr="008034CE">
        <w:fldChar w:fldCharType="separate"/>
      </w:r>
      <w:r w:rsidR="005763F9" w:rsidRPr="008034CE">
        <w:t xml:space="preserve">Table </w:t>
      </w:r>
      <w:r w:rsidR="005763F9">
        <w:t>33</w:t>
      </w:r>
      <w:r w:rsidRPr="008034CE">
        <w:fldChar w:fldCharType="end"/>
      </w:r>
      <w:r w:rsidRPr="008034CE">
        <w:t xml:space="preserve">. The data suggests registered plan managers are overseeing a larger share of both participant budgets and a broader range of supports accessed. </w:t>
      </w:r>
    </w:p>
    <w:p w14:paraId="2F39C66A" w14:textId="61284D14" w:rsidR="00CC4748" w:rsidRDefault="00CC4748">
      <w:pPr>
        <w:spacing w:before="120" w:after="120"/>
        <w:rPr>
          <w:b/>
          <w:sz w:val="20"/>
          <w:szCs w:val="20"/>
        </w:rPr>
      </w:pPr>
      <w:r>
        <w:rPr>
          <w:b/>
          <w:sz w:val="20"/>
          <w:szCs w:val="20"/>
        </w:rPr>
        <w:br w:type="page"/>
      </w:r>
    </w:p>
    <w:p w14:paraId="1F2A1ED0" w14:textId="54BE59E4" w:rsidR="007F30D0" w:rsidRPr="008034CE" w:rsidRDefault="007F30D0" w:rsidP="007F30D0">
      <w:pPr>
        <w:pStyle w:val="Caption"/>
        <w:rPr>
          <w:rFonts w:eastAsia="Times New Roman" w:cs="Times New Roman"/>
          <w:i w:val="0"/>
          <w:iCs w:val="0"/>
          <w:color w:val="auto"/>
        </w:rPr>
      </w:pPr>
      <w:bookmarkStart w:id="608" w:name="_Ref195636638"/>
      <w:r w:rsidRPr="008034CE">
        <w:lastRenderedPageBreak/>
        <w:t xml:space="preserve">Figure </w:t>
      </w:r>
      <w:r w:rsidR="005763F9">
        <w:fldChar w:fldCharType="begin"/>
      </w:r>
      <w:r w:rsidR="005763F9">
        <w:instrText xml:space="preserve"> SEQ Figure \* ARABIC </w:instrText>
      </w:r>
      <w:r w:rsidR="005763F9">
        <w:fldChar w:fldCharType="separate"/>
      </w:r>
      <w:r w:rsidR="005763F9">
        <w:rPr>
          <w:noProof/>
        </w:rPr>
        <w:t>35</w:t>
      </w:r>
      <w:r w:rsidR="005763F9">
        <w:rPr>
          <w:noProof/>
        </w:rPr>
        <w:fldChar w:fldCharType="end"/>
      </w:r>
      <w:bookmarkEnd w:id="608"/>
      <w:r w:rsidRPr="008034CE">
        <w:t>: Distribution of Participants (by Payments Made) by Plan Management Type, January 2022 to December 2024</w:t>
      </w:r>
      <w:r w:rsidRPr="008034CE">
        <w:rPr>
          <w:noProof/>
        </w:rPr>
        <w:drawing>
          <wp:inline distT="0" distB="0" distL="0" distR="0" wp14:anchorId="2B1A6D0F" wp14:editId="52C3E2AF">
            <wp:extent cx="5292000" cy="3098801"/>
            <wp:effectExtent l="0" t="0" r="4445" b="6350"/>
            <wp:docPr id="894294092" name="Picture 1" descr="A column graph showing the distribution of participants across each plan management type. &#10;&#10;Plan-managed is the most common plan management type, whilst agency-managed is the least common. &#10;&#10;From January to June 2022, 36% of participants were plan-managed, 23% of participants were fully self-managed, 32% of participants were partly self-managed, and 9% of participants were agency-managed.&#10;&#10;From July to December 2022, 38% of participants were plan-managed, 24% of participants were fully self-managed, 31% of participants were partly self-managed, and 7% of participants were agency-managed.&#10;&#10;From January to June 2023, 40% of participants were plan-managed, 23% of participants were fully self-managed, 30% of participants were partly self-managed, and 6% of participants were agency-managed.&#10;&#10;From July to December 2023, 43% of participants were plan-managed, 23% of participants were fully self-managed, 29% of participants were partly self-managed, and 5% of participants were agency-managed.&#10;&#10;From January to June 2024, 44% of participants were plan-managed, 23% of participants were fully self-managed, 28% of participants were partly self-managed, and 5% of participants were agency-managed.&#10;&#10;From July to December 2024, 46% of participants were plan-managed, 22% of participants were fully self-managed, 28% of participants were partly self-managed, and 4% of participants were agency-managed.&#10;&#10;Source: NDIS internal administrative dat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294092" name="Picture 1" descr="A column graph showing the distribution of participants across each plan management type. &#10;&#10;Plan-managed is the most common plan management type, whilst agency-managed is the least common. &#10;&#10;From January to June 2022, 36% of participants were plan-managed, 23% of participants were fully self-managed, 32% of participants were partly self-managed, and 9% of participants were agency-managed.&#10;&#10;From July to December 2022, 38% of participants were plan-managed, 24% of participants were fully self-managed, 31% of participants were partly self-managed, and 7% of participants were agency-managed.&#10;&#10;From January to June 2023, 40% of participants were plan-managed, 23% of participants were fully self-managed, 30% of participants were partly self-managed, and 6% of participants were agency-managed.&#10;&#10;From July to December 2023, 43% of participants were plan-managed, 23% of participants were fully self-managed, 29% of participants were partly self-managed, and 5% of participants were agency-managed.&#10;&#10;From January to June 2024, 44% of participants were plan-managed, 23% of participants were fully self-managed, 28% of participants were partly self-managed, and 5% of participants were agency-managed.&#10;&#10;From July to December 2024, 46% of participants were plan-managed, 22% of participants were fully self-managed, 28% of participants were partly self-managed, and 4% of participants were agency-managed.&#10;&#10;Source: NDIS internal administrative data.&#10;"/>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292000" cy="3098801"/>
                    </a:xfrm>
                    <a:prstGeom prst="rect">
                      <a:avLst/>
                    </a:prstGeom>
                  </pic:spPr>
                </pic:pic>
              </a:graphicData>
            </a:graphic>
          </wp:inline>
        </w:drawing>
      </w:r>
    </w:p>
    <w:p w14:paraId="2DECDFB7" w14:textId="77777777" w:rsidR="007F30D0" w:rsidRPr="008034CE" w:rsidRDefault="007F30D0" w:rsidP="0078044C">
      <w:pPr>
        <w:pStyle w:val="Notefortableorfigure"/>
        <w:spacing w:before="240"/>
      </w:pPr>
      <w:r w:rsidRPr="008034CE">
        <w:t xml:space="preserve">Note: Management type of the participants is determined by the payment management type and is consistent with the Quarterly Report to Disability Ministers. </w:t>
      </w:r>
    </w:p>
    <w:p w14:paraId="734F3443" w14:textId="77777777" w:rsidR="007F30D0" w:rsidRPr="008034CE" w:rsidRDefault="007F30D0" w:rsidP="00A14E7A">
      <w:pPr>
        <w:pStyle w:val="Notefortableorfigure"/>
        <w:spacing w:before="240"/>
      </w:pPr>
      <w:r w:rsidRPr="008034CE">
        <w:t>“Agency-managed” participants refer to participants with only agency-managed payments during the period. “Self-managed partly” participants refer to participants with self-managed payments as well as either agency-managed and/or plan-managed payments during the period. “Self-managed fully” participants refer to participants with only self-managed payments during the period. “Plan-managed” participants refer to participants with only plan-managed payments and those with agency-managed payments during the period.</w:t>
      </w:r>
    </w:p>
    <w:p w14:paraId="4094E4CD" w14:textId="77777777" w:rsidR="007F30D0" w:rsidRPr="008034CE" w:rsidRDefault="007F30D0" w:rsidP="00A14E7A">
      <w:pPr>
        <w:pStyle w:val="Notefortableorfigure"/>
        <w:spacing w:before="240"/>
      </w:pPr>
      <w:r w:rsidRPr="008034CE">
        <w:t>Proportion of fully plan-managed has been increasing from 66% in January – June 2022 to 79% in July-December 2024.</w:t>
      </w:r>
    </w:p>
    <w:p w14:paraId="6221DCF8" w14:textId="6050F8E5" w:rsidR="0078044C" w:rsidRDefault="0078044C">
      <w:pPr>
        <w:spacing w:before="120" w:after="120"/>
        <w:rPr>
          <w:b/>
          <w:sz w:val="20"/>
          <w:szCs w:val="20"/>
        </w:rPr>
      </w:pPr>
      <w:r>
        <w:rPr>
          <w:b/>
          <w:sz w:val="20"/>
          <w:szCs w:val="20"/>
        </w:rPr>
        <w:br w:type="page"/>
      </w:r>
    </w:p>
    <w:p w14:paraId="156FA4A8" w14:textId="648DF48A" w:rsidR="0078044C" w:rsidRPr="008034CE" w:rsidRDefault="0078044C" w:rsidP="00CA25F5">
      <w:pPr>
        <w:pStyle w:val="Caption"/>
        <w:spacing w:after="120"/>
      </w:pPr>
      <w:bookmarkStart w:id="609" w:name="_Ref195636640"/>
      <w:r w:rsidRPr="008034CE">
        <w:lastRenderedPageBreak/>
        <w:t xml:space="preserve">Figure </w:t>
      </w:r>
      <w:r w:rsidR="005763F9">
        <w:fldChar w:fldCharType="begin"/>
      </w:r>
      <w:r w:rsidR="005763F9">
        <w:instrText xml:space="preserve"> SEQ Figure \* ARABIC </w:instrText>
      </w:r>
      <w:r w:rsidR="005763F9">
        <w:fldChar w:fldCharType="separate"/>
      </w:r>
      <w:r w:rsidR="005763F9">
        <w:rPr>
          <w:noProof/>
        </w:rPr>
        <w:t>36</w:t>
      </w:r>
      <w:r w:rsidR="005763F9">
        <w:rPr>
          <w:noProof/>
        </w:rPr>
        <w:fldChar w:fldCharType="end"/>
      </w:r>
      <w:bookmarkEnd w:id="609"/>
      <w:r w:rsidRPr="008034CE">
        <w:t>: Distribution of Payments (by Payments Made) by Plan Management Type, January 2022 to December 2024</w:t>
      </w:r>
    </w:p>
    <w:p w14:paraId="770C7720" w14:textId="77777777" w:rsidR="0078044C" w:rsidRPr="008034CE" w:rsidRDefault="0078044C" w:rsidP="00CA25F5">
      <w:pPr>
        <w:spacing w:after="120"/>
      </w:pPr>
      <w:r w:rsidRPr="008034CE">
        <w:rPr>
          <w:noProof/>
        </w:rPr>
        <w:drawing>
          <wp:inline distT="0" distB="0" distL="0" distR="0" wp14:anchorId="02BB2B2E" wp14:editId="0A6224E7">
            <wp:extent cx="5400000" cy="3147629"/>
            <wp:effectExtent l="0" t="0" r="0" b="0"/>
            <wp:docPr id="1595426803" name="Picture 1" descr="A column graph showing the distribution of payments across each plan management type. The graph shows that plan-managed plans generally process the largest percentage of payments made. &#10;&#10;From January to June 2022, plan-managed plans accounted for 47% of payments made, self-managed plans accounted for 13% of payments made, and agency-managed plans accounted for 40% of payments made.&#10;&#10;From July to December 2022, plan-managed plans accounted for 50% of payments made, self-managed plans accounted for 13% of payments made, and agency-managed plans accounted for 37% of payments made.&#10;&#10;From January to June 2023, plan-managed plans accounted for 54% of payments made, self-managed plans accounted for 12% of payments made, and agency-managed plans accounted for 34% of payments made.&#10;&#10;From July to December 2023, plan-managed plans accounted for 57% of payments made, self-managed plans accounted for 12% of payments made, and agency-managed plans accounted for 31% of payments made.&#10;&#10;From January to June 2024, plan-managed plans accounted for 58% of payments made, self-managed plans accounted for 11% of payments made, and agency-managed plans accounted for 31% of payments made.&#10;&#10;From July to December 2024, plan-managed plans accounted for 61% of payments made, self-managed plans accounted for 11% of payments made, and agency-managed plans accounted for 28% of payments made.&#10;&#10;Source: NDIS internal administrative dat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426803" name="Picture 1" descr="A column graph showing the distribution of payments across each plan management type. The graph shows that plan-managed plans generally process the largest percentage of payments made. &#10;&#10;From January to June 2022, plan-managed plans accounted for 47% of payments made, self-managed plans accounted for 13% of payments made, and agency-managed plans accounted for 40% of payments made.&#10;&#10;From July to December 2022, plan-managed plans accounted for 50% of payments made, self-managed plans accounted for 13% of payments made, and agency-managed plans accounted for 37% of payments made.&#10;&#10;From January to June 2023, plan-managed plans accounted for 54% of payments made, self-managed plans accounted for 12% of payments made, and agency-managed plans accounted for 34% of payments made.&#10;&#10;From July to December 2023, plan-managed plans accounted for 57% of payments made, self-managed plans accounted for 12% of payments made, and agency-managed plans accounted for 31% of payments made.&#10;&#10;From January to June 2024, plan-managed plans accounted for 58% of payments made, self-managed plans accounted for 11% of payments made, and agency-managed plans accounted for 31% of payments made.&#10;&#10;From July to December 2024, plan-managed plans accounted for 61% of payments made, self-managed plans accounted for 11% of payments made, and agency-managed plans accounted for 28% of payments made.&#10;&#10;Source: NDIS internal administrative data.&#10;"/>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400000" cy="3147629"/>
                    </a:xfrm>
                    <a:prstGeom prst="rect">
                      <a:avLst/>
                    </a:prstGeom>
                  </pic:spPr>
                </pic:pic>
              </a:graphicData>
            </a:graphic>
          </wp:inline>
        </w:drawing>
      </w:r>
    </w:p>
    <w:p w14:paraId="34430C5F" w14:textId="6F864DB2" w:rsidR="0078044C" w:rsidRPr="008034CE" w:rsidRDefault="0078044C" w:rsidP="00CA25F5">
      <w:pPr>
        <w:pStyle w:val="Notefortableorfigure"/>
        <w:spacing w:before="0"/>
        <w:rPr>
          <w:rFonts w:cs="FS Me Pro Light"/>
          <w:color w:val="000000"/>
          <w:szCs w:val="22"/>
        </w:rPr>
      </w:pPr>
      <w:r w:rsidRPr="008034CE">
        <w:t xml:space="preserve">Note: Management type is determined by the payment management type. Payment type can only either be agency-managed, plan-managed or self-managed. Therefore, there is no mixed payment type, in contrast to participants in </w:t>
      </w:r>
      <w:r w:rsidRPr="008034CE">
        <w:fldChar w:fldCharType="begin"/>
      </w:r>
      <w:r w:rsidRPr="008034CE">
        <w:instrText xml:space="preserve"> REF _Ref195636638 \h  \* MERGEFORMAT </w:instrText>
      </w:r>
      <w:r w:rsidRPr="008034CE">
        <w:fldChar w:fldCharType="separate"/>
      </w:r>
      <w:r w:rsidR="005763F9" w:rsidRPr="008034CE">
        <w:t xml:space="preserve">Figure </w:t>
      </w:r>
      <w:r w:rsidR="005763F9">
        <w:t>35</w:t>
      </w:r>
      <w:r w:rsidRPr="008034CE">
        <w:fldChar w:fldCharType="end"/>
      </w:r>
      <w:r w:rsidRPr="008034CE">
        <w:t>.</w:t>
      </w:r>
    </w:p>
    <w:p w14:paraId="0B3E7B32" w14:textId="77777777" w:rsidR="0078044C" w:rsidRPr="008034CE" w:rsidRDefault="0078044C" w:rsidP="00CA25F5">
      <w:pPr>
        <w:pStyle w:val="Heading5"/>
        <w:spacing w:after="160"/>
      </w:pPr>
      <w:bookmarkStart w:id="610" w:name="_Toc196304228"/>
      <w:bookmarkStart w:id="611" w:name="_Toc200103575"/>
      <w:bookmarkStart w:id="612" w:name="_Toc200271687"/>
      <w:r w:rsidRPr="008034CE">
        <w:t>Participants with plan managers by remoteness</w:t>
      </w:r>
      <w:bookmarkEnd w:id="610"/>
      <w:bookmarkEnd w:id="611"/>
      <w:bookmarkEnd w:id="612"/>
    </w:p>
    <w:p w14:paraId="7708E91B" w14:textId="42AE814D" w:rsidR="0078044C" w:rsidRPr="008034CE" w:rsidRDefault="0078044C" w:rsidP="0078044C">
      <w:r w:rsidRPr="008034CE">
        <w:t>The use of plan managers amongst participants has grown rapidly in remote areas, with numbers more than doubling from 3,596 to 8,099 participants during the period January 2022 to December 2024. Similarly, very remote areas also experienced solid growth over the past three years (</w:t>
      </w:r>
      <w:r w:rsidRPr="008034CE">
        <w:fldChar w:fldCharType="begin"/>
      </w:r>
      <w:r w:rsidRPr="008034CE">
        <w:instrText xml:space="preserve"> REF _Ref195636491 \h  \* MERGEFORMAT </w:instrText>
      </w:r>
      <w:r w:rsidRPr="008034CE">
        <w:fldChar w:fldCharType="separate"/>
      </w:r>
      <w:r w:rsidR="005763F9" w:rsidRPr="008034CE">
        <w:t xml:space="preserve">Table </w:t>
      </w:r>
      <w:r w:rsidR="005763F9">
        <w:t>34</w:t>
      </w:r>
      <w:r w:rsidRPr="008034CE">
        <w:fldChar w:fldCharType="end"/>
      </w:r>
      <w:r w:rsidRPr="008034CE">
        <w:t>). This growth has occurred alongside rising market concentration, with the same top 10 providers now accounting for over one-third of plan-managed payments in these regions (</w:t>
      </w:r>
      <w:r w:rsidRPr="008034CE">
        <w:fldChar w:fldCharType="begin"/>
      </w:r>
      <w:r w:rsidRPr="008034CE">
        <w:instrText xml:space="preserve"> REF _Ref195636528 \h  \* MERGEFORMAT </w:instrText>
      </w:r>
      <w:r w:rsidRPr="008034CE">
        <w:fldChar w:fldCharType="separate"/>
      </w:r>
      <w:r w:rsidR="005763F9" w:rsidRPr="008034CE">
        <w:t xml:space="preserve">Table </w:t>
      </w:r>
      <w:r w:rsidR="005763F9">
        <w:t>35</w:t>
      </w:r>
      <w:r w:rsidRPr="008034CE">
        <w:fldChar w:fldCharType="end"/>
      </w:r>
      <w:r w:rsidRPr="008034CE">
        <w:t xml:space="preserve">). </w:t>
      </w:r>
    </w:p>
    <w:p w14:paraId="2BE396A3" w14:textId="73E579E0" w:rsidR="0078044C" w:rsidRPr="008034CE" w:rsidRDefault="0078044C" w:rsidP="00CA25F5">
      <w:pPr>
        <w:pStyle w:val="Caption"/>
        <w:spacing w:before="240" w:after="120"/>
      </w:pPr>
      <w:bookmarkStart w:id="613" w:name="_Ref195636491"/>
      <w:r w:rsidRPr="008034CE">
        <w:t xml:space="preserve">Table </w:t>
      </w:r>
      <w:r w:rsidR="005763F9">
        <w:fldChar w:fldCharType="begin"/>
      </w:r>
      <w:r w:rsidR="005763F9">
        <w:instrText xml:space="preserve"> SEQ Table \* ARABIC </w:instrText>
      </w:r>
      <w:r w:rsidR="005763F9">
        <w:fldChar w:fldCharType="separate"/>
      </w:r>
      <w:r w:rsidR="005763F9">
        <w:rPr>
          <w:noProof/>
        </w:rPr>
        <w:t>34</w:t>
      </w:r>
      <w:r w:rsidR="005763F9">
        <w:rPr>
          <w:noProof/>
        </w:rPr>
        <w:fldChar w:fldCharType="end"/>
      </w:r>
      <w:bookmarkEnd w:id="613"/>
      <w:r w:rsidRPr="008034CE">
        <w:t>: Participants count by Remoteness for plan management supports, January 2022 to December 2024</w:t>
      </w:r>
    </w:p>
    <w:tbl>
      <w:tblPr>
        <w:tblStyle w:val="GridTable4-Accent12"/>
        <w:tblW w:w="0" w:type="auto"/>
        <w:tblInd w:w="-5" w:type="dxa"/>
        <w:tblLayout w:type="fixed"/>
        <w:tblLook w:val="0420" w:firstRow="1" w:lastRow="0" w:firstColumn="0" w:lastColumn="0" w:noHBand="0" w:noVBand="1"/>
      </w:tblPr>
      <w:tblGrid>
        <w:gridCol w:w="1758"/>
        <w:gridCol w:w="1196"/>
        <w:gridCol w:w="1196"/>
        <w:gridCol w:w="1196"/>
        <w:gridCol w:w="1196"/>
        <w:gridCol w:w="1196"/>
        <w:gridCol w:w="1196"/>
      </w:tblGrid>
      <w:tr w:rsidR="0078044C" w:rsidRPr="007C1E37" w14:paraId="6B9BDC3F" w14:textId="77777777" w:rsidTr="009C2296">
        <w:trPr>
          <w:cnfStyle w:val="100000000000" w:firstRow="1" w:lastRow="0" w:firstColumn="0" w:lastColumn="0" w:oddVBand="0" w:evenVBand="0" w:oddHBand="0" w:evenHBand="0" w:firstRowFirstColumn="0" w:firstRowLastColumn="0" w:lastRowFirstColumn="0" w:lastRowLastColumn="0"/>
          <w:trHeight w:val="567"/>
          <w:tblHeader/>
        </w:trPr>
        <w:tc>
          <w:tcPr>
            <w:tcW w:w="1758" w:type="dxa"/>
            <w:tcBorders>
              <w:top w:val="single" w:sz="4" w:space="0" w:color="501E58" w:themeColor="accent5" w:themeShade="BF"/>
              <w:left w:val="single" w:sz="4" w:space="0" w:color="501E58" w:themeColor="accent5" w:themeShade="BF"/>
              <w:bottom w:val="single" w:sz="4" w:space="0" w:color="501E58" w:themeColor="accent5" w:themeShade="BF"/>
              <w:right w:val="single" w:sz="6" w:space="0" w:color="501E58" w:themeColor="accent5" w:themeShade="BF"/>
            </w:tcBorders>
            <w:hideMark/>
          </w:tcPr>
          <w:p w14:paraId="169F9322" w14:textId="77777777" w:rsidR="0078044C" w:rsidRPr="007C1E37" w:rsidRDefault="0078044C" w:rsidP="009C2296">
            <w:pPr>
              <w:spacing w:before="60" w:after="60"/>
              <w:rPr>
                <w:rFonts w:cs="Arial"/>
                <w:sz w:val="20"/>
                <w:szCs w:val="20"/>
                <w:lang w:eastAsia="en-AU"/>
              </w:rPr>
            </w:pPr>
            <w:r w:rsidRPr="007C1E37">
              <w:rPr>
                <w:rFonts w:cs="Arial"/>
                <w:sz w:val="20"/>
                <w:szCs w:val="20"/>
                <w:lang w:eastAsia="en-AU"/>
              </w:rPr>
              <w:t>Remoteness</w:t>
            </w:r>
          </w:p>
        </w:tc>
        <w:tc>
          <w:tcPr>
            <w:tcW w:w="1196"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tcPr>
          <w:p w14:paraId="02DC3E98" w14:textId="77777777" w:rsidR="0078044C" w:rsidRPr="007C1E37" w:rsidRDefault="0078044C" w:rsidP="009C2296">
            <w:pPr>
              <w:spacing w:before="60" w:after="0"/>
              <w:jc w:val="right"/>
              <w:rPr>
                <w:rFonts w:cs="Arial"/>
                <w:sz w:val="20"/>
                <w:szCs w:val="20"/>
              </w:rPr>
            </w:pPr>
            <w:r w:rsidRPr="007C1E37">
              <w:rPr>
                <w:rFonts w:cs="Arial"/>
                <w:sz w:val="20"/>
                <w:szCs w:val="20"/>
              </w:rPr>
              <w:t>January – June</w:t>
            </w:r>
          </w:p>
          <w:p w14:paraId="565A0C62" w14:textId="77777777" w:rsidR="0078044C" w:rsidRPr="007C1E37" w:rsidRDefault="0078044C" w:rsidP="009C2296">
            <w:pPr>
              <w:spacing w:after="60"/>
              <w:jc w:val="right"/>
              <w:rPr>
                <w:rFonts w:cs="Arial"/>
                <w:sz w:val="20"/>
                <w:szCs w:val="20"/>
                <w:lang w:eastAsia="en-AU"/>
              </w:rPr>
            </w:pPr>
            <w:r w:rsidRPr="007C1E37">
              <w:rPr>
                <w:rFonts w:cs="Arial"/>
                <w:sz w:val="20"/>
                <w:szCs w:val="20"/>
              </w:rPr>
              <w:t>2022</w:t>
            </w:r>
          </w:p>
        </w:tc>
        <w:tc>
          <w:tcPr>
            <w:tcW w:w="1196"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tcPr>
          <w:p w14:paraId="5799EA2A" w14:textId="77777777" w:rsidR="0078044C" w:rsidRPr="007C1E37" w:rsidRDefault="0078044C" w:rsidP="009C2296">
            <w:pPr>
              <w:spacing w:before="60" w:after="60"/>
              <w:jc w:val="right"/>
              <w:rPr>
                <w:rFonts w:cs="Arial"/>
                <w:sz w:val="20"/>
                <w:szCs w:val="20"/>
                <w:lang w:eastAsia="en-AU"/>
              </w:rPr>
            </w:pPr>
            <w:r w:rsidRPr="007C1E37">
              <w:rPr>
                <w:rFonts w:cs="Arial"/>
                <w:sz w:val="20"/>
                <w:szCs w:val="20"/>
              </w:rPr>
              <w:t>July – December 2022</w:t>
            </w:r>
          </w:p>
        </w:tc>
        <w:tc>
          <w:tcPr>
            <w:tcW w:w="1196"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tcPr>
          <w:p w14:paraId="46B92094" w14:textId="77777777" w:rsidR="0078044C" w:rsidRPr="007C1E37" w:rsidRDefault="0078044C" w:rsidP="009C2296">
            <w:pPr>
              <w:spacing w:before="60" w:after="0"/>
              <w:jc w:val="right"/>
              <w:rPr>
                <w:rFonts w:cs="Arial"/>
                <w:sz w:val="20"/>
                <w:szCs w:val="20"/>
              </w:rPr>
            </w:pPr>
            <w:r w:rsidRPr="007C1E37">
              <w:rPr>
                <w:rFonts w:cs="Arial"/>
                <w:sz w:val="20"/>
                <w:szCs w:val="20"/>
              </w:rPr>
              <w:t>January – June</w:t>
            </w:r>
          </w:p>
          <w:p w14:paraId="4723A701" w14:textId="77777777" w:rsidR="0078044C" w:rsidRPr="007C1E37" w:rsidRDefault="0078044C" w:rsidP="009C2296">
            <w:pPr>
              <w:spacing w:after="60"/>
              <w:jc w:val="right"/>
              <w:rPr>
                <w:rFonts w:cs="Arial"/>
                <w:sz w:val="20"/>
                <w:szCs w:val="20"/>
                <w:lang w:eastAsia="en-AU"/>
              </w:rPr>
            </w:pPr>
            <w:r w:rsidRPr="007C1E37">
              <w:rPr>
                <w:rFonts w:cs="Arial"/>
                <w:sz w:val="20"/>
                <w:szCs w:val="20"/>
              </w:rPr>
              <w:t>2023</w:t>
            </w:r>
          </w:p>
        </w:tc>
        <w:tc>
          <w:tcPr>
            <w:tcW w:w="1196"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hideMark/>
          </w:tcPr>
          <w:p w14:paraId="3DCAB804" w14:textId="77777777" w:rsidR="0078044C" w:rsidRPr="007C1E37" w:rsidRDefault="0078044C" w:rsidP="009C2296">
            <w:pPr>
              <w:spacing w:before="60" w:after="60"/>
              <w:jc w:val="right"/>
              <w:rPr>
                <w:rFonts w:cs="Arial"/>
                <w:sz w:val="20"/>
                <w:szCs w:val="20"/>
                <w:lang w:eastAsia="en-AU"/>
              </w:rPr>
            </w:pPr>
            <w:r w:rsidRPr="007C1E37">
              <w:rPr>
                <w:rFonts w:cs="Arial"/>
                <w:sz w:val="20"/>
                <w:szCs w:val="20"/>
              </w:rPr>
              <w:t>July – December 2023</w:t>
            </w:r>
          </w:p>
        </w:tc>
        <w:tc>
          <w:tcPr>
            <w:tcW w:w="1196"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hideMark/>
          </w:tcPr>
          <w:p w14:paraId="25024573" w14:textId="77777777" w:rsidR="0078044C" w:rsidRPr="007C1E37" w:rsidRDefault="0078044C" w:rsidP="009C2296">
            <w:pPr>
              <w:spacing w:before="60" w:after="0"/>
              <w:jc w:val="right"/>
              <w:rPr>
                <w:rFonts w:cs="Arial"/>
                <w:sz w:val="20"/>
                <w:szCs w:val="20"/>
              </w:rPr>
            </w:pPr>
            <w:r w:rsidRPr="007C1E37">
              <w:rPr>
                <w:rFonts w:cs="Arial"/>
                <w:sz w:val="20"/>
                <w:szCs w:val="20"/>
              </w:rPr>
              <w:t>January – June</w:t>
            </w:r>
          </w:p>
          <w:p w14:paraId="632F1801" w14:textId="77777777" w:rsidR="0078044C" w:rsidRPr="007C1E37" w:rsidRDefault="0078044C" w:rsidP="009C2296">
            <w:pPr>
              <w:spacing w:after="60"/>
              <w:jc w:val="right"/>
              <w:rPr>
                <w:rFonts w:cs="Arial"/>
                <w:sz w:val="20"/>
                <w:szCs w:val="20"/>
                <w:lang w:eastAsia="en-AU"/>
              </w:rPr>
            </w:pPr>
            <w:r w:rsidRPr="007C1E37">
              <w:rPr>
                <w:rFonts w:cs="Arial"/>
                <w:sz w:val="20"/>
                <w:szCs w:val="20"/>
              </w:rPr>
              <w:t>2024</w:t>
            </w:r>
          </w:p>
        </w:tc>
        <w:tc>
          <w:tcPr>
            <w:tcW w:w="1196" w:type="dxa"/>
            <w:tcBorders>
              <w:top w:val="single" w:sz="4" w:space="0" w:color="501E58" w:themeColor="accent5" w:themeShade="BF"/>
              <w:left w:val="single" w:sz="6" w:space="0" w:color="501E58" w:themeColor="accent5" w:themeShade="BF"/>
              <w:bottom w:val="single" w:sz="4" w:space="0" w:color="501E58" w:themeColor="accent5" w:themeShade="BF"/>
              <w:right w:val="single" w:sz="4" w:space="0" w:color="501E58" w:themeColor="accent5" w:themeShade="BF"/>
            </w:tcBorders>
            <w:hideMark/>
          </w:tcPr>
          <w:p w14:paraId="20B8C64B" w14:textId="77777777" w:rsidR="0078044C" w:rsidRPr="007C1E37" w:rsidRDefault="0078044C" w:rsidP="009C2296">
            <w:pPr>
              <w:spacing w:before="60" w:after="60"/>
              <w:jc w:val="right"/>
              <w:rPr>
                <w:rFonts w:cs="Arial"/>
                <w:sz w:val="20"/>
                <w:szCs w:val="20"/>
                <w:lang w:eastAsia="en-AU"/>
              </w:rPr>
            </w:pPr>
            <w:r w:rsidRPr="007C1E37">
              <w:rPr>
                <w:rFonts w:cs="Arial"/>
                <w:sz w:val="20"/>
                <w:szCs w:val="20"/>
              </w:rPr>
              <w:t>July – December 2024</w:t>
            </w:r>
          </w:p>
        </w:tc>
      </w:tr>
      <w:tr w:rsidR="0078044C" w:rsidRPr="00E264AC" w14:paraId="4B6CEF78" w14:textId="77777777" w:rsidTr="009C2296">
        <w:trPr>
          <w:cnfStyle w:val="000000100000" w:firstRow="0" w:lastRow="0" w:firstColumn="0" w:lastColumn="0" w:oddVBand="0" w:evenVBand="0" w:oddHBand="1" w:evenHBand="0" w:firstRowFirstColumn="0" w:firstRowLastColumn="0" w:lastRowFirstColumn="0" w:lastRowLastColumn="0"/>
          <w:trHeight w:val="397"/>
        </w:trPr>
        <w:tc>
          <w:tcPr>
            <w:tcW w:w="1758"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555D5525" w14:textId="77777777" w:rsidR="0078044C" w:rsidRPr="00E264AC" w:rsidRDefault="0078044C" w:rsidP="009C2296">
            <w:pPr>
              <w:spacing w:before="60" w:after="60"/>
              <w:ind w:left="37"/>
              <w:rPr>
                <w:rFonts w:cs="Arial"/>
                <w:sz w:val="20"/>
                <w:szCs w:val="20"/>
                <w:lang w:eastAsia="en-AU"/>
              </w:rPr>
            </w:pPr>
            <w:r w:rsidRPr="00E264AC">
              <w:rPr>
                <w:sz w:val="20"/>
                <w:szCs w:val="20"/>
              </w:rPr>
              <w:t>Non-</w:t>
            </w:r>
            <w:r>
              <w:rPr>
                <w:sz w:val="20"/>
                <w:szCs w:val="20"/>
              </w:rPr>
              <w:t>r</w:t>
            </w:r>
            <w:r w:rsidRPr="00E264AC">
              <w:rPr>
                <w:sz w:val="20"/>
                <w:szCs w:val="20"/>
              </w:rPr>
              <w:t>emote</w:t>
            </w:r>
          </w:p>
        </w:tc>
        <w:tc>
          <w:tcPr>
            <w:tcW w:w="1196"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78985ACF" w14:textId="77777777" w:rsidR="0078044C" w:rsidRPr="00E264AC" w:rsidRDefault="0078044C" w:rsidP="009C2296">
            <w:pPr>
              <w:spacing w:before="60" w:after="60"/>
              <w:jc w:val="right"/>
              <w:rPr>
                <w:rFonts w:cs="Arial"/>
                <w:color w:val="000000"/>
                <w:sz w:val="20"/>
                <w:szCs w:val="20"/>
              </w:rPr>
            </w:pPr>
            <w:r w:rsidRPr="00E264AC">
              <w:rPr>
                <w:sz w:val="20"/>
                <w:szCs w:val="20"/>
              </w:rPr>
              <w:t>288,083</w:t>
            </w:r>
          </w:p>
        </w:tc>
        <w:tc>
          <w:tcPr>
            <w:tcW w:w="1196"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07E0A666" w14:textId="77777777" w:rsidR="0078044C" w:rsidRPr="00E264AC" w:rsidRDefault="0078044C" w:rsidP="009C2296">
            <w:pPr>
              <w:spacing w:before="60" w:after="60"/>
              <w:jc w:val="right"/>
              <w:rPr>
                <w:rFonts w:cs="Arial"/>
                <w:color w:val="000000"/>
                <w:sz w:val="20"/>
                <w:szCs w:val="20"/>
              </w:rPr>
            </w:pPr>
            <w:r w:rsidRPr="00E264AC">
              <w:rPr>
                <w:sz w:val="20"/>
                <w:szCs w:val="20"/>
              </w:rPr>
              <w:t>322,304</w:t>
            </w:r>
          </w:p>
        </w:tc>
        <w:tc>
          <w:tcPr>
            <w:tcW w:w="1196"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505C3972" w14:textId="77777777" w:rsidR="0078044C" w:rsidRPr="00E264AC" w:rsidRDefault="0078044C" w:rsidP="009C2296">
            <w:pPr>
              <w:spacing w:before="60" w:after="60"/>
              <w:jc w:val="right"/>
              <w:rPr>
                <w:rFonts w:cs="Arial"/>
                <w:color w:val="000000"/>
                <w:sz w:val="20"/>
                <w:szCs w:val="20"/>
              </w:rPr>
            </w:pPr>
            <w:r w:rsidRPr="00E264AC">
              <w:rPr>
                <w:sz w:val="20"/>
                <w:szCs w:val="20"/>
              </w:rPr>
              <w:t>357,938</w:t>
            </w:r>
          </w:p>
        </w:tc>
        <w:tc>
          <w:tcPr>
            <w:tcW w:w="1196"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7D14B290" w14:textId="77777777" w:rsidR="0078044C" w:rsidRPr="00E264AC" w:rsidRDefault="0078044C" w:rsidP="009C2296">
            <w:pPr>
              <w:spacing w:before="60" w:after="60"/>
              <w:jc w:val="right"/>
              <w:rPr>
                <w:rFonts w:cs="Arial"/>
                <w:color w:val="000000"/>
                <w:sz w:val="20"/>
                <w:szCs w:val="20"/>
              </w:rPr>
            </w:pPr>
            <w:r w:rsidRPr="00E264AC">
              <w:rPr>
                <w:sz w:val="20"/>
                <w:szCs w:val="20"/>
              </w:rPr>
              <w:t>392,777</w:t>
            </w:r>
          </w:p>
        </w:tc>
        <w:tc>
          <w:tcPr>
            <w:tcW w:w="1196"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1E132A96" w14:textId="77777777" w:rsidR="0078044C" w:rsidRPr="00E264AC" w:rsidRDefault="0078044C" w:rsidP="009C2296">
            <w:pPr>
              <w:spacing w:before="60" w:after="60"/>
              <w:jc w:val="right"/>
              <w:rPr>
                <w:rFonts w:cs="Arial"/>
                <w:color w:val="000000"/>
                <w:sz w:val="20"/>
                <w:szCs w:val="20"/>
              </w:rPr>
            </w:pPr>
            <w:r w:rsidRPr="00E264AC">
              <w:rPr>
                <w:sz w:val="20"/>
                <w:szCs w:val="20"/>
              </w:rPr>
              <w:t>409,801</w:t>
            </w:r>
          </w:p>
        </w:tc>
        <w:tc>
          <w:tcPr>
            <w:tcW w:w="1196"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60558219" w14:textId="77777777" w:rsidR="0078044C" w:rsidRPr="00E264AC" w:rsidRDefault="0078044C" w:rsidP="009C2296">
            <w:pPr>
              <w:spacing w:before="60" w:after="60"/>
              <w:jc w:val="right"/>
              <w:rPr>
                <w:rFonts w:cs="Arial"/>
                <w:color w:val="000000"/>
                <w:sz w:val="20"/>
                <w:szCs w:val="20"/>
              </w:rPr>
            </w:pPr>
            <w:r w:rsidRPr="00E264AC">
              <w:rPr>
                <w:sz w:val="20"/>
                <w:szCs w:val="20"/>
              </w:rPr>
              <w:t>440,224</w:t>
            </w:r>
          </w:p>
        </w:tc>
      </w:tr>
      <w:tr w:rsidR="0078044C" w:rsidRPr="00E264AC" w14:paraId="60616330" w14:textId="77777777" w:rsidTr="009C2296">
        <w:trPr>
          <w:trHeight w:val="397"/>
        </w:trPr>
        <w:tc>
          <w:tcPr>
            <w:tcW w:w="175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2D2BA822" w14:textId="77777777" w:rsidR="0078044C" w:rsidRPr="00E264AC" w:rsidRDefault="0078044C" w:rsidP="009C2296">
            <w:pPr>
              <w:spacing w:before="60" w:after="60"/>
              <w:ind w:left="37"/>
              <w:rPr>
                <w:rFonts w:cs="Arial"/>
                <w:sz w:val="20"/>
                <w:szCs w:val="20"/>
                <w:lang w:eastAsia="en-AU"/>
              </w:rPr>
            </w:pPr>
            <w:r w:rsidRPr="00E264AC">
              <w:rPr>
                <w:sz w:val="20"/>
                <w:szCs w:val="20"/>
              </w:rPr>
              <w:t>Remote</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7EDDFC83" w14:textId="77777777" w:rsidR="0078044C" w:rsidRPr="00E264AC" w:rsidRDefault="0078044C" w:rsidP="009C2296">
            <w:pPr>
              <w:spacing w:before="60" w:after="60"/>
              <w:jc w:val="right"/>
              <w:rPr>
                <w:rFonts w:cs="Arial"/>
                <w:color w:val="000000"/>
                <w:sz w:val="20"/>
                <w:szCs w:val="20"/>
              </w:rPr>
            </w:pPr>
            <w:r w:rsidRPr="00E264AC">
              <w:rPr>
                <w:sz w:val="20"/>
                <w:szCs w:val="20"/>
              </w:rPr>
              <w:t>3,596</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252D1777" w14:textId="77777777" w:rsidR="0078044C" w:rsidRPr="00E264AC" w:rsidRDefault="0078044C" w:rsidP="009C2296">
            <w:pPr>
              <w:spacing w:before="60" w:after="60"/>
              <w:jc w:val="right"/>
              <w:rPr>
                <w:rFonts w:cs="Arial"/>
                <w:color w:val="000000"/>
                <w:sz w:val="20"/>
                <w:szCs w:val="20"/>
              </w:rPr>
            </w:pPr>
            <w:r w:rsidRPr="00E264AC">
              <w:rPr>
                <w:sz w:val="20"/>
                <w:szCs w:val="20"/>
              </w:rPr>
              <w:t>4,028</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4DE9FD08" w14:textId="77777777" w:rsidR="0078044C" w:rsidRPr="00E264AC" w:rsidRDefault="0078044C" w:rsidP="009C2296">
            <w:pPr>
              <w:spacing w:before="60" w:after="60"/>
              <w:jc w:val="right"/>
              <w:rPr>
                <w:rFonts w:cs="Arial"/>
                <w:color w:val="000000"/>
                <w:sz w:val="20"/>
                <w:szCs w:val="20"/>
              </w:rPr>
            </w:pPr>
            <w:r w:rsidRPr="00E264AC">
              <w:rPr>
                <w:sz w:val="20"/>
                <w:szCs w:val="20"/>
              </w:rPr>
              <w:t>4,487</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249CFCB7" w14:textId="77777777" w:rsidR="0078044C" w:rsidRPr="00E264AC" w:rsidRDefault="0078044C" w:rsidP="009C2296">
            <w:pPr>
              <w:spacing w:before="60" w:after="60"/>
              <w:jc w:val="right"/>
              <w:rPr>
                <w:rFonts w:cs="Arial"/>
                <w:color w:val="000000"/>
                <w:sz w:val="20"/>
                <w:szCs w:val="20"/>
              </w:rPr>
            </w:pPr>
            <w:r w:rsidRPr="00E264AC">
              <w:rPr>
                <w:sz w:val="20"/>
                <w:szCs w:val="20"/>
              </w:rPr>
              <w:t>4,789</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3597C608" w14:textId="77777777" w:rsidR="0078044C" w:rsidRPr="00E264AC" w:rsidRDefault="0078044C" w:rsidP="009C2296">
            <w:pPr>
              <w:spacing w:before="60" w:after="60"/>
              <w:jc w:val="right"/>
              <w:rPr>
                <w:rFonts w:cs="Arial"/>
                <w:color w:val="000000"/>
                <w:sz w:val="20"/>
                <w:szCs w:val="20"/>
              </w:rPr>
            </w:pPr>
            <w:r w:rsidRPr="00E264AC">
              <w:rPr>
                <w:sz w:val="20"/>
                <w:szCs w:val="20"/>
              </w:rPr>
              <w:t>7,886</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1A94FAAC" w14:textId="77777777" w:rsidR="0078044C" w:rsidRPr="00E264AC" w:rsidRDefault="0078044C" w:rsidP="009C2296">
            <w:pPr>
              <w:spacing w:before="60" w:after="60"/>
              <w:jc w:val="right"/>
              <w:rPr>
                <w:rFonts w:cs="Arial"/>
                <w:color w:val="000000"/>
                <w:sz w:val="20"/>
                <w:szCs w:val="20"/>
              </w:rPr>
            </w:pPr>
            <w:r w:rsidRPr="00E264AC">
              <w:rPr>
                <w:sz w:val="20"/>
                <w:szCs w:val="20"/>
              </w:rPr>
              <w:t>8,099</w:t>
            </w:r>
          </w:p>
        </w:tc>
      </w:tr>
      <w:tr w:rsidR="0078044C" w:rsidRPr="00E264AC" w14:paraId="56575F76" w14:textId="77777777" w:rsidTr="009C2296">
        <w:trPr>
          <w:cnfStyle w:val="000000100000" w:firstRow="0" w:lastRow="0" w:firstColumn="0" w:lastColumn="0" w:oddVBand="0" w:evenVBand="0" w:oddHBand="1" w:evenHBand="0" w:firstRowFirstColumn="0" w:firstRowLastColumn="0" w:lastRowFirstColumn="0" w:lastRowLastColumn="0"/>
          <w:trHeight w:val="397"/>
        </w:trPr>
        <w:tc>
          <w:tcPr>
            <w:tcW w:w="175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132705F3" w14:textId="77777777" w:rsidR="0078044C" w:rsidRPr="00E264AC" w:rsidRDefault="0078044C" w:rsidP="009C2296">
            <w:pPr>
              <w:spacing w:before="60" w:after="60"/>
              <w:ind w:left="37"/>
              <w:rPr>
                <w:rFonts w:cs="Arial"/>
                <w:sz w:val="20"/>
                <w:szCs w:val="20"/>
                <w:lang w:eastAsia="en-AU"/>
              </w:rPr>
            </w:pPr>
            <w:r w:rsidRPr="00E264AC">
              <w:rPr>
                <w:sz w:val="20"/>
                <w:szCs w:val="20"/>
              </w:rPr>
              <w:t xml:space="preserve">Very </w:t>
            </w:r>
            <w:r>
              <w:rPr>
                <w:sz w:val="20"/>
                <w:szCs w:val="20"/>
              </w:rPr>
              <w:t>r</w:t>
            </w:r>
            <w:r w:rsidRPr="00E264AC">
              <w:rPr>
                <w:sz w:val="20"/>
                <w:szCs w:val="20"/>
              </w:rPr>
              <w:t>emote</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5B1C0920" w14:textId="77777777" w:rsidR="0078044C" w:rsidRPr="00E264AC" w:rsidRDefault="0078044C" w:rsidP="009C2296">
            <w:pPr>
              <w:spacing w:before="60" w:after="60"/>
              <w:jc w:val="right"/>
              <w:rPr>
                <w:rFonts w:cs="Arial"/>
                <w:color w:val="000000"/>
                <w:sz w:val="20"/>
                <w:szCs w:val="20"/>
              </w:rPr>
            </w:pPr>
            <w:r w:rsidRPr="00E264AC">
              <w:rPr>
                <w:sz w:val="20"/>
                <w:szCs w:val="20"/>
              </w:rPr>
              <w:t>2,497</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5D970643" w14:textId="77777777" w:rsidR="0078044C" w:rsidRPr="00E264AC" w:rsidRDefault="0078044C" w:rsidP="009C2296">
            <w:pPr>
              <w:spacing w:before="60" w:after="60"/>
              <w:jc w:val="right"/>
              <w:rPr>
                <w:rFonts w:cs="Arial"/>
                <w:color w:val="000000"/>
                <w:sz w:val="20"/>
                <w:szCs w:val="20"/>
              </w:rPr>
            </w:pPr>
            <w:r w:rsidRPr="00E264AC">
              <w:rPr>
                <w:sz w:val="20"/>
                <w:szCs w:val="20"/>
              </w:rPr>
              <w:t>2,817</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05D818ED" w14:textId="77777777" w:rsidR="0078044C" w:rsidRPr="00E264AC" w:rsidRDefault="0078044C" w:rsidP="009C2296">
            <w:pPr>
              <w:spacing w:before="60" w:after="60"/>
              <w:jc w:val="right"/>
              <w:rPr>
                <w:rFonts w:cs="Arial"/>
                <w:color w:val="000000"/>
                <w:sz w:val="20"/>
                <w:szCs w:val="20"/>
              </w:rPr>
            </w:pPr>
            <w:r w:rsidRPr="00E264AC">
              <w:rPr>
                <w:sz w:val="20"/>
                <w:szCs w:val="20"/>
              </w:rPr>
              <w:t>3,090</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4E40F4BE" w14:textId="77777777" w:rsidR="0078044C" w:rsidRPr="00E264AC" w:rsidRDefault="0078044C" w:rsidP="009C2296">
            <w:pPr>
              <w:spacing w:before="60" w:after="60"/>
              <w:jc w:val="right"/>
              <w:rPr>
                <w:rFonts w:cs="Arial"/>
                <w:color w:val="000000"/>
                <w:sz w:val="20"/>
                <w:szCs w:val="20"/>
              </w:rPr>
            </w:pPr>
            <w:r w:rsidRPr="00E264AC">
              <w:rPr>
                <w:sz w:val="20"/>
                <w:szCs w:val="20"/>
              </w:rPr>
              <w:t>3,266</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2CFA0327" w14:textId="77777777" w:rsidR="0078044C" w:rsidRPr="00E264AC" w:rsidRDefault="0078044C" w:rsidP="009C2296">
            <w:pPr>
              <w:spacing w:before="60" w:after="60"/>
              <w:jc w:val="right"/>
              <w:rPr>
                <w:rFonts w:cs="Arial"/>
                <w:color w:val="000000"/>
                <w:sz w:val="20"/>
                <w:szCs w:val="20"/>
              </w:rPr>
            </w:pPr>
            <w:r w:rsidRPr="00E264AC">
              <w:rPr>
                <w:sz w:val="20"/>
                <w:szCs w:val="20"/>
              </w:rPr>
              <w:t>3,518</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0E57B8C0" w14:textId="77777777" w:rsidR="0078044C" w:rsidRPr="00E264AC" w:rsidRDefault="0078044C" w:rsidP="009C2296">
            <w:pPr>
              <w:spacing w:before="60" w:after="60"/>
              <w:jc w:val="right"/>
              <w:rPr>
                <w:rFonts w:cs="Arial"/>
                <w:color w:val="000000"/>
                <w:sz w:val="20"/>
                <w:szCs w:val="20"/>
              </w:rPr>
            </w:pPr>
            <w:r w:rsidRPr="00E264AC">
              <w:rPr>
                <w:sz w:val="20"/>
                <w:szCs w:val="20"/>
              </w:rPr>
              <w:t>3,767</w:t>
            </w:r>
          </w:p>
        </w:tc>
      </w:tr>
      <w:tr w:rsidR="0078044C" w:rsidRPr="00E264AC" w14:paraId="08009A66" w14:textId="77777777" w:rsidTr="009C2296">
        <w:trPr>
          <w:trHeight w:val="397"/>
        </w:trPr>
        <w:tc>
          <w:tcPr>
            <w:tcW w:w="175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70F6172B" w14:textId="77777777" w:rsidR="0078044C" w:rsidRPr="00E264AC" w:rsidRDefault="0078044C" w:rsidP="009C2296">
            <w:pPr>
              <w:spacing w:before="60" w:after="60"/>
              <w:ind w:left="37"/>
              <w:rPr>
                <w:rFonts w:cs="Arial"/>
                <w:b/>
                <w:bCs/>
                <w:sz w:val="20"/>
                <w:szCs w:val="20"/>
                <w:lang w:eastAsia="en-AU"/>
              </w:rPr>
            </w:pPr>
            <w:r w:rsidRPr="00E264AC">
              <w:rPr>
                <w:b/>
                <w:bCs/>
                <w:sz w:val="20"/>
                <w:szCs w:val="20"/>
              </w:rPr>
              <w:t>Overall</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2BE3BCA4" w14:textId="77777777" w:rsidR="0078044C" w:rsidRPr="00E264AC" w:rsidRDefault="0078044C" w:rsidP="009C2296">
            <w:pPr>
              <w:spacing w:before="60" w:after="60"/>
              <w:jc w:val="right"/>
              <w:rPr>
                <w:rFonts w:cs="Arial"/>
                <w:b/>
                <w:bCs/>
                <w:color w:val="000000"/>
                <w:sz w:val="20"/>
                <w:szCs w:val="20"/>
              </w:rPr>
            </w:pPr>
            <w:r w:rsidRPr="00E264AC">
              <w:rPr>
                <w:b/>
                <w:bCs/>
                <w:sz w:val="20"/>
                <w:szCs w:val="20"/>
              </w:rPr>
              <w:t>293,878</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5AC8A855" w14:textId="77777777" w:rsidR="0078044C" w:rsidRPr="00E264AC" w:rsidRDefault="0078044C" w:rsidP="009C2296">
            <w:pPr>
              <w:spacing w:before="60" w:after="60"/>
              <w:jc w:val="right"/>
              <w:rPr>
                <w:rFonts w:cs="Arial"/>
                <w:b/>
                <w:bCs/>
                <w:color w:val="000000"/>
                <w:sz w:val="20"/>
                <w:szCs w:val="20"/>
              </w:rPr>
            </w:pPr>
            <w:r w:rsidRPr="00E264AC">
              <w:rPr>
                <w:b/>
                <w:bCs/>
                <w:sz w:val="20"/>
                <w:szCs w:val="20"/>
              </w:rPr>
              <w:t>328,823</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5EEEAD07" w14:textId="77777777" w:rsidR="0078044C" w:rsidRPr="00E264AC" w:rsidRDefault="0078044C" w:rsidP="009C2296">
            <w:pPr>
              <w:spacing w:before="60" w:after="60"/>
              <w:jc w:val="right"/>
              <w:rPr>
                <w:rFonts w:cs="Arial"/>
                <w:b/>
                <w:bCs/>
                <w:color w:val="000000"/>
                <w:sz w:val="20"/>
                <w:szCs w:val="20"/>
              </w:rPr>
            </w:pPr>
            <w:r w:rsidRPr="00E264AC">
              <w:rPr>
                <w:b/>
                <w:bCs/>
                <w:sz w:val="20"/>
                <w:szCs w:val="20"/>
              </w:rPr>
              <w:t>365,080</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0570D1D1" w14:textId="77777777" w:rsidR="0078044C" w:rsidRPr="00E264AC" w:rsidRDefault="0078044C" w:rsidP="009C2296">
            <w:pPr>
              <w:spacing w:before="60" w:after="60"/>
              <w:jc w:val="right"/>
              <w:rPr>
                <w:rFonts w:cs="Arial"/>
                <w:b/>
                <w:bCs/>
                <w:color w:val="000000"/>
                <w:sz w:val="20"/>
                <w:szCs w:val="20"/>
              </w:rPr>
            </w:pPr>
            <w:r w:rsidRPr="00E264AC">
              <w:rPr>
                <w:b/>
                <w:bCs/>
                <w:sz w:val="20"/>
                <w:szCs w:val="20"/>
              </w:rPr>
              <w:t>400,436</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542E0475" w14:textId="77777777" w:rsidR="0078044C" w:rsidRPr="00E264AC" w:rsidRDefault="0078044C" w:rsidP="009C2296">
            <w:pPr>
              <w:spacing w:before="60" w:after="60"/>
              <w:jc w:val="right"/>
              <w:rPr>
                <w:rFonts w:cs="Arial"/>
                <w:b/>
                <w:bCs/>
                <w:color w:val="000000"/>
                <w:sz w:val="20"/>
                <w:szCs w:val="20"/>
              </w:rPr>
            </w:pPr>
            <w:r w:rsidRPr="00E264AC">
              <w:rPr>
                <w:b/>
                <w:bCs/>
                <w:sz w:val="20"/>
                <w:szCs w:val="20"/>
              </w:rPr>
              <w:t>418,052</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046DEBED" w14:textId="77777777" w:rsidR="0078044C" w:rsidRPr="00E264AC" w:rsidRDefault="0078044C" w:rsidP="009C2296">
            <w:pPr>
              <w:spacing w:before="60" w:after="60"/>
              <w:jc w:val="right"/>
              <w:rPr>
                <w:rFonts w:cs="Arial"/>
                <w:b/>
                <w:bCs/>
                <w:color w:val="000000"/>
                <w:sz w:val="20"/>
                <w:szCs w:val="20"/>
              </w:rPr>
            </w:pPr>
            <w:r w:rsidRPr="00E264AC">
              <w:rPr>
                <w:b/>
                <w:bCs/>
                <w:sz w:val="20"/>
                <w:szCs w:val="20"/>
              </w:rPr>
              <w:t>448,986</w:t>
            </w:r>
          </w:p>
        </w:tc>
      </w:tr>
    </w:tbl>
    <w:p w14:paraId="64B80596" w14:textId="77777777" w:rsidR="0078044C" w:rsidRPr="008034CE" w:rsidRDefault="0078044C" w:rsidP="00CA25F5">
      <w:pPr>
        <w:spacing w:before="120" w:after="60" w:line="240" w:lineRule="atLeast"/>
        <w:rPr>
          <w:b/>
          <w:iCs/>
          <w:sz w:val="20"/>
          <w:szCs w:val="20"/>
        </w:rPr>
      </w:pPr>
      <w:r w:rsidRPr="008034CE">
        <w:rPr>
          <w:b/>
          <w:iCs/>
          <w:sz w:val="20"/>
          <w:szCs w:val="20"/>
        </w:rPr>
        <w:t>Source: NDIS internal administrative data.</w:t>
      </w:r>
    </w:p>
    <w:p w14:paraId="64B193E9" w14:textId="77777777" w:rsidR="004F3DB1" w:rsidRPr="008034CE" w:rsidRDefault="004F3DB1" w:rsidP="00CA25F5">
      <w:pPr>
        <w:pStyle w:val="Notefortableorfigure"/>
        <w:spacing w:before="0" w:after="0"/>
        <w:rPr>
          <w:color w:val="000000"/>
          <w:sz w:val="16"/>
        </w:rPr>
      </w:pPr>
      <w:r w:rsidRPr="008034CE">
        <w:t>Note: Participants can be counted in more than once if they have moved locations. Participants with missing remoteness are not shown in the table above but are included in the overall results.</w:t>
      </w:r>
    </w:p>
    <w:p w14:paraId="0B8442CA" w14:textId="77777777" w:rsidR="004F3DB1" w:rsidRPr="008034CE" w:rsidRDefault="004F3DB1" w:rsidP="004F3DB1">
      <w:pPr>
        <w:pStyle w:val="Heading4"/>
      </w:pPr>
      <w:bookmarkStart w:id="614" w:name="_Toc196304229"/>
      <w:bookmarkStart w:id="615" w:name="_Toc200103576"/>
      <w:bookmarkStart w:id="616" w:name="_Toc200271688"/>
      <w:r w:rsidRPr="008034CE">
        <w:lastRenderedPageBreak/>
        <w:t>Providers</w:t>
      </w:r>
      <w:bookmarkEnd w:id="614"/>
      <w:bookmarkEnd w:id="615"/>
      <w:bookmarkEnd w:id="616"/>
    </w:p>
    <w:p w14:paraId="6C02FD7F" w14:textId="10B06EFC" w:rsidR="004F3DB1" w:rsidRPr="008034CE" w:rsidRDefault="004F3DB1" w:rsidP="004F3DB1">
      <w:r w:rsidRPr="008034CE">
        <w:t>While the use of plan managers has continued to rise, the number of active registered plan managers has remained relatively stable. Between January 2022 and December 2024, the number of registered plan managers decreased by 5.4%, from 1,717 plan managers to 1,624 plan managers (</w:t>
      </w:r>
      <w:r w:rsidRPr="008034CE">
        <w:fldChar w:fldCharType="begin"/>
      </w:r>
      <w:r w:rsidRPr="008034CE">
        <w:instrText xml:space="preserve"> REF _Ref195636673 \h  \* MERGEFORMAT </w:instrText>
      </w:r>
      <w:r w:rsidRPr="008034CE">
        <w:fldChar w:fldCharType="separate"/>
      </w:r>
      <w:r w:rsidR="005763F9" w:rsidRPr="008034CE">
        <w:t xml:space="preserve">Figure </w:t>
      </w:r>
      <w:r w:rsidR="005763F9">
        <w:t>37</w:t>
      </w:r>
      <w:r w:rsidRPr="008034CE">
        <w:fldChar w:fldCharType="end"/>
      </w:r>
      <w:r w:rsidRPr="008034CE">
        <w:t xml:space="preserve">). Over the same period, the number of participants with partly or fully plan-managed funding increased by 53%, from 293,878 to 448,986. </w:t>
      </w:r>
    </w:p>
    <w:p w14:paraId="49C3E13B" w14:textId="2BBF9E7D" w:rsidR="004F3DB1" w:rsidRPr="008034CE" w:rsidRDefault="004F3DB1" w:rsidP="004F3DB1">
      <w:pPr>
        <w:pStyle w:val="Caption"/>
      </w:pPr>
      <w:bookmarkStart w:id="617" w:name="_Ref195636673"/>
      <w:r w:rsidRPr="008034CE">
        <w:t xml:space="preserve">Figure </w:t>
      </w:r>
      <w:r w:rsidR="005763F9">
        <w:fldChar w:fldCharType="begin"/>
      </w:r>
      <w:r w:rsidR="005763F9">
        <w:instrText xml:space="preserve"> SEQ Figure \* ARABIC </w:instrText>
      </w:r>
      <w:r w:rsidR="005763F9">
        <w:fldChar w:fldCharType="separate"/>
      </w:r>
      <w:r w:rsidR="005763F9">
        <w:rPr>
          <w:noProof/>
        </w:rPr>
        <w:t>37</w:t>
      </w:r>
      <w:r w:rsidR="005763F9">
        <w:rPr>
          <w:noProof/>
        </w:rPr>
        <w:fldChar w:fldCharType="end"/>
      </w:r>
      <w:bookmarkEnd w:id="617"/>
      <w:r w:rsidRPr="008034CE">
        <w:t>: Distribution of Participants and Providers with a Plan Manager, January 2022 to December 2024</w:t>
      </w:r>
    </w:p>
    <w:p w14:paraId="7AA46414" w14:textId="77777777" w:rsidR="004F3DB1" w:rsidRPr="008034CE" w:rsidRDefault="004F3DB1" w:rsidP="004F3DB1">
      <w:r w:rsidRPr="008034CE">
        <w:rPr>
          <w:noProof/>
        </w:rPr>
        <w:drawing>
          <wp:inline distT="0" distB="0" distL="0" distR="0" wp14:anchorId="1CB73723" wp14:editId="3BCAE972">
            <wp:extent cx="5731510" cy="3317486"/>
            <wp:effectExtent l="0" t="0" r="2540" b="0"/>
            <wp:docPr id="1374058239" name="Picture 5" descr="A column graph showing the number of participants who use plan management services compared to the number of active registered plan managers.&#10;&#10;From January to June 2022, the number of participants using a plan manager was 293,878 and the number of registered plan managers was 1,717.&#10;&#10;From July to December 2022, the number of participants using a plan manager was 328,823 and the number of registered plan managers was 1,635.&#10;&#10;From January to June 2023, the number of participants using a plan manager was 365,080 and the number of registered plan managers was 1,608.&#10;&#10;From July to December 2023, the number of participants using a plan manager was 400,436 and the number of registered plan managers was 1,625.&#10;&#10;From January to June 2024, the number of participants using a plan manager was 418,052 and the number of registered plan managers was 1,590.&#10;&#10;From July to December 2024, the number of participants using a plan manager was 448,986 and the number of registered plan managers was 1,624.&#10;&#10;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58239" name="Picture 5" descr="A column graph showing the number of participants who use plan management services compared to the number of active registered plan managers.&#10;&#10;From January to June 2022, the number of participants using a plan manager was 293,878 and the number of registered plan managers was 1,717.&#10;&#10;From July to December 2022, the number of participants using a plan manager was 328,823 and the number of registered plan managers was 1,635.&#10;&#10;From January to June 2023, the number of participants using a plan manager was 365,080 and the number of registered plan managers was 1,608.&#10;&#10;From July to December 2023, the number of participants using a plan manager was 400,436 and the number of registered plan managers was 1,625.&#10;&#10;From January to June 2024, the number of participants using a plan manager was 418,052 and the number of registered plan managers was 1,590.&#10;&#10;From July to December 2024, the number of participants using a plan manager was 448,986 and the number of registered plan managers was 1,624.&#10;&#10;Source: NDIS internal administrative data."/>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31510" cy="3317486"/>
                    </a:xfrm>
                    <a:prstGeom prst="rect">
                      <a:avLst/>
                    </a:prstGeom>
                    <a:noFill/>
                  </pic:spPr>
                </pic:pic>
              </a:graphicData>
            </a:graphic>
          </wp:inline>
        </w:drawing>
      </w:r>
    </w:p>
    <w:p w14:paraId="0FA056B1" w14:textId="77777777" w:rsidR="004F3DB1" w:rsidRPr="008034CE" w:rsidRDefault="004F3DB1" w:rsidP="004F3DB1">
      <w:pPr>
        <w:jc w:val="center"/>
      </w:pPr>
    </w:p>
    <w:p w14:paraId="152A8EDB" w14:textId="17977AAD" w:rsidR="004F3DB1" w:rsidRDefault="004F3DB1" w:rsidP="004F3DB1">
      <w:r w:rsidRPr="008034CE">
        <w:t xml:space="preserve">This trend is confirmed by payment data. </w:t>
      </w:r>
      <w:r w:rsidRPr="008034CE">
        <w:fldChar w:fldCharType="begin"/>
      </w:r>
      <w:r w:rsidRPr="008034CE">
        <w:instrText xml:space="preserve"> REF _Ref195636682 \h  \* MERGEFORMAT </w:instrText>
      </w:r>
      <w:r w:rsidRPr="008034CE">
        <w:fldChar w:fldCharType="separate"/>
      </w:r>
      <w:r w:rsidR="005763F9" w:rsidRPr="008034CE">
        <w:t xml:space="preserve">Figure </w:t>
      </w:r>
      <w:r w:rsidR="005763F9">
        <w:t>38</w:t>
      </w:r>
      <w:r w:rsidRPr="008034CE">
        <w:fldChar w:fldCharType="end"/>
      </w:r>
      <w:r w:rsidRPr="008034CE">
        <w:t xml:space="preserve"> shows that the five largest plan managers processed a combined $4.2 billion in total payments processed for participants in the six months to December 2024, up from $1.7 billion in early 2022. The composition of the top five has remained largely stable since mid-2023, indicating a period of market stability amongst the largest plan managers. This group of providers accounts for a substantial and growing share of all plan-managed payments, highlighting the role of large, scaled organisations in servicing </w:t>
      </w:r>
      <w:proofErr w:type="gramStart"/>
      <w:r w:rsidRPr="008034CE">
        <w:t>the majority of</w:t>
      </w:r>
      <w:proofErr w:type="gramEnd"/>
      <w:r w:rsidRPr="008034CE">
        <w:t xml:space="preserve"> the market. </w:t>
      </w:r>
    </w:p>
    <w:p w14:paraId="45FF3322" w14:textId="77777777" w:rsidR="004F3DB1" w:rsidRDefault="004F3DB1">
      <w:pPr>
        <w:spacing w:before="120" w:after="120"/>
        <w:rPr>
          <w:rFonts w:eastAsiaTheme="minorEastAsia" w:cstheme="minorBidi"/>
          <w:color w:val="000000" w:themeColor="accent6"/>
        </w:rPr>
      </w:pPr>
      <w:r>
        <w:br w:type="page"/>
      </w:r>
    </w:p>
    <w:p w14:paraId="5D2AA6BB" w14:textId="77777777" w:rsidR="004F3DB1" w:rsidRPr="008034CE" w:rsidRDefault="004F3DB1" w:rsidP="004F3DB1">
      <w:r w:rsidRPr="008034CE">
        <w:lastRenderedPageBreak/>
        <w:t xml:space="preserve">Together, these indicators reflect a shift toward consolidation within the plan management market, with larger providers absorbing much of the growth in demand. These patterns raise important considerations for pricing, particularly in relation to economies of scale, cost structures, and the implications for smaller providers operating with lower participant volumes. </w:t>
      </w:r>
    </w:p>
    <w:p w14:paraId="484B362A" w14:textId="06B7F46D" w:rsidR="004F3DB1" w:rsidRPr="008034CE" w:rsidRDefault="004F3DB1" w:rsidP="004F3DB1">
      <w:pPr>
        <w:pStyle w:val="Caption"/>
      </w:pPr>
      <w:bookmarkStart w:id="618" w:name="_Ref195636682"/>
      <w:r w:rsidRPr="008034CE">
        <w:t xml:space="preserve">Figure </w:t>
      </w:r>
      <w:r w:rsidR="005763F9">
        <w:fldChar w:fldCharType="begin"/>
      </w:r>
      <w:r w:rsidR="005763F9">
        <w:instrText xml:space="preserve"> SEQ Figure \* ARABIC </w:instrText>
      </w:r>
      <w:r w:rsidR="005763F9">
        <w:fldChar w:fldCharType="separate"/>
      </w:r>
      <w:r w:rsidR="005763F9">
        <w:rPr>
          <w:noProof/>
        </w:rPr>
        <w:t>38</w:t>
      </w:r>
      <w:r w:rsidR="005763F9">
        <w:rPr>
          <w:noProof/>
        </w:rPr>
        <w:fldChar w:fldCharType="end"/>
      </w:r>
      <w:bookmarkEnd w:id="618"/>
      <w:r w:rsidRPr="008034CE">
        <w:t>: Scheme Expenditure for Largest Five Plan Managers (based on Total Payments processed), January 2022 to December 2024</w:t>
      </w:r>
    </w:p>
    <w:p w14:paraId="0869C81F" w14:textId="77777777" w:rsidR="004F3DB1" w:rsidRPr="008034CE" w:rsidRDefault="004F3DB1" w:rsidP="004F3DB1">
      <w:pPr>
        <w:jc w:val="center"/>
        <w:rPr>
          <w:rFonts w:eastAsiaTheme="minorHAnsi" w:cs="Arial"/>
          <w:szCs w:val="22"/>
          <w:lang w:eastAsia="en-US" w:bidi="th-TH"/>
        </w:rPr>
      </w:pPr>
      <w:r w:rsidRPr="008034CE">
        <w:rPr>
          <w:noProof/>
        </w:rPr>
        <w:drawing>
          <wp:inline distT="0" distB="0" distL="0" distR="0" wp14:anchorId="395051D4" wp14:editId="595FF9CC">
            <wp:extent cx="5821200" cy="3369600"/>
            <wp:effectExtent l="0" t="0" r="8255" b="2540"/>
            <wp:docPr id="2061160263" name="Picture 1" descr="A column graph showing the Scheme expenditure for the largest five plan management providers. The largest provider is My Plan Manager.com.au Pty Ltd. The other providers shown in this graph are nib Thrive Pty Ltd, Plan Management Partners Pty Ltd, National Disability Support Partners Pty Ltd, and Integrated Care Pty Ltd.&#10;&#10;From January to June 2022, the top five providers processed a combined total of $1.7b in payments.&#10;&#10;From July to December 2022, the top five providers processed a combined total of $2.1b in payments.&#10;&#10;From January to June 2023, the top five providers processed a combined total of $2.5b in payments.&#10;&#10;From July to December 2023, the top five providers processed a combined total of $3.0b in payments.&#10;&#10;From January to June 2024, the top five providers processed a combined total of $3.2b in payments.&#10;&#10;From July to December 2024, the top five providers processed a combined total of $4.2b in payments.&#10;&#10;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6">
                      <a:extLst>
                        <a:ext uri="{28A0092B-C50C-407E-A947-70E740481C1C}">
                          <a14:useLocalDpi xmlns:a14="http://schemas.microsoft.com/office/drawing/2010/main" val="0"/>
                        </a:ext>
                      </a:extLst>
                    </a:blip>
                    <a:stretch>
                      <a:fillRect/>
                    </a:stretch>
                  </pic:blipFill>
                  <pic:spPr>
                    <a:xfrm>
                      <a:off x="0" y="0"/>
                      <a:ext cx="5821200" cy="3369600"/>
                    </a:xfrm>
                    <a:prstGeom prst="rect">
                      <a:avLst/>
                    </a:prstGeom>
                  </pic:spPr>
                </pic:pic>
              </a:graphicData>
            </a:graphic>
          </wp:inline>
        </w:drawing>
      </w:r>
    </w:p>
    <w:p w14:paraId="5D2EFF16" w14:textId="77777777" w:rsidR="004F3DB1" w:rsidRPr="008034CE" w:rsidRDefault="004F3DB1" w:rsidP="004F3DB1">
      <w:pPr>
        <w:spacing w:before="60" w:after="60" w:line="240" w:lineRule="atLeast"/>
        <w:rPr>
          <w:rFonts w:cs="Calibri"/>
          <w:sz w:val="20"/>
          <w:szCs w:val="18"/>
        </w:rPr>
      </w:pPr>
      <w:r w:rsidRPr="008034CE">
        <w:rPr>
          <w:rFonts w:cs="Calibri"/>
          <w:sz w:val="20"/>
          <w:szCs w:val="18"/>
        </w:rPr>
        <w:t>Note: The largest five plan managers are based on total payments from January 2022 to December 2024. This group has remained unchanged since January-June 2023. In 2022, Leap In! Australia Ltd was in the top 5 and nib Thrive was not represented in this group.</w:t>
      </w:r>
    </w:p>
    <w:p w14:paraId="6EFCE72D" w14:textId="77777777" w:rsidR="004F3DB1" w:rsidRPr="008034CE" w:rsidRDefault="004F3DB1" w:rsidP="004F3DB1">
      <w:pPr>
        <w:pStyle w:val="Heading5"/>
      </w:pPr>
      <w:bookmarkStart w:id="619" w:name="_Toc196304230"/>
      <w:bookmarkStart w:id="620" w:name="_Toc200103577"/>
      <w:bookmarkStart w:id="621" w:name="_Toc200271689"/>
      <w:r w:rsidRPr="008034CE">
        <w:t>Top 10 providers market share by remoteness</w:t>
      </w:r>
      <w:bookmarkEnd w:id="619"/>
      <w:bookmarkEnd w:id="620"/>
      <w:bookmarkEnd w:id="621"/>
    </w:p>
    <w:p w14:paraId="773D90AC" w14:textId="50A0DDC3" w:rsidR="004F3DB1" w:rsidRPr="008034CE" w:rsidRDefault="004F3DB1" w:rsidP="004F3DB1">
      <w:r w:rsidRPr="008034CE">
        <w:t>The increasing market share held by the top 10 plan managers across all remoteness areas suggests that market consolidation is no longer confined to metropolitan regions (</w:t>
      </w:r>
      <w:r w:rsidRPr="008034CE">
        <w:fldChar w:fldCharType="begin"/>
      </w:r>
      <w:r w:rsidRPr="008034CE">
        <w:instrText xml:space="preserve"> REF _Ref195636713 \h  \* MERGEFORMAT </w:instrText>
      </w:r>
      <w:r w:rsidRPr="008034CE">
        <w:fldChar w:fldCharType="separate"/>
      </w:r>
      <w:r w:rsidR="005763F9" w:rsidRPr="008034CE">
        <w:t xml:space="preserve">Figure </w:t>
      </w:r>
      <w:r w:rsidR="005763F9">
        <w:t>39</w:t>
      </w:r>
      <w:r w:rsidRPr="008034CE">
        <w:fldChar w:fldCharType="end"/>
      </w:r>
      <w:r w:rsidRPr="008034CE">
        <w:t xml:space="preserve">). In non-remote areas, the top 10 plan management providers accounted for 41% in the second half of 2024. In remote areas, their market share rose from 27% to 38% between 2022 and 2024, the largest proportional increase of any region. Very remote areas saw a smaller but still notable increase, from 22% to 27% over the same period. </w:t>
      </w:r>
    </w:p>
    <w:p w14:paraId="4E6D6C23" w14:textId="6B1E4431" w:rsidR="007F2C76" w:rsidRPr="008034CE" w:rsidRDefault="004F3DB1" w:rsidP="007F2C76">
      <w:r w:rsidRPr="008034CE">
        <w:t>This growth has occurred without significant turnover in the provider base: the same 10 plan managers have maintained their position across the reporting period. These</w:t>
      </w:r>
      <w:r w:rsidR="00CA25F5">
        <w:t> </w:t>
      </w:r>
      <w:r w:rsidRPr="008034CE">
        <w:t>results indicate that large, established providers are now delivering plan</w:t>
      </w:r>
      <w:r w:rsidR="00CA25F5">
        <w:t xml:space="preserve"> </w:t>
      </w:r>
      <w:r w:rsidR="007F2C76" w:rsidRPr="008034CE">
        <w:t xml:space="preserve">management services at scale across all parts of the country, including in regions </w:t>
      </w:r>
      <w:r w:rsidR="007F2C76" w:rsidRPr="008034CE">
        <w:lastRenderedPageBreak/>
        <w:t xml:space="preserve">that have historically required additional pricing support. This is an interesting finding given many plan managers are now operating virtually, rather than providing the more traditional face to face supports. </w:t>
      </w:r>
    </w:p>
    <w:p w14:paraId="56DA536E" w14:textId="31583A22" w:rsidR="007F2C76" w:rsidRPr="008034CE" w:rsidRDefault="007F2C76" w:rsidP="007F2C76">
      <w:pPr>
        <w:pStyle w:val="Caption"/>
      </w:pPr>
      <w:bookmarkStart w:id="622" w:name="_Ref195636713"/>
      <w:r w:rsidRPr="008034CE">
        <w:t xml:space="preserve">Figure </w:t>
      </w:r>
      <w:r w:rsidR="005763F9">
        <w:fldChar w:fldCharType="begin"/>
      </w:r>
      <w:r w:rsidR="005763F9">
        <w:instrText xml:space="preserve"> SEQ Figure \* ARABIC </w:instrText>
      </w:r>
      <w:r w:rsidR="005763F9">
        <w:fldChar w:fldCharType="separate"/>
      </w:r>
      <w:r w:rsidR="005763F9">
        <w:rPr>
          <w:noProof/>
        </w:rPr>
        <w:t>39</w:t>
      </w:r>
      <w:r w:rsidR="005763F9">
        <w:rPr>
          <w:noProof/>
        </w:rPr>
        <w:fldChar w:fldCharType="end"/>
      </w:r>
      <w:bookmarkEnd w:id="622"/>
      <w:r w:rsidRPr="008034CE">
        <w:t>: Top 10 providers market share by Remoteness, January 2022 to December 2024</w:t>
      </w:r>
    </w:p>
    <w:p w14:paraId="10BF7F33" w14:textId="77777777" w:rsidR="007F2C76" w:rsidRPr="008034CE" w:rsidRDefault="007F2C76" w:rsidP="007F2C76">
      <w:r w:rsidRPr="008034CE">
        <w:rPr>
          <w:noProof/>
        </w:rPr>
        <w:drawing>
          <wp:inline distT="0" distB="0" distL="0" distR="0" wp14:anchorId="6B6767CB" wp14:editId="6F3256A8">
            <wp:extent cx="5076000" cy="2927907"/>
            <wp:effectExtent l="0" t="0" r="0" b="6350"/>
            <wp:docPr id="6" name="Picture 5" descr="A line graph showing the top 10 providers' market share by remoteness for plan management services from January 2022 to December 2024. The graph shows that non-remote providers hold the largest market share.&#10;&#10;From January to June 2022, the market share of non-remote providers was 37%, remote providers was 27%, and very remote providers was 22%.&#10;&#10;From July to December 2022, the market share of non-remote providers was 37%, remote providers was 29%, and very remote providers was 26%.&#10;&#10;From January to June 2023, the market share of non-remote providers was 36%, remote providers was 29%, and very remote providers was 25%.&#10;&#10;From July to December 2023, the market share of non-remote providers was 38%, remote providers was 31%, and very remote providers was 25%.&#10;&#10;From January to June 2024, the market share of non-remote providers was 37%, remote providers was 34%, and very remote providers was 21%.&#10;&#10;From July to December 2024, the market share of non-remote providers was 41%, remote providers was 38%, and very remote providers was 27%.&#10;&#10;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line graph showing the top 10 providers' market share by remoteness for plan management services from January 2022 to December 2024. The graph shows that non-remote providers hold the largest market share.&#10;&#10;From January to June 2022, the market share of non-remote providers was 37%, remote providers was 27%, and very remote providers was 22%.&#10;&#10;From July to December 2022, the market share of non-remote providers was 37%, remote providers was 29%, and very remote providers was 26%.&#10;&#10;From January to June 2023, the market share of non-remote providers was 36%, remote providers was 29%, and very remote providers was 25%.&#10;&#10;From July to December 2023, the market share of non-remote providers was 38%, remote providers was 31%, and very remote providers was 25%.&#10;&#10;From January to June 2024, the market share of non-remote providers was 37%, remote providers was 34%, and very remote providers was 21%.&#10;&#10;From July to December 2024, the market share of non-remote providers was 41%, remote providers was 38%, and very remote providers was 27%.&#10;&#10;Source: NDIS internal administrative data."/>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bwMode="auto">
                    <a:xfrm>
                      <a:off x="0" y="0"/>
                      <a:ext cx="5076000" cy="2927907"/>
                    </a:xfrm>
                    <a:prstGeom prst="rect">
                      <a:avLst/>
                    </a:prstGeom>
                    <a:noFill/>
                    <a:ln>
                      <a:noFill/>
                    </a:ln>
                  </pic:spPr>
                </pic:pic>
              </a:graphicData>
            </a:graphic>
          </wp:inline>
        </w:drawing>
      </w:r>
    </w:p>
    <w:p w14:paraId="1D7F9202" w14:textId="77777777" w:rsidR="007F2C76" w:rsidRPr="008034CE" w:rsidRDefault="007F2C76" w:rsidP="007F2C76">
      <w:pPr>
        <w:pStyle w:val="Notefortableorfigure"/>
        <w:spacing w:before="120" w:after="120"/>
      </w:pPr>
      <w:r w:rsidRPr="008034CE">
        <w:t>Note: Top 10 providers are determined by total payment processed by the plan managers.</w:t>
      </w:r>
    </w:p>
    <w:p w14:paraId="42111F55" w14:textId="77777777" w:rsidR="007F2C76" w:rsidRPr="008034CE" w:rsidRDefault="007F2C76" w:rsidP="007F2C76">
      <w:pPr>
        <w:pStyle w:val="Heading5"/>
      </w:pPr>
      <w:bookmarkStart w:id="623" w:name="_Toc196304231"/>
      <w:bookmarkStart w:id="624" w:name="_Toc200103578"/>
      <w:bookmarkStart w:id="625" w:name="_Toc200271690"/>
      <w:r w:rsidRPr="008034CE">
        <w:t>Providers by remoteness</w:t>
      </w:r>
      <w:bookmarkEnd w:id="623"/>
      <w:bookmarkEnd w:id="624"/>
      <w:bookmarkEnd w:id="625"/>
    </w:p>
    <w:p w14:paraId="25EBDA18" w14:textId="3B46FA5D" w:rsidR="007F2C76" w:rsidRPr="008034CE" w:rsidRDefault="007F2C76" w:rsidP="007F2C76">
      <w:r w:rsidRPr="008034CE">
        <w:t>The number of active plan managers increased across all areas between January 2022 and December 2024, with remote and very remote regions growing by 49% and 46% respectively. In contrast, non-remote areas grew by just 15% (</w:t>
      </w:r>
      <w:r w:rsidRPr="008034CE">
        <w:fldChar w:fldCharType="begin"/>
      </w:r>
      <w:r w:rsidRPr="008034CE">
        <w:instrText xml:space="preserve"> REF _Ref195636528 \h  \* MERGEFORMAT </w:instrText>
      </w:r>
      <w:r w:rsidRPr="008034CE">
        <w:fldChar w:fldCharType="separate"/>
      </w:r>
      <w:r w:rsidR="005763F9" w:rsidRPr="008034CE">
        <w:t xml:space="preserve">Table </w:t>
      </w:r>
      <w:r w:rsidR="005763F9">
        <w:t>35</w:t>
      </w:r>
      <w:r w:rsidRPr="008034CE">
        <w:fldChar w:fldCharType="end"/>
      </w:r>
      <w:r w:rsidRPr="008034CE">
        <w:t xml:space="preserve">). </w:t>
      </w:r>
    </w:p>
    <w:p w14:paraId="641A98DE" w14:textId="11F9C158" w:rsidR="00947C80" w:rsidRDefault="007F2C76" w:rsidP="007F2C76">
      <w:r w:rsidRPr="008034CE">
        <w:t xml:space="preserve">This growth suggests that plan managers, particularly large providers, are increasingly capable of servicing participant across all geographic settings. Combined with rising market share for the top 10 providers, these trends indicate that geographic barriers to entry may be diminishing. This has implications for the continued need for remote loadings or location-based pricing adjustments. </w:t>
      </w:r>
    </w:p>
    <w:p w14:paraId="357B186C" w14:textId="77777777" w:rsidR="00947C80" w:rsidRDefault="00947C80">
      <w:pPr>
        <w:spacing w:before="120" w:after="120"/>
      </w:pPr>
      <w:r>
        <w:br w:type="page"/>
      </w:r>
    </w:p>
    <w:p w14:paraId="156CAE9C" w14:textId="19D73B5E" w:rsidR="00947C80" w:rsidRPr="008034CE" w:rsidRDefault="00947C80" w:rsidP="00947C80">
      <w:pPr>
        <w:pStyle w:val="Caption"/>
      </w:pPr>
      <w:bookmarkStart w:id="626" w:name="_Ref195636528"/>
      <w:r w:rsidRPr="008034CE">
        <w:lastRenderedPageBreak/>
        <w:t xml:space="preserve">Table </w:t>
      </w:r>
      <w:r w:rsidR="005763F9">
        <w:fldChar w:fldCharType="begin"/>
      </w:r>
      <w:r w:rsidR="005763F9">
        <w:instrText xml:space="preserve"> SEQ Table \* ARABIC </w:instrText>
      </w:r>
      <w:r w:rsidR="005763F9">
        <w:fldChar w:fldCharType="separate"/>
      </w:r>
      <w:r w:rsidR="005763F9">
        <w:rPr>
          <w:noProof/>
        </w:rPr>
        <w:t>35</w:t>
      </w:r>
      <w:r w:rsidR="005763F9">
        <w:rPr>
          <w:noProof/>
        </w:rPr>
        <w:fldChar w:fldCharType="end"/>
      </w:r>
      <w:bookmarkEnd w:id="626"/>
      <w:r w:rsidRPr="008034CE">
        <w:t>: Active Plan Managers by Remoteness, January 2022 to December 2024</w:t>
      </w:r>
    </w:p>
    <w:tbl>
      <w:tblPr>
        <w:tblStyle w:val="GridTable4-Accent12"/>
        <w:tblW w:w="0" w:type="auto"/>
        <w:tblInd w:w="-5" w:type="dxa"/>
        <w:tblLayout w:type="fixed"/>
        <w:tblLook w:val="0420" w:firstRow="1" w:lastRow="0" w:firstColumn="0" w:lastColumn="0" w:noHBand="0" w:noVBand="1"/>
      </w:tblPr>
      <w:tblGrid>
        <w:gridCol w:w="1758"/>
        <w:gridCol w:w="1196"/>
        <w:gridCol w:w="1196"/>
        <w:gridCol w:w="1196"/>
        <w:gridCol w:w="1196"/>
        <w:gridCol w:w="1196"/>
        <w:gridCol w:w="1196"/>
      </w:tblGrid>
      <w:tr w:rsidR="00B25562" w:rsidRPr="007C1E37" w14:paraId="4D54E55F" w14:textId="77777777" w:rsidTr="009C2296">
        <w:trPr>
          <w:cnfStyle w:val="100000000000" w:firstRow="1" w:lastRow="0" w:firstColumn="0" w:lastColumn="0" w:oddVBand="0" w:evenVBand="0" w:oddHBand="0" w:evenHBand="0" w:firstRowFirstColumn="0" w:firstRowLastColumn="0" w:lastRowFirstColumn="0" w:lastRowLastColumn="0"/>
          <w:trHeight w:val="567"/>
          <w:tblHeader/>
        </w:trPr>
        <w:tc>
          <w:tcPr>
            <w:tcW w:w="1758" w:type="dxa"/>
            <w:tcBorders>
              <w:top w:val="single" w:sz="4" w:space="0" w:color="501E58" w:themeColor="accent5" w:themeShade="BF"/>
              <w:left w:val="single" w:sz="4" w:space="0" w:color="501E58" w:themeColor="accent5" w:themeShade="BF"/>
              <w:bottom w:val="single" w:sz="4" w:space="0" w:color="501E58" w:themeColor="accent5" w:themeShade="BF"/>
              <w:right w:val="single" w:sz="6" w:space="0" w:color="501E58" w:themeColor="accent5" w:themeShade="BF"/>
            </w:tcBorders>
            <w:hideMark/>
          </w:tcPr>
          <w:p w14:paraId="31B82C1F" w14:textId="77777777" w:rsidR="00B25562" w:rsidRPr="007C1E37" w:rsidRDefault="00B25562" w:rsidP="009C2296">
            <w:pPr>
              <w:spacing w:before="60" w:after="60"/>
              <w:rPr>
                <w:rFonts w:cs="Arial"/>
                <w:sz w:val="20"/>
                <w:szCs w:val="20"/>
                <w:lang w:eastAsia="en-AU"/>
              </w:rPr>
            </w:pPr>
            <w:r w:rsidRPr="007C1E37">
              <w:rPr>
                <w:rFonts w:cs="Arial"/>
                <w:sz w:val="20"/>
                <w:szCs w:val="20"/>
                <w:lang w:eastAsia="en-AU"/>
              </w:rPr>
              <w:t>Remoteness</w:t>
            </w:r>
          </w:p>
        </w:tc>
        <w:tc>
          <w:tcPr>
            <w:tcW w:w="1196"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tcPr>
          <w:p w14:paraId="018177E2" w14:textId="77777777" w:rsidR="00B25562" w:rsidRPr="007C1E37" w:rsidRDefault="00B25562" w:rsidP="009C2296">
            <w:pPr>
              <w:spacing w:before="60" w:after="0"/>
              <w:jc w:val="right"/>
              <w:rPr>
                <w:rFonts w:cs="Arial"/>
                <w:sz w:val="20"/>
                <w:szCs w:val="20"/>
              </w:rPr>
            </w:pPr>
            <w:r w:rsidRPr="007C1E37">
              <w:rPr>
                <w:rFonts w:cs="Arial"/>
                <w:sz w:val="20"/>
                <w:szCs w:val="20"/>
              </w:rPr>
              <w:t>January – June</w:t>
            </w:r>
          </w:p>
          <w:p w14:paraId="5EE0CBAD" w14:textId="77777777" w:rsidR="00B25562" w:rsidRPr="007C1E37" w:rsidRDefault="00B25562" w:rsidP="009C2296">
            <w:pPr>
              <w:spacing w:after="60"/>
              <w:jc w:val="right"/>
              <w:rPr>
                <w:rFonts w:cs="Arial"/>
                <w:sz w:val="20"/>
                <w:szCs w:val="20"/>
                <w:lang w:eastAsia="en-AU"/>
              </w:rPr>
            </w:pPr>
            <w:r w:rsidRPr="007C1E37">
              <w:rPr>
                <w:rFonts w:cs="Arial"/>
                <w:sz w:val="20"/>
                <w:szCs w:val="20"/>
              </w:rPr>
              <w:t>2022</w:t>
            </w:r>
          </w:p>
        </w:tc>
        <w:tc>
          <w:tcPr>
            <w:tcW w:w="1196"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tcPr>
          <w:p w14:paraId="70F29CFD" w14:textId="77777777" w:rsidR="00B25562" w:rsidRPr="007C1E37" w:rsidRDefault="00B25562" w:rsidP="009C2296">
            <w:pPr>
              <w:spacing w:before="60" w:after="60"/>
              <w:jc w:val="right"/>
              <w:rPr>
                <w:rFonts w:cs="Arial"/>
                <w:sz w:val="20"/>
                <w:szCs w:val="20"/>
                <w:lang w:eastAsia="en-AU"/>
              </w:rPr>
            </w:pPr>
            <w:r w:rsidRPr="007C1E37">
              <w:rPr>
                <w:rFonts w:cs="Arial"/>
                <w:sz w:val="20"/>
                <w:szCs w:val="20"/>
              </w:rPr>
              <w:t>July – December 2022</w:t>
            </w:r>
          </w:p>
        </w:tc>
        <w:tc>
          <w:tcPr>
            <w:tcW w:w="1196"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tcPr>
          <w:p w14:paraId="267D85DB" w14:textId="77777777" w:rsidR="00B25562" w:rsidRPr="007C1E37" w:rsidRDefault="00B25562" w:rsidP="009C2296">
            <w:pPr>
              <w:spacing w:before="60" w:after="0"/>
              <w:jc w:val="right"/>
              <w:rPr>
                <w:rFonts w:cs="Arial"/>
                <w:sz w:val="20"/>
                <w:szCs w:val="20"/>
              </w:rPr>
            </w:pPr>
            <w:r w:rsidRPr="007C1E37">
              <w:rPr>
                <w:rFonts w:cs="Arial"/>
                <w:sz w:val="20"/>
                <w:szCs w:val="20"/>
              </w:rPr>
              <w:t>January – June</w:t>
            </w:r>
          </w:p>
          <w:p w14:paraId="3884E46C" w14:textId="77777777" w:rsidR="00B25562" w:rsidRPr="007C1E37" w:rsidRDefault="00B25562" w:rsidP="009C2296">
            <w:pPr>
              <w:spacing w:after="60"/>
              <w:jc w:val="right"/>
              <w:rPr>
                <w:rFonts w:cs="Arial"/>
                <w:sz w:val="20"/>
                <w:szCs w:val="20"/>
                <w:lang w:eastAsia="en-AU"/>
              </w:rPr>
            </w:pPr>
            <w:r w:rsidRPr="007C1E37">
              <w:rPr>
                <w:rFonts w:cs="Arial"/>
                <w:sz w:val="20"/>
                <w:szCs w:val="20"/>
              </w:rPr>
              <w:t>2023</w:t>
            </w:r>
          </w:p>
        </w:tc>
        <w:tc>
          <w:tcPr>
            <w:tcW w:w="1196"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hideMark/>
          </w:tcPr>
          <w:p w14:paraId="5D3BD01C" w14:textId="77777777" w:rsidR="00B25562" w:rsidRPr="007C1E37" w:rsidRDefault="00B25562" w:rsidP="009C2296">
            <w:pPr>
              <w:spacing w:before="60" w:after="60"/>
              <w:jc w:val="right"/>
              <w:rPr>
                <w:rFonts w:cs="Arial"/>
                <w:sz w:val="20"/>
                <w:szCs w:val="20"/>
                <w:lang w:eastAsia="en-AU"/>
              </w:rPr>
            </w:pPr>
            <w:r w:rsidRPr="007C1E37">
              <w:rPr>
                <w:rFonts w:cs="Arial"/>
                <w:sz w:val="20"/>
                <w:szCs w:val="20"/>
              </w:rPr>
              <w:t>July – December 2023</w:t>
            </w:r>
          </w:p>
        </w:tc>
        <w:tc>
          <w:tcPr>
            <w:tcW w:w="1196"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hideMark/>
          </w:tcPr>
          <w:p w14:paraId="5AABA9F2" w14:textId="77777777" w:rsidR="00B25562" w:rsidRPr="007C1E37" w:rsidRDefault="00B25562" w:rsidP="009C2296">
            <w:pPr>
              <w:spacing w:before="60" w:after="0"/>
              <w:jc w:val="right"/>
              <w:rPr>
                <w:rFonts w:cs="Arial"/>
                <w:sz w:val="20"/>
                <w:szCs w:val="20"/>
              </w:rPr>
            </w:pPr>
            <w:r w:rsidRPr="007C1E37">
              <w:rPr>
                <w:rFonts w:cs="Arial"/>
                <w:sz w:val="20"/>
                <w:szCs w:val="20"/>
              </w:rPr>
              <w:t>January – June</w:t>
            </w:r>
          </w:p>
          <w:p w14:paraId="06A398B6" w14:textId="77777777" w:rsidR="00B25562" w:rsidRPr="007C1E37" w:rsidRDefault="00B25562" w:rsidP="009C2296">
            <w:pPr>
              <w:spacing w:after="60"/>
              <w:jc w:val="right"/>
              <w:rPr>
                <w:rFonts w:cs="Arial"/>
                <w:sz w:val="20"/>
                <w:szCs w:val="20"/>
                <w:lang w:eastAsia="en-AU"/>
              </w:rPr>
            </w:pPr>
            <w:r w:rsidRPr="007C1E37">
              <w:rPr>
                <w:rFonts w:cs="Arial"/>
                <w:sz w:val="20"/>
                <w:szCs w:val="20"/>
              </w:rPr>
              <w:t>2024</w:t>
            </w:r>
          </w:p>
        </w:tc>
        <w:tc>
          <w:tcPr>
            <w:tcW w:w="1196" w:type="dxa"/>
            <w:tcBorders>
              <w:top w:val="single" w:sz="4" w:space="0" w:color="501E58" w:themeColor="accent5" w:themeShade="BF"/>
              <w:left w:val="single" w:sz="6" w:space="0" w:color="501E58" w:themeColor="accent5" w:themeShade="BF"/>
              <w:bottom w:val="single" w:sz="4" w:space="0" w:color="501E58" w:themeColor="accent5" w:themeShade="BF"/>
              <w:right w:val="single" w:sz="4" w:space="0" w:color="501E58" w:themeColor="accent5" w:themeShade="BF"/>
            </w:tcBorders>
            <w:hideMark/>
          </w:tcPr>
          <w:p w14:paraId="4D2631E4" w14:textId="77777777" w:rsidR="00B25562" w:rsidRPr="007C1E37" w:rsidRDefault="00B25562" w:rsidP="009C2296">
            <w:pPr>
              <w:spacing w:before="60" w:after="60"/>
              <w:jc w:val="right"/>
              <w:rPr>
                <w:rFonts w:cs="Arial"/>
                <w:sz w:val="20"/>
                <w:szCs w:val="20"/>
                <w:lang w:eastAsia="en-AU"/>
              </w:rPr>
            </w:pPr>
            <w:r w:rsidRPr="007C1E37">
              <w:rPr>
                <w:rFonts w:cs="Arial"/>
                <w:sz w:val="20"/>
                <w:szCs w:val="20"/>
              </w:rPr>
              <w:t>July – December 2024</w:t>
            </w:r>
          </w:p>
        </w:tc>
      </w:tr>
      <w:tr w:rsidR="00B25562" w:rsidRPr="00E264AC" w14:paraId="422DFDCC" w14:textId="77777777" w:rsidTr="009C2296">
        <w:trPr>
          <w:cnfStyle w:val="000000100000" w:firstRow="0" w:lastRow="0" w:firstColumn="0" w:lastColumn="0" w:oddVBand="0" w:evenVBand="0" w:oddHBand="1" w:evenHBand="0" w:firstRowFirstColumn="0" w:firstRowLastColumn="0" w:lastRowFirstColumn="0" w:lastRowLastColumn="0"/>
          <w:trHeight w:val="397"/>
        </w:trPr>
        <w:tc>
          <w:tcPr>
            <w:tcW w:w="1758"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4CF05CC8" w14:textId="77777777" w:rsidR="00B25562" w:rsidRPr="00E264AC" w:rsidRDefault="00B25562" w:rsidP="009C2296">
            <w:pPr>
              <w:spacing w:before="60" w:after="60"/>
              <w:ind w:left="37"/>
              <w:rPr>
                <w:rFonts w:cs="Arial"/>
                <w:sz w:val="20"/>
                <w:szCs w:val="20"/>
                <w:lang w:eastAsia="en-AU"/>
              </w:rPr>
            </w:pPr>
            <w:r w:rsidRPr="00E264AC">
              <w:rPr>
                <w:sz w:val="20"/>
                <w:szCs w:val="20"/>
              </w:rPr>
              <w:t>Non-</w:t>
            </w:r>
            <w:r>
              <w:rPr>
                <w:sz w:val="20"/>
                <w:szCs w:val="20"/>
              </w:rPr>
              <w:t>r</w:t>
            </w:r>
            <w:r w:rsidRPr="00E264AC">
              <w:rPr>
                <w:sz w:val="20"/>
                <w:szCs w:val="20"/>
              </w:rPr>
              <w:t>emote</w:t>
            </w:r>
          </w:p>
        </w:tc>
        <w:tc>
          <w:tcPr>
            <w:tcW w:w="1196"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3C243461" w14:textId="77777777" w:rsidR="00B25562" w:rsidRPr="00E264AC" w:rsidRDefault="00B25562" w:rsidP="009C2296">
            <w:pPr>
              <w:spacing w:before="60" w:after="60"/>
              <w:jc w:val="right"/>
              <w:rPr>
                <w:rFonts w:cs="Arial"/>
                <w:color w:val="000000"/>
                <w:sz w:val="20"/>
                <w:szCs w:val="20"/>
              </w:rPr>
            </w:pPr>
            <w:r w:rsidRPr="00E264AC">
              <w:rPr>
                <w:sz w:val="20"/>
                <w:szCs w:val="20"/>
              </w:rPr>
              <w:t>1,190</w:t>
            </w:r>
          </w:p>
        </w:tc>
        <w:tc>
          <w:tcPr>
            <w:tcW w:w="1196"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53FA5144" w14:textId="77777777" w:rsidR="00B25562" w:rsidRPr="00E264AC" w:rsidRDefault="00B25562" w:rsidP="009C2296">
            <w:pPr>
              <w:spacing w:before="60" w:after="60"/>
              <w:jc w:val="right"/>
              <w:rPr>
                <w:rFonts w:cs="Arial"/>
                <w:color w:val="000000"/>
                <w:sz w:val="20"/>
                <w:szCs w:val="20"/>
              </w:rPr>
            </w:pPr>
            <w:r w:rsidRPr="00E264AC">
              <w:rPr>
                <w:sz w:val="20"/>
                <w:szCs w:val="20"/>
              </w:rPr>
              <w:t>1,262</w:t>
            </w:r>
          </w:p>
        </w:tc>
        <w:tc>
          <w:tcPr>
            <w:tcW w:w="1196"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450C8A59" w14:textId="77777777" w:rsidR="00B25562" w:rsidRPr="00E264AC" w:rsidRDefault="00B25562" w:rsidP="009C2296">
            <w:pPr>
              <w:spacing w:before="60" w:after="60"/>
              <w:jc w:val="right"/>
              <w:rPr>
                <w:rFonts w:cs="Arial"/>
                <w:color w:val="000000"/>
                <w:sz w:val="20"/>
                <w:szCs w:val="20"/>
              </w:rPr>
            </w:pPr>
            <w:r w:rsidRPr="00E264AC">
              <w:rPr>
                <w:sz w:val="20"/>
                <w:szCs w:val="20"/>
              </w:rPr>
              <w:t>1,278</w:t>
            </w:r>
          </w:p>
        </w:tc>
        <w:tc>
          <w:tcPr>
            <w:tcW w:w="1196"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0D2460B6" w14:textId="77777777" w:rsidR="00B25562" w:rsidRPr="00E264AC" w:rsidRDefault="00B25562" w:rsidP="009C2296">
            <w:pPr>
              <w:spacing w:before="60" w:after="60"/>
              <w:jc w:val="right"/>
              <w:rPr>
                <w:rFonts w:cs="Arial"/>
                <w:color w:val="000000"/>
                <w:sz w:val="20"/>
                <w:szCs w:val="20"/>
              </w:rPr>
            </w:pPr>
            <w:r w:rsidRPr="00E264AC">
              <w:rPr>
                <w:sz w:val="20"/>
                <w:szCs w:val="20"/>
              </w:rPr>
              <w:t>1,325</w:t>
            </w:r>
          </w:p>
        </w:tc>
        <w:tc>
          <w:tcPr>
            <w:tcW w:w="1196"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479EDA91" w14:textId="77777777" w:rsidR="00B25562" w:rsidRPr="00E264AC" w:rsidRDefault="00B25562" w:rsidP="009C2296">
            <w:pPr>
              <w:spacing w:before="60" w:after="60"/>
              <w:jc w:val="right"/>
              <w:rPr>
                <w:rFonts w:cs="Arial"/>
                <w:color w:val="000000"/>
                <w:sz w:val="20"/>
                <w:szCs w:val="20"/>
              </w:rPr>
            </w:pPr>
            <w:r w:rsidRPr="00E264AC">
              <w:rPr>
                <w:sz w:val="20"/>
                <w:szCs w:val="20"/>
              </w:rPr>
              <w:t>1,356</w:t>
            </w:r>
          </w:p>
        </w:tc>
        <w:tc>
          <w:tcPr>
            <w:tcW w:w="1196"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vAlign w:val="center"/>
          </w:tcPr>
          <w:p w14:paraId="3433CC36" w14:textId="77777777" w:rsidR="00B25562" w:rsidRPr="00E264AC" w:rsidRDefault="00B25562" w:rsidP="009C2296">
            <w:pPr>
              <w:spacing w:before="60" w:after="60"/>
              <w:jc w:val="right"/>
              <w:rPr>
                <w:rFonts w:cs="Arial"/>
                <w:color w:val="000000"/>
                <w:sz w:val="20"/>
                <w:szCs w:val="20"/>
              </w:rPr>
            </w:pPr>
            <w:r w:rsidRPr="00E264AC">
              <w:rPr>
                <w:sz w:val="20"/>
                <w:szCs w:val="20"/>
              </w:rPr>
              <w:t>1,373</w:t>
            </w:r>
          </w:p>
        </w:tc>
      </w:tr>
      <w:tr w:rsidR="00B25562" w:rsidRPr="00E264AC" w14:paraId="63C9F7AA" w14:textId="77777777" w:rsidTr="009C2296">
        <w:trPr>
          <w:trHeight w:val="397"/>
        </w:trPr>
        <w:tc>
          <w:tcPr>
            <w:tcW w:w="175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796E4E34" w14:textId="77777777" w:rsidR="00B25562" w:rsidRPr="00E264AC" w:rsidRDefault="00B25562" w:rsidP="009C2296">
            <w:pPr>
              <w:spacing w:before="60" w:after="60"/>
              <w:ind w:left="37"/>
              <w:rPr>
                <w:rFonts w:cs="Arial"/>
                <w:sz w:val="20"/>
                <w:szCs w:val="20"/>
                <w:lang w:eastAsia="en-AU"/>
              </w:rPr>
            </w:pPr>
            <w:r w:rsidRPr="00E264AC">
              <w:rPr>
                <w:sz w:val="20"/>
                <w:szCs w:val="20"/>
              </w:rPr>
              <w:t>Remote</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17BB0B97" w14:textId="77777777" w:rsidR="00B25562" w:rsidRPr="00E264AC" w:rsidRDefault="00B25562" w:rsidP="009C2296">
            <w:pPr>
              <w:spacing w:before="60" w:after="60"/>
              <w:jc w:val="right"/>
              <w:rPr>
                <w:rFonts w:cs="Arial"/>
                <w:color w:val="000000"/>
                <w:sz w:val="20"/>
                <w:szCs w:val="20"/>
              </w:rPr>
            </w:pPr>
            <w:r w:rsidRPr="00E264AC">
              <w:rPr>
                <w:sz w:val="20"/>
                <w:szCs w:val="20"/>
              </w:rPr>
              <w:t>213</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7DB86C81" w14:textId="77777777" w:rsidR="00B25562" w:rsidRPr="00E264AC" w:rsidRDefault="00B25562" w:rsidP="009C2296">
            <w:pPr>
              <w:spacing w:before="60" w:after="60"/>
              <w:jc w:val="right"/>
              <w:rPr>
                <w:rFonts w:cs="Arial"/>
                <w:color w:val="000000"/>
                <w:sz w:val="20"/>
                <w:szCs w:val="20"/>
              </w:rPr>
            </w:pPr>
            <w:r w:rsidRPr="00E264AC">
              <w:rPr>
                <w:sz w:val="20"/>
                <w:szCs w:val="20"/>
              </w:rPr>
              <w:t>227</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27278A19" w14:textId="77777777" w:rsidR="00B25562" w:rsidRPr="00E264AC" w:rsidRDefault="00B25562" w:rsidP="009C2296">
            <w:pPr>
              <w:spacing w:before="60" w:after="60"/>
              <w:jc w:val="right"/>
              <w:rPr>
                <w:rFonts w:cs="Arial"/>
                <w:color w:val="000000"/>
                <w:sz w:val="20"/>
                <w:szCs w:val="20"/>
              </w:rPr>
            </w:pPr>
            <w:r w:rsidRPr="00E264AC">
              <w:rPr>
                <w:sz w:val="20"/>
                <w:szCs w:val="20"/>
              </w:rPr>
              <w:t>247</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32E9B707" w14:textId="77777777" w:rsidR="00B25562" w:rsidRPr="00E264AC" w:rsidRDefault="00B25562" w:rsidP="009C2296">
            <w:pPr>
              <w:spacing w:before="60" w:after="60"/>
              <w:jc w:val="right"/>
              <w:rPr>
                <w:rFonts w:cs="Arial"/>
                <w:color w:val="000000"/>
                <w:sz w:val="20"/>
                <w:szCs w:val="20"/>
              </w:rPr>
            </w:pPr>
            <w:r w:rsidRPr="00E264AC">
              <w:rPr>
                <w:sz w:val="20"/>
                <w:szCs w:val="20"/>
              </w:rPr>
              <w:t>261</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4B1F4821" w14:textId="77777777" w:rsidR="00B25562" w:rsidRPr="00E264AC" w:rsidRDefault="00B25562" w:rsidP="009C2296">
            <w:pPr>
              <w:spacing w:before="60" w:after="60"/>
              <w:jc w:val="right"/>
              <w:rPr>
                <w:rFonts w:cs="Arial"/>
                <w:color w:val="000000"/>
                <w:sz w:val="20"/>
                <w:szCs w:val="20"/>
              </w:rPr>
            </w:pPr>
            <w:r w:rsidRPr="00E264AC">
              <w:rPr>
                <w:sz w:val="20"/>
                <w:szCs w:val="20"/>
              </w:rPr>
              <w:t>320</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0A1F09DC" w14:textId="77777777" w:rsidR="00B25562" w:rsidRPr="00E264AC" w:rsidRDefault="00B25562" w:rsidP="009C2296">
            <w:pPr>
              <w:spacing w:before="60" w:after="60"/>
              <w:jc w:val="right"/>
              <w:rPr>
                <w:rFonts w:cs="Arial"/>
                <w:color w:val="000000"/>
                <w:sz w:val="20"/>
                <w:szCs w:val="20"/>
              </w:rPr>
            </w:pPr>
            <w:r w:rsidRPr="00E264AC">
              <w:rPr>
                <w:sz w:val="20"/>
                <w:szCs w:val="20"/>
              </w:rPr>
              <w:t>317</w:t>
            </w:r>
          </w:p>
        </w:tc>
      </w:tr>
      <w:tr w:rsidR="00B25562" w:rsidRPr="00E264AC" w14:paraId="3B8A16F6" w14:textId="77777777" w:rsidTr="009C2296">
        <w:trPr>
          <w:cnfStyle w:val="000000100000" w:firstRow="0" w:lastRow="0" w:firstColumn="0" w:lastColumn="0" w:oddVBand="0" w:evenVBand="0" w:oddHBand="1" w:evenHBand="0" w:firstRowFirstColumn="0" w:firstRowLastColumn="0" w:lastRowFirstColumn="0" w:lastRowLastColumn="0"/>
          <w:trHeight w:val="397"/>
        </w:trPr>
        <w:tc>
          <w:tcPr>
            <w:tcW w:w="175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562F1E2E" w14:textId="77777777" w:rsidR="00B25562" w:rsidRPr="00E264AC" w:rsidRDefault="00B25562" w:rsidP="009C2296">
            <w:pPr>
              <w:spacing w:before="60" w:after="60"/>
              <w:ind w:left="37"/>
              <w:rPr>
                <w:rFonts w:cs="Arial"/>
                <w:sz w:val="20"/>
                <w:szCs w:val="20"/>
                <w:lang w:eastAsia="en-AU"/>
              </w:rPr>
            </w:pPr>
            <w:r w:rsidRPr="00E264AC">
              <w:rPr>
                <w:sz w:val="20"/>
                <w:szCs w:val="20"/>
              </w:rPr>
              <w:t xml:space="preserve">Very </w:t>
            </w:r>
            <w:r>
              <w:rPr>
                <w:sz w:val="20"/>
                <w:szCs w:val="20"/>
              </w:rPr>
              <w:t>r</w:t>
            </w:r>
            <w:r w:rsidRPr="00E264AC">
              <w:rPr>
                <w:sz w:val="20"/>
                <w:szCs w:val="20"/>
              </w:rPr>
              <w:t>emote</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68A5BA5A" w14:textId="77777777" w:rsidR="00B25562" w:rsidRPr="00E264AC" w:rsidRDefault="00B25562" w:rsidP="009C2296">
            <w:pPr>
              <w:spacing w:before="60" w:after="60"/>
              <w:jc w:val="right"/>
              <w:rPr>
                <w:rFonts w:cs="Arial"/>
                <w:color w:val="000000"/>
                <w:sz w:val="20"/>
                <w:szCs w:val="20"/>
              </w:rPr>
            </w:pPr>
            <w:r w:rsidRPr="00E264AC">
              <w:rPr>
                <w:sz w:val="20"/>
                <w:szCs w:val="20"/>
              </w:rPr>
              <w:t>123</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38EB0143" w14:textId="77777777" w:rsidR="00B25562" w:rsidRPr="00E264AC" w:rsidRDefault="00B25562" w:rsidP="009C2296">
            <w:pPr>
              <w:spacing w:before="60" w:after="60"/>
              <w:jc w:val="right"/>
              <w:rPr>
                <w:rFonts w:cs="Arial"/>
                <w:color w:val="000000"/>
                <w:sz w:val="20"/>
                <w:szCs w:val="20"/>
              </w:rPr>
            </w:pPr>
            <w:r w:rsidRPr="00E264AC">
              <w:rPr>
                <w:sz w:val="20"/>
                <w:szCs w:val="20"/>
              </w:rPr>
              <w:t>137</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2A9C36C4" w14:textId="77777777" w:rsidR="00B25562" w:rsidRPr="00E264AC" w:rsidRDefault="00B25562" w:rsidP="009C2296">
            <w:pPr>
              <w:spacing w:before="60" w:after="60"/>
              <w:jc w:val="right"/>
              <w:rPr>
                <w:rFonts w:cs="Arial"/>
                <w:color w:val="000000"/>
                <w:sz w:val="20"/>
                <w:szCs w:val="20"/>
              </w:rPr>
            </w:pPr>
            <w:r w:rsidRPr="00E264AC">
              <w:rPr>
                <w:sz w:val="20"/>
                <w:szCs w:val="20"/>
              </w:rPr>
              <w:t>155</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45EDC55C" w14:textId="77777777" w:rsidR="00B25562" w:rsidRPr="00E264AC" w:rsidRDefault="00B25562" w:rsidP="009C2296">
            <w:pPr>
              <w:spacing w:before="60" w:after="60"/>
              <w:jc w:val="right"/>
              <w:rPr>
                <w:rFonts w:cs="Arial"/>
                <w:color w:val="000000"/>
                <w:sz w:val="20"/>
                <w:szCs w:val="20"/>
              </w:rPr>
            </w:pPr>
            <w:r w:rsidRPr="00E264AC">
              <w:rPr>
                <w:sz w:val="20"/>
                <w:szCs w:val="20"/>
              </w:rPr>
              <w:t>165</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4DB93130" w14:textId="77777777" w:rsidR="00B25562" w:rsidRPr="00E264AC" w:rsidRDefault="00B25562" w:rsidP="009C2296">
            <w:pPr>
              <w:spacing w:before="60" w:after="60"/>
              <w:jc w:val="right"/>
              <w:rPr>
                <w:rFonts w:cs="Arial"/>
                <w:color w:val="000000"/>
                <w:sz w:val="20"/>
                <w:szCs w:val="20"/>
              </w:rPr>
            </w:pPr>
            <w:r w:rsidRPr="00E264AC">
              <w:rPr>
                <w:sz w:val="20"/>
                <w:szCs w:val="20"/>
              </w:rPr>
              <w:t>172</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54A0E550" w14:textId="77777777" w:rsidR="00B25562" w:rsidRPr="00E264AC" w:rsidRDefault="00B25562" w:rsidP="009C2296">
            <w:pPr>
              <w:spacing w:before="60" w:after="60"/>
              <w:jc w:val="right"/>
              <w:rPr>
                <w:rFonts w:cs="Arial"/>
                <w:color w:val="000000"/>
                <w:sz w:val="20"/>
                <w:szCs w:val="20"/>
              </w:rPr>
            </w:pPr>
            <w:r w:rsidRPr="00E264AC">
              <w:rPr>
                <w:sz w:val="20"/>
                <w:szCs w:val="20"/>
              </w:rPr>
              <w:t>179</w:t>
            </w:r>
          </w:p>
        </w:tc>
      </w:tr>
      <w:tr w:rsidR="00B25562" w:rsidRPr="00E264AC" w14:paraId="3664E96F" w14:textId="77777777" w:rsidTr="009C2296">
        <w:trPr>
          <w:trHeight w:val="397"/>
        </w:trPr>
        <w:tc>
          <w:tcPr>
            <w:tcW w:w="1758"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3B9FC099" w14:textId="77777777" w:rsidR="00B25562" w:rsidRPr="00E264AC" w:rsidRDefault="00B25562" w:rsidP="009C2296">
            <w:pPr>
              <w:spacing w:before="60" w:after="60"/>
              <w:ind w:left="37"/>
              <w:rPr>
                <w:rFonts w:cs="Arial"/>
                <w:b/>
                <w:bCs/>
                <w:sz w:val="20"/>
                <w:szCs w:val="20"/>
                <w:lang w:eastAsia="en-AU"/>
              </w:rPr>
            </w:pPr>
            <w:r w:rsidRPr="00E264AC">
              <w:rPr>
                <w:b/>
                <w:bCs/>
                <w:sz w:val="20"/>
                <w:szCs w:val="20"/>
              </w:rPr>
              <w:t>Overall</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7AAC7044" w14:textId="77777777" w:rsidR="00B25562" w:rsidRPr="00E264AC" w:rsidRDefault="00B25562" w:rsidP="009C2296">
            <w:pPr>
              <w:spacing w:before="60" w:after="60"/>
              <w:jc w:val="right"/>
              <w:rPr>
                <w:rFonts w:cs="Arial"/>
                <w:b/>
                <w:bCs/>
                <w:color w:val="000000"/>
                <w:sz w:val="20"/>
                <w:szCs w:val="20"/>
              </w:rPr>
            </w:pPr>
            <w:r w:rsidRPr="00E264AC">
              <w:rPr>
                <w:b/>
                <w:bCs/>
                <w:sz w:val="20"/>
                <w:szCs w:val="20"/>
              </w:rPr>
              <w:t>1,192</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445BD3DE" w14:textId="77777777" w:rsidR="00B25562" w:rsidRPr="00E264AC" w:rsidRDefault="00B25562" w:rsidP="009C2296">
            <w:pPr>
              <w:spacing w:before="60" w:after="60"/>
              <w:jc w:val="right"/>
              <w:rPr>
                <w:rFonts w:cs="Arial"/>
                <w:b/>
                <w:bCs/>
                <w:color w:val="000000"/>
                <w:sz w:val="20"/>
                <w:szCs w:val="20"/>
              </w:rPr>
            </w:pPr>
            <w:r w:rsidRPr="00E264AC">
              <w:rPr>
                <w:b/>
                <w:bCs/>
                <w:sz w:val="20"/>
                <w:szCs w:val="20"/>
              </w:rPr>
              <w:t>1,268</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11DBCC89" w14:textId="77777777" w:rsidR="00B25562" w:rsidRPr="00E264AC" w:rsidRDefault="00B25562" w:rsidP="009C2296">
            <w:pPr>
              <w:spacing w:before="60" w:after="60"/>
              <w:jc w:val="right"/>
              <w:rPr>
                <w:rFonts w:cs="Arial"/>
                <w:b/>
                <w:bCs/>
                <w:color w:val="000000"/>
                <w:sz w:val="20"/>
                <w:szCs w:val="20"/>
              </w:rPr>
            </w:pPr>
            <w:r w:rsidRPr="00E264AC">
              <w:rPr>
                <w:b/>
                <w:bCs/>
                <w:sz w:val="20"/>
                <w:szCs w:val="20"/>
              </w:rPr>
              <w:t>1,285</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384251ED" w14:textId="77777777" w:rsidR="00B25562" w:rsidRPr="00E264AC" w:rsidRDefault="00B25562" w:rsidP="009C2296">
            <w:pPr>
              <w:spacing w:before="60" w:after="60"/>
              <w:jc w:val="right"/>
              <w:rPr>
                <w:rFonts w:cs="Arial"/>
                <w:b/>
                <w:bCs/>
                <w:color w:val="000000"/>
                <w:sz w:val="20"/>
                <w:szCs w:val="20"/>
              </w:rPr>
            </w:pPr>
            <w:r w:rsidRPr="00E264AC">
              <w:rPr>
                <w:b/>
                <w:bCs/>
                <w:sz w:val="20"/>
                <w:szCs w:val="20"/>
              </w:rPr>
              <w:t>1,332</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634DC6BD" w14:textId="77777777" w:rsidR="00B25562" w:rsidRPr="00E264AC" w:rsidRDefault="00B25562" w:rsidP="009C2296">
            <w:pPr>
              <w:spacing w:before="60" w:after="60"/>
              <w:jc w:val="right"/>
              <w:rPr>
                <w:rFonts w:cs="Arial"/>
                <w:b/>
                <w:bCs/>
                <w:color w:val="000000"/>
                <w:sz w:val="20"/>
                <w:szCs w:val="20"/>
              </w:rPr>
            </w:pPr>
            <w:r w:rsidRPr="00E264AC">
              <w:rPr>
                <w:b/>
                <w:bCs/>
                <w:sz w:val="20"/>
                <w:szCs w:val="20"/>
              </w:rPr>
              <w:t>1,362</w:t>
            </w:r>
          </w:p>
        </w:tc>
        <w:tc>
          <w:tcPr>
            <w:tcW w:w="1196"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vAlign w:val="center"/>
          </w:tcPr>
          <w:p w14:paraId="39CE321A" w14:textId="77777777" w:rsidR="00B25562" w:rsidRPr="00E264AC" w:rsidRDefault="00B25562" w:rsidP="009C2296">
            <w:pPr>
              <w:spacing w:before="60" w:after="60"/>
              <w:jc w:val="right"/>
              <w:rPr>
                <w:rFonts w:cs="Arial"/>
                <w:b/>
                <w:bCs/>
                <w:color w:val="000000"/>
                <w:sz w:val="20"/>
                <w:szCs w:val="20"/>
              </w:rPr>
            </w:pPr>
            <w:r w:rsidRPr="00E264AC">
              <w:rPr>
                <w:b/>
                <w:bCs/>
                <w:sz w:val="20"/>
                <w:szCs w:val="20"/>
              </w:rPr>
              <w:t>1,377</w:t>
            </w:r>
          </w:p>
        </w:tc>
      </w:tr>
    </w:tbl>
    <w:p w14:paraId="3634DFD8" w14:textId="77777777" w:rsidR="00947C80" w:rsidRPr="008034CE" w:rsidRDefault="00947C80" w:rsidP="00B25562">
      <w:pPr>
        <w:spacing w:before="240" w:after="60" w:line="240" w:lineRule="atLeast"/>
        <w:rPr>
          <w:b/>
          <w:iCs/>
          <w:sz w:val="20"/>
          <w:szCs w:val="20"/>
        </w:rPr>
      </w:pPr>
      <w:r w:rsidRPr="008034CE">
        <w:rPr>
          <w:b/>
          <w:iCs/>
          <w:sz w:val="20"/>
          <w:szCs w:val="20"/>
        </w:rPr>
        <w:t>Source: NDIS internal administrative data.</w:t>
      </w:r>
    </w:p>
    <w:p w14:paraId="257C30E5" w14:textId="77777777" w:rsidR="00947C80" w:rsidRPr="008034CE" w:rsidRDefault="00947C80" w:rsidP="00B25562">
      <w:pPr>
        <w:pStyle w:val="Notefortableorfigure"/>
      </w:pPr>
      <w:r w:rsidRPr="008034CE">
        <w:rPr>
          <w:sz w:val="18"/>
        </w:rPr>
        <w:t xml:space="preserve">Note: </w:t>
      </w:r>
      <w:r w:rsidRPr="008034CE">
        <w:t>Remoteness of plan managers uses participants’ address as a proxy. Plan managers may be counted more than once if they provide support to participants located in multiple remoteness location. This means that the rows will not add up to the totals. Missing remoteness are not shown in the table above but included in the overall results.</w:t>
      </w:r>
    </w:p>
    <w:p w14:paraId="286C8959" w14:textId="77777777" w:rsidR="00947C80" w:rsidRPr="008034CE" w:rsidRDefault="00947C80" w:rsidP="00947C80">
      <w:pPr>
        <w:pStyle w:val="Heading5"/>
      </w:pPr>
      <w:bookmarkStart w:id="627" w:name="_Toc196304232"/>
      <w:bookmarkStart w:id="628" w:name="_Toc196304233"/>
      <w:bookmarkStart w:id="629" w:name="_Toc200103579"/>
      <w:bookmarkStart w:id="630" w:name="_Toc200271691"/>
      <w:bookmarkEnd w:id="627"/>
      <w:r w:rsidRPr="008034CE">
        <w:t>Providers by entity types</w:t>
      </w:r>
      <w:bookmarkEnd w:id="628"/>
      <w:bookmarkEnd w:id="629"/>
      <w:bookmarkEnd w:id="630"/>
    </w:p>
    <w:p w14:paraId="66DDF219" w14:textId="77777777" w:rsidR="00947C80" w:rsidRPr="008034CE" w:rsidRDefault="00947C80" w:rsidP="00947C80">
      <w:r w:rsidRPr="008034CE">
        <w:t xml:space="preserve">Entities in the plan management market include companies, sole traders, partnerships, government entities and superannuation trusts/super funds (trusts/supers). The plan management market is overwhelmingly dominated by companies, which account for 74% of active plan management providers and support 398,000 participants, more than 85% of the total participant count who are accessing plan management supports. These plan management companies claimed </w:t>
      </w:r>
      <w:r w:rsidRPr="00CA25F5">
        <w:rPr>
          <w:spacing w:val="-2"/>
        </w:rPr>
        <w:t xml:space="preserve">$279.2 million in plan management fees, with an average of $0.3 million per provider. </w:t>
      </w:r>
    </w:p>
    <w:p w14:paraId="6B9D8FF5" w14:textId="35E6EE56" w:rsidR="00B25562" w:rsidRDefault="00947C80" w:rsidP="00947C80">
      <w:r w:rsidRPr="008034CE">
        <w:t xml:space="preserve">By contrast, sole traders and other entities like partnerships and trusts process far smaller volume of payments. For example, the 216 sole traders collectively supported 22,730 participants and claimed $15.7 million in plan management fees, averaging only $0.1 million per provider. See </w:t>
      </w:r>
      <w:r w:rsidRPr="008034CE">
        <w:fldChar w:fldCharType="begin"/>
      </w:r>
      <w:r w:rsidRPr="008034CE">
        <w:instrText xml:space="preserve"> REF _Ref195636597 \h  \* MERGEFORMAT </w:instrText>
      </w:r>
      <w:r w:rsidRPr="008034CE">
        <w:fldChar w:fldCharType="separate"/>
      </w:r>
      <w:r w:rsidR="005763F9" w:rsidRPr="008034CE">
        <w:t xml:space="preserve">Table </w:t>
      </w:r>
      <w:r w:rsidR="005763F9">
        <w:t>36</w:t>
      </w:r>
      <w:r w:rsidRPr="008034CE">
        <w:fldChar w:fldCharType="end"/>
      </w:r>
      <w:r w:rsidRPr="008034CE">
        <w:t xml:space="preserve"> for further breakdown.</w:t>
      </w:r>
    </w:p>
    <w:p w14:paraId="1514896B" w14:textId="77777777" w:rsidR="00B25562" w:rsidRDefault="00B25562">
      <w:pPr>
        <w:spacing w:before="120" w:after="120"/>
      </w:pPr>
      <w:r>
        <w:br w:type="page"/>
      </w:r>
    </w:p>
    <w:p w14:paraId="20A723B2" w14:textId="46C25788" w:rsidR="00B25562" w:rsidRPr="008034CE" w:rsidRDefault="00B25562" w:rsidP="00B25562">
      <w:pPr>
        <w:pStyle w:val="Caption"/>
      </w:pPr>
      <w:bookmarkStart w:id="631" w:name="_Ref195636597"/>
      <w:r w:rsidRPr="008034CE">
        <w:lastRenderedPageBreak/>
        <w:t xml:space="preserve">Table </w:t>
      </w:r>
      <w:r w:rsidR="005763F9">
        <w:fldChar w:fldCharType="begin"/>
      </w:r>
      <w:r w:rsidR="005763F9">
        <w:instrText xml:space="preserve"> SEQ Table \* ARABIC </w:instrText>
      </w:r>
      <w:r w:rsidR="005763F9">
        <w:fldChar w:fldCharType="separate"/>
      </w:r>
      <w:r w:rsidR="005763F9">
        <w:rPr>
          <w:noProof/>
        </w:rPr>
        <w:t>36</w:t>
      </w:r>
      <w:r w:rsidR="005763F9">
        <w:rPr>
          <w:noProof/>
        </w:rPr>
        <w:fldChar w:fldCharType="end"/>
      </w:r>
      <w:bookmarkEnd w:id="631"/>
      <w:r w:rsidRPr="008034CE">
        <w:t>: Plan Managers Scheme Statistics by Legal Entity Type for the period of July to December 2024</w:t>
      </w:r>
    </w:p>
    <w:tbl>
      <w:tblPr>
        <w:tblStyle w:val="GridTable4-Accent12"/>
        <w:tblW w:w="9073" w:type="dxa"/>
        <w:tblInd w:w="-5" w:type="dxa"/>
        <w:tblLayout w:type="fixed"/>
        <w:tblLook w:val="0420" w:firstRow="1" w:lastRow="0" w:firstColumn="0" w:lastColumn="0" w:noHBand="0" w:noVBand="1"/>
      </w:tblPr>
      <w:tblGrid>
        <w:gridCol w:w="2835"/>
        <w:gridCol w:w="1134"/>
        <w:gridCol w:w="1418"/>
        <w:gridCol w:w="1418"/>
        <w:gridCol w:w="1134"/>
        <w:gridCol w:w="1134"/>
      </w:tblGrid>
      <w:tr w:rsidR="00B25562" w:rsidRPr="007C1E37" w14:paraId="452F8F55" w14:textId="77777777" w:rsidTr="009C2296">
        <w:trPr>
          <w:cnfStyle w:val="100000000000" w:firstRow="1" w:lastRow="0" w:firstColumn="0" w:lastColumn="0" w:oddVBand="0" w:evenVBand="0" w:oddHBand="0" w:evenHBand="0" w:firstRowFirstColumn="0" w:firstRowLastColumn="0" w:lastRowFirstColumn="0" w:lastRowLastColumn="0"/>
          <w:trHeight w:val="567"/>
          <w:tblHeader/>
        </w:trPr>
        <w:tc>
          <w:tcPr>
            <w:tcW w:w="2835" w:type="dxa"/>
            <w:tcBorders>
              <w:top w:val="single" w:sz="4" w:space="0" w:color="501E58" w:themeColor="accent1" w:themeShade="BF"/>
              <w:left w:val="single" w:sz="4" w:space="0" w:color="501E58" w:themeColor="accent1" w:themeShade="BF"/>
              <w:bottom w:val="single" w:sz="4" w:space="0" w:color="501E58" w:themeColor="accent1" w:themeShade="BF"/>
              <w:right w:val="single" w:sz="6" w:space="0" w:color="501E58" w:themeColor="accent1" w:themeShade="BF"/>
            </w:tcBorders>
          </w:tcPr>
          <w:p w14:paraId="75300956" w14:textId="77777777" w:rsidR="00B25562" w:rsidRPr="007C1E37" w:rsidRDefault="00B25562" w:rsidP="009C2296">
            <w:pPr>
              <w:spacing w:before="60" w:after="60"/>
              <w:rPr>
                <w:rFonts w:cs="Arial"/>
                <w:sz w:val="20"/>
                <w:szCs w:val="20"/>
                <w:lang w:eastAsia="en-AU"/>
              </w:rPr>
            </w:pPr>
            <w:r w:rsidRPr="007C1E37">
              <w:rPr>
                <w:sz w:val="20"/>
                <w:szCs w:val="20"/>
              </w:rPr>
              <w:t>Statistics</w:t>
            </w:r>
          </w:p>
        </w:tc>
        <w:tc>
          <w:tcPr>
            <w:tcW w:w="1134"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tcPr>
          <w:p w14:paraId="4EE32D8A" w14:textId="77777777" w:rsidR="00B25562" w:rsidRPr="007C1E37" w:rsidRDefault="00B25562" w:rsidP="009C2296">
            <w:pPr>
              <w:spacing w:before="60" w:after="60"/>
              <w:jc w:val="right"/>
              <w:rPr>
                <w:rFonts w:cs="Arial"/>
                <w:sz w:val="20"/>
                <w:szCs w:val="20"/>
                <w:lang w:eastAsia="en-AU"/>
              </w:rPr>
            </w:pPr>
            <w:r w:rsidRPr="007C1E37">
              <w:rPr>
                <w:sz w:val="20"/>
                <w:szCs w:val="20"/>
              </w:rPr>
              <w:t>Company</w:t>
            </w:r>
          </w:p>
        </w:tc>
        <w:tc>
          <w:tcPr>
            <w:tcW w:w="1418"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tcPr>
          <w:p w14:paraId="7C56E65D" w14:textId="77777777" w:rsidR="00B25562" w:rsidRPr="007C1E37" w:rsidRDefault="00B25562" w:rsidP="009C2296">
            <w:pPr>
              <w:spacing w:before="60" w:after="60"/>
              <w:jc w:val="right"/>
              <w:rPr>
                <w:sz w:val="20"/>
                <w:szCs w:val="20"/>
              </w:rPr>
            </w:pPr>
            <w:r w:rsidRPr="007C1E37">
              <w:rPr>
                <w:sz w:val="20"/>
                <w:szCs w:val="20"/>
              </w:rPr>
              <w:t>Government Entity</w:t>
            </w:r>
          </w:p>
        </w:tc>
        <w:tc>
          <w:tcPr>
            <w:tcW w:w="1418"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tcPr>
          <w:p w14:paraId="2CD078D2" w14:textId="77777777" w:rsidR="00B25562" w:rsidRPr="007C1E37" w:rsidRDefault="00B25562" w:rsidP="009C2296">
            <w:pPr>
              <w:spacing w:before="60" w:after="60"/>
              <w:jc w:val="right"/>
              <w:rPr>
                <w:rFonts w:cs="Arial"/>
                <w:sz w:val="20"/>
                <w:szCs w:val="20"/>
                <w:lang w:eastAsia="en-AU"/>
              </w:rPr>
            </w:pPr>
            <w:r w:rsidRPr="007C1E37">
              <w:rPr>
                <w:sz w:val="20"/>
                <w:szCs w:val="20"/>
              </w:rPr>
              <w:t>Partnership (Other)</w:t>
            </w:r>
          </w:p>
        </w:tc>
        <w:tc>
          <w:tcPr>
            <w:tcW w:w="1134"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tcPr>
          <w:p w14:paraId="54B7CDA8" w14:textId="77777777" w:rsidR="00B25562" w:rsidRPr="007C1E37" w:rsidRDefault="00B25562" w:rsidP="009C2296">
            <w:pPr>
              <w:spacing w:before="60" w:after="60"/>
              <w:jc w:val="right"/>
              <w:rPr>
                <w:rFonts w:cs="Arial"/>
                <w:sz w:val="20"/>
                <w:szCs w:val="20"/>
                <w:lang w:eastAsia="en-AU"/>
              </w:rPr>
            </w:pPr>
            <w:r w:rsidRPr="007C1E37">
              <w:rPr>
                <w:sz w:val="20"/>
                <w:szCs w:val="20"/>
              </w:rPr>
              <w:t xml:space="preserve">Trust / Super </w:t>
            </w:r>
          </w:p>
        </w:tc>
        <w:tc>
          <w:tcPr>
            <w:tcW w:w="1134"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tcPr>
          <w:p w14:paraId="2A5976CE" w14:textId="77777777" w:rsidR="00B25562" w:rsidRPr="007C1E37" w:rsidRDefault="00B25562" w:rsidP="009C2296">
            <w:pPr>
              <w:spacing w:before="60" w:after="60"/>
              <w:jc w:val="right"/>
              <w:rPr>
                <w:rFonts w:cs="Arial"/>
                <w:sz w:val="20"/>
                <w:szCs w:val="20"/>
                <w:lang w:eastAsia="en-AU"/>
              </w:rPr>
            </w:pPr>
            <w:r w:rsidRPr="007C1E37">
              <w:rPr>
                <w:sz w:val="20"/>
                <w:szCs w:val="20"/>
              </w:rPr>
              <w:t>Sole trader</w:t>
            </w:r>
          </w:p>
        </w:tc>
      </w:tr>
      <w:tr w:rsidR="00B25562" w:rsidRPr="00850FA1" w14:paraId="05D6BA36" w14:textId="77777777" w:rsidTr="00B25562">
        <w:trPr>
          <w:cnfStyle w:val="000000100000" w:firstRow="0" w:lastRow="0" w:firstColumn="0" w:lastColumn="0" w:oddVBand="0" w:evenVBand="0" w:oddHBand="1" w:evenHBand="0" w:firstRowFirstColumn="0" w:firstRowLastColumn="0" w:lastRowFirstColumn="0" w:lastRowLastColumn="0"/>
          <w:trHeight w:val="680"/>
        </w:trPr>
        <w:tc>
          <w:tcPr>
            <w:tcW w:w="2835" w:type="dxa"/>
            <w:tcBorders>
              <w:top w:val="single" w:sz="4" w:space="0" w:color="501E58" w:themeColor="accent1" w:themeShade="BF"/>
              <w:left w:val="single" w:sz="4" w:space="0" w:color="BA61C9"/>
              <w:bottom w:val="single" w:sz="4" w:space="0" w:color="BA61C9"/>
              <w:right w:val="single" w:sz="4" w:space="0" w:color="BA61C9"/>
            </w:tcBorders>
            <w:vAlign w:val="center"/>
          </w:tcPr>
          <w:p w14:paraId="4C9A8931" w14:textId="77777777" w:rsidR="00B25562" w:rsidRPr="00850FA1" w:rsidRDefault="00B25562" w:rsidP="009C2296">
            <w:pPr>
              <w:spacing w:before="60" w:after="60"/>
              <w:ind w:left="37"/>
              <w:rPr>
                <w:rFonts w:cs="Arial"/>
                <w:sz w:val="20"/>
                <w:szCs w:val="20"/>
                <w:lang w:eastAsia="en-AU"/>
              </w:rPr>
            </w:pPr>
            <w:r w:rsidRPr="00850FA1">
              <w:rPr>
                <w:sz w:val="20"/>
                <w:szCs w:val="20"/>
              </w:rPr>
              <w:t>Number of NDIS participants</w:t>
            </w:r>
          </w:p>
        </w:tc>
        <w:tc>
          <w:tcPr>
            <w:tcW w:w="1134" w:type="dxa"/>
            <w:tcBorders>
              <w:top w:val="single" w:sz="4" w:space="0" w:color="501E58" w:themeColor="accent1" w:themeShade="BF"/>
              <w:left w:val="single" w:sz="4" w:space="0" w:color="BA61C9"/>
              <w:bottom w:val="single" w:sz="4" w:space="0" w:color="BA61C9"/>
              <w:right w:val="single" w:sz="4" w:space="0" w:color="BA61C9"/>
            </w:tcBorders>
            <w:vAlign w:val="center"/>
          </w:tcPr>
          <w:p w14:paraId="5F8E0A6B" w14:textId="77777777" w:rsidR="00B25562" w:rsidRPr="00850FA1" w:rsidRDefault="00B25562" w:rsidP="009C2296">
            <w:pPr>
              <w:spacing w:before="60" w:after="60"/>
              <w:jc w:val="right"/>
              <w:rPr>
                <w:rFonts w:cs="Arial"/>
                <w:color w:val="000000"/>
                <w:sz w:val="20"/>
                <w:szCs w:val="20"/>
              </w:rPr>
            </w:pPr>
            <w:r w:rsidRPr="00850FA1">
              <w:rPr>
                <w:sz w:val="20"/>
                <w:szCs w:val="20"/>
              </w:rPr>
              <w:t>398,131</w:t>
            </w:r>
          </w:p>
        </w:tc>
        <w:tc>
          <w:tcPr>
            <w:tcW w:w="1418" w:type="dxa"/>
            <w:tcBorders>
              <w:top w:val="single" w:sz="4" w:space="0" w:color="501E58" w:themeColor="accent1" w:themeShade="BF"/>
              <w:left w:val="single" w:sz="4" w:space="0" w:color="BA61C9"/>
              <w:bottom w:val="single" w:sz="4" w:space="0" w:color="BA61C9"/>
              <w:right w:val="single" w:sz="4" w:space="0" w:color="BA61C9"/>
            </w:tcBorders>
            <w:vAlign w:val="center"/>
          </w:tcPr>
          <w:p w14:paraId="6732A11B" w14:textId="77777777" w:rsidR="00B25562" w:rsidRPr="00850FA1" w:rsidRDefault="00B25562" w:rsidP="009C2296">
            <w:pPr>
              <w:spacing w:before="60" w:after="60"/>
              <w:jc w:val="right"/>
              <w:rPr>
                <w:rFonts w:cs="Arial"/>
                <w:color w:val="000000"/>
                <w:sz w:val="20"/>
                <w:szCs w:val="20"/>
              </w:rPr>
            </w:pPr>
            <w:r w:rsidRPr="00850FA1">
              <w:rPr>
                <w:sz w:val="20"/>
                <w:szCs w:val="20"/>
              </w:rPr>
              <w:t>690</w:t>
            </w:r>
          </w:p>
        </w:tc>
        <w:tc>
          <w:tcPr>
            <w:tcW w:w="1418" w:type="dxa"/>
            <w:tcBorders>
              <w:top w:val="single" w:sz="4" w:space="0" w:color="501E58" w:themeColor="accent1" w:themeShade="BF"/>
              <w:left w:val="single" w:sz="4" w:space="0" w:color="BA61C9"/>
              <w:bottom w:val="single" w:sz="4" w:space="0" w:color="BA61C9"/>
              <w:right w:val="single" w:sz="4" w:space="0" w:color="BA61C9"/>
            </w:tcBorders>
            <w:vAlign w:val="center"/>
          </w:tcPr>
          <w:p w14:paraId="1C5B7AC7" w14:textId="77777777" w:rsidR="00B25562" w:rsidRPr="00850FA1" w:rsidRDefault="00B25562" w:rsidP="009C2296">
            <w:pPr>
              <w:spacing w:before="60" w:after="60"/>
              <w:jc w:val="right"/>
              <w:rPr>
                <w:rFonts w:cs="Arial"/>
                <w:color w:val="000000"/>
                <w:sz w:val="20"/>
                <w:szCs w:val="20"/>
              </w:rPr>
            </w:pPr>
            <w:r w:rsidRPr="00850FA1">
              <w:rPr>
                <w:sz w:val="20"/>
                <w:szCs w:val="20"/>
              </w:rPr>
              <w:t>9,927</w:t>
            </w:r>
          </w:p>
        </w:tc>
        <w:tc>
          <w:tcPr>
            <w:tcW w:w="1134" w:type="dxa"/>
            <w:tcBorders>
              <w:top w:val="single" w:sz="4" w:space="0" w:color="501E58" w:themeColor="accent1" w:themeShade="BF"/>
              <w:left w:val="single" w:sz="4" w:space="0" w:color="BA61C9"/>
              <w:bottom w:val="single" w:sz="4" w:space="0" w:color="BA61C9"/>
              <w:right w:val="single" w:sz="4" w:space="0" w:color="BA61C9"/>
            </w:tcBorders>
            <w:vAlign w:val="center"/>
          </w:tcPr>
          <w:p w14:paraId="7C81E255" w14:textId="77777777" w:rsidR="00B25562" w:rsidRPr="00850FA1" w:rsidRDefault="00B25562" w:rsidP="009C2296">
            <w:pPr>
              <w:spacing w:before="60" w:after="60"/>
              <w:jc w:val="right"/>
              <w:rPr>
                <w:rFonts w:cs="Arial"/>
                <w:color w:val="000000"/>
                <w:sz w:val="20"/>
                <w:szCs w:val="20"/>
              </w:rPr>
            </w:pPr>
            <w:r w:rsidRPr="00850FA1">
              <w:rPr>
                <w:sz w:val="20"/>
                <w:szCs w:val="20"/>
              </w:rPr>
              <w:t>23,392</w:t>
            </w:r>
          </w:p>
        </w:tc>
        <w:tc>
          <w:tcPr>
            <w:tcW w:w="1134" w:type="dxa"/>
            <w:tcBorders>
              <w:top w:val="single" w:sz="4" w:space="0" w:color="501E58" w:themeColor="accent1" w:themeShade="BF"/>
              <w:left w:val="single" w:sz="4" w:space="0" w:color="BA61C9"/>
              <w:bottom w:val="single" w:sz="4" w:space="0" w:color="BA61C9"/>
              <w:right w:val="single" w:sz="4" w:space="0" w:color="BA61C9"/>
            </w:tcBorders>
            <w:vAlign w:val="center"/>
          </w:tcPr>
          <w:p w14:paraId="1DD4C001" w14:textId="77777777" w:rsidR="00B25562" w:rsidRPr="00850FA1" w:rsidRDefault="00B25562" w:rsidP="009C2296">
            <w:pPr>
              <w:spacing w:before="60" w:after="60"/>
              <w:jc w:val="right"/>
              <w:rPr>
                <w:rFonts w:cs="Arial"/>
                <w:color w:val="000000"/>
                <w:sz w:val="20"/>
                <w:szCs w:val="20"/>
              </w:rPr>
            </w:pPr>
            <w:r w:rsidRPr="00850FA1">
              <w:rPr>
                <w:sz w:val="20"/>
                <w:szCs w:val="20"/>
              </w:rPr>
              <w:t>22,730</w:t>
            </w:r>
          </w:p>
        </w:tc>
      </w:tr>
      <w:tr w:rsidR="00B25562" w:rsidRPr="00850FA1" w14:paraId="12F7F3D4" w14:textId="77777777" w:rsidTr="00B25562">
        <w:trPr>
          <w:trHeight w:val="680"/>
        </w:trPr>
        <w:tc>
          <w:tcPr>
            <w:tcW w:w="2835" w:type="dxa"/>
            <w:tcBorders>
              <w:top w:val="single" w:sz="4" w:space="0" w:color="BA61C9"/>
              <w:left w:val="single" w:sz="4" w:space="0" w:color="BA61C9"/>
              <w:bottom w:val="single" w:sz="4" w:space="0" w:color="BA61C9"/>
              <w:right w:val="single" w:sz="4" w:space="0" w:color="BA61C9"/>
            </w:tcBorders>
            <w:vAlign w:val="center"/>
          </w:tcPr>
          <w:p w14:paraId="19B266E9" w14:textId="77777777" w:rsidR="00B25562" w:rsidRPr="00850FA1" w:rsidRDefault="00B25562" w:rsidP="009C2296">
            <w:pPr>
              <w:spacing w:before="60" w:after="60"/>
              <w:ind w:left="37"/>
              <w:rPr>
                <w:rFonts w:cs="Arial"/>
                <w:sz w:val="20"/>
                <w:szCs w:val="20"/>
                <w:lang w:eastAsia="en-AU"/>
              </w:rPr>
            </w:pPr>
            <w:r w:rsidRPr="00850FA1">
              <w:rPr>
                <w:sz w:val="20"/>
                <w:szCs w:val="20"/>
              </w:rPr>
              <w:t xml:space="preserve">Number of </w:t>
            </w:r>
            <w:r>
              <w:rPr>
                <w:sz w:val="20"/>
                <w:szCs w:val="20"/>
              </w:rPr>
              <w:t>a</w:t>
            </w:r>
            <w:r w:rsidRPr="00850FA1">
              <w:rPr>
                <w:sz w:val="20"/>
                <w:szCs w:val="20"/>
              </w:rPr>
              <w:t>ctive providers</w:t>
            </w:r>
          </w:p>
        </w:tc>
        <w:tc>
          <w:tcPr>
            <w:tcW w:w="1134" w:type="dxa"/>
            <w:tcBorders>
              <w:top w:val="single" w:sz="4" w:space="0" w:color="BA61C9"/>
              <w:left w:val="single" w:sz="4" w:space="0" w:color="BA61C9"/>
              <w:bottom w:val="single" w:sz="4" w:space="0" w:color="BA61C9"/>
              <w:right w:val="single" w:sz="4" w:space="0" w:color="BA61C9"/>
            </w:tcBorders>
            <w:vAlign w:val="center"/>
          </w:tcPr>
          <w:p w14:paraId="6C22C272" w14:textId="77777777" w:rsidR="00B25562" w:rsidRPr="00850FA1" w:rsidRDefault="00B25562" w:rsidP="009C2296">
            <w:pPr>
              <w:spacing w:before="60" w:after="60"/>
              <w:jc w:val="right"/>
              <w:rPr>
                <w:rFonts w:cs="Arial"/>
                <w:color w:val="000000"/>
                <w:sz w:val="20"/>
                <w:szCs w:val="20"/>
              </w:rPr>
            </w:pPr>
            <w:r w:rsidRPr="00850FA1">
              <w:rPr>
                <w:sz w:val="20"/>
                <w:szCs w:val="20"/>
              </w:rPr>
              <w:t>1,026</w:t>
            </w:r>
          </w:p>
        </w:tc>
        <w:tc>
          <w:tcPr>
            <w:tcW w:w="1418" w:type="dxa"/>
            <w:tcBorders>
              <w:top w:val="single" w:sz="4" w:space="0" w:color="BA61C9"/>
              <w:left w:val="single" w:sz="4" w:space="0" w:color="BA61C9"/>
              <w:bottom w:val="single" w:sz="4" w:space="0" w:color="BA61C9"/>
              <w:right w:val="single" w:sz="4" w:space="0" w:color="BA61C9"/>
            </w:tcBorders>
            <w:vAlign w:val="center"/>
          </w:tcPr>
          <w:p w14:paraId="0C8A8C66" w14:textId="77777777" w:rsidR="00B25562" w:rsidRPr="00850FA1" w:rsidRDefault="00B25562" w:rsidP="009C2296">
            <w:pPr>
              <w:spacing w:before="60" w:after="60"/>
              <w:jc w:val="right"/>
              <w:rPr>
                <w:rFonts w:cs="Arial"/>
                <w:color w:val="000000"/>
                <w:sz w:val="20"/>
                <w:szCs w:val="20"/>
              </w:rPr>
            </w:pPr>
            <w:r w:rsidRPr="00850FA1">
              <w:rPr>
                <w:sz w:val="20"/>
                <w:szCs w:val="20"/>
              </w:rPr>
              <w:t>8</w:t>
            </w:r>
          </w:p>
        </w:tc>
        <w:tc>
          <w:tcPr>
            <w:tcW w:w="1418" w:type="dxa"/>
            <w:tcBorders>
              <w:top w:val="single" w:sz="4" w:space="0" w:color="BA61C9"/>
              <w:left w:val="single" w:sz="4" w:space="0" w:color="BA61C9"/>
              <w:bottom w:val="single" w:sz="4" w:space="0" w:color="BA61C9"/>
              <w:right w:val="single" w:sz="4" w:space="0" w:color="BA61C9"/>
            </w:tcBorders>
            <w:vAlign w:val="center"/>
          </w:tcPr>
          <w:p w14:paraId="3A38D7A2" w14:textId="77777777" w:rsidR="00B25562" w:rsidRPr="00850FA1" w:rsidRDefault="00B25562" w:rsidP="009C2296">
            <w:pPr>
              <w:spacing w:before="60" w:after="60"/>
              <w:jc w:val="right"/>
              <w:rPr>
                <w:rFonts w:cs="Arial"/>
                <w:color w:val="000000"/>
                <w:sz w:val="20"/>
                <w:szCs w:val="20"/>
              </w:rPr>
            </w:pPr>
            <w:r w:rsidRPr="00850FA1">
              <w:rPr>
                <w:sz w:val="20"/>
                <w:szCs w:val="20"/>
              </w:rPr>
              <w:t>33</w:t>
            </w:r>
          </w:p>
        </w:tc>
        <w:tc>
          <w:tcPr>
            <w:tcW w:w="1134" w:type="dxa"/>
            <w:tcBorders>
              <w:top w:val="single" w:sz="4" w:space="0" w:color="BA61C9"/>
              <w:left w:val="single" w:sz="4" w:space="0" w:color="BA61C9"/>
              <w:bottom w:val="single" w:sz="4" w:space="0" w:color="BA61C9"/>
              <w:right w:val="single" w:sz="4" w:space="0" w:color="BA61C9"/>
            </w:tcBorders>
            <w:vAlign w:val="center"/>
          </w:tcPr>
          <w:p w14:paraId="31B52CA2" w14:textId="77777777" w:rsidR="00B25562" w:rsidRPr="00850FA1" w:rsidRDefault="00B25562" w:rsidP="009C2296">
            <w:pPr>
              <w:spacing w:before="60" w:after="60"/>
              <w:jc w:val="right"/>
              <w:rPr>
                <w:rFonts w:cs="Arial"/>
                <w:color w:val="000000"/>
                <w:sz w:val="20"/>
                <w:szCs w:val="20"/>
              </w:rPr>
            </w:pPr>
            <w:r w:rsidRPr="00850FA1">
              <w:rPr>
                <w:sz w:val="20"/>
                <w:szCs w:val="20"/>
              </w:rPr>
              <w:t>94</w:t>
            </w:r>
          </w:p>
        </w:tc>
        <w:tc>
          <w:tcPr>
            <w:tcW w:w="1134" w:type="dxa"/>
            <w:tcBorders>
              <w:top w:val="single" w:sz="4" w:space="0" w:color="BA61C9"/>
              <w:left w:val="single" w:sz="4" w:space="0" w:color="BA61C9"/>
              <w:bottom w:val="single" w:sz="4" w:space="0" w:color="BA61C9"/>
              <w:right w:val="single" w:sz="4" w:space="0" w:color="BA61C9"/>
            </w:tcBorders>
            <w:vAlign w:val="center"/>
          </w:tcPr>
          <w:p w14:paraId="0E7E00F8" w14:textId="77777777" w:rsidR="00B25562" w:rsidRPr="00850FA1" w:rsidRDefault="00B25562" w:rsidP="009C2296">
            <w:pPr>
              <w:spacing w:before="60" w:after="60"/>
              <w:jc w:val="right"/>
              <w:rPr>
                <w:rFonts w:cs="Arial"/>
                <w:color w:val="000000"/>
                <w:sz w:val="20"/>
                <w:szCs w:val="20"/>
              </w:rPr>
            </w:pPr>
            <w:r w:rsidRPr="00850FA1">
              <w:rPr>
                <w:sz w:val="20"/>
                <w:szCs w:val="20"/>
              </w:rPr>
              <w:t>216</w:t>
            </w:r>
          </w:p>
        </w:tc>
      </w:tr>
      <w:tr w:rsidR="00B25562" w:rsidRPr="00850FA1" w14:paraId="25D5068C" w14:textId="77777777" w:rsidTr="00B25562">
        <w:trPr>
          <w:cnfStyle w:val="000000100000" w:firstRow="0" w:lastRow="0" w:firstColumn="0" w:lastColumn="0" w:oddVBand="0" w:evenVBand="0" w:oddHBand="1" w:evenHBand="0" w:firstRowFirstColumn="0" w:firstRowLastColumn="0" w:lastRowFirstColumn="0" w:lastRowLastColumn="0"/>
          <w:trHeight w:val="680"/>
        </w:trPr>
        <w:tc>
          <w:tcPr>
            <w:tcW w:w="2835" w:type="dxa"/>
            <w:tcBorders>
              <w:top w:val="single" w:sz="4" w:space="0" w:color="BA61C9"/>
              <w:left w:val="single" w:sz="4" w:space="0" w:color="BA61C9"/>
              <w:bottom w:val="single" w:sz="4" w:space="0" w:color="BA61C9"/>
              <w:right w:val="single" w:sz="4" w:space="0" w:color="BA61C9"/>
            </w:tcBorders>
            <w:vAlign w:val="center"/>
          </w:tcPr>
          <w:p w14:paraId="4D51B54D" w14:textId="77777777" w:rsidR="00B25562" w:rsidRPr="00850FA1" w:rsidRDefault="00B25562" w:rsidP="009C2296">
            <w:pPr>
              <w:spacing w:before="60" w:after="60"/>
              <w:ind w:left="37"/>
              <w:rPr>
                <w:rFonts w:cs="Arial"/>
                <w:sz w:val="20"/>
                <w:szCs w:val="20"/>
                <w:lang w:eastAsia="en-AU"/>
              </w:rPr>
            </w:pPr>
            <w:r w:rsidRPr="00850FA1">
              <w:rPr>
                <w:sz w:val="20"/>
                <w:szCs w:val="20"/>
              </w:rPr>
              <w:t xml:space="preserve">Total amount claimed by active providers (including management fee) </w:t>
            </w:r>
            <w:r w:rsidRPr="00850FA1">
              <w:rPr>
                <w:b/>
                <w:bCs/>
                <w:sz w:val="20"/>
                <w:szCs w:val="20"/>
              </w:rPr>
              <w:t>(million)</w:t>
            </w:r>
          </w:p>
        </w:tc>
        <w:tc>
          <w:tcPr>
            <w:tcW w:w="1134" w:type="dxa"/>
            <w:tcBorders>
              <w:top w:val="single" w:sz="4" w:space="0" w:color="BA61C9"/>
              <w:left w:val="single" w:sz="4" w:space="0" w:color="BA61C9"/>
              <w:bottom w:val="single" w:sz="4" w:space="0" w:color="BA61C9"/>
              <w:right w:val="single" w:sz="4" w:space="0" w:color="BA61C9"/>
            </w:tcBorders>
            <w:vAlign w:val="center"/>
          </w:tcPr>
          <w:p w14:paraId="52A52808" w14:textId="77777777" w:rsidR="00B25562" w:rsidRPr="00850FA1" w:rsidRDefault="00B25562" w:rsidP="009C2296">
            <w:pPr>
              <w:spacing w:before="60" w:after="60"/>
              <w:jc w:val="right"/>
              <w:rPr>
                <w:rFonts w:cs="Arial"/>
                <w:color w:val="000000"/>
                <w:sz w:val="20"/>
                <w:szCs w:val="20"/>
              </w:rPr>
            </w:pPr>
            <w:r w:rsidRPr="00850FA1">
              <w:rPr>
                <w:sz w:val="20"/>
                <w:szCs w:val="20"/>
              </w:rPr>
              <w:t>$11,839.1</w:t>
            </w:r>
          </w:p>
        </w:tc>
        <w:tc>
          <w:tcPr>
            <w:tcW w:w="1418" w:type="dxa"/>
            <w:tcBorders>
              <w:top w:val="single" w:sz="4" w:space="0" w:color="BA61C9"/>
              <w:left w:val="single" w:sz="4" w:space="0" w:color="BA61C9"/>
              <w:bottom w:val="single" w:sz="4" w:space="0" w:color="BA61C9"/>
              <w:right w:val="single" w:sz="4" w:space="0" w:color="BA61C9"/>
            </w:tcBorders>
            <w:vAlign w:val="center"/>
          </w:tcPr>
          <w:p w14:paraId="24FDABAD" w14:textId="77777777" w:rsidR="00B25562" w:rsidRPr="00850FA1" w:rsidRDefault="00B25562" w:rsidP="009C2296">
            <w:pPr>
              <w:spacing w:before="60" w:after="60"/>
              <w:jc w:val="right"/>
              <w:rPr>
                <w:rFonts w:cs="Arial"/>
                <w:color w:val="000000"/>
                <w:sz w:val="20"/>
                <w:szCs w:val="20"/>
              </w:rPr>
            </w:pPr>
            <w:r w:rsidRPr="00850FA1">
              <w:rPr>
                <w:sz w:val="20"/>
                <w:szCs w:val="20"/>
              </w:rPr>
              <w:t>$12.2</w:t>
            </w:r>
          </w:p>
        </w:tc>
        <w:tc>
          <w:tcPr>
            <w:tcW w:w="1418" w:type="dxa"/>
            <w:tcBorders>
              <w:top w:val="single" w:sz="4" w:space="0" w:color="BA61C9"/>
              <w:left w:val="single" w:sz="4" w:space="0" w:color="BA61C9"/>
              <w:bottom w:val="single" w:sz="4" w:space="0" w:color="BA61C9"/>
              <w:right w:val="single" w:sz="4" w:space="0" w:color="BA61C9"/>
            </w:tcBorders>
            <w:vAlign w:val="center"/>
          </w:tcPr>
          <w:p w14:paraId="32AFCD7C" w14:textId="77777777" w:rsidR="00B25562" w:rsidRPr="00850FA1" w:rsidRDefault="00B25562" w:rsidP="009C2296">
            <w:pPr>
              <w:spacing w:before="60" w:after="60"/>
              <w:jc w:val="right"/>
              <w:rPr>
                <w:rFonts w:cs="Arial"/>
                <w:color w:val="000000"/>
                <w:sz w:val="20"/>
                <w:szCs w:val="20"/>
              </w:rPr>
            </w:pPr>
            <w:r w:rsidRPr="00850FA1">
              <w:rPr>
                <w:sz w:val="20"/>
                <w:szCs w:val="20"/>
              </w:rPr>
              <w:t>$294.5</w:t>
            </w:r>
          </w:p>
        </w:tc>
        <w:tc>
          <w:tcPr>
            <w:tcW w:w="1134" w:type="dxa"/>
            <w:tcBorders>
              <w:top w:val="single" w:sz="4" w:space="0" w:color="BA61C9"/>
              <w:left w:val="single" w:sz="4" w:space="0" w:color="BA61C9"/>
              <w:bottom w:val="single" w:sz="4" w:space="0" w:color="BA61C9"/>
              <w:right w:val="single" w:sz="4" w:space="0" w:color="BA61C9"/>
            </w:tcBorders>
            <w:vAlign w:val="center"/>
          </w:tcPr>
          <w:p w14:paraId="1D6AEC62" w14:textId="77777777" w:rsidR="00B25562" w:rsidRPr="00850FA1" w:rsidRDefault="00B25562" w:rsidP="009C2296">
            <w:pPr>
              <w:spacing w:before="60" w:after="60"/>
              <w:jc w:val="right"/>
              <w:rPr>
                <w:rFonts w:cs="Arial"/>
                <w:color w:val="000000"/>
                <w:sz w:val="20"/>
                <w:szCs w:val="20"/>
              </w:rPr>
            </w:pPr>
            <w:r w:rsidRPr="00850FA1">
              <w:rPr>
                <w:sz w:val="20"/>
                <w:szCs w:val="20"/>
              </w:rPr>
              <w:t>$752.4</w:t>
            </w:r>
          </w:p>
        </w:tc>
        <w:tc>
          <w:tcPr>
            <w:tcW w:w="1134" w:type="dxa"/>
            <w:tcBorders>
              <w:top w:val="single" w:sz="4" w:space="0" w:color="BA61C9"/>
              <w:left w:val="single" w:sz="4" w:space="0" w:color="BA61C9"/>
              <w:bottom w:val="single" w:sz="4" w:space="0" w:color="BA61C9"/>
              <w:right w:val="single" w:sz="4" w:space="0" w:color="BA61C9"/>
            </w:tcBorders>
            <w:vAlign w:val="center"/>
          </w:tcPr>
          <w:p w14:paraId="29FB3961" w14:textId="77777777" w:rsidR="00B25562" w:rsidRPr="00850FA1" w:rsidRDefault="00B25562" w:rsidP="009C2296">
            <w:pPr>
              <w:spacing w:before="60" w:after="60"/>
              <w:jc w:val="right"/>
              <w:rPr>
                <w:rFonts w:cs="Arial"/>
                <w:color w:val="000000"/>
                <w:sz w:val="20"/>
                <w:szCs w:val="20"/>
              </w:rPr>
            </w:pPr>
            <w:r w:rsidRPr="00850FA1">
              <w:rPr>
                <w:sz w:val="20"/>
                <w:szCs w:val="20"/>
              </w:rPr>
              <w:t>$555.6</w:t>
            </w:r>
          </w:p>
        </w:tc>
      </w:tr>
      <w:tr w:rsidR="00B25562" w:rsidRPr="00850FA1" w14:paraId="62726A9C" w14:textId="77777777" w:rsidTr="00B25562">
        <w:trPr>
          <w:trHeight w:val="680"/>
        </w:trPr>
        <w:tc>
          <w:tcPr>
            <w:tcW w:w="2835" w:type="dxa"/>
            <w:tcBorders>
              <w:top w:val="single" w:sz="4" w:space="0" w:color="BA61C9"/>
              <w:left w:val="single" w:sz="4" w:space="0" w:color="BA61C9"/>
              <w:bottom w:val="single" w:sz="4" w:space="0" w:color="BA61C9"/>
              <w:right w:val="single" w:sz="4" w:space="0" w:color="BA61C9"/>
            </w:tcBorders>
            <w:vAlign w:val="center"/>
          </w:tcPr>
          <w:p w14:paraId="7868E732" w14:textId="77777777" w:rsidR="00B25562" w:rsidRPr="00850FA1" w:rsidRDefault="00B25562" w:rsidP="009C2296">
            <w:pPr>
              <w:spacing w:before="60" w:after="60"/>
              <w:ind w:left="37"/>
              <w:rPr>
                <w:rFonts w:cs="Arial"/>
                <w:sz w:val="20"/>
                <w:szCs w:val="20"/>
                <w:lang w:eastAsia="en-AU"/>
              </w:rPr>
            </w:pPr>
            <w:r w:rsidRPr="00850FA1">
              <w:rPr>
                <w:sz w:val="20"/>
                <w:szCs w:val="20"/>
              </w:rPr>
              <w:t>Average amount claimed as plan management fee</w:t>
            </w:r>
            <w:r>
              <w:rPr>
                <w:sz w:val="20"/>
                <w:szCs w:val="20"/>
              </w:rPr>
              <w:t xml:space="preserve"> </w:t>
            </w:r>
            <w:r w:rsidRPr="00C173A6">
              <w:rPr>
                <w:rFonts w:cs="Arial"/>
                <w:b/>
                <w:bCs/>
                <w:sz w:val="20"/>
                <w:szCs w:val="20"/>
                <w:lang w:eastAsia="en-AU"/>
              </w:rPr>
              <w:t>(million)</w:t>
            </w:r>
          </w:p>
        </w:tc>
        <w:tc>
          <w:tcPr>
            <w:tcW w:w="1134" w:type="dxa"/>
            <w:tcBorders>
              <w:top w:val="single" w:sz="4" w:space="0" w:color="BA61C9"/>
              <w:left w:val="single" w:sz="4" w:space="0" w:color="BA61C9"/>
              <w:bottom w:val="single" w:sz="4" w:space="0" w:color="BA61C9"/>
              <w:right w:val="single" w:sz="4" w:space="0" w:color="BA61C9"/>
            </w:tcBorders>
            <w:vAlign w:val="center"/>
          </w:tcPr>
          <w:p w14:paraId="6B7A6E29" w14:textId="77777777" w:rsidR="00B25562" w:rsidRPr="00850FA1" w:rsidRDefault="00B25562" w:rsidP="009C2296">
            <w:pPr>
              <w:spacing w:before="60" w:after="60"/>
              <w:jc w:val="right"/>
              <w:rPr>
                <w:rFonts w:cs="Arial"/>
                <w:color w:val="000000"/>
                <w:sz w:val="20"/>
                <w:szCs w:val="20"/>
              </w:rPr>
            </w:pPr>
            <w:r w:rsidRPr="00850FA1">
              <w:rPr>
                <w:sz w:val="20"/>
                <w:szCs w:val="20"/>
              </w:rPr>
              <w:t>$11.5</w:t>
            </w:r>
          </w:p>
        </w:tc>
        <w:tc>
          <w:tcPr>
            <w:tcW w:w="1418" w:type="dxa"/>
            <w:tcBorders>
              <w:top w:val="single" w:sz="4" w:space="0" w:color="BA61C9"/>
              <w:left w:val="single" w:sz="4" w:space="0" w:color="BA61C9"/>
              <w:bottom w:val="single" w:sz="4" w:space="0" w:color="BA61C9"/>
              <w:right w:val="single" w:sz="4" w:space="0" w:color="BA61C9"/>
            </w:tcBorders>
            <w:vAlign w:val="center"/>
          </w:tcPr>
          <w:p w14:paraId="52E1049E" w14:textId="77777777" w:rsidR="00B25562" w:rsidRPr="00850FA1" w:rsidRDefault="00B25562" w:rsidP="009C2296">
            <w:pPr>
              <w:spacing w:before="60" w:after="60"/>
              <w:jc w:val="right"/>
              <w:rPr>
                <w:rFonts w:cs="Arial"/>
                <w:color w:val="000000"/>
                <w:sz w:val="20"/>
                <w:szCs w:val="20"/>
              </w:rPr>
            </w:pPr>
            <w:r w:rsidRPr="00850FA1">
              <w:rPr>
                <w:sz w:val="20"/>
                <w:szCs w:val="20"/>
              </w:rPr>
              <w:t>$1.5</w:t>
            </w:r>
          </w:p>
        </w:tc>
        <w:tc>
          <w:tcPr>
            <w:tcW w:w="1418" w:type="dxa"/>
            <w:tcBorders>
              <w:top w:val="single" w:sz="4" w:space="0" w:color="BA61C9"/>
              <w:left w:val="single" w:sz="4" w:space="0" w:color="BA61C9"/>
              <w:bottom w:val="single" w:sz="4" w:space="0" w:color="BA61C9"/>
              <w:right w:val="single" w:sz="4" w:space="0" w:color="BA61C9"/>
            </w:tcBorders>
            <w:vAlign w:val="center"/>
          </w:tcPr>
          <w:p w14:paraId="1D7B06A1" w14:textId="77777777" w:rsidR="00B25562" w:rsidRPr="00850FA1" w:rsidRDefault="00B25562" w:rsidP="009C2296">
            <w:pPr>
              <w:spacing w:before="60" w:after="60"/>
              <w:jc w:val="right"/>
              <w:rPr>
                <w:rFonts w:cs="Arial"/>
                <w:color w:val="000000"/>
                <w:sz w:val="20"/>
                <w:szCs w:val="20"/>
              </w:rPr>
            </w:pPr>
            <w:r w:rsidRPr="00850FA1">
              <w:rPr>
                <w:sz w:val="20"/>
                <w:szCs w:val="20"/>
              </w:rPr>
              <w:t>$8.9</w:t>
            </w:r>
          </w:p>
        </w:tc>
        <w:tc>
          <w:tcPr>
            <w:tcW w:w="1134" w:type="dxa"/>
            <w:tcBorders>
              <w:top w:val="single" w:sz="4" w:space="0" w:color="BA61C9"/>
              <w:left w:val="single" w:sz="4" w:space="0" w:color="BA61C9"/>
              <w:bottom w:val="single" w:sz="4" w:space="0" w:color="BA61C9"/>
              <w:right w:val="single" w:sz="4" w:space="0" w:color="BA61C9"/>
            </w:tcBorders>
            <w:vAlign w:val="center"/>
          </w:tcPr>
          <w:p w14:paraId="13BA112D" w14:textId="77777777" w:rsidR="00B25562" w:rsidRPr="00850FA1" w:rsidRDefault="00B25562" w:rsidP="009C2296">
            <w:pPr>
              <w:spacing w:before="60" w:after="60"/>
              <w:jc w:val="right"/>
              <w:rPr>
                <w:rFonts w:cs="Arial"/>
                <w:color w:val="000000"/>
                <w:sz w:val="20"/>
                <w:szCs w:val="20"/>
              </w:rPr>
            </w:pPr>
            <w:r w:rsidRPr="00850FA1">
              <w:rPr>
                <w:sz w:val="20"/>
                <w:szCs w:val="20"/>
              </w:rPr>
              <w:t>$8.0</w:t>
            </w:r>
          </w:p>
        </w:tc>
        <w:tc>
          <w:tcPr>
            <w:tcW w:w="1134" w:type="dxa"/>
            <w:tcBorders>
              <w:top w:val="single" w:sz="4" w:space="0" w:color="BA61C9"/>
              <w:left w:val="single" w:sz="4" w:space="0" w:color="BA61C9"/>
              <w:bottom w:val="single" w:sz="4" w:space="0" w:color="BA61C9"/>
              <w:right w:val="single" w:sz="4" w:space="0" w:color="BA61C9"/>
            </w:tcBorders>
            <w:vAlign w:val="center"/>
          </w:tcPr>
          <w:p w14:paraId="6431B826" w14:textId="77777777" w:rsidR="00B25562" w:rsidRPr="00850FA1" w:rsidRDefault="00B25562" w:rsidP="009C2296">
            <w:pPr>
              <w:spacing w:before="60" w:after="60"/>
              <w:jc w:val="right"/>
              <w:rPr>
                <w:rFonts w:cs="Arial"/>
                <w:color w:val="000000"/>
                <w:sz w:val="20"/>
                <w:szCs w:val="20"/>
              </w:rPr>
            </w:pPr>
            <w:r w:rsidRPr="00850FA1">
              <w:rPr>
                <w:sz w:val="20"/>
                <w:szCs w:val="20"/>
              </w:rPr>
              <w:t>$2.6</w:t>
            </w:r>
          </w:p>
        </w:tc>
      </w:tr>
      <w:tr w:rsidR="00B25562" w:rsidRPr="00850FA1" w14:paraId="3E4416F1" w14:textId="77777777" w:rsidTr="00B25562">
        <w:trPr>
          <w:cnfStyle w:val="000000100000" w:firstRow="0" w:lastRow="0" w:firstColumn="0" w:lastColumn="0" w:oddVBand="0" w:evenVBand="0" w:oddHBand="1" w:evenHBand="0" w:firstRowFirstColumn="0" w:firstRowLastColumn="0" w:lastRowFirstColumn="0" w:lastRowLastColumn="0"/>
          <w:trHeight w:val="680"/>
        </w:trPr>
        <w:tc>
          <w:tcPr>
            <w:tcW w:w="2835" w:type="dxa"/>
            <w:tcBorders>
              <w:top w:val="single" w:sz="4" w:space="0" w:color="BA61C9"/>
              <w:left w:val="single" w:sz="4" w:space="0" w:color="BA61C9"/>
              <w:bottom w:val="single" w:sz="4" w:space="0" w:color="BA61C9"/>
              <w:right w:val="single" w:sz="4" w:space="0" w:color="BA61C9"/>
            </w:tcBorders>
            <w:vAlign w:val="center"/>
          </w:tcPr>
          <w:p w14:paraId="5A70D696" w14:textId="77777777" w:rsidR="00B25562" w:rsidRPr="00850FA1" w:rsidRDefault="00B25562" w:rsidP="009C2296">
            <w:pPr>
              <w:spacing w:before="60" w:after="60"/>
              <w:ind w:left="37"/>
              <w:rPr>
                <w:rFonts w:cs="Arial"/>
                <w:sz w:val="20"/>
                <w:szCs w:val="20"/>
                <w:lang w:eastAsia="en-AU"/>
              </w:rPr>
            </w:pPr>
            <w:r w:rsidRPr="00850FA1">
              <w:rPr>
                <w:sz w:val="20"/>
                <w:szCs w:val="20"/>
              </w:rPr>
              <w:t xml:space="preserve">Total amount claimed by active providers as plan management fee </w:t>
            </w:r>
            <w:r w:rsidRPr="00850FA1">
              <w:rPr>
                <w:b/>
                <w:bCs/>
                <w:sz w:val="20"/>
                <w:szCs w:val="20"/>
              </w:rPr>
              <w:t>(million)</w:t>
            </w:r>
          </w:p>
        </w:tc>
        <w:tc>
          <w:tcPr>
            <w:tcW w:w="1134" w:type="dxa"/>
            <w:tcBorders>
              <w:top w:val="single" w:sz="4" w:space="0" w:color="BA61C9"/>
              <w:left w:val="single" w:sz="4" w:space="0" w:color="BA61C9"/>
              <w:bottom w:val="single" w:sz="4" w:space="0" w:color="BA61C9"/>
              <w:right w:val="single" w:sz="4" w:space="0" w:color="BA61C9"/>
            </w:tcBorders>
            <w:vAlign w:val="center"/>
          </w:tcPr>
          <w:p w14:paraId="35E51242" w14:textId="77777777" w:rsidR="00B25562" w:rsidRPr="00850FA1" w:rsidRDefault="00B25562" w:rsidP="009C2296">
            <w:pPr>
              <w:spacing w:before="60" w:after="60"/>
              <w:jc w:val="right"/>
              <w:rPr>
                <w:rFonts w:cs="Arial"/>
                <w:color w:val="000000"/>
                <w:sz w:val="20"/>
                <w:szCs w:val="20"/>
              </w:rPr>
            </w:pPr>
            <w:r w:rsidRPr="00850FA1">
              <w:rPr>
                <w:sz w:val="20"/>
                <w:szCs w:val="20"/>
              </w:rPr>
              <w:t>$279.2</w:t>
            </w:r>
          </w:p>
        </w:tc>
        <w:tc>
          <w:tcPr>
            <w:tcW w:w="1418" w:type="dxa"/>
            <w:tcBorders>
              <w:top w:val="single" w:sz="4" w:space="0" w:color="BA61C9"/>
              <w:left w:val="single" w:sz="4" w:space="0" w:color="BA61C9"/>
              <w:bottom w:val="single" w:sz="4" w:space="0" w:color="BA61C9"/>
              <w:right w:val="single" w:sz="4" w:space="0" w:color="BA61C9"/>
            </w:tcBorders>
            <w:vAlign w:val="center"/>
          </w:tcPr>
          <w:p w14:paraId="2FFA38AE" w14:textId="77777777" w:rsidR="00B25562" w:rsidRPr="00850FA1" w:rsidRDefault="00B25562" w:rsidP="009C2296">
            <w:pPr>
              <w:spacing w:before="60" w:after="60"/>
              <w:jc w:val="right"/>
              <w:rPr>
                <w:rFonts w:cs="Arial"/>
                <w:color w:val="000000"/>
                <w:sz w:val="20"/>
                <w:szCs w:val="20"/>
              </w:rPr>
            </w:pPr>
            <w:r w:rsidRPr="00850FA1">
              <w:rPr>
                <w:sz w:val="20"/>
                <w:szCs w:val="20"/>
              </w:rPr>
              <w:t>$0.3</w:t>
            </w:r>
          </w:p>
        </w:tc>
        <w:tc>
          <w:tcPr>
            <w:tcW w:w="1418" w:type="dxa"/>
            <w:tcBorders>
              <w:top w:val="single" w:sz="4" w:space="0" w:color="BA61C9"/>
              <w:left w:val="single" w:sz="4" w:space="0" w:color="BA61C9"/>
              <w:bottom w:val="single" w:sz="4" w:space="0" w:color="BA61C9"/>
              <w:right w:val="single" w:sz="4" w:space="0" w:color="BA61C9"/>
            </w:tcBorders>
            <w:vAlign w:val="center"/>
          </w:tcPr>
          <w:p w14:paraId="2D5D48B9" w14:textId="77777777" w:rsidR="00B25562" w:rsidRPr="00850FA1" w:rsidRDefault="00B25562" w:rsidP="009C2296">
            <w:pPr>
              <w:spacing w:before="60" w:after="60"/>
              <w:jc w:val="right"/>
              <w:rPr>
                <w:rFonts w:cs="Arial"/>
                <w:color w:val="000000"/>
                <w:sz w:val="20"/>
                <w:szCs w:val="20"/>
              </w:rPr>
            </w:pPr>
            <w:r w:rsidRPr="00850FA1">
              <w:rPr>
                <w:sz w:val="20"/>
                <w:szCs w:val="20"/>
              </w:rPr>
              <w:t>$6.9</w:t>
            </w:r>
          </w:p>
        </w:tc>
        <w:tc>
          <w:tcPr>
            <w:tcW w:w="1134" w:type="dxa"/>
            <w:tcBorders>
              <w:top w:val="single" w:sz="4" w:space="0" w:color="BA61C9"/>
              <w:left w:val="single" w:sz="4" w:space="0" w:color="BA61C9"/>
              <w:bottom w:val="single" w:sz="4" w:space="0" w:color="BA61C9"/>
              <w:right w:val="single" w:sz="4" w:space="0" w:color="BA61C9"/>
            </w:tcBorders>
            <w:vAlign w:val="center"/>
          </w:tcPr>
          <w:p w14:paraId="6EBBAF0E" w14:textId="77777777" w:rsidR="00B25562" w:rsidRPr="00850FA1" w:rsidRDefault="00B25562" w:rsidP="009C2296">
            <w:pPr>
              <w:spacing w:before="60" w:after="60"/>
              <w:jc w:val="right"/>
              <w:rPr>
                <w:rFonts w:cs="Arial"/>
                <w:color w:val="000000"/>
                <w:sz w:val="20"/>
                <w:szCs w:val="20"/>
              </w:rPr>
            </w:pPr>
            <w:r w:rsidRPr="00850FA1">
              <w:rPr>
                <w:sz w:val="20"/>
                <w:szCs w:val="20"/>
              </w:rPr>
              <w:t>$17.2</w:t>
            </w:r>
          </w:p>
        </w:tc>
        <w:tc>
          <w:tcPr>
            <w:tcW w:w="1134" w:type="dxa"/>
            <w:tcBorders>
              <w:top w:val="single" w:sz="4" w:space="0" w:color="BA61C9"/>
              <w:left w:val="single" w:sz="4" w:space="0" w:color="BA61C9"/>
              <w:bottom w:val="single" w:sz="4" w:space="0" w:color="BA61C9"/>
              <w:right w:val="single" w:sz="4" w:space="0" w:color="BA61C9"/>
            </w:tcBorders>
            <w:vAlign w:val="center"/>
          </w:tcPr>
          <w:p w14:paraId="3137A1B9" w14:textId="77777777" w:rsidR="00B25562" w:rsidRPr="00850FA1" w:rsidRDefault="00B25562" w:rsidP="009C2296">
            <w:pPr>
              <w:spacing w:before="60" w:after="60"/>
              <w:jc w:val="right"/>
              <w:rPr>
                <w:rFonts w:cs="Arial"/>
                <w:color w:val="000000"/>
                <w:sz w:val="20"/>
                <w:szCs w:val="20"/>
              </w:rPr>
            </w:pPr>
            <w:r w:rsidRPr="00850FA1">
              <w:rPr>
                <w:sz w:val="20"/>
                <w:szCs w:val="20"/>
              </w:rPr>
              <w:t>$15.7</w:t>
            </w:r>
          </w:p>
        </w:tc>
      </w:tr>
      <w:tr w:rsidR="00B25562" w:rsidRPr="00850FA1" w14:paraId="621B5764" w14:textId="77777777" w:rsidTr="00B25562">
        <w:trPr>
          <w:trHeight w:val="680"/>
        </w:trPr>
        <w:tc>
          <w:tcPr>
            <w:tcW w:w="2835" w:type="dxa"/>
            <w:tcBorders>
              <w:top w:val="single" w:sz="4" w:space="0" w:color="BA61C9"/>
              <w:left w:val="single" w:sz="4" w:space="0" w:color="BA61C9"/>
              <w:bottom w:val="single" w:sz="4" w:space="0" w:color="BA61C9"/>
              <w:right w:val="single" w:sz="4" w:space="0" w:color="BA61C9"/>
            </w:tcBorders>
            <w:vAlign w:val="center"/>
          </w:tcPr>
          <w:p w14:paraId="5530E222" w14:textId="77777777" w:rsidR="00B25562" w:rsidRPr="00850FA1" w:rsidRDefault="00B25562" w:rsidP="009C2296">
            <w:pPr>
              <w:spacing w:before="60" w:after="60"/>
              <w:ind w:left="37"/>
              <w:rPr>
                <w:sz w:val="20"/>
                <w:szCs w:val="20"/>
              </w:rPr>
            </w:pPr>
            <w:r w:rsidRPr="00850FA1">
              <w:rPr>
                <w:sz w:val="20"/>
                <w:szCs w:val="20"/>
              </w:rPr>
              <w:t>Average amount claimed as plan management fee</w:t>
            </w:r>
            <w:r>
              <w:rPr>
                <w:sz w:val="20"/>
                <w:szCs w:val="20"/>
              </w:rPr>
              <w:t xml:space="preserve"> </w:t>
            </w:r>
            <w:r w:rsidRPr="00C173A6">
              <w:rPr>
                <w:rFonts w:cs="Arial"/>
                <w:b/>
                <w:bCs/>
                <w:color w:val="000000"/>
                <w:sz w:val="20"/>
                <w:szCs w:val="20"/>
                <w:lang w:eastAsia="en-AU"/>
              </w:rPr>
              <w:t>(million)</w:t>
            </w:r>
          </w:p>
        </w:tc>
        <w:tc>
          <w:tcPr>
            <w:tcW w:w="1134" w:type="dxa"/>
            <w:tcBorders>
              <w:top w:val="single" w:sz="4" w:space="0" w:color="BA61C9"/>
              <w:left w:val="single" w:sz="4" w:space="0" w:color="BA61C9"/>
              <w:bottom w:val="single" w:sz="4" w:space="0" w:color="BA61C9"/>
              <w:right w:val="single" w:sz="4" w:space="0" w:color="BA61C9"/>
            </w:tcBorders>
            <w:vAlign w:val="center"/>
          </w:tcPr>
          <w:p w14:paraId="4F60103C" w14:textId="77777777" w:rsidR="00B25562" w:rsidRPr="00850FA1" w:rsidRDefault="00B25562" w:rsidP="009C2296">
            <w:pPr>
              <w:spacing w:before="60" w:after="60"/>
              <w:jc w:val="right"/>
              <w:rPr>
                <w:rFonts w:cs="Arial"/>
                <w:color w:val="000000"/>
                <w:sz w:val="20"/>
                <w:szCs w:val="20"/>
              </w:rPr>
            </w:pPr>
            <w:r w:rsidRPr="00850FA1">
              <w:rPr>
                <w:sz w:val="20"/>
                <w:szCs w:val="20"/>
              </w:rPr>
              <w:t>$0.3</w:t>
            </w:r>
          </w:p>
        </w:tc>
        <w:tc>
          <w:tcPr>
            <w:tcW w:w="1418" w:type="dxa"/>
            <w:tcBorders>
              <w:top w:val="single" w:sz="4" w:space="0" w:color="BA61C9"/>
              <w:left w:val="single" w:sz="4" w:space="0" w:color="BA61C9"/>
              <w:bottom w:val="single" w:sz="4" w:space="0" w:color="BA61C9"/>
              <w:right w:val="single" w:sz="4" w:space="0" w:color="BA61C9"/>
            </w:tcBorders>
            <w:vAlign w:val="center"/>
          </w:tcPr>
          <w:p w14:paraId="335BBE7D" w14:textId="77777777" w:rsidR="00B25562" w:rsidRPr="00850FA1" w:rsidRDefault="00B25562" w:rsidP="009C2296">
            <w:pPr>
              <w:spacing w:before="60" w:after="60"/>
              <w:jc w:val="right"/>
              <w:rPr>
                <w:rFonts w:cs="Arial"/>
                <w:color w:val="000000"/>
                <w:sz w:val="20"/>
                <w:szCs w:val="20"/>
              </w:rPr>
            </w:pPr>
            <w:r w:rsidRPr="00850FA1">
              <w:rPr>
                <w:sz w:val="20"/>
                <w:szCs w:val="20"/>
              </w:rPr>
              <w:t>$0.0</w:t>
            </w:r>
          </w:p>
        </w:tc>
        <w:tc>
          <w:tcPr>
            <w:tcW w:w="1418" w:type="dxa"/>
            <w:tcBorders>
              <w:top w:val="single" w:sz="4" w:space="0" w:color="BA61C9"/>
              <w:left w:val="single" w:sz="4" w:space="0" w:color="BA61C9"/>
              <w:bottom w:val="single" w:sz="4" w:space="0" w:color="BA61C9"/>
              <w:right w:val="single" w:sz="4" w:space="0" w:color="BA61C9"/>
            </w:tcBorders>
            <w:vAlign w:val="center"/>
          </w:tcPr>
          <w:p w14:paraId="61A7A271" w14:textId="77777777" w:rsidR="00B25562" w:rsidRPr="00850FA1" w:rsidRDefault="00B25562" w:rsidP="009C2296">
            <w:pPr>
              <w:spacing w:before="60" w:after="60"/>
              <w:jc w:val="right"/>
              <w:rPr>
                <w:rFonts w:cs="Arial"/>
                <w:color w:val="000000"/>
                <w:sz w:val="20"/>
                <w:szCs w:val="20"/>
              </w:rPr>
            </w:pPr>
            <w:r w:rsidRPr="00850FA1">
              <w:rPr>
                <w:sz w:val="20"/>
                <w:szCs w:val="20"/>
              </w:rPr>
              <w:t>$0.2</w:t>
            </w:r>
          </w:p>
        </w:tc>
        <w:tc>
          <w:tcPr>
            <w:tcW w:w="1134" w:type="dxa"/>
            <w:tcBorders>
              <w:top w:val="single" w:sz="4" w:space="0" w:color="BA61C9"/>
              <w:left w:val="single" w:sz="4" w:space="0" w:color="BA61C9"/>
              <w:bottom w:val="single" w:sz="4" w:space="0" w:color="BA61C9"/>
              <w:right w:val="single" w:sz="4" w:space="0" w:color="BA61C9"/>
            </w:tcBorders>
            <w:vAlign w:val="center"/>
          </w:tcPr>
          <w:p w14:paraId="770FAB81" w14:textId="77777777" w:rsidR="00B25562" w:rsidRPr="00850FA1" w:rsidRDefault="00B25562" w:rsidP="009C2296">
            <w:pPr>
              <w:spacing w:before="60" w:after="60"/>
              <w:jc w:val="right"/>
              <w:rPr>
                <w:rFonts w:cs="Arial"/>
                <w:color w:val="000000"/>
                <w:sz w:val="20"/>
                <w:szCs w:val="20"/>
              </w:rPr>
            </w:pPr>
            <w:r w:rsidRPr="00850FA1">
              <w:rPr>
                <w:sz w:val="20"/>
                <w:szCs w:val="20"/>
              </w:rPr>
              <w:t>$0.2</w:t>
            </w:r>
          </w:p>
        </w:tc>
        <w:tc>
          <w:tcPr>
            <w:tcW w:w="1134" w:type="dxa"/>
            <w:tcBorders>
              <w:top w:val="single" w:sz="4" w:space="0" w:color="BA61C9"/>
              <w:left w:val="single" w:sz="4" w:space="0" w:color="BA61C9"/>
              <w:bottom w:val="single" w:sz="4" w:space="0" w:color="BA61C9"/>
              <w:right w:val="single" w:sz="4" w:space="0" w:color="BA61C9"/>
            </w:tcBorders>
            <w:vAlign w:val="center"/>
          </w:tcPr>
          <w:p w14:paraId="2F3367A1" w14:textId="77777777" w:rsidR="00B25562" w:rsidRPr="00850FA1" w:rsidRDefault="00B25562" w:rsidP="009C2296">
            <w:pPr>
              <w:spacing w:before="60" w:after="60"/>
              <w:jc w:val="right"/>
              <w:rPr>
                <w:rFonts w:cs="Arial"/>
                <w:color w:val="000000"/>
                <w:sz w:val="20"/>
                <w:szCs w:val="20"/>
              </w:rPr>
            </w:pPr>
            <w:r w:rsidRPr="00850FA1">
              <w:rPr>
                <w:sz w:val="20"/>
                <w:szCs w:val="20"/>
              </w:rPr>
              <w:t>$0.1</w:t>
            </w:r>
          </w:p>
        </w:tc>
      </w:tr>
    </w:tbl>
    <w:p w14:paraId="7A09FFB3" w14:textId="77777777" w:rsidR="00B25562" w:rsidRPr="008034CE" w:rsidRDefault="00B25562" w:rsidP="00B25562">
      <w:pPr>
        <w:spacing w:before="240" w:after="60" w:line="240" w:lineRule="atLeast"/>
        <w:rPr>
          <w:b/>
          <w:iCs/>
          <w:sz w:val="20"/>
          <w:szCs w:val="20"/>
        </w:rPr>
      </w:pPr>
      <w:r w:rsidRPr="008034CE">
        <w:rPr>
          <w:b/>
          <w:iCs/>
          <w:sz w:val="20"/>
          <w:szCs w:val="20"/>
        </w:rPr>
        <w:t>Source: NDIS internal administrative data.</w:t>
      </w:r>
    </w:p>
    <w:p w14:paraId="6CA35FD3" w14:textId="77777777" w:rsidR="00B25562" w:rsidRPr="008034CE" w:rsidRDefault="00B25562" w:rsidP="00B25562">
      <w:pPr>
        <w:spacing w:before="60" w:after="60" w:line="240" w:lineRule="atLeast"/>
        <w:rPr>
          <w:rFonts w:cs="Calibri"/>
          <w:sz w:val="20"/>
          <w:szCs w:val="18"/>
        </w:rPr>
      </w:pPr>
    </w:p>
    <w:p w14:paraId="52A00DC6" w14:textId="77777777" w:rsidR="00B25562" w:rsidRPr="008034CE" w:rsidRDefault="00B25562" w:rsidP="00B25562">
      <w:pPr>
        <w:pStyle w:val="Heading3"/>
      </w:pPr>
      <w:bookmarkStart w:id="632" w:name="_Toc196304234"/>
      <w:bookmarkStart w:id="633" w:name="_Toc196754650"/>
      <w:bookmarkStart w:id="634" w:name="_Toc196758252"/>
      <w:bookmarkStart w:id="635" w:name="_Toc197344328"/>
      <w:bookmarkStart w:id="636" w:name="_Toc200271692"/>
      <w:r w:rsidRPr="008034CE">
        <w:t>Business Dynamism</w:t>
      </w:r>
      <w:bookmarkEnd w:id="632"/>
      <w:bookmarkEnd w:id="633"/>
      <w:bookmarkEnd w:id="634"/>
      <w:bookmarkEnd w:id="635"/>
      <w:bookmarkEnd w:id="636"/>
    </w:p>
    <w:p w14:paraId="613D42F7" w14:textId="77777777" w:rsidR="00B25562" w:rsidRPr="008034CE" w:rsidRDefault="00B25562" w:rsidP="00B25562">
      <w:pPr>
        <w:rPr>
          <w:rFonts w:eastAsia="Arial" w:cs="Arial"/>
        </w:rPr>
      </w:pPr>
      <w:r w:rsidRPr="008034CE">
        <w:rPr>
          <w:rFonts w:eastAsia="Arial" w:cs="Arial"/>
        </w:rPr>
        <w:t>This section examines the activity and changes within the market for plan management supports. Business dynamism refers to the rate at which new providers enter the market and existing providers exit. This is one of many indicators that reflect a market’s health, competitiveness, and its capacity to innovate and meet participants’ needs. The NDIA reviewed the payment activities of providers over a three-year period from January 2022 to December 2024.</w:t>
      </w:r>
    </w:p>
    <w:p w14:paraId="063ED600" w14:textId="77777777" w:rsidR="00B25562" w:rsidRPr="008034CE" w:rsidRDefault="00B25562" w:rsidP="00B25562">
      <w:pPr>
        <w:pStyle w:val="Heading4"/>
        <w:numPr>
          <w:ilvl w:val="2"/>
          <w:numId w:val="1"/>
        </w:numPr>
      </w:pPr>
      <w:bookmarkStart w:id="637" w:name="_Toc196304235"/>
      <w:bookmarkStart w:id="638" w:name="_Toc200103581"/>
      <w:bookmarkStart w:id="639" w:name="_Toc200271693"/>
      <w:r w:rsidRPr="008034CE">
        <w:t>Provider continuity by provider size</w:t>
      </w:r>
      <w:bookmarkEnd w:id="637"/>
      <w:bookmarkEnd w:id="638"/>
      <w:bookmarkEnd w:id="639"/>
      <w:r w:rsidRPr="008034CE">
        <w:t xml:space="preserve"> </w:t>
      </w:r>
    </w:p>
    <w:p w14:paraId="33A4706E" w14:textId="26E55205" w:rsidR="00B25562" w:rsidRDefault="00B25562" w:rsidP="00B25562">
      <w:r w:rsidRPr="008034CE">
        <w:t xml:space="preserve">The plan management market is characterised by high continuity and low turnover. As shown in </w:t>
      </w:r>
      <w:r w:rsidRPr="008034CE">
        <w:fldChar w:fldCharType="begin"/>
      </w:r>
      <w:r w:rsidRPr="008034CE">
        <w:instrText xml:space="preserve"> REF _Ref195636697 \h  \* MERGEFORMAT </w:instrText>
      </w:r>
      <w:r w:rsidRPr="008034CE">
        <w:fldChar w:fldCharType="separate"/>
      </w:r>
      <w:r w:rsidR="005763F9" w:rsidRPr="008034CE">
        <w:t xml:space="preserve">Figure </w:t>
      </w:r>
      <w:r w:rsidR="005763F9">
        <w:t>40</w:t>
      </w:r>
      <w:r w:rsidRPr="008034CE">
        <w:fldChar w:fldCharType="end"/>
      </w:r>
      <w:r w:rsidRPr="008034CE">
        <w:t xml:space="preserve">, 92.8% of all plan-managed payments between January 2022 and December 2024 were processed by providers who were active across all six half-year periods. These 854 providers represent a stable, established core of the plan management market. </w:t>
      </w:r>
    </w:p>
    <w:p w14:paraId="1C9AB857" w14:textId="77777777" w:rsidR="00B25562" w:rsidRDefault="00B25562">
      <w:pPr>
        <w:spacing w:before="120" w:after="120"/>
      </w:pPr>
      <w:r>
        <w:br w:type="page"/>
      </w:r>
    </w:p>
    <w:p w14:paraId="032A9B26" w14:textId="77777777" w:rsidR="001F7682" w:rsidRPr="008034CE" w:rsidRDefault="001F7682" w:rsidP="001F7682">
      <w:r w:rsidRPr="008034CE">
        <w:lastRenderedPageBreak/>
        <w:t>In contrast, providers active for only one or two half-year periods accounted for less than 1% of total payments (444 plan managers). This suggests that new or intermittent provider contributed little to overall service delivery.</w:t>
      </w:r>
    </w:p>
    <w:p w14:paraId="148EB183" w14:textId="4C3EE8A6" w:rsidR="001F7682" w:rsidRPr="008034CE" w:rsidRDefault="001F7682" w:rsidP="001F7682">
      <w:pPr>
        <w:pStyle w:val="Caption"/>
      </w:pPr>
      <w:bookmarkStart w:id="640" w:name="_Ref195636697"/>
      <w:r w:rsidRPr="008034CE">
        <w:t xml:space="preserve">Figure </w:t>
      </w:r>
      <w:r w:rsidR="005763F9">
        <w:fldChar w:fldCharType="begin"/>
      </w:r>
      <w:r w:rsidR="005763F9">
        <w:instrText xml:space="preserve"> SEQ Figure \* ARABIC </w:instrText>
      </w:r>
      <w:r w:rsidR="005763F9">
        <w:fldChar w:fldCharType="separate"/>
      </w:r>
      <w:r w:rsidR="005763F9">
        <w:rPr>
          <w:noProof/>
        </w:rPr>
        <w:t>40</w:t>
      </w:r>
      <w:r w:rsidR="005763F9">
        <w:rPr>
          <w:noProof/>
        </w:rPr>
        <w:fldChar w:fldCharType="end"/>
      </w:r>
      <w:bookmarkEnd w:id="640"/>
      <w:r w:rsidRPr="008034CE">
        <w:t>: Plan Managers continuity by percentage of total payments, January 2022 to December 2024</w:t>
      </w:r>
    </w:p>
    <w:p w14:paraId="413CA49E" w14:textId="77777777" w:rsidR="001F7682" w:rsidRPr="008034CE" w:rsidRDefault="001F7682" w:rsidP="001F7682">
      <w:r w:rsidRPr="008034CE">
        <w:rPr>
          <w:noProof/>
        </w:rPr>
        <w:drawing>
          <wp:inline distT="0" distB="0" distL="0" distR="0" wp14:anchorId="09905143" wp14:editId="008A3E60">
            <wp:extent cx="5731510" cy="3285555"/>
            <wp:effectExtent l="0" t="0" r="2540" b="0"/>
            <wp:docPr id="1185808098" name="Picture 8" descr="A Column and dot graph showing the number of half years with payment, compared to the percentage of total payments, amongst plan managers from January 2022 to December 2024.&#10;&#10;There were roughly 854 providers who had payments in all 6 half-years. These providers made up 92.8% of total payments.&#10;&#10;Each of the remaining categories (1, 2, 3, 4, and 5 half years with payments) each had roughly between 130-230 registered providers, and each made up roughly between 0 to 3% of total payments.&#10;&#10;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808098" name="Picture 8" descr="A Column and dot graph showing the number of half years with payment, compared to the percentage of total payments, amongst plan managers from January 2022 to December 2024.&#10;&#10;There were roughly 854 providers who had payments in all 6 half-years. These providers made up 92.8% of total payments.&#10;&#10;Each of the remaining categories (1, 2, 3, 4, and 5 half years with payments) each had roughly between 130-230 registered providers, and each made up roughly between 0 to 3% of total payments.&#10;&#10;Source: NDIS internal administrative data."/>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31510" cy="3285555"/>
                    </a:xfrm>
                    <a:prstGeom prst="rect">
                      <a:avLst/>
                    </a:prstGeom>
                    <a:noFill/>
                  </pic:spPr>
                </pic:pic>
              </a:graphicData>
            </a:graphic>
          </wp:inline>
        </w:drawing>
      </w:r>
    </w:p>
    <w:p w14:paraId="4E840A74" w14:textId="57BF8973" w:rsidR="001F7682" w:rsidRPr="008034CE" w:rsidRDefault="001F7682" w:rsidP="001F7682">
      <w:r w:rsidRPr="008034CE">
        <w:t>Provider turnover in the plan management market remains low. Across the three-year period, newly active providers accounted for between 0.1% and 0.9% of total plan-managed payments in any given half-year period. Similarly, inactive providers (those potentially exiting the market or claiming episodically) consistently represented less than 1% of payments from the prior period (</w:t>
      </w:r>
      <w:r w:rsidRPr="008034CE">
        <w:fldChar w:fldCharType="begin"/>
      </w:r>
      <w:r w:rsidRPr="008034CE">
        <w:instrText xml:space="preserve"> REF _Ref195636723 \h  \* MERGEFORMAT </w:instrText>
      </w:r>
      <w:r w:rsidRPr="008034CE">
        <w:fldChar w:fldCharType="separate"/>
      </w:r>
      <w:r w:rsidR="005763F9" w:rsidRPr="008034CE">
        <w:t xml:space="preserve">Figure </w:t>
      </w:r>
      <w:r w:rsidR="005763F9">
        <w:t>41</w:t>
      </w:r>
      <w:r w:rsidRPr="008034CE">
        <w:fldChar w:fldCharType="end"/>
      </w:r>
      <w:r w:rsidRPr="008034CE">
        <w:t xml:space="preserve">). </w:t>
      </w:r>
    </w:p>
    <w:p w14:paraId="3A91E1CD" w14:textId="753657A7" w:rsidR="001F7682" w:rsidRDefault="001F7682" w:rsidP="001F7682">
      <w:r w:rsidRPr="008034CE">
        <w:t xml:space="preserve">These findings confirm that dominant providers are well-established, and most market activity is delivered by a stable cohort of continuing providers. </w:t>
      </w:r>
    </w:p>
    <w:p w14:paraId="40CD95BB" w14:textId="77777777" w:rsidR="001F7682" w:rsidRDefault="001F7682">
      <w:pPr>
        <w:spacing w:before="120" w:after="120"/>
      </w:pPr>
      <w:r>
        <w:br w:type="page"/>
      </w:r>
    </w:p>
    <w:p w14:paraId="42DC5514" w14:textId="047EBAEB" w:rsidR="001F7682" w:rsidRPr="008034CE" w:rsidRDefault="001F7682" w:rsidP="001F7682">
      <w:pPr>
        <w:pStyle w:val="Caption"/>
      </w:pPr>
      <w:bookmarkStart w:id="641" w:name="_Ref195636723"/>
      <w:r w:rsidRPr="008034CE">
        <w:lastRenderedPageBreak/>
        <w:t xml:space="preserve">Figure </w:t>
      </w:r>
      <w:r w:rsidR="005763F9">
        <w:fldChar w:fldCharType="begin"/>
      </w:r>
      <w:r w:rsidR="005763F9">
        <w:instrText xml:space="preserve"> SEQ Figure \* ARABIC </w:instrText>
      </w:r>
      <w:r w:rsidR="005763F9">
        <w:fldChar w:fldCharType="separate"/>
      </w:r>
      <w:r w:rsidR="005763F9">
        <w:rPr>
          <w:noProof/>
        </w:rPr>
        <w:t>41</w:t>
      </w:r>
      <w:r w:rsidR="005763F9">
        <w:rPr>
          <w:noProof/>
        </w:rPr>
        <w:fldChar w:fldCharType="end"/>
      </w:r>
      <w:bookmarkEnd w:id="641"/>
      <w:r w:rsidRPr="008034CE">
        <w:t>: Registered Plan Manager Activity Movements, January 2022 to December 2024</w:t>
      </w:r>
    </w:p>
    <w:p w14:paraId="19B8BD41" w14:textId="77777777" w:rsidR="001F7682" w:rsidRPr="008034CE" w:rsidRDefault="001F7682" w:rsidP="001F7682">
      <w:r w:rsidRPr="008034CE">
        <w:rPr>
          <w:noProof/>
        </w:rPr>
        <w:drawing>
          <wp:inline distT="0" distB="0" distL="0" distR="0" wp14:anchorId="102D0E13" wp14:editId="2B81AB5F">
            <wp:extent cx="5731510" cy="3325591"/>
            <wp:effectExtent l="0" t="0" r="2540" b="8255"/>
            <wp:docPr id="2044665685" name="Picture 9" descr="A column graph showing the activity movements of registered plan management providers from January 2022 to December 2024. New activity is measured as percent of total half-year payments, and inactivity is measured as percent of prior total half-year payments.&#10;&#10;In January to June 2022, inactivity was at 0.4% and new activity was at 0.1%.&#10;&#10;In July to December 2022, inactivity was at 0.9% and new activity was at 0.4%.&#10;&#10;In January to June 2023, inactivity was at 0.4% and new activity was at 0.4%.&#10;&#10;In July to December 2023, inactivity was at 0.9% and new activity was at 0.1%.&#10;&#10;In January to June 2024, inactivity was at 0.6% and new activity was at 0.9%.&#10;&#10;In July to December 2024, inactivity was at 0.2% and new activity was at 0.8%.&#10;&#10;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665685" name="Picture 9" descr="A column graph showing the activity movements of registered plan management providers from January 2022 to December 2024. New activity is measured as percent of total half-year payments, and inactivity is measured as percent of prior total half-year payments.&#10;&#10;In January to June 2022, inactivity was at 0.4% and new activity was at 0.1%.&#10;&#10;In July to December 2022, inactivity was at 0.9% and new activity was at 0.4%.&#10;&#10;In January to June 2023, inactivity was at 0.4% and new activity was at 0.4%.&#10;&#10;In July to December 2023, inactivity was at 0.9% and new activity was at 0.1%.&#10;&#10;In January to June 2024, inactivity was at 0.6% and new activity was at 0.9%.&#10;&#10;In July to December 2024, inactivity was at 0.2% and new activity was at 0.8%.&#10;&#10;Source: NDIS internal administrative data."/>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31510" cy="3325591"/>
                    </a:xfrm>
                    <a:prstGeom prst="rect">
                      <a:avLst/>
                    </a:prstGeom>
                    <a:noFill/>
                  </pic:spPr>
                </pic:pic>
              </a:graphicData>
            </a:graphic>
          </wp:inline>
        </w:drawing>
      </w:r>
    </w:p>
    <w:p w14:paraId="61F6FA7B" w14:textId="77777777" w:rsidR="001F7682" w:rsidRPr="008034CE" w:rsidRDefault="001F7682" w:rsidP="001F7682">
      <w:pPr>
        <w:pStyle w:val="Notefortableorfigure"/>
        <w:spacing w:before="360"/>
      </w:pPr>
      <w:r w:rsidRPr="008034CE">
        <w:t>Note: ‘New activity’ is characterised by providers receiving payments in the half-year who did not receive payments in the preceding half-year. Conversely, ‘inactivity’ refers to providers not receiving payments in a half-year after having received payments in the previous one. Each provider’s activity is quantified as a percentage of the total payments within that half-year for new activity, of the prior half-year for inactivity.</w:t>
      </w:r>
    </w:p>
    <w:p w14:paraId="5AF41EA4" w14:textId="232EBE57" w:rsidR="001F7682" w:rsidRPr="008034CE" w:rsidRDefault="001F7682" w:rsidP="001F7682">
      <w:pPr>
        <w:spacing w:before="480"/>
      </w:pPr>
      <w:r w:rsidRPr="008034CE">
        <w:t>Plan managers appear to be operating at scale, that is supporting 20 or more participants. In the second half of 2024, 99.3% of all plan-managed payments were processed by providers supporting more than 20 participants (</w:t>
      </w:r>
      <w:r w:rsidRPr="008034CE">
        <w:fldChar w:fldCharType="begin"/>
      </w:r>
      <w:r w:rsidRPr="008034CE">
        <w:instrText xml:space="preserve"> REF _Ref195636770 \h  \* MERGEFORMAT </w:instrText>
      </w:r>
      <w:r w:rsidRPr="008034CE">
        <w:fldChar w:fldCharType="separate"/>
      </w:r>
      <w:r w:rsidR="005763F9" w:rsidRPr="008034CE">
        <w:t xml:space="preserve">Figure </w:t>
      </w:r>
      <w:r w:rsidR="005763F9">
        <w:t>42</w:t>
      </w:r>
      <w:r w:rsidRPr="008034CE">
        <w:fldChar w:fldCharType="end"/>
      </w:r>
      <w:r w:rsidRPr="008034CE">
        <w:t xml:space="preserve">). This share has remained consistently high since 2022, rising slightly from 99%. </w:t>
      </w:r>
    </w:p>
    <w:p w14:paraId="6248713D" w14:textId="77777777" w:rsidR="001F7682" w:rsidRPr="008034CE" w:rsidRDefault="001F7682" w:rsidP="001F7682">
      <w:r w:rsidRPr="008034CE">
        <w:t xml:space="preserve">In contrast, small-scale providers, those supporting 10 or fewer participants, make up a significant share of the provider count but account for less than 0.5% of total payments. This pattern has remained stable over the three-year period, indicating that small-scale providers are not gaining market share. </w:t>
      </w:r>
    </w:p>
    <w:p w14:paraId="2B54F48C" w14:textId="77777777" w:rsidR="001F7682" w:rsidRPr="008034CE" w:rsidRDefault="001F7682" w:rsidP="001F7682"/>
    <w:p w14:paraId="60EFE5BA" w14:textId="77777777" w:rsidR="00B25562" w:rsidRPr="008034CE" w:rsidRDefault="00B25562" w:rsidP="00B25562"/>
    <w:p w14:paraId="30619050" w14:textId="77777777" w:rsidR="00947C80" w:rsidRPr="008034CE" w:rsidRDefault="00947C80" w:rsidP="00947C80"/>
    <w:p w14:paraId="7307EC1B" w14:textId="77777777" w:rsidR="007F2C76" w:rsidRPr="008034CE" w:rsidRDefault="007F2C76" w:rsidP="007F2C76"/>
    <w:p w14:paraId="1944FAB5" w14:textId="77777777" w:rsidR="004F3DB1" w:rsidRPr="008034CE" w:rsidRDefault="004F3DB1" w:rsidP="004F3DB1"/>
    <w:p w14:paraId="27DD66AF" w14:textId="7839C03E" w:rsidR="00F025A8" w:rsidRPr="008034CE" w:rsidRDefault="00F025A8" w:rsidP="00F025A8">
      <w:pPr>
        <w:pStyle w:val="Caption"/>
      </w:pPr>
      <w:bookmarkStart w:id="642" w:name="_Ref195636770"/>
      <w:r w:rsidRPr="008034CE">
        <w:lastRenderedPageBreak/>
        <w:t xml:space="preserve">Figure </w:t>
      </w:r>
      <w:r w:rsidR="005763F9">
        <w:fldChar w:fldCharType="begin"/>
      </w:r>
      <w:r w:rsidR="005763F9">
        <w:instrText xml:space="preserve"> SEQ Figure \* ARABIC </w:instrText>
      </w:r>
      <w:r w:rsidR="005763F9">
        <w:fldChar w:fldCharType="separate"/>
      </w:r>
      <w:r w:rsidR="005763F9">
        <w:rPr>
          <w:noProof/>
        </w:rPr>
        <w:t>42</w:t>
      </w:r>
      <w:r w:rsidR="005763F9">
        <w:rPr>
          <w:noProof/>
        </w:rPr>
        <w:fldChar w:fldCharType="end"/>
      </w:r>
      <w:bookmarkEnd w:id="642"/>
      <w:r w:rsidRPr="008034CE">
        <w:t>: Plan Management Providers and Number of Participants that Claimed, January 2022 to December 2024</w:t>
      </w:r>
    </w:p>
    <w:p w14:paraId="73B91CC4" w14:textId="77777777" w:rsidR="00F025A8" w:rsidRPr="008034CE" w:rsidRDefault="00F025A8" w:rsidP="00F025A8">
      <w:r w:rsidRPr="008034CE">
        <w:rPr>
          <w:noProof/>
        </w:rPr>
        <w:drawing>
          <wp:inline distT="0" distB="0" distL="0" distR="0" wp14:anchorId="0B918804" wp14:editId="691BC1E4">
            <wp:extent cx="5731510" cy="3319659"/>
            <wp:effectExtent l="0" t="0" r="2540" b="0"/>
            <wp:docPr id="2010881135" name="Picture 10" descr="A column graph showing the percentage of payments that were processed by plan management providers by the number of participants that the providers support.&#10;&#10;The graph shows that plan managers who support more than 20 participants processed 99.0% of payments from January to June 2022, and 99.3% of payments from July to December 2024.&#10;&#10;The remaining plan managers (those who support between 1 and 20 participants) processed the remaining 1% of payments from January to June 2022, and the remaining 0.7% of payments from July to December 2024.&#10;&#10;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881135" name="Picture 10" descr="A column graph showing the percentage of payments that were processed by plan management providers by the number of participants that the providers support.&#10;&#10;The graph shows that plan managers who support more than 20 participants processed 99.0% of payments from January to June 2022, and 99.3% of payments from July to December 2024.&#10;&#10;The remaining plan managers (those who support between 1 and 20 participants) processed the remaining 1% of payments from January to June 2022, and the remaining 0.7% of payments from July to December 2024.&#10;&#10;Source: NDIS internal administrative data."/>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31510" cy="3319659"/>
                    </a:xfrm>
                    <a:prstGeom prst="rect">
                      <a:avLst/>
                    </a:prstGeom>
                    <a:noFill/>
                  </pic:spPr>
                </pic:pic>
              </a:graphicData>
            </a:graphic>
          </wp:inline>
        </w:drawing>
      </w:r>
    </w:p>
    <w:p w14:paraId="1F917933" w14:textId="77777777" w:rsidR="00F025A8" w:rsidRPr="008034CE" w:rsidRDefault="00F025A8" w:rsidP="00F025A8">
      <w:pPr>
        <w:pStyle w:val="Heading4"/>
      </w:pPr>
      <w:bookmarkStart w:id="643" w:name="_Toc196304236"/>
      <w:bookmarkStart w:id="644" w:name="_Toc200103582"/>
      <w:bookmarkStart w:id="645" w:name="_Toc200271694"/>
      <w:r w:rsidRPr="008034CE">
        <w:t>Plan managers providing other services</w:t>
      </w:r>
      <w:bookmarkEnd w:id="643"/>
      <w:bookmarkEnd w:id="644"/>
      <w:bookmarkEnd w:id="645"/>
    </w:p>
    <w:p w14:paraId="2AE365E2" w14:textId="0364A5CE" w:rsidR="00F025A8" w:rsidRPr="008034CE" w:rsidRDefault="00F025A8" w:rsidP="00F025A8">
      <w:r w:rsidRPr="008034CE">
        <w:t>While 66% of plan managers delivered other supports to their plan-managed participants in the second half of 2024, these services accounted for only 4% of total plan-managed payments, down from 73% in early 2022 (</w:t>
      </w:r>
      <w:r w:rsidRPr="008034CE">
        <w:fldChar w:fldCharType="begin"/>
      </w:r>
      <w:r w:rsidRPr="008034CE">
        <w:instrText xml:space="preserve"> REF _Ref195636778 \h  \* MERGEFORMAT </w:instrText>
      </w:r>
      <w:r w:rsidRPr="008034CE">
        <w:fldChar w:fldCharType="separate"/>
      </w:r>
      <w:r w:rsidR="005763F9" w:rsidRPr="008034CE">
        <w:t xml:space="preserve">Figure </w:t>
      </w:r>
      <w:r w:rsidR="005763F9">
        <w:t>43</w:t>
      </w:r>
      <w:r w:rsidRPr="008034CE">
        <w:fldChar w:fldCharType="end"/>
      </w:r>
      <w:r w:rsidRPr="008034CE">
        <w:t xml:space="preserve">). This suggests that most plan managers obtain most of their payments from plan management services alone. </w:t>
      </w:r>
    </w:p>
    <w:p w14:paraId="70C84619" w14:textId="3064AEFC" w:rsidR="00F025A8" w:rsidRPr="008034CE" w:rsidRDefault="00F025A8" w:rsidP="00F025A8">
      <w:r w:rsidRPr="008034CE">
        <w:t>At the same time, the share of providers claiming for only plan management services has increased from 27% to 34%, indicating a gradual shift toward specialisation (</w:t>
      </w:r>
      <w:r w:rsidRPr="008034CE">
        <w:fldChar w:fldCharType="begin"/>
      </w:r>
      <w:r w:rsidRPr="008034CE">
        <w:instrText xml:space="preserve"> REF _Ref195636785 \h  \* MERGEFORMAT </w:instrText>
      </w:r>
      <w:r w:rsidRPr="008034CE">
        <w:fldChar w:fldCharType="separate"/>
      </w:r>
      <w:r w:rsidR="005763F9" w:rsidRPr="008034CE">
        <w:t xml:space="preserve">Figure </w:t>
      </w:r>
      <w:r w:rsidR="005763F9">
        <w:t>44</w:t>
      </w:r>
      <w:r w:rsidRPr="008034CE">
        <w:fldChar w:fldCharType="end"/>
      </w:r>
      <w:r w:rsidRPr="008034CE">
        <w:t>).</w:t>
      </w:r>
    </w:p>
    <w:p w14:paraId="4E36135C" w14:textId="1ED14539" w:rsidR="00F025A8" w:rsidRDefault="00F025A8" w:rsidP="00F025A8">
      <w:r w:rsidRPr="008034CE">
        <w:t xml:space="preserve">The delivery of both financial oversight and funded supports by the same provider can create a conflict of interest, which may undermine the integrity of plan management, regardless of scale. </w:t>
      </w:r>
    </w:p>
    <w:p w14:paraId="5D59630A" w14:textId="77777777" w:rsidR="00F025A8" w:rsidRDefault="00F025A8">
      <w:pPr>
        <w:spacing w:before="120" w:after="120"/>
      </w:pPr>
      <w:r>
        <w:br w:type="page"/>
      </w:r>
    </w:p>
    <w:p w14:paraId="07C0DFA8" w14:textId="411A8423" w:rsidR="00F025A8" w:rsidRPr="008034CE" w:rsidRDefault="00F025A8" w:rsidP="00F025A8">
      <w:pPr>
        <w:pStyle w:val="Caption"/>
      </w:pPr>
      <w:bookmarkStart w:id="646" w:name="_Ref195636778"/>
      <w:r w:rsidRPr="008034CE">
        <w:lastRenderedPageBreak/>
        <w:t xml:space="preserve">Figure </w:t>
      </w:r>
      <w:r w:rsidR="005763F9">
        <w:fldChar w:fldCharType="begin"/>
      </w:r>
      <w:r w:rsidR="005763F9">
        <w:instrText xml:space="preserve"> SEQ Figure \* ARABIC </w:instrText>
      </w:r>
      <w:r w:rsidR="005763F9">
        <w:fldChar w:fldCharType="separate"/>
      </w:r>
      <w:r w:rsidR="005763F9">
        <w:rPr>
          <w:noProof/>
        </w:rPr>
        <w:t>43</w:t>
      </w:r>
      <w:r w:rsidR="005763F9">
        <w:rPr>
          <w:noProof/>
        </w:rPr>
        <w:fldChar w:fldCharType="end"/>
      </w:r>
      <w:bookmarkEnd w:id="646"/>
      <w:r w:rsidRPr="008034CE">
        <w:t>: Number of Plan Managers claiming other services for their plan managed participants for the period, January 2022 to December 2024</w:t>
      </w:r>
    </w:p>
    <w:p w14:paraId="0D50E96E" w14:textId="77777777" w:rsidR="00F025A8" w:rsidRPr="008034CE" w:rsidRDefault="00F025A8" w:rsidP="00F025A8">
      <w:pPr>
        <w:jc w:val="center"/>
      </w:pPr>
      <w:r w:rsidRPr="008034CE">
        <w:rPr>
          <w:noProof/>
        </w:rPr>
        <w:drawing>
          <wp:inline distT="0" distB="0" distL="0" distR="0" wp14:anchorId="6B31FD28" wp14:editId="06C326DF">
            <wp:extent cx="5760000" cy="3386438"/>
            <wp:effectExtent l="0" t="0" r="0" b="5080"/>
            <wp:docPr id="1960883751" name="Picture 2" descr="A column graph showing the percentage of plan managers who also claim other services for their plan managed participants. The graph shows that majority of plan management providers also provide other services.&#10;&#10;From January to June 2022, 73% of plan managers also provided other services, whilst 27% provided only plan management.&#10;&#10;From July to December 2022, 71% of plan managers also provided other services, whilst 29% provided only plan management.&#10;&#10;From January to June 2023, 71% of plan managers also provided other services, whilst 29% provided only plan management.&#10;&#10;From July to December 2023, 68% of plan managers also provided other services, whilst 32% provided only plan management.&#10;&#10;From January to June 2024, 67% of plan managers also provided other services, whilst 33% provided only plan management.&#10;&#10;From July to December 2024, 66% of plan managers also provided other services, whilst 34% provided only plan management. &#10;&#10;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883751" name="Picture 2" descr="A column graph showing the percentage of plan managers who also claim other services for their plan managed participants. The graph shows that majority of plan management providers also provide other services.&#10;&#10;From January to June 2022, 73% of plan managers also provided other services, whilst 27% provided only plan management.&#10;&#10;From July to December 2022, 71% of plan managers also provided other services, whilst 29% provided only plan management.&#10;&#10;From January to June 2023, 71% of plan managers also provided other services, whilst 29% provided only plan management.&#10;&#10;From July to December 2023, 68% of plan managers also provided other services, whilst 32% provided only plan management.&#10;&#10;From January to June 2024, 67% of plan managers also provided other services, whilst 33% provided only plan management.&#10;&#10;From July to December 2024, 66% of plan managers also provided other services, whilst 34% provided only plan management. &#10;&#10;Source: NDIS internal administrative data."/>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760000" cy="3386438"/>
                    </a:xfrm>
                    <a:prstGeom prst="rect">
                      <a:avLst/>
                    </a:prstGeom>
                  </pic:spPr>
                </pic:pic>
              </a:graphicData>
            </a:graphic>
          </wp:inline>
        </w:drawing>
      </w:r>
    </w:p>
    <w:p w14:paraId="7417D9AE" w14:textId="4C074681" w:rsidR="00F025A8" w:rsidRPr="008034CE" w:rsidRDefault="00F025A8" w:rsidP="00F025A8">
      <w:pPr>
        <w:pStyle w:val="Caption"/>
      </w:pPr>
      <w:bookmarkStart w:id="647" w:name="_Ref195636785"/>
      <w:r w:rsidRPr="008034CE">
        <w:t xml:space="preserve">Figure </w:t>
      </w:r>
      <w:r w:rsidR="005763F9">
        <w:fldChar w:fldCharType="begin"/>
      </w:r>
      <w:r w:rsidR="005763F9">
        <w:instrText xml:space="preserve"> SEQ Figure \* ARABIC </w:instrText>
      </w:r>
      <w:r w:rsidR="005763F9">
        <w:fldChar w:fldCharType="separate"/>
      </w:r>
      <w:r w:rsidR="005763F9">
        <w:rPr>
          <w:noProof/>
        </w:rPr>
        <w:t>44</w:t>
      </w:r>
      <w:r w:rsidR="005763F9">
        <w:rPr>
          <w:noProof/>
        </w:rPr>
        <w:fldChar w:fldCharType="end"/>
      </w:r>
      <w:bookmarkEnd w:id="647"/>
      <w:r w:rsidRPr="008034CE">
        <w:t>: Payment of Plan Managers claiming other services for their plan managed participants for the period, January 2022 to December 2024</w:t>
      </w:r>
    </w:p>
    <w:p w14:paraId="5206D54E" w14:textId="693CBB07" w:rsidR="00FC0D98" w:rsidRDefault="00F025A8" w:rsidP="00F025A8">
      <w:pPr>
        <w:jc w:val="center"/>
      </w:pPr>
      <w:r w:rsidRPr="008034CE">
        <w:rPr>
          <w:noProof/>
        </w:rPr>
        <w:drawing>
          <wp:inline distT="0" distB="0" distL="0" distR="0" wp14:anchorId="143CB21E" wp14:editId="529F88C1">
            <wp:extent cx="5760000" cy="3391139"/>
            <wp:effectExtent l="0" t="0" r="0" b="0"/>
            <wp:docPr id="172684788" name="Picture 4" descr="A column graph showing the percentage of plan managers who also claim other services for their plan managed participants. The graph shows that majority of payments to plan managers are for plan management services or to other service providers.&#10;&#10;From January to December 2022, 93% of payments to plan managers were for plan management services or to service providers providing other services, whilst 7% were payments to plan managers providing other services.&#10;&#10;From January to June 2023, 94% of payments to plan managers were for plan management services or to service providers providing other services, whilst 6% were payments to plan managers providing other services.&#10;&#10;From July to December 2023, 95% of payments to plan managers were for plan management services or to service providers providing other services, whilst 5% were payments to plan managers providing other services.&#10;&#10;From January to December 2024, 96% of payments to plan managers were for plan management services or to service providers providing other services, whilst 4% were payments to plan managers providing other services.&#10;&#10;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84788" name="Picture 4" descr="A column graph showing the percentage of plan managers who also claim other services for their plan managed participants. The graph shows that majority of payments to plan managers are for plan management services or to other service providers.&#10;&#10;From January to December 2022, 93% of payments to plan managers were for plan management services or to service providers providing other services, whilst 7% were payments to plan managers providing other services.&#10;&#10;From January to June 2023, 94% of payments to plan managers were for plan management services or to service providers providing other services, whilst 6% were payments to plan managers providing other services.&#10;&#10;From July to December 2023, 95% of payments to plan managers were for plan management services or to service providers providing other services, whilst 5% were payments to plan managers providing other services.&#10;&#10;From January to December 2024, 96% of payments to plan managers were for plan management services or to service providers providing other services, whilst 4% were payments to plan managers providing other services.&#10;&#10;Source: NDIS internal administrative data."/>
                    <pic:cNvPicPr>
                      <a:picLocks noChangeAspect="1" noChangeArrowheads="1"/>
                    </pic:cNvPicPr>
                  </pic:nvPicPr>
                  <pic:blipFill>
                    <a:blip r:embed="rId62" cstate="print">
                      <a:extLst>
                        <a:ext uri="{28A0092B-C50C-407E-A947-70E740481C1C}">
                          <a14:useLocalDpi xmlns:a14="http://schemas.microsoft.com/office/drawing/2010/main" val="0"/>
                        </a:ext>
                      </a:extLst>
                    </a:blip>
                    <a:stretch>
                      <a:fillRect/>
                    </a:stretch>
                  </pic:blipFill>
                  <pic:spPr bwMode="auto">
                    <a:xfrm>
                      <a:off x="0" y="0"/>
                      <a:ext cx="5760000" cy="3391139"/>
                    </a:xfrm>
                    <a:prstGeom prst="rect">
                      <a:avLst/>
                    </a:prstGeom>
                    <a:noFill/>
                  </pic:spPr>
                </pic:pic>
              </a:graphicData>
            </a:graphic>
          </wp:inline>
        </w:drawing>
      </w:r>
    </w:p>
    <w:p w14:paraId="59DFF6A6" w14:textId="77777777" w:rsidR="00FC0D98" w:rsidRDefault="00FC0D98">
      <w:pPr>
        <w:spacing w:before="120" w:after="120"/>
      </w:pPr>
      <w:r>
        <w:br w:type="page"/>
      </w:r>
    </w:p>
    <w:p w14:paraId="2607C74B" w14:textId="77777777" w:rsidR="005839A6" w:rsidRPr="008034CE" w:rsidRDefault="005839A6" w:rsidP="00944322">
      <w:pPr>
        <w:pStyle w:val="Heading3"/>
      </w:pPr>
      <w:bookmarkStart w:id="648" w:name="_Toc196304237"/>
      <w:bookmarkStart w:id="649" w:name="_Toc196754651"/>
      <w:bookmarkStart w:id="650" w:name="_Toc196758253"/>
      <w:bookmarkStart w:id="651" w:name="_Toc197344329"/>
      <w:bookmarkStart w:id="652" w:name="_Toc200271695"/>
      <w:r w:rsidRPr="008034CE">
        <w:lastRenderedPageBreak/>
        <w:t>Discussion</w:t>
      </w:r>
      <w:bookmarkEnd w:id="648"/>
      <w:bookmarkEnd w:id="649"/>
      <w:bookmarkEnd w:id="650"/>
      <w:bookmarkEnd w:id="651"/>
      <w:bookmarkEnd w:id="652"/>
    </w:p>
    <w:p w14:paraId="13754730" w14:textId="77777777" w:rsidR="005839A6" w:rsidRPr="008034CE" w:rsidRDefault="005839A6" w:rsidP="005839A6">
      <w:r w:rsidRPr="008034CE">
        <w:t xml:space="preserve">The current pricing approach for plan management includes a one-off establishment fee, designed to cover the administrative cost of setting up financial arrangements for each new plan, and reflect any regional loadings that are intended to support service delivery in rural and remote areas. Market data indicates that both components are becoming misaligned with how services are delivered today. </w:t>
      </w:r>
    </w:p>
    <w:p w14:paraId="1538C618" w14:textId="77777777" w:rsidR="005839A6" w:rsidRPr="008034CE" w:rsidRDefault="005839A6" w:rsidP="005839A6">
      <w:r w:rsidRPr="008034CE">
        <w:t xml:space="preserve">The establishment fee assumes an administrative process at the start of each plan which could involve a face-to-face meeting. However, feedback from participants suggests that the face-to-face meeting has rarely occurred at all given most plan managers operate virtually. In a mature market where most plan managers already support high volumes of ongoing participants, the marginal cost of establishing new financial arrangements is low and therefore should be integrated into routine operations. This appears to be the case with the majority of Plan Managers showing minimal turnover, as between January 2022 and December 2024, 92.8% of plan-managed payments were processed by providers active in every half-year period. </w:t>
      </w:r>
    </w:p>
    <w:p w14:paraId="3E144F66" w14:textId="77777777" w:rsidR="005839A6" w:rsidRPr="008034CE" w:rsidRDefault="005839A6" w:rsidP="005839A6">
      <w:r w:rsidRPr="008034CE">
        <w:t xml:space="preserve">Since January 2022, there has been a significant drop in the proportion of participants’ </w:t>
      </w:r>
      <w:proofErr w:type="gramStart"/>
      <w:r w:rsidRPr="008034CE">
        <w:t>where</w:t>
      </w:r>
      <w:proofErr w:type="gramEnd"/>
      <w:r w:rsidRPr="008034CE">
        <w:t xml:space="preserve"> set up costs are claimed from their NDIS plans, decreasing from 52.1% to 29.9% in the most recent half year period to December 2024. This is a likely flow-on from auto-extension of participant plans in recent years. Auto-extended plans are not new plans so plan managers are not entitled to make another claim for set up costs from a plan when it is auto-extended. Additionally, as more NDIS participants transition to the new PACE system, there is less need for work related to service bookings, specifically setting up payments for support to participants and adjustments to service bookings throughout a participant’s plan.</w:t>
      </w:r>
    </w:p>
    <w:p w14:paraId="2C36DD3D" w14:textId="77777777" w:rsidR="005839A6" w:rsidRPr="008034CE" w:rsidRDefault="005839A6" w:rsidP="005839A6">
      <w:r w:rsidRPr="008034CE">
        <w:t xml:space="preserve">Similarly, the case for applying remote and very remote loadings has weakened over time. The number of plan-managed participants in remote areas has more than doubled since 2022, and the top 10 providers now account for up to 38% of plan managed payments in remote regions. This suggests that large-scale providers are servicing remote areas efficiently, and that a virtual service delivery for plan management services is increasingly the norm. Provider counts in remote areas have also grown significantly, which suggests that the barrier for service delivery to remote areas has decreased over time. </w:t>
      </w:r>
    </w:p>
    <w:p w14:paraId="5D45265F" w14:textId="69303312" w:rsidR="005839A6" w:rsidRPr="008034CE" w:rsidRDefault="005839A6" w:rsidP="005839A6">
      <w:r w:rsidRPr="008034CE">
        <w:t>These shifts have occurred alongside a gradual move of providers of plan management towards specialisation. While 66% of plan managers still claim for other supports, these claims make up just 4% of total plan-managed payments. The share of providers offering only plan management has increased from 27% to 34%, indicating a clearer delineation between administrative and service delivery roles. In</w:t>
      </w:r>
      <w:r w:rsidR="00CA25F5">
        <w:t> </w:t>
      </w:r>
      <w:r w:rsidRPr="008034CE">
        <w:t xml:space="preserve">this context, the integrity of financial oversight becomes central – and is best supported by a pricing approach that is simple, consistent and focused on efficiency. </w:t>
      </w:r>
    </w:p>
    <w:p w14:paraId="40DDEB52" w14:textId="77777777" w:rsidR="005839A6" w:rsidRPr="008034CE" w:rsidRDefault="005839A6" w:rsidP="00944322">
      <w:pPr>
        <w:pStyle w:val="Heading3"/>
      </w:pPr>
      <w:bookmarkStart w:id="653" w:name="_Toc196304238"/>
      <w:bookmarkStart w:id="654" w:name="_Toc196754652"/>
      <w:bookmarkStart w:id="655" w:name="_Toc196758254"/>
      <w:bookmarkStart w:id="656" w:name="_Toc197344330"/>
      <w:bookmarkStart w:id="657" w:name="_Toc200271696"/>
      <w:r w:rsidRPr="008034CE">
        <w:lastRenderedPageBreak/>
        <w:t>Recommendations</w:t>
      </w:r>
      <w:bookmarkEnd w:id="653"/>
      <w:bookmarkEnd w:id="654"/>
      <w:bookmarkEnd w:id="655"/>
      <w:bookmarkEnd w:id="656"/>
      <w:bookmarkEnd w:id="657"/>
      <w:r w:rsidRPr="008034CE">
        <w:t xml:space="preserve"> </w:t>
      </w:r>
    </w:p>
    <w:p w14:paraId="1C997658" w14:textId="77777777" w:rsidR="005839A6" w:rsidRPr="008034CE" w:rsidRDefault="005839A6" w:rsidP="005839A6">
      <w:r w:rsidRPr="008034CE">
        <w:t>Most providers now operating at scale, with 99.3% of plan-managed payments delivered by providers supporting more than 20 participants. This suggests administrative efficiency, and the monthly fee remains appropriate and sufficient for the ongoing delivery of these functions. Analyses in the chapter suggest that the plan management market has stabilised over time.</w:t>
      </w:r>
    </w:p>
    <w:p w14:paraId="465DC15F" w14:textId="509C4DC1" w:rsidR="005839A6" w:rsidRPr="008034CE" w:rsidRDefault="005839A6" w:rsidP="005839A6">
      <w:pPr>
        <w:pStyle w:val="Recommendationheading"/>
      </w:pPr>
      <w:r w:rsidRPr="008034CE">
        <w:t xml:space="preserve">Recommendation </w:t>
      </w:r>
      <w:r w:rsidRPr="008034CE">
        <w:rPr>
          <w:bCs/>
        </w:rPr>
        <w:t>1</w:t>
      </w:r>
      <w:r w:rsidR="00EA2CBC">
        <w:rPr>
          <w:bCs/>
        </w:rPr>
        <w:t>5</w:t>
      </w:r>
      <w:r w:rsidRPr="008034CE">
        <w:t>:</w:t>
      </w:r>
    </w:p>
    <w:p w14:paraId="15D02438" w14:textId="77777777" w:rsidR="005839A6" w:rsidRPr="008034CE" w:rsidRDefault="005839A6" w:rsidP="005839A6">
      <w:pPr>
        <w:pStyle w:val="Normalrecommendationtext"/>
      </w:pPr>
      <w:r w:rsidRPr="008034CE">
        <w:t xml:space="preserve">The NDIA should maintain the current monthly fee for plan management. This applies to support item 14_034_0127_8_3 – Financial Administration of Plan Management, priced at $104.45 per month. </w:t>
      </w:r>
    </w:p>
    <w:p w14:paraId="6D0A2F7D" w14:textId="77777777" w:rsidR="005839A6" w:rsidRPr="008034CE" w:rsidRDefault="005839A6" w:rsidP="005839A6">
      <w:r w:rsidRPr="008034CE">
        <w:t xml:space="preserve">The establishment fee was intended to cover the administrative setup required at the start of each new plan. However, </w:t>
      </w:r>
      <w:proofErr w:type="gramStart"/>
      <w:r w:rsidRPr="008034CE">
        <w:t>the majority of</w:t>
      </w:r>
      <w:proofErr w:type="gramEnd"/>
      <w:r w:rsidRPr="008034CE">
        <w:t xml:space="preserve"> plan managers now support ongoing participants across multiple plans, and most are well-established, high-volume providers operating virtually. When also considering the transition to PACE, the administrative cost associated with each new plan becomes minimal and should be absorbed as part of the monthly fee if participants do request a set up meeting. Removing this item simplifies the pricing approach, aligns payment with actual service delivery, and ensures that participant funds are directed toward ongoing financial oversight and support. </w:t>
      </w:r>
    </w:p>
    <w:p w14:paraId="3ACCC2A0" w14:textId="4F55A680" w:rsidR="005839A6" w:rsidRPr="008034CE" w:rsidRDefault="005839A6" w:rsidP="005839A6">
      <w:pPr>
        <w:pStyle w:val="Recommendationheading"/>
      </w:pPr>
      <w:r w:rsidRPr="008034CE">
        <w:t xml:space="preserve">Recommendation </w:t>
      </w:r>
      <w:r w:rsidRPr="008034CE">
        <w:rPr>
          <w:bCs/>
        </w:rPr>
        <w:t>1</w:t>
      </w:r>
      <w:r w:rsidR="00EA2CBC">
        <w:rPr>
          <w:bCs/>
        </w:rPr>
        <w:t>6</w:t>
      </w:r>
      <w:r w:rsidRPr="008034CE">
        <w:t>:</w:t>
      </w:r>
    </w:p>
    <w:p w14:paraId="5C534379" w14:textId="77777777" w:rsidR="005839A6" w:rsidRPr="008034CE" w:rsidRDefault="005839A6" w:rsidP="005839A6">
      <w:pPr>
        <w:pStyle w:val="Normalrecommendationtext"/>
      </w:pPr>
      <w:r w:rsidRPr="008034CE">
        <w:t xml:space="preserve">The NDIA should remove the one-off establishment fee for plan management effective from 1 July 2025. This applies to support item 14_033_0127_8_3 –Plan Management - Set Up Costs, which is currently priced at $232.35. </w:t>
      </w:r>
    </w:p>
    <w:p w14:paraId="01506083" w14:textId="77777777" w:rsidR="005839A6" w:rsidRPr="008034CE" w:rsidRDefault="005839A6" w:rsidP="005839A6">
      <w:r w:rsidRPr="008034CE">
        <w:t xml:space="preserve">Remote and Very Remote loadings were intended to address concerns on costs and access barriers in thin markets. However, plan management is now generally able to be delivered at scale across all geographies virtually. The number of participants in remote and very remote areas has more than doubled since 2022, and the top 10 providers now account for 38% of payments in remote regions. </w:t>
      </w:r>
    </w:p>
    <w:p w14:paraId="0393361E" w14:textId="165EF0A9" w:rsidR="005839A6" w:rsidRDefault="005839A6" w:rsidP="005839A6">
      <w:r w:rsidRPr="008034CE">
        <w:t xml:space="preserve">These providers operate nationally and efficiently, suggesting a virtual operation has become the norm. Removing the loadings supports a simpler, fairer pricing model that reflects actual service delivery and aligns with the NDIA’s pricing principles. </w:t>
      </w:r>
    </w:p>
    <w:p w14:paraId="465F0968" w14:textId="1982F935" w:rsidR="00AE3275" w:rsidRPr="008034CE" w:rsidRDefault="00AE3275" w:rsidP="00AE3275">
      <w:pPr>
        <w:pStyle w:val="Recommendationheading"/>
      </w:pPr>
      <w:r w:rsidRPr="008034CE">
        <w:t xml:space="preserve">Recommendation </w:t>
      </w:r>
      <w:r w:rsidRPr="008034CE">
        <w:rPr>
          <w:bCs/>
        </w:rPr>
        <w:t>1</w:t>
      </w:r>
      <w:r w:rsidR="00EA2CBC">
        <w:rPr>
          <w:bCs/>
        </w:rPr>
        <w:t>7</w:t>
      </w:r>
      <w:r w:rsidRPr="008034CE">
        <w:t>:</w:t>
      </w:r>
    </w:p>
    <w:p w14:paraId="46F8C302" w14:textId="77777777" w:rsidR="00AE3275" w:rsidRPr="008034CE" w:rsidRDefault="00AE3275" w:rsidP="00AE3275">
      <w:pPr>
        <w:pStyle w:val="Normalrecommendationtext"/>
      </w:pPr>
      <w:r w:rsidRPr="008034CE">
        <w:t xml:space="preserve">The NDIA should remove remote and very remote loadings for plan management monthly fees, effective from 1 July 2025, and apply a consistent national price. This applies to support item 14_034_0127_8_3 Plan Management - Monthly Fee. </w:t>
      </w:r>
    </w:p>
    <w:p w14:paraId="2073FB47" w14:textId="77777777" w:rsidR="00944322" w:rsidRPr="008034CE" w:rsidRDefault="00944322" w:rsidP="00944322">
      <w:pPr>
        <w:pStyle w:val="Heading2"/>
        <w:numPr>
          <w:ilvl w:val="0"/>
          <w:numId w:val="0"/>
        </w:numPr>
        <w:ind w:left="720" w:hanging="720"/>
        <w:rPr>
          <w:rFonts w:asciiTheme="minorHAnsi" w:hAnsiTheme="minorHAnsi" w:cstheme="minorHAnsi"/>
        </w:rPr>
      </w:pPr>
      <w:bookmarkStart w:id="658" w:name="_Toc196754653"/>
      <w:bookmarkStart w:id="659" w:name="_Toc196758255"/>
      <w:bookmarkStart w:id="660" w:name="_Toc197344331"/>
      <w:bookmarkStart w:id="661" w:name="_Toc200271697"/>
      <w:r w:rsidRPr="008034CE">
        <w:rPr>
          <w:rFonts w:asciiTheme="minorHAnsi" w:hAnsiTheme="minorHAnsi" w:cstheme="minorHAnsi"/>
        </w:rPr>
        <w:lastRenderedPageBreak/>
        <w:t>Appendix A: DSW Cost Model Detailed Breakdown</w:t>
      </w:r>
      <w:bookmarkEnd w:id="658"/>
      <w:bookmarkEnd w:id="659"/>
      <w:bookmarkEnd w:id="660"/>
      <w:bookmarkEnd w:id="661"/>
    </w:p>
    <w:p w14:paraId="1C7BA8BD" w14:textId="77777777" w:rsidR="00944322" w:rsidRPr="008034CE" w:rsidRDefault="00944322" w:rsidP="00944322">
      <w:r w:rsidRPr="008034CE">
        <w:t xml:space="preserve">The NDIA uses the Disability Support Worker Cost Model (DSW Cost Model) to estimate the cost that a reasonably efficient provider would incur in delivering a billable hour of support. Its primary aim is to ensure that pricing reflects the cost-of-service delivery. </w:t>
      </w:r>
    </w:p>
    <w:p w14:paraId="4F051B3F" w14:textId="77777777" w:rsidR="00944322" w:rsidRPr="008034CE" w:rsidRDefault="00944322" w:rsidP="00944322">
      <w:pPr>
        <w:pStyle w:val="Heading4"/>
      </w:pPr>
      <w:bookmarkStart w:id="662" w:name="_Toc164424387"/>
      <w:bookmarkStart w:id="663" w:name="_Toc164970240"/>
      <w:bookmarkStart w:id="664" w:name="_Toc200103586"/>
      <w:bookmarkStart w:id="665" w:name="_Toc200271698"/>
      <w:r w:rsidRPr="008034CE">
        <w:t>Parameters of the DSW Cost Model</w:t>
      </w:r>
      <w:bookmarkEnd w:id="662"/>
      <w:bookmarkEnd w:id="663"/>
      <w:bookmarkEnd w:id="664"/>
      <w:bookmarkEnd w:id="665"/>
    </w:p>
    <w:p w14:paraId="11F32FC2" w14:textId="77777777" w:rsidR="00944322" w:rsidRPr="008034CE" w:rsidRDefault="00944322" w:rsidP="00944322">
      <w:r w:rsidRPr="008034CE">
        <w:t>In 2022, the NDIA simplified the DSW Cost Model. The simplification was prompted by a recognition that the model’s specificity could inadvertently encourage rigid adherence to its parameters as de facto targets, potentially restricting innovation, and adaptability of providers. By consolidating the cost categories into direct worker employment costs, operational overheads, and corporate overheads, the NDIA aimed to reflect the nuanced ways providers manage their resources. The current parameters of the cost model are outlined below:</w:t>
      </w:r>
    </w:p>
    <w:p w14:paraId="397BE039" w14:textId="77777777" w:rsidR="00944322" w:rsidRPr="008034CE" w:rsidRDefault="00944322" w:rsidP="00944322">
      <w:pPr>
        <w:numPr>
          <w:ilvl w:val="0"/>
          <w:numId w:val="41"/>
        </w:numPr>
      </w:pPr>
      <w:r w:rsidRPr="008034CE">
        <w:rPr>
          <w:b/>
        </w:rPr>
        <w:t xml:space="preserve">Base salary and shift loadings: </w:t>
      </w:r>
      <w:r w:rsidRPr="008034CE">
        <w:t xml:space="preserve">The cost model is based on permanent worker costs. These are linked to </w:t>
      </w:r>
      <w:r w:rsidRPr="008034CE">
        <w:rPr>
          <w:i/>
        </w:rPr>
        <w:t>Social, Community, Home Care and Disability Services Industry Award 2010</w:t>
      </w:r>
      <w:r w:rsidRPr="008034CE">
        <w:t xml:space="preserve"> (</w:t>
      </w:r>
      <w:r w:rsidRPr="008034CE">
        <w:rPr>
          <w:lang w:eastAsia="en-AU"/>
        </w:rPr>
        <w:t>SCHADS Award) wage levels 2.3, 2.4/3.1, 3.2 and 4.4.</w:t>
      </w:r>
    </w:p>
    <w:p w14:paraId="6055ADC4" w14:textId="77777777" w:rsidR="00944322" w:rsidRPr="008034CE" w:rsidRDefault="00944322" w:rsidP="00944322">
      <w:pPr>
        <w:numPr>
          <w:ilvl w:val="0"/>
          <w:numId w:val="41"/>
        </w:numPr>
      </w:pPr>
      <w:r w:rsidRPr="008034CE">
        <w:rPr>
          <w:b/>
        </w:rPr>
        <w:t xml:space="preserve">Direct on-costs: </w:t>
      </w:r>
      <w:r w:rsidRPr="008034CE">
        <w:t>Includes Superannuation entitlements (currently 11.5%, 12% from 1 July 2025), Annual Leave entitlements (20 days), Personal Leave entitlements including domestic and family violence leave (10.3 days), Long Service Leave entitlements (4.3 days), and Employee Allowances.</w:t>
      </w:r>
    </w:p>
    <w:p w14:paraId="51F827D8" w14:textId="77777777" w:rsidR="00944322" w:rsidRPr="008034CE" w:rsidRDefault="00944322" w:rsidP="00944322">
      <w:pPr>
        <w:numPr>
          <w:ilvl w:val="0"/>
          <w:numId w:val="41"/>
        </w:numPr>
      </w:pPr>
      <w:r w:rsidRPr="008034CE">
        <w:rPr>
          <w:b/>
        </w:rPr>
        <w:t>Operational overheads</w:t>
      </w:r>
      <w:r w:rsidRPr="008034CE">
        <w:t xml:space="preserve">: Covers supervision, quality and safeguarding, training, and workforce rostering costs, alongside provisions for utilisation rates and the mix of permanent versus casual staff and the extent to which overtime is utilised. </w:t>
      </w:r>
    </w:p>
    <w:p w14:paraId="381D7C09" w14:textId="77777777" w:rsidR="00944322" w:rsidRPr="008034CE" w:rsidRDefault="00944322" w:rsidP="00944322">
      <w:pPr>
        <w:numPr>
          <w:ilvl w:val="0"/>
          <w:numId w:val="41"/>
        </w:numPr>
      </w:pPr>
      <w:r w:rsidRPr="008034CE">
        <w:rPr>
          <w:b/>
        </w:rPr>
        <w:t>Corporate overheads</w:t>
      </w:r>
      <w:r w:rsidRPr="008034CE">
        <w:t>: Accounts for essential business functions such as accounting, human resources, information technology, legal, and marketing</w:t>
      </w:r>
      <w:r w:rsidRPr="008034CE" w:rsidDel="00B50EE6">
        <w:t>.</w:t>
      </w:r>
    </w:p>
    <w:p w14:paraId="5E2C34B1" w14:textId="77777777" w:rsidR="00944322" w:rsidRPr="008034CE" w:rsidRDefault="00944322" w:rsidP="00944322">
      <w:pPr>
        <w:numPr>
          <w:ilvl w:val="0"/>
          <w:numId w:val="41"/>
        </w:numPr>
      </w:pPr>
      <w:r w:rsidRPr="008034CE">
        <w:rPr>
          <w:b/>
        </w:rPr>
        <w:t>Margin</w:t>
      </w:r>
      <w:r w:rsidRPr="008034CE">
        <w:t>: Which represents the return that the provider makes because of the provision of working capital to the business.</w:t>
      </w:r>
    </w:p>
    <w:p w14:paraId="60EE58D1" w14:textId="77777777" w:rsidR="00944322" w:rsidRPr="008034CE" w:rsidRDefault="00944322" w:rsidP="00944322">
      <w:r w:rsidRPr="008034CE">
        <w:t>The DSW Cost Model is driven</w:t>
      </w:r>
      <w:r w:rsidRPr="008034CE" w:rsidDel="00F80F91">
        <w:t xml:space="preserve"> </w:t>
      </w:r>
      <w:r w:rsidRPr="008034CE">
        <w:t>by the relevant SCHADS Award wage movements, operates on a multiplicative basis where operational and corporate overheads, as well as profit margins, are determined as a percentage of the direct costs, including wages and on-costs. Any changes in the wage rates directly affects the entire model’s cost structures.</w:t>
      </w:r>
    </w:p>
    <w:p w14:paraId="1D6941D6" w14:textId="754E86ED" w:rsidR="00B85F6B" w:rsidRDefault="00944322" w:rsidP="00944322">
      <w:r w:rsidRPr="008034CE">
        <w:lastRenderedPageBreak/>
        <w:t>In setting NDIS price limits for DSW related supports, the model is an important approximation, considered alongside market dynamics, award conditions, and regulatory requirements such as minimum wages and superannuation contributions</w:t>
      </w:r>
      <w:r w:rsidRPr="008034CE" w:rsidDel="00271002">
        <w:t>.</w:t>
      </w:r>
    </w:p>
    <w:p w14:paraId="48D6EBF5" w14:textId="77777777" w:rsidR="00944322" w:rsidRPr="008034CE" w:rsidRDefault="00944322" w:rsidP="00944322">
      <w:pPr>
        <w:pStyle w:val="Heading4"/>
        <w:ind w:left="709" w:hanging="709"/>
      </w:pPr>
      <w:bookmarkStart w:id="666" w:name="_Toc164424388"/>
      <w:bookmarkStart w:id="667" w:name="_Toc164970241"/>
      <w:bookmarkStart w:id="668" w:name="_Toc200103587"/>
      <w:bookmarkStart w:id="669" w:name="_Toc200271699"/>
      <w:r w:rsidRPr="008034CE">
        <w:t>Applicable industrial award</w:t>
      </w:r>
      <w:bookmarkEnd w:id="666"/>
      <w:bookmarkEnd w:id="667"/>
      <w:bookmarkEnd w:id="668"/>
      <w:bookmarkEnd w:id="669"/>
    </w:p>
    <w:p w14:paraId="7826F922" w14:textId="77777777" w:rsidR="00944322" w:rsidRPr="008034CE" w:rsidRDefault="00944322" w:rsidP="00944322">
      <w:pPr>
        <w:rPr>
          <w:rFonts w:eastAsiaTheme="minorEastAsia" w:cstheme="minorBidi"/>
          <w:color w:val="000000" w:themeColor="accent6"/>
        </w:rPr>
      </w:pPr>
      <w:r w:rsidRPr="008034CE">
        <w:rPr>
          <w:rFonts w:eastAsiaTheme="minorEastAsia" w:cstheme="minorBidi"/>
          <w:color w:val="000000" w:themeColor="accent6"/>
        </w:rPr>
        <w:t>The NDIA recognises that some DSWs are classified as Home Care Employees and others are classified as Social and Community Services Employees under the SCHADS Award. The Cost Model take its parameters from the Social and Community Services Employees section for the SCHADS Award, which has the more generous provisions. The NDIA also recognises that some Disability Support Workers are employed under Enterprise Bargaining Agreements (E</w:t>
      </w:r>
      <w:r w:rsidRPr="008034CE">
        <w:rPr>
          <w:rFonts w:eastAsiaTheme="minorEastAsia" w:cstheme="minorBidi"/>
          <w:color w:val="000000" w:themeColor="accent6"/>
          <w:spacing w:val="-60"/>
        </w:rPr>
        <w:t xml:space="preserve"> </w:t>
      </w:r>
      <w:r w:rsidRPr="008034CE">
        <w:rPr>
          <w:rFonts w:eastAsiaTheme="minorEastAsia" w:cstheme="minorBidi"/>
          <w:color w:val="000000" w:themeColor="accent6"/>
        </w:rPr>
        <w:t>B</w:t>
      </w:r>
      <w:r w:rsidRPr="008034CE">
        <w:rPr>
          <w:rFonts w:eastAsiaTheme="minorEastAsia" w:cstheme="minorBidi"/>
          <w:color w:val="000000" w:themeColor="accent6"/>
          <w:spacing w:val="-60"/>
        </w:rPr>
        <w:t xml:space="preserve"> </w:t>
      </w:r>
      <w:r w:rsidRPr="008034CE">
        <w:rPr>
          <w:rFonts w:eastAsiaTheme="minorEastAsia" w:cstheme="minorBidi"/>
          <w:color w:val="000000" w:themeColor="accent6"/>
        </w:rPr>
        <w:t>As). However, these E</w:t>
      </w:r>
      <w:r w:rsidRPr="008034CE">
        <w:rPr>
          <w:rFonts w:eastAsiaTheme="minorEastAsia" w:cstheme="minorBidi"/>
          <w:color w:val="000000" w:themeColor="accent6"/>
          <w:spacing w:val="-60"/>
        </w:rPr>
        <w:t xml:space="preserve"> </w:t>
      </w:r>
      <w:r w:rsidRPr="008034CE">
        <w:rPr>
          <w:rFonts w:eastAsiaTheme="minorEastAsia" w:cstheme="minorBidi"/>
          <w:color w:val="000000" w:themeColor="accent6"/>
        </w:rPr>
        <w:t>B</w:t>
      </w:r>
      <w:r w:rsidRPr="008034CE">
        <w:rPr>
          <w:rFonts w:eastAsiaTheme="minorEastAsia" w:cstheme="minorBidi"/>
          <w:color w:val="000000" w:themeColor="accent6"/>
          <w:spacing w:val="-60"/>
        </w:rPr>
        <w:t xml:space="preserve"> </w:t>
      </w:r>
      <w:r w:rsidRPr="008034CE">
        <w:rPr>
          <w:rFonts w:eastAsiaTheme="minorEastAsia" w:cstheme="minorBidi"/>
          <w:color w:val="000000" w:themeColor="accent6"/>
        </w:rPr>
        <w:t>As must leave the worker no worse off overall than they would be under the relevant Award. Any additional benefits offered by E</w:t>
      </w:r>
      <w:r w:rsidRPr="008034CE">
        <w:rPr>
          <w:rFonts w:eastAsiaTheme="minorEastAsia" w:cstheme="minorBidi"/>
          <w:color w:val="000000" w:themeColor="accent6"/>
          <w:spacing w:val="-60"/>
        </w:rPr>
        <w:t xml:space="preserve"> </w:t>
      </w:r>
      <w:r w:rsidRPr="008034CE">
        <w:rPr>
          <w:rFonts w:eastAsiaTheme="minorEastAsia" w:cstheme="minorBidi"/>
          <w:color w:val="000000" w:themeColor="accent6"/>
        </w:rPr>
        <w:t>B</w:t>
      </w:r>
      <w:r w:rsidRPr="008034CE">
        <w:rPr>
          <w:rFonts w:eastAsiaTheme="minorEastAsia" w:cstheme="minorBidi"/>
          <w:color w:val="000000" w:themeColor="accent6"/>
          <w:spacing w:val="-60"/>
        </w:rPr>
        <w:t xml:space="preserve"> </w:t>
      </w:r>
      <w:r w:rsidRPr="008034CE">
        <w:rPr>
          <w:rFonts w:eastAsiaTheme="minorEastAsia" w:cstheme="minorBidi"/>
          <w:color w:val="000000" w:themeColor="accent6"/>
        </w:rPr>
        <w:t>As over the Award have been agreed to by providers and are often offset by productivity gains. The NDIA therefore considers the conditions set out in the Social and Community Services Employees section of the SCHADS Award to be the most appropriate foundation for the DSW Cost Model.</w:t>
      </w:r>
    </w:p>
    <w:p w14:paraId="0A30731C" w14:textId="77777777" w:rsidR="00944322" w:rsidRPr="008034CE" w:rsidRDefault="00944322" w:rsidP="00944322">
      <w:pPr>
        <w:rPr>
          <w:rFonts w:eastAsiaTheme="minorEastAsia" w:cstheme="minorBidi"/>
          <w:color w:val="000000" w:themeColor="accent6"/>
        </w:rPr>
      </w:pPr>
      <w:r w:rsidRPr="008034CE">
        <w:rPr>
          <w:rFonts w:eastAsiaTheme="minorEastAsia" w:cstheme="minorBidi"/>
          <w:color w:val="000000" w:themeColor="accent6"/>
        </w:rPr>
        <w:t>The NDIA recognises that providers must employ Disability Support Workers with different skill levels and levels of experience to meet the different needs of participants. The Cost Model therefore has different sets of cost assumptions for four types of workers that will be referred to as DSW Level 1, DSW Level 2, DSW Level 3 and DSW Level 4.</w:t>
      </w:r>
    </w:p>
    <w:p w14:paraId="3A75C1DC" w14:textId="503EFE60" w:rsidR="00944322" w:rsidRDefault="00944322">
      <w:pPr>
        <w:spacing w:before="120" w:after="120"/>
        <w:rPr>
          <w:rFonts w:eastAsiaTheme="minorEastAsia" w:cstheme="minorBidi"/>
          <w:color w:val="000000" w:themeColor="accent6"/>
        </w:rPr>
      </w:pPr>
      <w:r>
        <w:br w:type="page"/>
      </w:r>
    </w:p>
    <w:p w14:paraId="0B04062B" w14:textId="77777777" w:rsidR="00944322" w:rsidRPr="008034CE" w:rsidRDefault="00944322" w:rsidP="00CA25F5">
      <w:pPr>
        <w:pStyle w:val="Heading2"/>
        <w:numPr>
          <w:ilvl w:val="0"/>
          <w:numId w:val="0"/>
        </w:numPr>
        <w:ind w:left="720" w:hanging="720"/>
        <w:rPr>
          <w:rFonts w:asciiTheme="minorHAnsi" w:hAnsiTheme="minorHAnsi" w:cstheme="minorHAnsi"/>
        </w:rPr>
      </w:pPr>
      <w:bookmarkStart w:id="670" w:name="_Toc196754654"/>
      <w:bookmarkStart w:id="671" w:name="_Toc196758256"/>
      <w:bookmarkStart w:id="672" w:name="_Toc197344332"/>
      <w:bookmarkStart w:id="673" w:name="_Toc200271700"/>
      <w:r w:rsidRPr="008034CE">
        <w:rPr>
          <w:rFonts w:asciiTheme="minorHAnsi" w:hAnsiTheme="minorHAnsi" w:cstheme="minorHAnsi"/>
        </w:rPr>
        <w:lastRenderedPageBreak/>
        <w:t>Appendix B: Details of Medicare Benefits Schedule (MBS) and Private Health Insurance (</w:t>
      </w:r>
      <w:r w:rsidRPr="008034CE">
        <w:t>P</w:t>
      </w:r>
      <w:r w:rsidRPr="008034CE">
        <w:rPr>
          <w:spacing w:val="-60"/>
        </w:rPr>
        <w:t xml:space="preserve"> </w:t>
      </w:r>
      <w:r w:rsidRPr="008034CE">
        <w:t>H</w:t>
      </w:r>
      <w:r w:rsidRPr="008034CE">
        <w:rPr>
          <w:spacing w:val="-60"/>
        </w:rPr>
        <w:t xml:space="preserve"> </w:t>
      </w:r>
      <w:r w:rsidRPr="008034CE">
        <w:t>I</w:t>
      </w:r>
      <w:r w:rsidRPr="008034CE">
        <w:rPr>
          <w:rFonts w:asciiTheme="minorHAnsi" w:hAnsiTheme="minorHAnsi" w:cstheme="minorHAnsi"/>
        </w:rPr>
        <w:t>) implied hourly price rate conversion</w:t>
      </w:r>
      <w:bookmarkEnd w:id="670"/>
      <w:r w:rsidRPr="008034CE">
        <w:rPr>
          <w:rFonts w:asciiTheme="minorHAnsi" w:hAnsiTheme="minorHAnsi" w:cstheme="minorHAnsi"/>
        </w:rPr>
        <w:t>s</w:t>
      </w:r>
      <w:bookmarkEnd w:id="671"/>
      <w:bookmarkEnd w:id="672"/>
      <w:bookmarkEnd w:id="673"/>
    </w:p>
    <w:p w14:paraId="346D4C81" w14:textId="7E827CED" w:rsidR="00944322" w:rsidRPr="008034CE" w:rsidRDefault="00944322" w:rsidP="00944322">
      <w:pPr>
        <w:pStyle w:val="Caption"/>
      </w:pPr>
      <w:bookmarkStart w:id="674" w:name="_Ref195540307"/>
      <w:r w:rsidRPr="008034CE">
        <w:t xml:space="preserve">Table </w:t>
      </w:r>
      <w:r w:rsidR="005763F9">
        <w:fldChar w:fldCharType="begin"/>
      </w:r>
      <w:r w:rsidR="005763F9">
        <w:instrText xml:space="preserve"> SEQ Table \* ARABIC </w:instrText>
      </w:r>
      <w:r w:rsidR="005763F9">
        <w:fldChar w:fldCharType="separate"/>
      </w:r>
      <w:r w:rsidR="005763F9">
        <w:rPr>
          <w:noProof/>
        </w:rPr>
        <w:t>37</w:t>
      </w:r>
      <w:r w:rsidR="005763F9">
        <w:rPr>
          <w:noProof/>
        </w:rPr>
        <w:fldChar w:fldCharType="end"/>
      </w:r>
      <w:bookmarkEnd w:id="674"/>
      <w:r w:rsidRPr="008034CE">
        <w:t>: MBS &amp; P</w:t>
      </w:r>
      <w:r w:rsidRPr="008034CE">
        <w:rPr>
          <w:spacing w:val="-60"/>
        </w:rPr>
        <w:t xml:space="preserve"> </w:t>
      </w:r>
      <w:r w:rsidRPr="008034CE">
        <w:t>H</w:t>
      </w:r>
      <w:r w:rsidRPr="008034CE">
        <w:rPr>
          <w:spacing w:val="-60"/>
        </w:rPr>
        <w:t xml:space="preserve"> </w:t>
      </w:r>
      <w:r w:rsidRPr="008034CE">
        <w:t>I session fees with corresponding reference times for conversion to an hourly rate</w:t>
      </w:r>
    </w:p>
    <w:tbl>
      <w:tblPr>
        <w:tblW w:w="9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4"/>
        <w:gridCol w:w="683"/>
        <w:gridCol w:w="737"/>
        <w:gridCol w:w="737"/>
        <w:gridCol w:w="737"/>
        <w:gridCol w:w="794"/>
        <w:gridCol w:w="794"/>
        <w:gridCol w:w="794"/>
        <w:gridCol w:w="680"/>
        <w:gridCol w:w="737"/>
        <w:gridCol w:w="680"/>
        <w:gridCol w:w="794"/>
      </w:tblGrid>
      <w:tr w:rsidR="006F02C6" w:rsidRPr="007C1E37" w14:paraId="7B6CA2BD" w14:textId="77777777" w:rsidTr="00BD68CD">
        <w:trPr>
          <w:trHeight w:val="794"/>
        </w:trPr>
        <w:tc>
          <w:tcPr>
            <w:tcW w:w="1304" w:type="dxa"/>
            <w:shd w:val="clear" w:color="auto" w:fill="6B2976"/>
            <w:vAlign w:val="bottom"/>
            <w:hideMark/>
          </w:tcPr>
          <w:p w14:paraId="0A0CCD02" w14:textId="77777777" w:rsidR="00944322" w:rsidRPr="00BD68CD" w:rsidRDefault="00944322" w:rsidP="00FE0D21">
            <w:pPr>
              <w:spacing w:after="60" w:line="240" w:lineRule="auto"/>
              <w:rPr>
                <w:rFonts w:ascii="Aptos Narrow" w:hAnsi="Aptos Narrow"/>
                <w:b/>
                <w:bCs/>
                <w:color w:val="FFFFFF"/>
                <w:spacing w:val="-2"/>
                <w:sz w:val="16"/>
                <w:szCs w:val="16"/>
                <w:lang w:eastAsia="en-AU"/>
              </w:rPr>
            </w:pPr>
            <w:r w:rsidRPr="00BD68CD">
              <w:rPr>
                <w:rFonts w:ascii="Aptos Narrow" w:hAnsi="Aptos Narrow"/>
                <w:b/>
                <w:bCs/>
                <w:color w:val="FFFFFF"/>
                <w:spacing w:val="-2"/>
                <w:sz w:val="16"/>
                <w:szCs w:val="16"/>
                <w:lang w:eastAsia="en-AU"/>
              </w:rPr>
              <w:t>Therapy</w:t>
            </w:r>
          </w:p>
        </w:tc>
        <w:tc>
          <w:tcPr>
            <w:tcW w:w="683" w:type="dxa"/>
            <w:shd w:val="clear" w:color="auto" w:fill="6B2976"/>
            <w:noWrap/>
            <w:vAlign w:val="bottom"/>
            <w:hideMark/>
          </w:tcPr>
          <w:p w14:paraId="28216BF1" w14:textId="77777777" w:rsidR="00944322" w:rsidRPr="00BD68CD" w:rsidRDefault="00944322" w:rsidP="00FE0D21">
            <w:pPr>
              <w:spacing w:after="60" w:line="240" w:lineRule="auto"/>
              <w:rPr>
                <w:rFonts w:ascii="Aptos Narrow" w:hAnsi="Aptos Narrow"/>
                <w:b/>
                <w:bCs/>
                <w:color w:val="FFFFFF"/>
                <w:spacing w:val="-2"/>
                <w:sz w:val="16"/>
                <w:szCs w:val="16"/>
                <w:lang w:eastAsia="en-AU"/>
              </w:rPr>
            </w:pPr>
            <w:r w:rsidRPr="00BD68CD">
              <w:rPr>
                <w:rFonts w:ascii="Aptos Narrow" w:hAnsi="Aptos Narrow"/>
                <w:b/>
                <w:bCs/>
                <w:color w:val="FFFFFF"/>
                <w:spacing w:val="-2"/>
                <w:sz w:val="16"/>
                <w:szCs w:val="16"/>
                <w:lang w:eastAsia="en-AU"/>
              </w:rPr>
              <w:t>Source</w:t>
            </w:r>
          </w:p>
        </w:tc>
        <w:tc>
          <w:tcPr>
            <w:tcW w:w="737" w:type="dxa"/>
            <w:shd w:val="clear" w:color="auto" w:fill="6B2976"/>
            <w:noWrap/>
            <w:vAlign w:val="bottom"/>
            <w:hideMark/>
          </w:tcPr>
          <w:p w14:paraId="6C9FA7D3" w14:textId="6886AC59" w:rsidR="006F02C6" w:rsidRPr="00BD68CD" w:rsidRDefault="006F02C6" w:rsidP="00FE0D21">
            <w:pPr>
              <w:spacing w:after="60" w:line="240" w:lineRule="auto"/>
              <w:jc w:val="center"/>
              <w:rPr>
                <w:rFonts w:ascii="Aptos Narrow" w:hAnsi="Aptos Narrow"/>
                <w:b/>
                <w:bCs/>
                <w:color w:val="FFFFFF"/>
                <w:spacing w:val="-2"/>
                <w:sz w:val="16"/>
                <w:szCs w:val="16"/>
                <w:lang w:eastAsia="en-AU"/>
              </w:rPr>
            </w:pPr>
            <w:r w:rsidRPr="00BD68CD">
              <w:rPr>
                <w:rFonts w:ascii="Aptos Narrow" w:hAnsi="Aptos Narrow"/>
                <w:b/>
                <w:bCs/>
                <w:color w:val="FFFFFF"/>
                <w:spacing w:val="-2"/>
                <w:sz w:val="16"/>
                <w:szCs w:val="16"/>
                <w:lang w:eastAsia="en-AU"/>
              </w:rPr>
              <w:t>Session fee:</w:t>
            </w:r>
          </w:p>
          <w:p w14:paraId="2536C875" w14:textId="6A4177D9" w:rsidR="00944322" w:rsidRPr="00BD68CD" w:rsidRDefault="00944322" w:rsidP="00FE0D21">
            <w:pPr>
              <w:spacing w:after="60" w:line="240" w:lineRule="auto"/>
              <w:jc w:val="center"/>
              <w:rPr>
                <w:rFonts w:ascii="Aptos Narrow" w:hAnsi="Aptos Narrow"/>
                <w:b/>
                <w:bCs/>
                <w:color w:val="FFFFFF"/>
                <w:spacing w:val="-2"/>
                <w:sz w:val="16"/>
                <w:szCs w:val="16"/>
                <w:lang w:eastAsia="en-AU"/>
              </w:rPr>
            </w:pPr>
            <w:r w:rsidRPr="00BD68CD">
              <w:rPr>
                <w:rFonts w:ascii="Aptos Narrow" w:hAnsi="Aptos Narrow"/>
                <w:b/>
                <w:bCs/>
                <w:color w:val="FFFFFF"/>
                <w:spacing w:val="-2"/>
                <w:sz w:val="16"/>
                <w:szCs w:val="16"/>
                <w:lang w:eastAsia="en-AU"/>
              </w:rPr>
              <w:t>25th</w:t>
            </w:r>
          </w:p>
        </w:tc>
        <w:tc>
          <w:tcPr>
            <w:tcW w:w="737" w:type="dxa"/>
            <w:shd w:val="clear" w:color="auto" w:fill="6B2976"/>
            <w:noWrap/>
            <w:vAlign w:val="bottom"/>
            <w:hideMark/>
          </w:tcPr>
          <w:p w14:paraId="46223838" w14:textId="34FBDD55" w:rsidR="006F02C6" w:rsidRPr="00BD68CD" w:rsidRDefault="006F02C6" w:rsidP="00FE0D21">
            <w:pPr>
              <w:spacing w:after="60" w:line="240" w:lineRule="auto"/>
              <w:jc w:val="center"/>
              <w:rPr>
                <w:rFonts w:ascii="Aptos Narrow" w:hAnsi="Aptos Narrow"/>
                <w:b/>
                <w:bCs/>
                <w:color w:val="FFFFFF"/>
                <w:spacing w:val="-2"/>
                <w:sz w:val="16"/>
                <w:szCs w:val="16"/>
                <w:lang w:eastAsia="en-AU"/>
              </w:rPr>
            </w:pPr>
            <w:r w:rsidRPr="00BD68CD">
              <w:rPr>
                <w:rFonts w:ascii="Aptos Narrow" w:hAnsi="Aptos Narrow"/>
                <w:b/>
                <w:bCs/>
                <w:color w:val="FFFFFF"/>
                <w:spacing w:val="-2"/>
                <w:sz w:val="16"/>
                <w:szCs w:val="16"/>
                <w:lang w:eastAsia="en-AU"/>
              </w:rPr>
              <w:t>Session fee:</w:t>
            </w:r>
          </w:p>
          <w:p w14:paraId="41B4E40E" w14:textId="4DC2D2EA" w:rsidR="00944322" w:rsidRPr="00BD68CD" w:rsidRDefault="00944322" w:rsidP="00FE0D21">
            <w:pPr>
              <w:spacing w:after="60" w:line="240" w:lineRule="auto"/>
              <w:jc w:val="center"/>
              <w:rPr>
                <w:rFonts w:ascii="Aptos Narrow" w:hAnsi="Aptos Narrow"/>
                <w:b/>
                <w:bCs/>
                <w:color w:val="FFFFFF"/>
                <w:spacing w:val="-2"/>
                <w:sz w:val="16"/>
                <w:szCs w:val="16"/>
                <w:lang w:eastAsia="en-AU"/>
              </w:rPr>
            </w:pPr>
            <w:r w:rsidRPr="00BD68CD">
              <w:rPr>
                <w:rFonts w:ascii="Aptos Narrow" w:hAnsi="Aptos Narrow"/>
                <w:b/>
                <w:bCs/>
                <w:color w:val="FFFFFF"/>
                <w:spacing w:val="-2"/>
                <w:sz w:val="16"/>
                <w:szCs w:val="16"/>
                <w:lang w:eastAsia="en-AU"/>
              </w:rPr>
              <w:t>Median</w:t>
            </w:r>
          </w:p>
        </w:tc>
        <w:tc>
          <w:tcPr>
            <w:tcW w:w="737" w:type="dxa"/>
            <w:shd w:val="clear" w:color="auto" w:fill="6B2976"/>
            <w:noWrap/>
            <w:vAlign w:val="bottom"/>
            <w:hideMark/>
          </w:tcPr>
          <w:p w14:paraId="2F6A9E77" w14:textId="537D4863" w:rsidR="006F02C6" w:rsidRPr="00BD68CD" w:rsidRDefault="006F02C6" w:rsidP="00FE0D21">
            <w:pPr>
              <w:spacing w:after="60" w:line="240" w:lineRule="auto"/>
              <w:jc w:val="center"/>
              <w:rPr>
                <w:rFonts w:ascii="Aptos Narrow" w:hAnsi="Aptos Narrow"/>
                <w:b/>
                <w:bCs/>
                <w:color w:val="FFFFFF"/>
                <w:spacing w:val="-2"/>
                <w:sz w:val="16"/>
                <w:szCs w:val="16"/>
                <w:lang w:eastAsia="en-AU"/>
              </w:rPr>
            </w:pPr>
            <w:r w:rsidRPr="00BD68CD">
              <w:rPr>
                <w:rFonts w:ascii="Aptos Narrow" w:hAnsi="Aptos Narrow"/>
                <w:b/>
                <w:bCs/>
                <w:color w:val="FFFFFF"/>
                <w:spacing w:val="-2"/>
                <w:sz w:val="16"/>
                <w:szCs w:val="16"/>
                <w:lang w:eastAsia="en-AU"/>
              </w:rPr>
              <w:t>Session fee:</w:t>
            </w:r>
          </w:p>
          <w:p w14:paraId="539DC5BA" w14:textId="3D66E4F7" w:rsidR="00944322" w:rsidRPr="00BD68CD" w:rsidRDefault="00944322" w:rsidP="00FE0D21">
            <w:pPr>
              <w:spacing w:after="60" w:line="240" w:lineRule="auto"/>
              <w:jc w:val="center"/>
              <w:rPr>
                <w:rFonts w:ascii="Aptos Narrow" w:hAnsi="Aptos Narrow"/>
                <w:b/>
                <w:bCs/>
                <w:color w:val="FFFFFF"/>
                <w:spacing w:val="-2"/>
                <w:sz w:val="16"/>
                <w:szCs w:val="16"/>
                <w:lang w:eastAsia="en-AU"/>
              </w:rPr>
            </w:pPr>
            <w:r w:rsidRPr="00BD68CD">
              <w:rPr>
                <w:rFonts w:ascii="Aptos Narrow" w:hAnsi="Aptos Narrow"/>
                <w:b/>
                <w:bCs/>
                <w:color w:val="FFFFFF"/>
                <w:spacing w:val="-2"/>
                <w:sz w:val="16"/>
                <w:szCs w:val="16"/>
                <w:lang w:eastAsia="en-AU"/>
              </w:rPr>
              <w:t>75th</w:t>
            </w:r>
          </w:p>
        </w:tc>
        <w:tc>
          <w:tcPr>
            <w:tcW w:w="794" w:type="dxa"/>
            <w:shd w:val="clear" w:color="auto" w:fill="6B2976"/>
            <w:noWrap/>
            <w:vAlign w:val="bottom"/>
            <w:hideMark/>
          </w:tcPr>
          <w:p w14:paraId="7CB3981D" w14:textId="6ABD8606" w:rsidR="006F02C6" w:rsidRPr="00BD68CD" w:rsidRDefault="006F02C6" w:rsidP="00FE0D21">
            <w:pPr>
              <w:spacing w:after="60" w:line="240" w:lineRule="auto"/>
              <w:jc w:val="center"/>
              <w:rPr>
                <w:rFonts w:ascii="Aptos Narrow" w:hAnsi="Aptos Narrow"/>
                <w:b/>
                <w:bCs/>
                <w:color w:val="FFFFFF"/>
                <w:spacing w:val="-2"/>
                <w:sz w:val="16"/>
                <w:szCs w:val="16"/>
                <w:lang w:eastAsia="en-AU"/>
              </w:rPr>
            </w:pPr>
            <w:r w:rsidRPr="00BD68CD">
              <w:rPr>
                <w:rFonts w:ascii="Aptos Narrow" w:hAnsi="Aptos Narrow"/>
                <w:b/>
                <w:bCs/>
                <w:color w:val="FFFFFF"/>
                <w:spacing w:val="-2"/>
                <w:sz w:val="16"/>
                <w:szCs w:val="16"/>
                <w:lang w:eastAsia="en-AU"/>
              </w:rPr>
              <w:t>Session minutes:</w:t>
            </w:r>
          </w:p>
          <w:p w14:paraId="66B745D6" w14:textId="42E8EC07" w:rsidR="00944322" w:rsidRPr="00BD68CD" w:rsidRDefault="00944322" w:rsidP="00FE0D21">
            <w:pPr>
              <w:spacing w:after="60" w:line="240" w:lineRule="auto"/>
              <w:jc w:val="center"/>
              <w:rPr>
                <w:rFonts w:ascii="Aptos Narrow" w:hAnsi="Aptos Narrow"/>
                <w:b/>
                <w:bCs/>
                <w:color w:val="FFFFFF"/>
                <w:spacing w:val="-2"/>
                <w:sz w:val="16"/>
                <w:szCs w:val="16"/>
                <w:lang w:eastAsia="en-AU"/>
              </w:rPr>
            </w:pPr>
            <w:r w:rsidRPr="00BD68CD">
              <w:rPr>
                <w:rFonts w:ascii="Aptos Narrow" w:hAnsi="Aptos Narrow"/>
                <w:b/>
                <w:bCs/>
                <w:color w:val="FFFFFF"/>
                <w:spacing w:val="-2"/>
                <w:sz w:val="16"/>
                <w:szCs w:val="16"/>
                <w:lang w:eastAsia="en-AU"/>
              </w:rPr>
              <w:t>25th</w:t>
            </w:r>
          </w:p>
        </w:tc>
        <w:tc>
          <w:tcPr>
            <w:tcW w:w="794" w:type="dxa"/>
            <w:shd w:val="clear" w:color="auto" w:fill="6B2976"/>
            <w:noWrap/>
            <w:vAlign w:val="bottom"/>
            <w:hideMark/>
          </w:tcPr>
          <w:p w14:paraId="6B30BADF" w14:textId="03D3ECD0" w:rsidR="006F02C6" w:rsidRPr="00BD68CD" w:rsidRDefault="006F02C6" w:rsidP="006F02C6">
            <w:pPr>
              <w:spacing w:after="60" w:line="240" w:lineRule="auto"/>
              <w:jc w:val="center"/>
              <w:rPr>
                <w:rFonts w:ascii="Aptos Narrow" w:hAnsi="Aptos Narrow"/>
                <w:b/>
                <w:bCs/>
                <w:color w:val="FFFFFF"/>
                <w:spacing w:val="-2"/>
                <w:sz w:val="16"/>
                <w:szCs w:val="16"/>
                <w:lang w:eastAsia="en-AU"/>
              </w:rPr>
            </w:pPr>
            <w:r w:rsidRPr="00BD68CD">
              <w:rPr>
                <w:rFonts w:ascii="Aptos Narrow" w:hAnsi="Aptos Narrow"/>
                <w:b/>
                <w:bCs/>
                <w:color w:val="FFFFFF"/>
                <w:spacing w:val="-2"/>
                <w:sz w:val="16"/>
                <w:szCs w:val="16"/>
                <w:lang w:eastAsia="en-AU"/>
              </w:rPr>
              <w:t>Session minutes:</w:t>
            </w:r>
          </w:p>
          <w:p w14:paraId="1FFF17B5" w14:textId="10DF8CFF" w:rsidR="00944322" w:rsidRPr="00BD68CD" w:rsidRDefault="00944322" w:rsidP="00FE0D21">
            <w:pPr>
              <w:spacing w:after="60" w:line="240" w:lineRule="auto"/>
              <w:jc w:val="center"/>
              <w:rPr>
                <w:rFonts w:ascii="Aptos Narrow" w:hAnsi="Aptos Narrow"/>
                <w:b/>
                <w:bCs/>
                <w:color w:val="FFFFFF"/>
                <w:spacing w:val="-2"/>
                <w:sz w:val="16"/>
                <w:szCs w:val="16"/>
                <w:lang w:eastAsia="en-AU"/>
              </w:rPr>
            </w:pPr>
            <w:r w:rsidRPr="00BD68CD">
              <w:rPr>
                <w:rFonts w:ascii="Aptos Narrow" w:hAnsi="Aptos Narrow"/>
                <w:b/>
                <w:bCs/>
                <w:color w:val="FFFFFF"/>
                <w:spacing w:val="-2"/>
                <w:sz w:val="16"/>
                <w:szCs w:val="16"/>
                <w:lang w:eastAsia="en-AU"/>
              </w:rPr>
              <w:t>Median</w:t>
            </w:r>
          </w:p>
        </w:tc>
        <w:tc>
          <w:tcPr>
            <w:tcW w:w="794" w:type="dxa"/>
            <w:shd w:val="clear" w:color="auto" w:fill="6B2976"/>
            <w:noWrap/>
            <w:vAlign w:val="bottom"/>
            <w:hideMark/>
          </w:tcPr>
          <w:p w14:paraId="44C4770B" w14:textId="61E6C2E7" w:rsidR="006F02C6" w:rsidRPr="00BD68CD" w:rsidRDefault="006F02C6" w:rsidP="006F02C6">
            <w:pPr>
              <w:spacing w:after="60" w:line="240" w:lineRule="auto"/>
              <w:jc w:val="center"/>
              <w:rPr>
                <w:rFonts w:ascii="Aptos Narrow" w:hAnsi="Aptos Narrow"/>
                <w:b/>
                <w:bCs/>
                <w:color w:val="FFFFFF"/>
                <w:spacing w:val="-2"/>
                <w:sz w:val="16"/>
                <w:szCs w:val="16"/>
                <w:lang w:eastAsia="en-AU"/>
              </w:rPr>
            </w:pPr>
            <w:r w:rsidRPr="00BD68CD">
              <w:rPr>
                <w:rFonts w:ascii="Aptos Narrow" w:hAnsi="Aptos Narrow"/>
                <w:b/>
                <w:bCs/>
                <w:color w:val="FFFFFF"/>
                <w:spacing w:val="-2"/>
                <w:sz w:val="16"/>
                <w:szCs w:val="16"/>
                <w:lang w:eastAsia="en-AU"/>
              </w:rPr>
              <w:t>Session minutes:</w:t>
            </w:r>
          </w:p>
          <w:p w14:paraId="183D42FD" w14:textId="477DEB9B" w:rsidR="00944322" w:rsidRPr="00BD68CD" w:rsidRDefault="00944322" w:rsidP="00FE0D21">
            <w:pPr>
              <w:spacing w:after="60" w:line="240" w:lineRule="auto"/>
              <w:jc w:val="center"/>
              <w:rPr>
                <w:rFonts w:ascii="Aptos Narrow" w:hAnsi="Aptos Narrow"/>
                <w:b/>
                <w:bCs/>
                <w:color w:val="FFFFFF"/>
                <w:spacing w:val="-2"/>
                <w:sz w:val="16"/>
                <w:szCs w:val="16"/>
                <w:lang w:eastAsia="en-AU"/>
              </w:rPr>
            </w:pPr>
            <w:r w:rsidRPr="00BD68CD">
              <w:rPr>
                <w:rFonts w:ascii="Aptos Narrow" w:hAnsi="Aptos Narrow"/>
                <w:b/>
                <w:bCs/>
                <w:color w:val="FFFFFF"/>
                <w:spacing w:val="-2"/>
                <w:sz w:val="16"/>
                <w:szCs w:val="16"/>
                <w:lang w:eastAsia="en-AU"/>
              </w:rPr>
              <w:t>75th</w:t>
            </w:r>
          </w:p>
        </w:tc>
        <w:tc>
          <w:tcPr>
            <w:tcW w:w="680" w:type="dxa"/>
            <w:shd w:val="clear" w:color="auto" w:fill="6B2976"/>
            <w:noWrap/>
            <w:vAlign w:val="bottom"/>
            <w:hideMark/>
          </w:tcPr>
          <w:p w14:paraId="7F407C4C" w14:textId="2B65F63F" w:rsidR="006F02C6" w:rsidRPr="00BD68CD" w:rsidRDefault="006F02C6" w:rsidP="00FE0D21">
            <w:pPr>
              <w:spacing w:after="60" w:line="240" w:lineRule="auto"/>
              <w:jc w:val="center"/>
              <w:rPr>
                <w:rFonts w:ascii="Aptos Narrow" w:hAnsi="Aptos Narrow"/>
                <w:b/>
                <w:bCs/>
                <w:color w:val="FFFFFF"/>
                <w:spacing w:val="-2"/>
                <w:sz w:val="16"/>
                <w:szCs w:val="16"/>
                <w:lang w:eastAsia="en-AU"/>
              </w:rPr>
            </w:pPr>
            <w:r w:rsidRPr="00BD68CD">
              <w:rPr>
                <w:rFonts w:ascii="Aptos Narrow" w:hAnsi="Aptos Narrow"/>
                <w:b/>
                <w:bCs/>
                <w:color w:val="FFFFFF"/>
                <w:spacing w:val="-2"/>
                <w:sz w:val="16"/>
                <w:szCs w:val="16"/>
                <w:lang w:eastAsia="en-AU"/>
              </w:rPr>
              <w:t>Hourly rate:</w:t>
            </w:r>
          </w:p>
          <w:p w14:paraId="013F9B49" w14:textId="05D2B398" w:rsidR="00944322" w:rsidRPr="00BD68CD" w:rsidRDefault="00944322" w:rsidP="00FE0D21">
            <w:pPr>
              <w:spacing w:after="60" w:line="240" w:lineRule="auto"/>
              <w:jc w:val="center"/>
              <w:rPr>
                <w:rFonts w:ascii="Aptos Narrow" w:hAnsi="Aptos Narrow"/>
                <w:b/>
                <w:bCs/>
                <w:color w:val="FFFFFF"/>
                <w:spacing w:val="-2"/>
                <w:sz w:val="16"/>
                <w:szCs w:val="16"/>
                <w:lang w:eastAsia="en-AU"/>
              </w:rPr>
            </w:pPr>
            <w:r w:rsidRPr="00BD68CD">
              <w:rPr>
                <w:rFonts w:ascii="Aptos Narrow" w:hAnsi="Aptos Narrow"/>
                <w:b/>
                <w:bCs/>
                <w:color w:val="FFFFFF"/>
                <w:spacing w:val="-2"/>
                <w:sz w:val="16"/>
                <w:szCs w:val="16"/>
                <w:lang w:eastAsia="en-AU"/>
              </w:rPr>
              <w:t>25th</w:t>
            </w:r>
          </w:p>
        </w:tc>
        <w:tc>
          <w:tcPr>
            <w:tcW w:w="737" w:type="dxa"/>
            <w:shd w:val="clear" w:color="auto" w:fill="6B2976"/>
            <w:noWrap/>
            <w:vAlign w:val="bottom"/>
            <w:hideMark/>
          </w:tcPr>
          <w:p w14:paraId="193B03A8" w14:textId="03A44BD7" w:rsidR="006F02C6" w:rsidRPr="00BD68CD" w:rsidRDefault="006F02C6" w:rsidP="006F02C6">
            <w:pPr>
              <w:spacing w:after="60" w:line="240" w:lineRule="auto"/>
              <w:jc w:val="center"/>
              <w:rPr>
                <w:rFonts w:ascii="Aptos Narrow" w:hAnsi="Aptos Narrow"/>
                <w:b/>
                <w:bCs/>
                <w:color w:val="FFFFFF"/>
                <w:spacing w:val="-2"/>
                <w:sz w:val="16"/>
                <w:szCs w:val="16"/>
                <w:lang w:eastAsia="en-AU"/>
              </w:rPr>
            </w:pPr>
            <w:r w:rsidRPr="00BD68CD">
              <w:rPr>
                <w:rFonts w:ascii="Aptos Narrow" w:hAnsi="Aptos Narrow"/>
                <w:b/>
                <w:bCs/>
                <w:color w:val="FFFFFF"/>
                <w:spacing w:val="-2"/>
                <w:sz w:val="16"/>
                <w:szCs w:val="16"/>
                <w:lang w:eastAsia="en-AU"/>
              </w:rPr>
              <w:t>Hourly rate:</w:t>
            </w:r>
          </w:p>
          <w:p w14:paraId="0034FBEA" w14:textId="67ED64A5" w:rsidR="00944322" w:rsidRPr="00BD68CD" w:rsidRDefault="00944322" w:rsidP="00FE0D21">
            <w:pPr>
              <w:spacing w:after="60" w:line="240" w:lineRule="auto"/>
              <w:jc w:val="center"/>
              <w:rPr>
                <w:rFonts w:ascii="Aptos Narrow" w:hAnsi="Aptos Narrow"/>
                <w:b/>
                <w:bCs/>
                <w:color w:val="FFFFFF"/>
                <w:spacing w:val="-2"/>
                <w:sz w:val="16"/>
                <w:szCs w:val="16"/>
                <w:lang w:eastAsia="en-AU"/>
              </w:rPr>
            </w:pPr>
            <w:r w:rsidRPr="00BD68CD">
              <w:rPr>
                <w:rFonts w:ascii="Aptos Narrow" w:hAnsi="Aptos Narrow"/>
                <w:b/>
                <w:bCs/>
                <w:color w:val="FFFFFF"/>
                <w:spacing w:val="-2"/>
                <w:sz w:val="16"/>
                <w:szCs w:val="16"/>
                <w:lang w:eastAsia="en-AU"/>
              </w:rPr>
              <w:t>Median</w:t>
            </w:r>
          </w:p>
        </w:tc>
        <w:tc>
          <w:tcPr>
            <w:tcW w:w="680" w:type="dxa"/>
            <w:shd w:val="clear" w:color="auto" w:fill="6B2976"/>
            <w:noWrap/>
            <w:vAlign w:val="bottom"/>
            <w:hideMark/>
          </w:tcPr>
          <w:p w14:paraId="36BD103C" w14:textId="6FC7573C" w:rsidR="006F02C6" w:rsidRPr="00BD68CD" w:rsidRDefault="006F02C6" w:rsidP="006F02C6">
            <w:pPr>
              <w:spacing w:after="60" w:line="240" w:lineRule="auto"/>
              <w:jc w:val="center"/>
              <w:rPr>
                <w:rFonts w:ascii="Aptos Narrow" w:hAnsi="Aptos Narrow"/>
                <w:b/>
                <w:bCs/>
                <w:color w:val="FFFFFF"/>
                <w:spacing w:val="-2"/>
                <w:sz w:val="16"/>
                <w:szCs w:val="16"/>
                <w:lang w:eastAsia="en-AU"/>
              </w:rPr>
            </w:pPr>
            <w:r w:rsidRPr="00BD68CD">
              <w:rPr>
                <w:rFonts w:ascii="Aptos Narrow" w:hAnsi="Aptos Narrow"/>
                <w:b/>
                <w:bCs/>
                <w:color w:val="FFFFFF"/>
                <w:spacing w:val="-2"/>
                <w:sz w:val="16"/>
                <w:szCs w:val="16"/>
                <w:lang w:eastAsia="en-AU"/>
              </w:rPr>
              <w:t>Hourly rate:</w:t>
            </w:r>
          </w:p>
          <w:p w14:paraId="0BB102EC" w14:textId="08080539" w:rsidR="00944322" w:rsidRPr="00BD68CD" w:rsidRDefault="00944322" w:rsidP="00FE0D21">
            <w:pPr>
              <w:spacing w:after="60" w:line="240" w:lineRule="auto"/>
              <w:jc w:val="center"/>
              <w:rPr>
                <w:rFonts w:ascii="Aptos Narrow" w:hAnsi="Aptos Narrow"/>
                <w:b/>
                <w:bCs/>
                <w:color w:val="FFFFFF"/>
                <w:spacing w:val="-2"/>
                <w:sz w:val="16"/>
                <w:szCs w:val="16"/>
                <w:lang w:eastAsia="en-AU"/>
              </w:rPr>
            </w:pPr>
            <w:r w:rsidRPr="00BD68CD">
              <w:rPr>
                <w:rFonts w:ascii="Aptos Narrow" w:hAnsi="Aptos Narrow"/>
                <w:b/>
                <w:bCs/>
                <w:color w:val="FFFFFF"/>
                <w:spacing w:val="-2"/>
                <w:sz w:val="16"/>
                <w:szCs w:val="16"/>
                <w:lang w:eastAsia="en-AU"/>
              </w:rPr>
              <w:t>75th</w:t>
            </w:r>
          </w:p>
        </w:tc>
        <w:tc>
          <w:tcPr>
            <w:tcW w:w="794" w:type="dxa"/>
            <w:shd w:val="clear" w:color="auto" w:fill="6B2976"/>
            <w:noWrap/>
            <w:vAlign w:val="bottom"/>
            <w:hideMark/>
          </w:tcPr>
          <w:p w14:paraId="20C9DE94" w14:textId="77777777" w:rsidR="00944322" w:rsidRPr="00BD68CD" w:rsidRDefault="00944322" w:rsidP="00FE0D21">
            <w:pPr>
              <w:spacing w:after="60" w:line="240" w:lineRule="auto"/>
              <w:jc w:val="center"/>
              <w:rPr>
                <w:rFonts w:ascii="Aptos Narrow" w:hAnsi="Aptos Narrow"/>
                <w:b/>
                <w:bCs/>
                <w:color w:val="FFFFFF"/>
                <w:spacing w:val="-2"/>
                <w:sz w:val="16"/>
                <w:szCs w:val="16"/>
                <w:lang w:eastAsia="en-AU"/>
              </w:rPr>
            </w:pPr>
            <w:r w:rsidRPr="00BD68CD">
              <w:rPr>
                <w:rFonts w:ascii="Aptos Narrow" w:hAnsi="Aptos Narrow"/>
                <w:b/>
                <w:bCs/>
                <w:color w:val="FFFFFF"/>
                <w:spacing w:val="-2"/>
                <w:sz w:val="16"/>
                <w:szCs w:val="16"/>
                <w:lang w:eastAsia="en-AU"/>
              </w:rPr>
              <w:t>NDIS Limit</w:t>
            </w:r>
          </w:p>
        </w:tc>
      </w:tr>
      <w:tr w:rsidR="00BD68CD" w:rsidRPr="007C1E37" w14:paraId="573141FA" w14:textId="77777777" w:rsidTr="00BD68CD">
        <w:trPr>
          <w:trHeight w:val="369"/>
        </w:trPr>
        <w:tc>
          <w:tcPr>
            <w:tcW w:w="1304" w:type="dxa"/>
            <w:vMerge w:val="restart"/>
            <w:shd w:val="clear" w:color="auto" w:fill="FFFFFF"/>
            <w:vAlign w:val="center"/>
            <w:hideMark/>
          </w:tcPr>
          <w:p w14:paraId="11AC17BC" w14:textId="77777777" w:rsidR="00944322" w:rsidRPr="007C1E37" w:rsidRDefault="00944322" w:rsidP="009C2296">
            <w:pPr>
              <w:spacing w:after="0" w:line="240" w:lineRule="auto"/>
              <w:rPr>
                <w:rFonts w:ascii="Aptos Narrow" w:hAnsi="Aptos Narrow"/>
                <w:color w:val="000000"/>
                <w:sz w:val="16"/>
                <w:szCs w:val="16"/>
                <w:lang w:eastAsia="en-AU"/>
              </w:rPr>
            </w:pPr>
            <w:r w:rsidRPr="007C1E37">
              <w:rPr>
                <w:rFonts w:ascii="Aptos Narrow" w:hAnsi="Aptos Narrow"/>
                <w:color w:val="000000" w:themeColor="accent6"/>
                <w:sz w:val="16"/>
                <w:szCs w:val="16"/>
                <w:lang w:eastAsia="en-AU"/>
              </w:rPr>
              <w:t>Psychology (WA/SA/NT/Tas)</w:t>
            </w:r>
          </w:p>
        </w:tc>
        <w:tc>
          <w:tcPr>
            <w:tcW w:w="683" w:type="dxa"/>
            <w:shd w:val="clear" w:color="auto" w:fill="FFFFFF"/>
            <w:noWrap/>
            <w:vAlign w:val="bottom"/>
            <w:hideMark/>
          </w:tcPr>
          <w:p w14:paraId="12175081" w14:textId="77777777" w:rsidR="00944322" w:rsidRPr="007C1E37" w:rsidRDefault="00944322" w:rsidP="009C2296">
            <w:pPr>
              <w:spacing w:after="0" w:line="240" w:lineRule="auto"/>
              <w:rPr>
                <w:rFonts w:ascii="Aptos Narrow" w:hAnsi="Aptos Narrow"/>
                <w:color w:val="000000"/>
                <w:sz w:val="16"/>
                <w:szCs w:val="16"/>
                <w:lang w:eastAsia="en-AU"/>
              </w:rPr>
            </w:pPr>
            <w:r w:rsidRPr="007C1E37">
              <w:rPr>
                <w:rFonts w:ascii="Aptos Narrow" w:hAnsi="Aptos Narrow"/>
                <w:color w:val="000000" w:themeColor="accent6"/>
                <w:sz w:val="16"/>
                <w:szCs w:val="16"/>
                <w:lang w:eastAsia="en-AU"/>
              </w:rPr>
              <w:t>PHI</w:t>
            </w:r>
          </w:p>
        </w:tc>
        <w:tc>
          <w:tcPr>
            <w:tcW w:w="737" w:type="dxa"/>
            <w:shd w:val="clear" w:color="auto" w:fill="FFFFFF"/>
            <w:noWrap/>
            <w:vAlign w:val="bottom"/>
            <w:hideMark/>
          </w:tcPr>
          <w:p w14:paraId="23782A19"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$191.0</w:t>
            </w:r>
          </w:p>
        </w:tc>
        <w:tc>
          <w:tcPr>
            <w:tcW w:w="737" w:type="dxa"/>
            <w:shd w:val="clear" w:color="auto" w:fill="FFFFFF"/>
            <w:noWrap/>
            <w:vAlign w:val="bottom"/>
            <w:hideMark/>
          </w:tcPr>
          <w:p w14:paraId="53F3D4A0"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$215.0</w:t>
            </w:r>
          </w:p>
        </w:tc>
        <w:tc>
          <w:tcPr>
            <w:tcW w:w="737" w:type="dxa"/>
            <w:shd w:val="clear" w:color="auto" w:fill="FFFFFF"/>
            <w:noWrap/>
            <w:vAlign w:val="bottom"/>
            <w:hideMark/>
          </w:tcPr>
          <w:p w14:paraId="4C30EC45"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$236.0</w:t>
            </w:r>
          </w:p>
        </w:tc>
        <w:tc>
          <w:tcPr>
            <w:tcW w:w="794" w:type="dxa"/>
            <w:shd w:val="clear" w:color="auto" w:fill="FFFFFF"/>
            <w:noWrap/>
            <w:vAlign w:val="bottom"/>
            <w:hideMark/>
          </w:tcPr>
          <w:p w14:paraId="0BE4ED5C"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60.0</w:t>
            </w:r>
          </w:p>
        </w:tc>
        <w:tc>
          <w:tcPr>
            <w:tcW w:w="794" w:type="dxa"/>
            <w:shd w:val="clear" w:color="auto" w:fill="FFFFFF"/>
            <w:noWrap/>
            <w:vAlign w:val="bottom"/>
            <w:hideMark/>
          </w:tcPr>
          <w:p w14:paraId="6872912D"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60.0</w:t>
            </w:r>
          </w:p>
        </w:tc>
        <w:tc>
          <w:tcPr>
            <w:tcW w:w="794" w:type="dxa"/>
            <w:shd w:val="clear" w:color="auto" w:fill="FFFFFF"/>
            <w:noWrap/>
            <w:vAlign w:val="bottom"/>
            <w:hideMark/>
          </w:tcPr>
          <w:p w14:paraId="0E385261"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60.0</w:t>
            </w:r>
          </w:p>
        </w:tc>
        <w:tc>
          <w:tcPr>
            <w:tcW w:w="680" w:type="dxa"/>
            <w:shd w:val="clear" w:color="auto" w:fill="FFFFFF"/>
            <w:noWrap/>
            <w:vAlign w:val="bottom"/>
            <w:hideMark/>
          </w:tcPr>
          <w:p w14:paraId="21BCFD5A"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$191.0</w:t>
            </w:r>
          </w:p>
        </w:tc>
        <w:tc>
          <w:tcPr>
            <w:tcW w:w="737" w:type="dxa"/>
            <w:shd w:val="clear" w:color="auto" w:fill="FFFFFF"/>
            <w:noWrap/>
            <w:vAlign w:val="bottom"/>
            <w:hideMark/>
          </w:tcPr>
          <w:p w14:paraId="6A501C51"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$215.0</w:t>
            </w:r>
          </w:p>
        </w:tc>
        <w:tc>
          <w:tcPr>
            <w:tcW w:w="680" w:type="dxa"/>
            <w:shd w:val="clear" w:color="auto" w:fill="FFFFFF"/>
            <w:noWrap/>
            <w:vAlign w:val="bottom"/>
            <w:hideMark/>
          </w:tcPr>
          <w:p w14:paraId="1E5B393A"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$236.0</w:t>
            </w:r>
          </w:p>
        </w:tc>
        <w:tc>
          <w:tcPr>
            <w:tcW w:w="794" w:type="dxa"/>
            <w:shd w:val="clear" w:color="auto" w:fill="FFFFFF"/>
            <w:noWrap/>
            <w:vAlign w:val="bottom"/>
            <w:hideMark/>
          </w:tcPr>
          <w:p w14:paraId="2CAF2BD4"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$244.22</w:t>
            </w:r>
          </w:p>
        </w:tc>
      </w:tr>
      <w:tr w:rsidR="00BD68CD" w:rsidRPr="007C1E37" w14:paraId="121B8495" w14:textId="77777777" w:rsidTr="00BD68CD">
        <w:trPr>
          <w:trHeight w:val="369"/>
        </w:trPr>
        <w:tc>
          <w:tcPr>
            <w:tcW w:w="1304" w:type="dxa"/>
            <w:vMerge/>
            <w:vAlign w:val="center"/>
            <w:hideMark/>
          </w:tcPr>
          <w:p w14:paraId="17BCE51F" w14:textId="77777777" w:rsidR="00944322" w:rsidRPr="007C1E37" w:rsidRDefault="00944322" w:rsidP="009C2296">
            <w:pPr>
              <w:spacing w:after="0" w:line="240" w:lineRule="auto"/>
              <w:rPr>
                <w:rFonts w:ascii="Aptos Narrow" w:hAnsi="Aptos Narrow"/>
                <w:color w:val="000000"/>
                <w:sz w:val="16"/>
                <w:szCs w:val="16"/>
                <w:lang w:eastAsia="en-AU"/>
              </w:rPr>
            </w:pPr>
          </w:p>
        </w:tc>
        <w:tc>
          <w:tcPr>
            <w:tcW w:w="683" w:type="dxa"/>
            <w:shd w:val="clear" w:color="auto" w:fill="FFFFFF"/>
            <w:noWrap/>
            <w:vAlign w:val="bottom"/>
            <w:hideMark/>
          </w:tcPr>
          <w:p w14:paraId="44AE8CCF" w14:textId="77777777" w:rsidR="00944322" w:rsidRPr="007C1E37" w:rsidRDefault="00944322" w:rsidP="009C2296">
            <w:pPr>
              <w:spacing w:after="0" w:line="240" w:lineRule="auto"/>
              <w:rPr>
                <w:rFonts w:ascii="Aptos Narrow" w:hAnsi="Aptos Narrow"/>
                <w:color w:val="000000"/>
                <w:sz w:val="16"/>
                <w:szCs w:val="16"/>
                <w:lang w:eastAsia="en-AU"/>
              </w:rPr>
            </w:pPr>
            <w:r w:rsidRPr="007C1E37">
              <w:rPr>
                <w:rFonts w:ascii="Aptos Narrow" w:hAnsi="Aptos Narrow"/>
                <w:color w:val="000000" w:themeColor="accent6"/>
                <w:sz w:val="16"/>
                <w:szCs w:val="16"/>
                <w:lang w:eastAsia="en-AU"/>
              </w:rPr>
              <w:t>MBS</w:t>
            </w:r>
          </w:p>
        </w:tc>
        <w:tc>
          <w:tcPr>
            <w:tcW w:w="737" w:type="dxa"/>
            <w:shd w:val="clear" w:color="auto" w:fill="FFFFFF"/>
            <w:noWrap/>
            <w:vAlign w:val="bottom"/>
            <w:hideMark/>
          </w:tcPr>
          <w:p w14:paraId="775CC407"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$188.9</w:t>
            </w:r>
          </w:p>
        </w:tc>
        <w:tc>
          <w:tcPr>
            <w:tcW w:w="737" w:type="dxa"/>
            <w:shd w:val="clear" w:color="auto" w:fill="FFFFFF"/>
            <w:noWrap/>
            <w:vAlign w:val="bottom"/>
            <w:hideMark/>
          </w:tcPr>
          <w:p w14:paraId="3CD930C9"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$226.0</w:t>
            </w:r>
          </w:p>
        </w:tc>
        <w:tc>
          <w:tcPr>
            <w:tcW w:w="737" w:type="dxa"/>
            <w:shd w:val="clear" w:color="auto" w:fill="FFFFFF"/>
            <w:noWrap/>
            <w:vAlign w:val="bottom"/>
            <w:hideMark/>
          </w:tcPr>
          <w:p w14:paraId="73316CC1"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$240.0</w:t>
            </w:r>
          </w:p>
        </w:tc>
        <w:tc>
          <w:tcPr>
            <w:tcW w:w="794" w:type="dxa"/>
            <w:shd w:val="clear" w:color="auto" w:fill="FFFFFF"/>
            <w:noWrap/>
            <w:vAlign w:val="bottom"/>
            <w:hideMark/>
          </w:tcPr>
          <w:p w14:paraId="4A260ADE"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60.0</w:t>
            </w:r>
          </w:p>
        </w:tc>
        <w:tc>
          <w:tcPr>
            <w:tcW w:w="794" w:type="dxa"/>
            <w:shd w:val="clear" w:color="auto" w:fill="FFFFFF"/>
            <w:noWrap/>
            <w:vAlign w:val="bottom"/>
            <w:hideMark/>
          </w:tcPr>
          <w:p w14:paraId="307BD013"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60.0</w:t>
            </w:r>
          </w:p>
        </w:tc>
        <w:tc>
          <w:tcPr>
            <w:tcW w:w="794" w:type="dxa"/>
            <w:shd w:val="clear" w:color="auto" w:fill="FFFFFF"/>
            <w:noWrap/>
            <w:vAlign w:val="bottom"/>
            <w:hideMark/>
          </w:tcPr>
          <w:p w14:paraId="18EA322F"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60.0</w:t>
            </w:r>
          </w:p>
        </w:tc>
        <w:tc>
          <w:tcPr>
            <w:tcW w:w="680" w:type="dxa"/>
            <w:shd w:val="clear" w:color="auto" w:fill="FFFFFF"/>
            <w:noWrap/>
            <w:vAlign w:val="bottom"/>
            <w:hideMark/>
          </w:tcPr>
          <w:p w14:paraId="6B940146"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$188.9</w:t>
            </w:r>
          </w:p>
        </w:tc>
        <w:tc>
          <w:tcPr>
            <w:tcW w:w="737" w:type="dxa"/>
            <w:shd w:val="clear" w:color="auto" w:fill="FFFFFF"/>
            <w:noWrap/>
            <w:vAlign w:val="bottom"/>
            <w:hideMark/>
          </w:tcPr>
          <w:p w14:paraId="2801D038"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$226.0</w:t>
            </w:r>
          </w:p>
        </w:tc>
        <w:tc>
          <w:tcPr>
            <w:tcW w:w="680" w:type="dxa"/>
            <w:shd w:val="clear" w:color="auto" w:fill="FFFFFF"/>
            <w:noWrap/>
            <w:vAlign w:val="bottom"/>
            <w:hideMark/>
          </w:tcPr>
          <w:p w14:paraId="689DBC7F"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$240.0</w:t>
            </w:r>
          </w:p>
        </w:tc>
        <w:tc>
          <w:tcPr>
            <w:tcW w:w="794" w:type="dxa"/>
            <w:shd w:val="clear" w:color="auto" w:fill="FFFFFF"/>
            <w:noWrap/>
            <w:vAlign w:val="bottom"/>
            <w:hideMark/>
          </w:tcPr>
          <w:p w14:paraId="06555145"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$244.22</w:t>
            </w:r>
          </w:p>
        </w:tc>
      </w:tr>
      <w:tr w:rsidR="00BD68CD" w:rsidRPr="007C1E37" w14:paraId="07520595" w14:textId="77777777" w:rsidTr="00BD68CD">
        <w:trPr>
          <w:trHeight w:val="369"/>
        </w:trPr>
        <w:tc>
          <w:tcPr>
            <w:tcW w:w="1304" w:type="dxa"/>
            <w:vMerge w:val="restart"/>
            <w:shd w:val="clear" w:color="auto" w:fill="FFFFFF"/>
            <w:vAlign w:val="center"/>
            <w:hideMark/>
          </w:tcPr>
          <w:p w14:paraId="44BA0AAA" w14:textId="77777777" w:rsidR="00944322" w:rsidRPr="007C1E37" w:rsidRDefault="00944322" w:rsidP="009C2296">
            <w:pPr>
              <w:spacing w:after="0" w:line="240" w:lineRule="auto"/>
              <w:rPr>
                <w:rFonts w:ascii="Aptos Narrow" w:hAnsi="Aptos Narrow"/>
                <w:color w:val="000000"/>
                <w:sz w:val="16"/>
                <w:szCs w:val="16"/>
                <w:lang w:eastAsia="en-AU"/>
              </w:rPr>
            </w:pPr>
            <w:r w:rsidRPr="007C1E37">
              <w:rPr>
                <w:rFonts w:ascii="Aptos Narrow" w:hAnsi="Aptos Narrow"/>
                <w:color w:val="000000" w:themeColor="accent6"/>
                <w:sz w:val="16"/>
                <w:szCs w:val="16"/>
                <w:lang w:eastAsia="en-AU"/>
              </w:rPr>
              <w:t>Psychology (NSW/VIC/QLD/ACT)</w:t>
            </w:r>
          </w:p>
        </w:tc>
        <w:tc>
          <w:tcPr>
            <w:tcW w:w="683" w:type="dxa"/>
            <w:shd w:val="clear" w:color="auto" w:fill="FFFFFF"/>
            <w:noWrap/>
            <w:vAlign w:val="bottom"/>
            <w:hideMark/>
          </w:tcPr>
          <w:p w14:paraId="303800FD" w14:textId="77777777" w:rsidR="00944322" w:rsidRPr="007C1E37" w:rsidRDefault="00944322" w:rsidP="009C2296">
            <w:pPr>
              <w:spacing w:after="0" w:line="240" w:lineRule="auto"/>
              <w:rPr>
                <w:rFonts w:ascii="Aptos Narrow" w:hAnsi="Aptos Narrow"/>
                <w:color w:val="000000"/>
                <w:sz w:val="16"/>
                <w:szCs w:val="16"/>
                <w:lang w:eastAsia="en-AU"/>
              </w:rPr>
            </w:pPr>
            <w:r w:rsidRPr="007C1E37">
              <w:rPr>
                <w:rFonts w:ascii="Aptos Narrow" w:hAnsi="Aptos Narrow"/>
                <w:color w:val="000000" w:themeColor="accent6"/>
                <w:sz w:val="16"/>
                <w:szCs w:val="16"/>
                <w:lang w:eastAsia="en-AU"/>
              </w:rPr>
              <w:t>PHI</w:t>
            </w:r>
          </w:p>
        </w:tc>
        <w:tc>
          <w:tcPr>
            <w:tcW w:w="737" w:type="dxa"/>
            <w:shd w:val="clear" w:color="auto" w:fill="FFFFFF"/>
            <w:noWrap/>
            <w:vAlign w:val="bottom"/>
            <w:hideMark/>
          </w:tcPr>
          <w:p w14:paraId="6F8AAC98"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$194.0</w:t>
            </w:r>
          </w:p>
        </w:tc>
        <w:tc>
          <w:tcPr>
            <w:tcW w:w="737" w:type="dxa"/>
            <w:shd w:val="clear" w:color="auto" w:fill="FFFFFF"/>
            <w:noWrap/>
            <w:vAlign w:val="bottom"/>
            <w:hideMark/>
          </w:tcPr>
          <w:p w14:paraId="360C3662"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$220.0</w:t>
            </w:r>
          </w:p>
        </w:tc>
        <w:tc>
          <w:tcPr>
            <w:tcW w:w="737" w:type="dxa"/>
            <w:shd w:val="clear" w:color="auto" w:fill="FFFFFF"/>
            <w:noWrap/>
            <w:vAlign w:val="bottom"/>
            <w:hideMark/>
          </w:tcPr>
          <w:p w14:paraId="0D8F2E7D"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$247.0</w:t>
            </w:r>
          </w:p>
        </w:tc>
        <w:tc>
          <w:tcPr>
            <w:tcW w:w="794" w:type="dxa"/>
            <w:shd w:val="clear" w:color="auto" w:fill="FFFFFF"/>
            <w:noWrap/>
            <w:vAlign w:val="bottom"/>
            <w:hideMark/>
          </w:tcPr>
          <w:p w14:paraId="48F71F91"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60.0</w:t>
            </w:r>
          </w:p>
        </w:tc>
        <w:tc>
          <w:tcPr>
            <w:tcW w:w="794" w:type="dxa"/>
            <w:shd w:val="clear" w:color="auto" w:fill="FFFFFF"/>
            <w:noWrap/>
            <w:vAlign w:val="bottom"/>
            <w:hideMark/>
          </w:tcPr>
          <w:p w14:paraId="4B82D352"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60.0</w:t>
            </w:r>
          </w:p>
        </w:tc>
        <w:tc>
          <w:tcPr>
            <w:tcW w:w="794" w:type="dxa"/>
            <w:shd w:val="clear" w:color="auto" w:fill="FFFFFF"/>
            <w:noWrap/>
            <w:vAlign w:val="bottom"/>
            <w:hideMark/>
          </w:tcPr>
          <w:p w14:paraId="74F1BBDD"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60.0</w:t>
            </w:r>
          </w:p>
        </w:tc>
        <w:tc>
          <w:tcPr>
            <w:tcW w:w="680" w:type="dxa"/>
            <w:shd w:val="clear" w:color="auto" w:fill="FFFFFF"/>
            <w:noWrap/>
            <w:vAlign w:val="bottom"/>
            <w:hideMark/>
          </w:tcPr>
          <w:p w14:paraId="78C10DA2"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$194.0</w:t>
            </w:r>
          </w:p>
        </w:tc>
        <w:tc>
          <w:tcPr>
            <w:tcW w:w="737" w:type="dxa"/>
            <w:shd w:val="clear" w:color="auto" w:fill="FFFFFF"/>
            <w:noWrap/>
            <w:vAlign w:val="bottom"/>
            <w:hideMark/>
          </w:tcPr>
          <w:p w14:paraId="213505E7"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$220.0</w:t>
            </w:r>
          </w:p>
        </w:tc>
        <w:tc>
          <w:tcPr>
            <w:tcW w:w="680" w:type="dxa"/>
            <w:shd w:val="clear" w:color="auto" w:fill="FFFFFF"/>
            <w:noWrap/>
            <w:vAlign w:val="bottom"/>
            <w:hideMark/>
          </w:tcPr>
          <w:p w14:paraId="0A3020C0"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$247.0</w:t>
            </w:r>
          </w:p>
        </w:tc>
        <w:tc>
          <w:tcPr>
            <w:tcW w:w="794" w:type="dxa"/>
            <w:shd w:val="clear" w:color="auto" w:fill="FFFFFF"/>
            <w:noWrap/>
            <w:vAlign w:val="bottom"/>
            <w:hideMark/>
          </w:tcPr>
          <w:p w14:paraId="73651135"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$222.99</w:t>
            </w:r>
          </w:p>
        </w:tc>
      </w:tr>
      <w:tr w:rsidR="00BD68CD" w:rsidRPr="007C1E37" w14:paraId="2C040544" w14:textId="77777777" w:rsidTr="00BD68CD">
        <w:trPr>
          <w:trHeight w:val="369"/>
        </w:trPr>
        <w:tc>
          <w:tcPr>
            <w:tcW w:w="1304" w:type="dxa"/>
            <w:vMerge/>
            <w:vAlign w:val="center"/>
            <w:hideMark/>
          </w:tcPr>
          <w:p w14:paraId="70ACEB2F" w14:textId="77777777" w:rsidR="00944322" w:rsidRPr="007C1E37" w:rsidRDefault="00944322" w:rsidP="009C2296">
            <w:pPr>
              <w:spacing w:after="0" w:line="240" w:lineRule="auto"/>
              <w:rPr>
                <w:rFonts w:ascii="Aptos Narrow" w:hAnsi="Aptos Narrow"/>
                <w:color w:val="000000"/>
                <w:sz w:val="16"/>
                <w:szCs w:val="16"/>
                <w:lang w:eastAsia="en-AU"/>
              </w:rPr>
            </w:pPr>
          </w:p>
        </w:tc>
        <w:tc>
          <w:tcPr>
            <w:tcW w:w="683" w:type="dxa"/>
            <w:shd w:val="clear" w:color="auto" w:fill="FFFFFF"/>
            <w:noWrap/>
            <w:vAlign w:val="bottom"/>
            <w:hideMark/>
          </w:tcPr>
          <w:p w14:paraId="34C763E9" w14:textId="77777777" w:rsidR="00944322" w:rsidRPr="007C1E37" w:rsidRDefault="00944322" w:rsidP="009C2296">
            <w:pPr>
              <w:spacing w:after="0" w:line="240" w:lineRule="auto"/>
              <w:rPr>
                <w:rFonts w:ascii="Aptos Narrow" w:hAnsi="Aptos Narrow"/>
                <w:color w:val="000000"/>
                <w:sz w:val="16"/>
                <w:szCs w:val="16"/>
                <w:lang w:eastAsia="en-AU"/>
              </w:rPr>
            </w:pPr>
            <w:r w:rsidRPr="007C1E37">
              <w:rPr>
                <w:rFonts w:ascii="Aptos Narrow" w:hAnsi="Aptos Narrow"/>
                <w:color w:val="000000" w:themeColor="accent6"/>
                <w:sz w:val="16"/>
                <w:szCs w:val="16"/>
                <w:lang w:eastAsia="en-AU"/>
              </w:rPr>
              <w:t>MBS</w:t>
            </w:r>
          </w:p>
        </w:tc>
        <w:tc>
          <w:tcPr>
            <w:tcW w:w="737" w:type="dxa"/>
            <w:shd w:val="clear" w:color="auto" w:fill="FFFFFF"/>
            <w:noWrap/>
            <w:vAlign w:val="bottom"/>
            <w:hideMark/>
          </w:tcPr>
          <w:p w14:paraId="6050A29B"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$191.9</w:t>
            </w:r>
          </w:p>
        </w:tc>
        <w:tc>
          <w:tcPr>
            <w:tcW w:w="737" w:type="dxa"/>
            <w:shd w:val="clear" w:color="auto" w:fill="FFFFFF"/>
            <w:noWrap/>
            <w:vAlign w:val="bottom"/>
            <w:hideMark/>
          </w:tcPr>
          <w:p w14:paraId="107B00A8"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$231.0</w:t>
            </w:r>
          </w:p>
        </w:tc>
        <w:tc>
          <w:tcPr>
            <w:tcW w:w="737" w:type="dxa"/>
            <w:shd w:val="clear" w:color="auto" w:fill="FFFFFF"/>
            <w:noWrap/>
            <w:vAlign w:val="bottom"/>
            <w:hideMark/>
          </w:tcPr>
          <w:p w14:paraId="59D4F988"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$251.0</w:t>
            </w:r>
          </w:p>
        </w:tc>
        <w:tc>
          <w:tcPr>
            <w:tcW w:w="794" w:type="dxa"/>
            <w:shd w:val="clear" w:color="auto" w:fill="FFFFFF"/>
            <w:noWrap/>
            <w:vAlign w:val="bottom"/>
            <w:hideMark/>
          </w:tcPr>
          <w:p w14:paraId="5A75C1B4"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60.0</w:t>
            </w:r>
          </w:p>
        </w:tc>
        <w:tc>
          <w:tcPr>
            <w:tcW w:w="794" w:type="dxa"/>
            <w:shd w:val="clear" w:color="auto" w:fill="FFFFFF"/>
            <w:noWrap/>
            <w:vAlign w:val="bottom"/>
            <w:hideMark/>
          </w:tcPr>
          <w:p w14:paraId="7294F46C"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60.0</w:t>
            </w:r>
          </w:p>
        </w:tc>
        <w:tc>
          <w:tcPr>
            <w:tcW w:w="794" w:type="dxa"/>
            <w:shd w:val="clear" w:color="auto" w:fill="FFFFFF"/>
            <w:noWrap/>
            <w:vAlign w:val="bottom"/>
            <w:hideMark/>
          </w:tcPr>
          <w:p w14:paraId="5771D1DD"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60.0</w:t>
            </w:r>
          </w:p>
        </w:tc>
        <w:tc>
          <w:tcPr>
            <w:tcW w:w="680" w:type="dxa"/>
            <w:shd w:val="clear" w:color="auto" w:fill="FFFFFF"/>
            <w:noWrap/>
            <w:vAlign w:val="bottom"/>
            <w:hideMark/>
          </w:tcPr>
          <w:p w14:paraId="448CE43A"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$191.9</w:t>
            </w:r>
          </w:p>
        </w:tc>
        <w:tc>
          <w:tcPr>
            <w:tcW w:w="737" w:type="dxa"/>
            <w:shd w:val="clear" w:color="auto" w:fill="FFFFFF"/>
            <w:noWrap/>
            <w:vAlign w:val="bottom"/>
            <w:hideMark/>
          </w:tcPr>
          <w:p w14:paraId="6C1C4FD9"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$231.0</w:t>
            </w:r>
          </w:p>
        </w:tc>
        <w:tc>
          <w:tcPr>
            <w:tcW w:w="680" w:type="dxa"/>
            <w:shd w:val="clear" w:color="auto" w:fill="FFFFFF"/>
            <w:noWrap/>
            <w:vAlign w:val="bottom"/>
            <w:hideMark/>
          </w:tcPr>
          <w:p w14:paraId="15301C50"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$251.0</w:t>
            </w:r>
          </w:p>
        </w:tc>
        <w:tc>
          <w:tcPr>
            <w:tcW w:w="794" w:type="dxa"/>
            <w:shd w:val="clear" w:color="auto" w:fill="FFFFFF"/>
            <w:noWrap/>
            <w:vAlign w:val="bottom"/>
            <w:hideMark/>
          </w:tcPr>
          <w:p w14:paraId="71BAF2DD"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$222.99</w:t>
            </w:r>
          </w:p>
        </w:tc>
      </w:tr>
      <w:tr w:rsidR="00BD68CD" w:rsidRPr="007C1E37" w14:paraId="1A9C8F1F" w14:textId="77777777" w:rsidTr="00BD68CD">
        <w:trPr>
          <w:trHeight w:val="369"/>
        </w:trPr>
        <w:tc>
          <w:tcPr>
            <w:tcW w:w="1304" w:type="dxa"/>
            <w:vMerge w:val="restart"/>
            <w:shd w:val="clear" w:color="auto" w:fill="FFFFFF"/>
            <w:vAlign w:val="center"/>
            <w:hideMark/>
          </w:tcPr>
          <w:p w14:paraId="314ADAA5" w14:textId="77777777" w:rsidR="00944322" w:rsidRPr="007C1E37" w:rsidRDefault="00944322" w:rsidP="009C2296">
            <w:pPr>
              <w:spacing w:after="0" w:line="240" w:lineRule="auto"/>
              <w:rPr>
                <w:rFonts w:ascii="Aptos Narrow" w:hAnsi="Aptos Narrow"/>
                <w:color w:val="000000"/>
                <w:sz w:val="16"/>
                <w:szCs w:val="16"/>
                <w:lang w:eastAsia="en-AU"/>
              </w:rPr>
            </w:pPr>
            <w:r w:rsidRPr="007C1E37">
              <w:rPr>
                <w:rFonts w:ascii="Aptos Narrow" w:hAnsi="Aptos Narrow"/>
                <w:color w:val="000000" w:themeColor="accent6"/>
                <w:sz w:val="16"/>
                <w:szCs w:val="16"/>
                <w:lang w:eastAsia="en-AU"/>
              </w:rPr>
              <w:t>Speech Pathology</w:t>
            </w:r>
          </w:p>
        </w:tc>
        <w:tc>
          <w:tcPr>
            <w:tcW w:w="683" w:type="dxa"/>
            <w:shd w:val="clear" w:color="auto" w:fill="FFFFFF"/>
            <w:noWrap/>
            <w:vAlign w:val="bottom"/>
            <w:hideMark/>
          </w:tcPr>
          <w:p w14:paraId="1FB2B6B9" w14:textId="77777777" w:rsidR="00944322" w:rsidRPr="007C1E37" w:rsidRDefault="00944322" w:rsidP="009C2296">
            <w:pPr>
              <w:spacing w:after="0" w:line="240" w:lineRule="auto"/>
              <w:rPr>
                <w:rFonts w:ascii="Aptos Narrow" w:hAnsi="Aptos Narrow"/>
                <w:color w:val="000000"/>
                <w:sz w:val="16"/>
                <w:szCs w:val="16"/>
                <w:lang w:eastAsia="en-AU"/>
              </w:rPr>
            </w:pPr>
            <w:r w:rsidRPr="007C1E37">
              <w:rPr>
                <w:rFonts w:ascii="Aptos Narrow" w:hAnsi="Aptos Narrow"/>
                <w:color w:val="000000" w:themeColor="accent6"/>
                <w:sz w:val="16"/>
                <w:szCs w:val="16"/>
                <w:lang w:eastAsia="en-AU"/>
              </w:rPr>
              <w:t>PHI</w:t>
            </w:r>
          </w:p>
        </w:tc>
        <w:tc>
          <w:tcPr>
            <w:tcW w:w="737" w:type="dxa"/>
            <w:shd w:val="clear" w:color="auto" w:fill="FFFFFF"/>
            <w:noWrap/>
            <w:vAlign w:val="bottom"/>
            <w:hideMark/>
          </w:tcPr>
          <w:p w14:paraId="26189553"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$98.0</w:t>
            </w:r>
          </w:p>
        </w:tc>
        <w:tc>
          <w:tcPr>
            <w:tcW w:w="737" w:type="dxa"/>
            <w:shd w:val="clear" w:color="auto" w:fill="FFFFFF"/>
            <w:noWrap/>
            <w:vAlign w:val="bottom"/>
            <w:hideMark/>
          </w:tcPr>
          <w:p w14:paraId="18255AE2"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$124.0</w:t>
            </w:r>
          </w:p>
        </w:tc>
        <w:tc>
          <w:tcPr>
            <w:tcW w:w="737" w:type="dxa"/>
            <w:shd w:val="clear" w:color="auto" w:fill="FFFFFF"/>
            <w:noWrap/>
            <w:vAlign w:val="bottom"/>
            <w:hideMark/>
          </w:tcPr>
          <w:p w14:paraId="6C1C5FBF"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$162.0</w:t>
            </w:r>
          </w:p>
        </w:tc>
        <w:tc>
          <w:tcPr>
            <w:tcW w:w="794" w:type="dxa"/>
            <w:shd w:val="clear" w:color="auto" w:fill="FFFFFF"/>
            <w:noWrap/>
            <w:vAlign w:val="bottom"/>
            <w:hideMark/>
          </w:tcPr>
          <w:p w14:paraId="179225D0"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40.7</w:t>
            </w:r>
          </w:p>
        </w:tc>
        <w:tc>
          <w:tcPr>
            <w:tcW w:w="794" w:type="dxa"/>
            <w:shd w:val="clear" w:color="auto" w:fill="FFFFFF"/>
            <w:noWrap/>
            <w:vAlign w:val="bottom"/>
            <w:hideMark/>
          </w:tcPr>
          <w:p w14:paraId="5CC1671D"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45.0</w:t>
            </w:r>
          </w:p>
        </w:tc>
        <w:tc>
          <w:tcPr>
            <w:tcW w:w="794" w:type="dxa"/>
            <w:shd w:val="clear" w:color="auto" w:fill="FFFFFF"/>
            <w:noWrap/>
            <w:vAlign w:val="bottom"/>
            <w:hideMark/>
          </w:tcPr>
          <w:p w14:paraId="029DB97A"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51.2</w:t>
            </w:r>
          </w:p>
        </w:tc>
        <w:tc>
          <w:tcPr>
            <w:tcW w:w="680" w:type="dxa"/>
            <w:shd w:val="clear" w:color="auto" w:fill="FFFFFF"/>
            <w:noWrap/>
            <w:vAlign w:val="bottom"/>
            <w:hideMark/>
          </w:tcPr>
          <w:p w14:paraId="77E12D0C"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$144.4</w:t>
            </w:r>
          </w:p>
        </w:tc>
        <w:tc>
          <w:tcPr>
            <w:tcW w:w="737" w:type="dxa"/>
            <w:shd w:val="clear" w:color="auto" w:fill="FFFFFF"/>
            <w:noWrap/>
            <w:vAlign w:val="bottom"/>
            <w:hideMark/>
          </w:tcPr>
          <w:p w14:paraId="148A1A41"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$165.3</w:t>
            </w:r>
          </w:p>
        </w:tc>
        <w:tc>
          <w:tcPr>
            <w:tcW w:w="680" w:type="dxa"/>
            <w:shd w:val="clear" w:color="auto" w:fill="FFFFFF"/>
            <w:noWrap/>
            <w:vAlign w:val="bottom"/>
            <w:hideMark/>
          </w:tcPr>
          <w:p w14:paraId="111DE198"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$189.7</w:t>
            </w:r>
          </w:p>
        </w:tc>
        <w:tc>
          <w:tcPr>
            <w:tcW w:w="794" w:type="dxa"/>
            <w:shd w:val="clear" w:color="auto" w:fill="FFFFFF"/>
            <w:noWrap/>
            <w:vAlign w:val="bottom"/>
            <w:hideMark/>
          </w:tcPr>
          <w:p w14:paraId="42643D9D"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$193.99</w:t>
            </w:r>
          </w:p>
        </w:tc>
      </w:tr>
      <w:tr w:rsidR="00BD68CD" w:rsidRPr="007C1E37" w14:paraId="775A9D6E" w14:textId="77777777" w:rsidTr="00BD68CD">
        <w:trPr>
          <w:trHeight w:val="369"/>
        </w:trPr>
        <w:tc>
          <w:tcPr>
            <w:tcW w:w="1304" w:type="dxa"/>
            <w:vMerge/>
            <w:vAlign w:val="center"/>
            <w:hideMark/>
          </w:tcPr>
          <w:p w14:paraId="032B5F00" w14:textId="77777777" w:rsidR="00944322" w:rsidRPr="007C1E37" w:rsidRDefault="00944322" w:rsidP="009C2296">
            <w:pPr>
              <w:spacing w:after="0" w:line="240" w:lineRule="auto"/>
              <w:rPr>
                <w:rFonts w:ascii="Aptos Narrow" w:hAnsi="Aptos Narrow"/>
                <w:color w:val="000000"/>
                <w:sz w:val="16"/>
                <w:szCs w:val="16"/>
                <w:lang w:eastAsia="en-AU"/>
              </w:rPr>
            </w:pPr>
          </w:p>
        </w:tc>
        <w:tc>
          <w:tcPr>
            <w:tcW w:w="683" w:type="dxa"/>
            <w:shd w:val="clear" w:color="auto" w:fill="FFFFFF"/>
            <w:noWrap/>
            <w:vAlign w:val="bottom"/>
            <w:hideMark/>
          </w:tcPr>
          <w:p w14:paraId="31E82219" w14:textId="77777777" w:rsidR="00944322" w:rsidRPr="007C1E37" w:rsidRDefault="00944322" w:rsidP="009C2296">
            <w:pPr>
              <w:spacing w:after="0" w:line="240" w:lineRule="auto"/>
              <w:rPr>
                <w:rFonts w:ascii="Aptos Narrow" w:hAnsi="Aptos Narrow"/>
                <w:color w:val="000000"/>
                <w:sz w:val="16"/>
                <w:szCs w:val="16"/>
                <w:lang w:eastAsia="en-AU"/>
              </w:rPr>
            </w:pPr>
            <w:r w:rsidRPr="007C1E37">
              <w:rPr>
                <w:rFonts w:ascii="Aptos Narrow" w:hAnsi="Aptos Narrow"/>
                <w:color w:val="000000" w:themeColor="accent6"/>
                <w:sz w:val="16"/>
                <w:szCs w:val="16"/>
                <w:lang w:eastAsia="en-AU"/>
              </w:rPr>
              <w:t>MBS</w:t>
            </w:r>
          </w:p>
        </w:tc>
        <w:tc>
          <w:tcPr>
            <w:tcW w:w="737" w:type="dxa"/>
            <w:shd w:val="clear" w:color="auto" w:fill="FFFFFF"/>
            <w:noWrap/>
            <w:vAlign w:val="bottom"/>
            <w:hideMark/>
          </w:tcPr>
          <w:p w14:paraId="3170DB2C"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$96.0</w:t>
            </w:r>
          </w:p>
        </w:tc>
        <w:tc>
          <w:tcPr>
            <w:tcW w:w="737" w:type="dxa"/>
            <w:shd w:val="clear" w:color="auto" w:fill="FFFFFF"/>
            <w:noWrap/>
            <w:vAlign w:val="bottom"/>
            <w:hideMark/>
          </w:tcPr>
          <w:p w14:paraId="5194F968"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$145.0</w:t>
            </w:r>
          </w:p>
        </w:tc>
        <w:tc>
          <w:tcPr>
            <w:tcW w:w="737" w:type="dxa"/>
            <w:shd w:val="clear" w:color="auto" w:fill="FFFFFF"/>
            <w:noWrap/>
            <w:vAlign w:val="bottom"/>
            <w:hideMark/>
          </w:tcPr>
          <w:p w14:paraId="5B30DD20"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$194.0</w:t>
            </w:r>
          </w:p>
        </w:tc>
        <w:tc>
          <w:tcPr>
            <w:tcW w:w="794" w:type="dxa"/>
            <w:shd w:val="clear" w:color="auto" w:fill="FFFFFF"/>
            <w:noWrap/>
            <w:vAlign w:val="bottom"/>
            <w:hideMark/>
          </w:tcPr>
          <w:p w14:paraId="7CA0065D"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42.0</w:t>
            </w:r>
          </w:p>
        </w:tc>
        <w:tc>
          <w:tcPr>
            <w:tcW w:w="794" w:type="dxa"/>
            <w:shd w:val="clear" w:color="auto" w:fill="FFFFFF"/>
            <w:noWrap/>
            <w:vAlign w:val="bottom"/>
            <w:hideMark/>
          </w:tcPr>
          <w:p w14:paraId="222113A6"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50.0</w:t>
            </w:r>
          </w:p>
        </w:tc>
        <w:tc>
          <w:tcPr>
            <w:tcW w:w="794" w:type="dxa"/>
            <w:shd w:val="clear" w:color="auto" w:fill="FFFFFF"/>
            <w:noWrap/>
            <w:vAlign w:val="bottom"/>
            <w:hideMark/>
          </w:tcPr>
          <w:p w14:paraId="69FB9680"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58.0</w:t>
            </w:r>
          </w:p>
        </w:tc>
        <w:tc>
          <w:tcPr>
            <w:tcW w:w="680" w:type="dxa"/>
            <w:shd w:val="clear" w:color="auto" w:fill="FFFFFF"/>
            <w:noWrap/>
            <w:vAlign w:val="bottom"/>
            <w:hideMark/>
          </w:tcPr>
          <w:p w14:paraId="73C9AC7A"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$137.3</w:t>
            </w:r>
          </w:p>
        </w:tc>
        <w:tc>
          <w:tcPr>
            <w:tcW w:w="737" w:type="dxa"/>
            <w:shd w:val="clear" w:color="auto" w:fill="FFFFFF"/>
            <w:noWrap/>
            <w:vAlign w:val="bottom"/>
            <w:hideMark/>
          </w:tcPr>
          <w:p w14:paraId="1AEAA774"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$174.0</w:t>
            </w:r>
          </w:p>
        </w:tc>
        <w:tc>
          <w:tcPr>
            <w:tcW w:w="680" w:type="dxa"/>
            <w:shd w:val="clear" w:color="auto" w:fill="FFFFFF"/>
            <w:noWrap/>
            <w:vAlign w:val="bottom"/>
            <w:hideMark/>
          </w:tcPr>
          <w:p w14:paraId="3726CC9B"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$200.5</w:t>
            </w:r>
          </w:p>
        </w:tc>
        <w:tc>
          <w:tcPr>
            <w:tcW w:w="794" w:type="dxa"/>
            <w:shd w:val="clear" w:color="auto" w:fill="FFFFFF"/>
            <w:noWrap/>
            <w:vAlign w:val="bottom"/>
            <w:hideMark/>
          </w:tcPr>
          <w:p w14:paraId="66842A60"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$193.99</w:t>
            </w:r>
          </w:p>
        </w:tc>
      </w:tr>
      <w:tr w:rsidR="00BD68CD" w:rsidRPr="007C1E37" w14:paraId="62F0D6A0" w14:textId="77777777" w:rsidTr="00BD68CD">
        <w:trPr>
          <w:trHeight w:val="369"/>
        </w:trPr>
        <w:tc>
          <w:tcPr>
            <w:tcW w:w="1304" w:type="dxa"/>
            <w:vMerge w:val="restart"/>
            <w:shd w:val="clear" w:color="auto" w:fill="FFFFFF"/>
            <w:vAlign w:val="center"/>
            <w:hideMark/>
          </w:tcPr>
          <w:p w14:paraId="6A568F20" w14:textId="77777777" w:rsidR="00944322" w:rsidRPr="007C1E37" w:rsidRDefault="00944322" w:rsidP="009C2296">
            <w:pPr>
              <w:spacing w:after="0" w:line="240" w:lineRule="auto"/>
              <w:rPr>
                <w:rFonts w:ascii="Aptos Narrow" w:hAnsi="Aptos Narrow"/>
                <w:color w:val="000000"/>
                <w:sz w:val="16"/>
                <w:szCs w:val="16"/>
                <w:lang w:eastAsia="en-AU"/>
              </w:rPr>
            </w:pPr>
            <w:r w:rsidRPr="007C1E37">
              <w:rPr>
                <w:rFonts w:ascii="Aptos Narrow" w:hAnsi="Aptos Narrow"/>
                <w:color w:val="000000" w:themeColor="accent6"/>
                <w:sz w:val="16"/>
                <w:szCs w:val="16"/>
                <w:lang w:eastAsia="en-AU"/>
              </w:rPr>
              <w:t>Occupational Therapy</w:t>
            </w:r>
          </w:p>
        </w:tc>
        <w:tc>
          <w:tcPr>
            <w:tcW w:w="683" w:type="dxa"/>
            <w:shd w:val="clear" w:color="auto" w:fill="FFFFFF"/>
            <w:noWrap/>
            <w:vAlign w:val="bottom"/>
            <w:hideMark/>
          </w:tcPr>
          <w:p w14:paraId="15BDBCBB" w14:textId="77777777" w:rsidR="00944322" w:rsidRPr="007C1E37" w:rsidRDefault="00944322" w:rsidP="009C2296">
            <w:pPr>
              <w:spacing w:after="0" w:line="240" w:lineRule="auto"/>
              <w:rPr>
                <w:rFonts w:ascii="Aptos Narrow" w:hAnsi="Aptos Narrow"/>
                <w:color w:val="000000"/>
                <w:sz w:val="16"/>
                <w:szCs w:val="16"/>
                <w:lang w:eastAsia="en-AU"/>
              </w:rPr>
            </w:pPr>
            <w:r w:rsidRPr="007C1E37">
              <w:rPr>
                <w:rFonts w:ascii="Aptos Narrow" w:hAnsi="Aptos Narrow"/>
                <w:color w:val="000000" w:themeColor="accent6"/>
                <w:sz w:val="16"/>
                <w:szCs w:val="16"/>
                <w:lang w:eastAsia="en-AU"/>
              </w:rPr>
              <w:t>PHI</w:t>
            </w:r>
          </w:p>
        </w:tc>
        <w:tc>
          <w:tcPr>
            <w:tcW w:w="737" w:type="dxa"/>
            <w:shd w:val="clear" w:color="auto" w:fill="FFFFFF"/>
            <w:noWrap/>
            <w:vAlign w:val="bottom"/>
            <w:hideMark/>
          </w:tcPr>
          <w:p w14:paraId="2AFE204F"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$100.0</w:t>
            </w:r>
          </w:p>
        </w:tc>
        <w:tc>
          <w:tcPr>
            <w:tcW w:w="737" w:type="dxa"/>
            <w:shd w:val="clear" w:color="auto" w:fill="FFFFFF"/>
            <w:noWrap/>
            <w:vAlign w:val="bottom"/>
            <w:hideMark/>
          </w:tcPr>
          <w:p w14:paraId="722A5063"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$112.0</w:t>
            </w:r>
          </w:p>
        </w:tc>
        <w:tc>
          <w:tcPr>
            <w:tcW w:w="737" w:type="dxa"/>
            <w:shd w:val="clear" w:color="auto" w:fill="FFFFFF"/>
            <w:noWrap/>
            <w:vAlign w:val="bottom"/>
            <w:hideMark/>
          </w:tcPr>
          <w:p w14:paraId="5C5AD010"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$133.0</w:t>
            </w:r>
          </w:p>
        </w:tc>
        <w:tc>
          <w:tcPr>
            <w:tcW w:w="794" w:type="dxa"/>
            <w:shd w:val="clear" w:color="auto" w:fill="FFFFFF"/>
            <w:noWrap/>
            <w:vAlign w:val="bottom"/>
            <w:hideMark/>
          </w:tcPr>
          <w:p w14:paraId="22ECD772"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42.8</w:t>
            </w:r>
          </w:p>
        </w:tc>
        <w:tc>
          <w:tcPr>
            <w:tcW w:w="794" w:type="dxa"/>
            <w:shd w:val="clear" w:color="auto" w:fill="FFFFFF"/>
            <w:noWrap/>
            <w:vAlign w:val="bottom"/>
            <w:hideMark/>
          </w:tcPr>
          <w:p w14:paraId="7311FDE3"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45.0</w:t>
            </w:r>
          </w:p>
        </w:tc>
        <w:tc>
          <w:tcPr>
            <w:tcW w:w="794" w:type="dxa"/>
            <w:shd w:val="clear" w:color="auto" w:fill="FFFFFF"/>
            <w:noWrap/>
            <w:vAlign w:val="bottom"/>
            <w:hideMark/>
          </w:tcPr>
          <w:p w14:paraId="1445E6A0"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48.9</w:t>
            </w:r>
          </w:p>
        </w:tc>
        <w:tc>
          <w:tcPr>
            <w:tcW w:w="680" w:type="dxa"/>
            <w:shd w:val="clear" w:color="auto" w:fill="FFFFFF"/>
            <w:noWrap/>
            <w:vAlign w:val="bottom"/>
            <w:hideMark/>
          </w:tcPr>
          <w:p w14:paraId="58AD5706"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$140.3</w:t>
            </w:r>
          </w:p>
        </w:tc>
        <w:tc>
          <w:tcPr>
            <w:tcW w:w="737" w:type="dxa"/>
            <w:shd w:val="clear" w:color="auto" w:fill="FFFFFF"/>
            <w:noWrap/>
            <w:vAlign w:val="bottom"/>
            <w:hideMark/>
          </w:tcPr>
          <w:p w14:paraId="0CF0654A"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$149.3</w:t>
            </w:r>
          </w:p>
        </w:tc>
        <w:tc>
          <w:tcPr>
            <w:tcW w:w="680" w:type="dxa"/>
            <w:shd w:val="clear" w:color="auto" w:fill="FFFFFF"/>
            <w:noWrap/>
            <w:vAlign w:val="bottom"/>
            <w:hideMark/>
          </w:tcPr>
          <w:p w14:paraId="7D6A6EC4"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$163.1</w:t>
            </w:r>
          </w:p>
        </w:tc>
        <w:tc>
          <w:tcPr>
            <w:tcW w:w="794" w:type="dxa"/>
            <w:shd w:val="clear" w:color="auto" w:fill="FFFFFF"/>
            <w:noWrap/>
            <w:vAlign w:val="bottom"/>
            <w:hideMark/>
          </w:tcPr>
          <w:p w14:paraId="77285FD1"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$193.99</w:t>
            </w:r>
          </w:p>
        </w:tc>
      </w:tr>
      <w:tr w:rsidR="00BD68CD" w:rsidRPr="007C1E37" w14:paraId="73E3CBF6" w14:textId="77777777" w:rsidTr="00BD68CD">
        <w:trPr>
          <w:trHeight w:val="369"/>
        </w:trPr>
        <w:tc>
          <w:tcPr>
            <w:tcW w:w="1304" w:type="dxa"/>
            <w:vMerge/>
            <w:vAlign w:val="center"/>
            <w:hideMark/>
          </w:tcPr>
          <w:p w14:paraId="4C66A226" w14:textId="77777777" w:rsidR="00944322" w:rsidRPr="007C1E37" w:rsidRDefault="00944322" w:rsidP="009C2296">
            <w:pPr>
              <w:spacing w:after="0" w:line="240" w:lineRule="auto"/>
              <w:rPr>
                <w:rFonts w:ascii="Aptos Narrow" w:hAnsi="Aptos Narrow"/>
                <w:color w:val="000000"/>
                <w:sz w:val="16"/>
                <w:szCs w:val="16"/>
                <w:lang w:eastAsia="en-AU"/>
              </w:rPr>
            </w:pPr>
          </w:p>
        </w:tc>
        <w:tc>
          <w:tcPr>
            <w:tcW w:w="683" w:type="dxa"/>
            <w:shd w:val="clear" w:color="auto" w:fill="FFFFFF"/>
            <w:noWrap/>
            <w:vAlign w:val="bottom"/>
            <w:hideMark/>
          </w:tcPr>
          <w:p w14:paraId="18676678" w14:textId="77777777" w:rsidR="00944322" w:rsidRPr="007C1E37" w:rsidRDefault="00944322" w:rsidP="009C2296">
            <w:pPr>
              <w:spacing w:after="0" w:line="240" w:lineRule="auto"/>
              <w:rPr>
                <w:rFonts w:ascii="Aptos Narrow" w:hAnsi="Aptos Narrow"/>
                <w:color w:val="000000"/>
                <w:sz w:val="16"/>
                <w:szCs w:val="16"/>
                <w:lang w:eastAsia="en-AU"/>
              </w:rPr>
            </w:pPr>
            <w:r w:rsidRPr="007C1E37">
              <w:rPr>
                <w:rFonts w:ascii="Aptos Narrow" w:hAnsi="Aptos Narrow"/>
                <w:color w:val="000000" w:themeColor="accent6"/>
                <w:sz w:val="16"/>
                <w:szCs w:val="16"/>
                <w:lang w:eastAsia="en-AU"/>
              </w:rPr>
              <w:t>MBS</w:t>
            </w:r>
          </w:p>
        </w:tc>
        <w:tc>
          <w:tcPr>
            <w:tcW w:w="737" w:type="dxa"/>
            <w:shd w:val="clear" w:color="auto" w:fill="FFFFFF"/>
            <w:noWrap/>
            <w:vAlign w:val="bottom"/>
            <w:hideMark/>
          </w:tcPr>
          <w:p w14:paraId="51D2DB31"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$90.0</w:t>
            </w:r>
          </w:p>
        </w:tc>
        <w:tc>
          <w:tcPr>
            <w:tcW w:w="737" w:type="dxa"/>
            <w:shd w:val="clear" w:color="auto" w:fill="FFFFFF"/>
            <w:noWrap/>
            <w:vAlign w:val="bottom"/>
            <w:hideMark/>
          </w:tcPr>
          <w:p w14:paraId="212FB939"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$125.0</w:t>
            </w:r>
          </w:p>
        </w:tc>
        <w:tc>
          <w:tcPr>
            <w:tcW w:w="737" w:type="dxa"/>
            <w:shd w:val="clear" w:color="auto" w:fill="FFFFFF"/>
            <w:noWrap/>
            <w:vAlign w:val="bottom"/>
            <w:hideMark/>
          </w:tcPr>
          <w:p w14:paraId="3EE1920E"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$192.5</w:t>
            </w:r>
          </w:p>
        </w:tc>
        <w:tc>
          <w:tcPr>
            <w:tcW w:w="794" w:type="dxa"/>
            <w:shd w:val="clear" w:color="auto" w:fill="FFFFFF"/>
            <w:noWrap/>
            <w:vAlign w:val="bottom"/>
            <w:hideMark/>
          </w:tcPr>
          <w:p w14:paraId="6EACEE76"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33.5</w:t>
            </w:r>
          </w:p>
        </w:tc>
        <w:tc>
          <w:tcPr>
            <w:tcW w:w="794" w:type="dxa"/>
            <w:shd w:val="clear" w:color="auto" w:fill="FFFFFF"/>
            <w:noWrap/>
            <w:vAlign w:val="bottom"/>
            <w:hideMark/>
          </w:tcPr>
          <w:p w14:paraId="7B451ABA"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40.0</w:t>
            </w:r>
          </w:p>
        </w:tc>
        <w:tc>
          <w:tcPr>
            <w:tcW w:w="794" w:type="dxa"/>
            <w:shd w:val="clear" w:color="auto" w:fill="FFFFFF"/>
            <w:noWrap/>
            <w:vAlign w:val="bottom"/>
            <w:hideMark/>
          </w:tcPr>
          <w:p w14:paraId="251F4723"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52.6</w:t>
            </w:r>
          </w:p>
        </w:tc>
        <w:tc>
          <w:tcPr>
            <w:tcW w:w="680" w:type="dxa"/>
            <w:shd w:val="clear" w:color="auto" w:fill="FFFFFF"/>
            <w:noWrap/>
            <w:vAlign w:val="bottom"/>
            <w:hideMark/>
          </w:tcPr>
          <w:p w14:paraId="3BF8BD0B"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$161.3</w:t>
            </w:r>
          </w:p>
        </w:tc>
        <w:tc>
          <w:tcPr>
            <w:tcW w:w="737" w:type="dxa"/>
            <w:shd w:val="clear" w:color="auto" w:fill="FFFFFF"/>
            <w:noWrap/>
            <w:vAlign w:val="bottom"/>
            <w:hideMark/>
          </w:tcPr>
          <w:p w14:paraId="507912BB"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$187.5</w:t>
            </w:r>
          </w:p>
        </w:tc>
        <w:tc>
          <w:tcPr>
            <w:tcW w:w="680" w:type="dxa"/>
            <w:shd w:val="clear" w:color="auto" w:fill="FFFFFF"/>
            <w:noWrap/>
            <w:vAlign w:val="bottom"/>
            <w:hideMark/>
          </w:tcPr>
          <w:p w14:paraId="4FD07191"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$219.6</w:t>
            </w:r>
          </w:p>
        </w:tc>
        <w:tc>
          <w:tcPr>
            <w:tcW w:w="794" w:type="dxa"/>
            <w:shd w:val="clear" w:color="auto" w:fill="FFFFFF"/>
            <w:noWrap/>
            <w:vAlign w:val="bottom"/>
            <w:hideMark/>
          </w:tcPr>
          <w:p w14:paraId="0AA19528"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$193.99</w:t>
            </w:r>
          </w:p>
        </w:tc>
      </w:tr>
      <w:tr w:rsidR="00BD68CD" w:rsidRPr="007C1E37" w14:paraId="07084123" w14:textId="77777777" w:rsidTr="00BD68CD">
        <w:trPr>
          <w:trHeight w:val="369"/>
        </w:trPr>
        <w:tc>
          <w:tcPr>
            <w:tcW w:w="1304" w:type="dxa"/>
            <w:vMerge w:val="restart"/>
            <w:shd w:val="clear" w:color="auto" w:fill="FFFFFF"/>
            <w:vAlign w:val="center"/>
            <w:hideMark/>
          </w:tcPr>
          <w:p w14:paraId="0514918F" w14:textId="77777777" w:rsidR="00944322" w:rsidRPr="007C1E37" w:rsidRDefault="00944322" w:rsidP="009C2296">
            <w:pPr>
              <w:spacing w:after="0" w:line="240" w:lineRule="auto"/>
              <w:rPr>
                <w:rFonts w:ascii="Aptos Narrow" w:hAnsi="Aptos Narrow"/>
                <w:color w:val="000000"/>
                <w:sz w:val="16"/>
                <w:szCs w:val="16"/>
                <w:lang w:eastAsia="en-AU"/>
              </w:rPr>
            </w:pPr>
            <w:r w:rsidRPr="007C1E37">
              <w:rPr>
                <w:rFonts w:ascii="Aptos Narrow" w:hAnsi="Aptos Narrow"/>
                <w:color w:val="000000" w:themeColor="accent6"/>
                <w:sz w:val="16"/>
                <w:szCs w:val="16"/>
                <w:lang w:eastAsia="en-AU"/>
              </w:rPr>
              <w:t>Audiology</w:t>
            </w:r>
          </w:p>
        </w:tc>
        <w:tc>
          <w:tcPr>
            <w:tcW w:w="683" w:type="dxa"/>
            <w:shd w:val="clear" w:color="auto" w:fill="FFFFFF"/>
            <w:noWrap/>
            <w:vAlign w:val="bottom"/>
            <w:hideMark/>
          </w:tcPr>
          <w:p w14:paraId="0120D1BA" w14:textId="77777777" w:rsidR="00944322" w:rsidRPr="007C1E37" w:rsidRDefault="00944322" w:rsidP="009C2296">
            <w:pPr>
              <w:spacing w:after="0" w:line="240" w:lineRule="auto"/>
              <w:rPr>
                <w:rFonts w:ascii="Aptos Narrow" w:hAnsi="Aptos Narrow"/>
                <w:color w:val="000000"/>
                <w:sz w:val="16"/>
                <w:szCs w:val="16"/>
                <w:lang w:eastAsia="en-AU"/>
              </w:rPr>
            </w:pPr>
            <w:r w:rsidRPr="007C1E37">
              <w:rPr>
                <w:rFonts w:ascii="Aptos Narrow" w:hAnsi="Aptos Narrow"/>
                <w:color w:val="000000" w:themeColor="accent6"/>
                <w:sz w:val="16"/>
                <w:szCs w:val="16"/>
                <w:lang w:eastAsia="en-AU"/>
              </w:rPr>
              <w:t>PHI</w:t>
            </w:r>
          </w:p>
        </w:tc>
        <w:tc>
          <w:tcPr>
            <w:tcW w:w="737" w:type="dxa"/>
            <w:shd w:val="clear" w:color="auto" w:fill="FFFFFF"/>
            <w:noWrap/>
            <w:vAlign w:val="bottom"/>
            <w:hideMark/>
          </w:tcPr>
          <w:p w14:paraId="631A7794"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$129.1</w:t>
            </w:r>
          </w:p>
        </w:tc>
        <w:tc>
          <w:tcPr>
            <w:tcW w:w="737" w:type="dxa"/>
            <w:shd w:val="clear" w:color="auto" w:fill="FFFFFF"/>
            <w:noWrap/>
            <w:vAlign w:val="bottom"/>
            <w:hideMark/>
          </w:tcPr>
          <w:p w14:paraId="096A4CA6"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$129.1</w:t>
            </w:r>
          </w:p>
        </w:tc>
        <w:tc>
          <w:tcPr>
            <w:tcW w:w="737" w:type="dxa"/>
            <w:shd w:val="clear" w:color="auto" w:fill="FFFFFF"/>
            <w:noWrap/>
            <w:vAlign w:val="bottom"/>
            <w:hideMark/>
          </w:tcPr>
          <w:p w14:paraId="4E0B401D"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$130.0</w:t>
            </w:r>
          </w:p>
        </w:tc>
        <w:tc>
          <w:tcPr>
            <w:tcW w:w="794" w:type="dxa"/>
            <w:shd w:val="clear" w:color="auto" w:fill="FFFFFF"/>
            <w:noWrap/>
            <w:vAlign w:val="bottom"/>
            <w:hideMark/>
          </w:tcPr>
          <w:p w14:paraId="20A78123"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45.0</w:t>
            </w:r>
          </w:p>
        </w:tc>
        <w:tc>
          <w:tcPr>
            <w:tcW w:w="794" w:type="dxa"/>
            <w:shd w:val="clear" w:color="auto" w:fill="FFFFFF"/>
            <w:noWrap/>
            <w:vAlign w:val="bottom"/>
            <w:hideMark/>
          </w:tcPr>
          <w:p w14:paraId="5511E512"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45.0</w:t>
            </w:r>
          </w:p>
        </w:tc>
        <w:tc>
          <w:tcPr>
            <w:tcW w:w="794" w:type="dxa"/>
            <w:shd w:val="clear" w:color="auto" w:fill="FFFFFF"/>
            <w:noWrap/>
            <w:vAlign w:val="bottom"/>
            <w:hideMark/>
          </w:tcPr>
          <w:p w14:paraId="2A8DB6B6"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45.2</w:t>
            </w:r>
          </w:p>
        </w:tc>
        <w:tc>
          <w:tcPr>
            <w:tcW w:w="680" w:type="dxa"/>
            <w:shd w:val="clear" w:color="auto" w:fill="FFFFFF"/>
            <w:noWrap/>
            <w:vAlign w:val="bottom"/>
            <w:hideMark/>
          </w:tcPr>
          <w:p w14:paraId="19A72F6C"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$172.2</w:t>
            </w:r>
          </w:p>
        </w:tc>
        <w:tc>
          <w:tcPr>
            <w:tcW w:w="737" w:type="dxa"/>
            <w:shd w:val="clear" w:color="auto" w:fill="FFFFFF"/>
            <w:noWrap/>
            <w:vAlign w:val="bottom"/>
            <w:hideMark/>
          </w:tcPr>
          <w:p w14:paraId="3DD30AC4"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$172.2</w:t>
            </w:r>
          </w:p>
        </w:tc>
        <w:tc>
          <w:tcPr>
            <w:tcW w:w="680" w:type="dxa"/>
            <w:shd w:val="clear" w:color="auto" w:fill="FFFFFF"/>
            <w:noWrap/>
            <w:vAlign w:val="bottom"/>
            <w:hideMark/>
          </w:tcPr>
          <w:p w14:paraId="6450D472"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$172.5</w:t>
            </w:r>
          </w:p>
        </w:tc>
        <w:tc>
          <w:tcPr>
            <w:tcW w:w="794" w:type="dxa"/>
            <w:shd w:val="clear" w:color="auto" w:fill="FFFFFF"/>
            <w:noWrap/>
            <w:vAlign w:val="bottom"/>
            <w:hideMark/>
          </w:tcPr>
          <w:p w14:paraId="0BF3120D"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$193.99</w:t>
            </w:r>
          </w:p>
        </w:tc>
      </w:tr>
      <w:tr w:rsidR="00BD68CD" w:rsidRPr="007C1E37" w14:paraId="1EB1F588" w14:textId="77777777" w:rsidTr="00BD68CD">
        <w:trPr>
          <w:trHeight w:val="369"/>
        </w:trPr>
        <w:tc>
          <w:tcPr>
            <w:tcW w:w="1304" w:type="dxa"/>
            <w:vMerge/>
            <w:vAlign w:val="center"/>
            <w:hideMark/>
          </w:tcPr>
          <w:p w14:paraId="62B788F8" w14:textId="77777777" w:rsidR="00944322" w:rsidRPr="007C1E37" w:rsidRDefault="00944322" w:rsidP="009C2296">
            <w:pPr>
              <w:spacing w:after="0" w:line="240" w:lineRule="auto"/>
              <w:rPr>
                <w:rFonts w:ascii="Aptos Narrow" w:hAnsi="Aptos Narrow"/>
                <w:color w:val="000000"/>
                <w:sz w:val="16"/>
                <w:szCs w:val="16"/>
                <w:lang w:eastAsia="en-AU"/>
              </w:rPr>
            </w:pPr>
          </w:p>
        </w:tc>
        <w:tc>
          <w:tcPr>
            <w:tcW w:w="683" w:type="dxa"/>
            <w:shd w:val="clear" w:color="auto" w:fill="FFFFFF"/>
            <w:noWrap/>
            <w:vAlign w:val="bottom"/>
            <w:hideMark/>
          </w:tcPr>
          <w:p w14:paraId="360E8735" w14:textId="77777777" w:rsidR="00944322" w:rsidRPr="007C1E37" w:rsidRDefault="00944322" w:rsidP="009C2296">
            <w:pPr>
              <w:spacing w:after="0" w:line="240" w:lineRule="auto"/>
              <w:rPr>
                <w:rFonts w:ascii="Aptos Narrow" w:hAnsi="Aptos Narrow"/>
                <w:color w:val="000000"/>
                <w:sz w:val="16"/>
                <w:szCs w:val="16"/>
                <w:lang w:eastAsia="en-AU"/>
              </w:rPr>
            </w:pPr>
            <w:r w:rsidRPr="007C1E37">
              <w:rPr>
                <w:rFonts w:ascii="Aptos Narrow" w:hAnsi="Aptos Narrow"/>
                <w:color w:val="000000" w:themeColor="accent6"/>
                <w:sz w:val="16"/>
                <w:szCs w:val="16"/>
                <w:lang w:eastAsia="en-AU"/>
              </w:rPr>
              <w:t>MBS</w:t>
            </w:r>
          </w:p>
        </w:tc>
        <w:tc>
          <w:tcPr>
            <w:tcW w:w="737" w:type="dxa"/>
            <w:shd w:val="clear" w:color="auto" w:fill="FFFFFF"/>
            <w:noWrap/>
            <w:vAlign w:val="bottom"/>
            <w:hideMark/>
          </w:tcPr>
          <w:p w14:paraId="6665D26B"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$58.0</w:t>
            </w:r>
          </w:p>
        </w:tc>
        <w:tc>
          <w:tcPr>
            <w:tcW w:w="737" w:type="dxa"/>
            <w:shd w:val="clear" w:color="auto" w:fill="FFFFFF"/>
            <w:noWrap/>
            <w:vAlign w:val="bottom"/>
            <w:hideMark/>
          </w:tcPr>
          <w:p w14:paraId="6B464EBA"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$58.3</w:t>
            </w:r>
          </w:p>
        </w:tc>
        <w:tc>
          <w:tcPr>
            <w:tcW w:w="737" w:type="dxa"/>
            <w:shd w:val="clear" w:color="auto" w:fill="FFFFFF"/>
            <w:noWrap/>
            <w:vAlign w:val="bottom"/>
            <w:hideMark/>
          </w:tcPr>
          <w:p w14:paraId="03471914"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$120.0</w:t>
            </w:r>
          </w:p>
        </w:tc>
        <w:tc>
          <w:tcPr>
            <w:tcW w:w="794" w:type="dxa"/>
            <w:shd w:val="clear" w:color="auto" w:fill="FFFFFF"/>
            <w:noWrap/>
            <w:vAlign w:val="bottom"/>
            <w:hideMark/>
          </w:tcPr>
          <w:p w14:paraId="5999D022"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29.9</w:t>
            </w:r>
          </w:p>
        </w:tc>
        <w:tc>
          <w:tcPr>
            <w:tcW w:w="794" w:type="dxa"/>
            <w:shd w:val="clear" w:color="auto" w:fill="FFFFFF"/>
            <w:noWrap/>
            <w:vAlign w:val="bottom"/>
            <w:hideMark/>
          </w:tcPr>
          <w:p w14:paraId="7CD28736"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30.0</w:t>
            </w:r>
          </w:p>
        </w:tc>
        <w:tc>
          <w:tcPr>
            <w:tcW w:w="794" w:type="dxa"/>
            <w:shd w:val="clear" w:color="auto" w:fill="FFFFFF"/>
            <w:noWrap/>
            <w:vAlign w:val="bottom"/>
            <w:hideMark/>
          </w:tcPr>
          <w:p w14:paraId="339A11D0"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44.7</w:t>
            </w:r>
          </w:p>
        </w:tc>
        <w:tc>
          <w:tcPr>
            <w:tcW w:w="680" w:type="dxa"/>
            <w:shd w:val="clear" w:color="auto" w:fill="FFFFFF"/>
            <w:noWrap/>
            <w:vAlign w:val="bottom"/>
            <w:hideMark/>
          </w:tcPr>
          <w:p w14:paraId="38AA2152"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$116.3</w:t>
            </w:r>
          </w:p>
        </w:tc>
        <w:tc>
          <w:tcPr>
            <w:tcW w:w="737" w:type="dxa"/>
            <w:shd w:val="clear" w:color="auto" w:fill="FFFFFF"/>
            <w:noWrap/>
            <w:vAlign w:val="bottom"/>
            <w:hideMark/>
          </w:tcPr>
          <w:p w14:paraId="71CD0893"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$116.6</w:t>
            </w:r>
          </w:p>
        </w:tc>
        <w:tc>
          <w:tcPr>
            <w:tcW w:w="680" w:type="dxa"/>
            <w:shd w:val="clear" w:color="auto" w:fill="FFFFFF"/>
            <w:noWrap/>
            <w:vAlign w:val="bottom"/>
            <w:hideMark/>
          </w:tcPr>
          <w:p w14:paraId="61CEDBAC"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$161.2</w:t>
            </w:r>
          </w:p>
        </w:tc>
        <w:tc>
          <w:tcPr>
            <w:tcW w:w="794" w:type="dxa"/>
            <w:shd w:val="clear" w:color="auto" w:fill="FFFFFF"/>
            <w:noWrap/>
            <w:vAlign w:val="bottom"/>
            <w:hideMark/>
          </w:tcPr>
          <w:p w14:paraId="57CE4174"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$193.99</w:t>
            </w:r>
          </w:p>
        </w:tc>
      </w:tr>
      <w:tr w:rsidR="00BD68CD" w:rsidRPr="007C1E37" w14:paraId="18073E08" w14:textId="77777777" w:rsidTr="00BD68CD">
        <w:trPr>
          <w:trHeight w:val="369"/>
        </w:trPr>
        <w:tc>
          <w:tcPr>
            <w:tcW w:w="1304" w:type="dxa"/>
            <w:vMerge w:val="restart"/>
            <w:shd w:val="clear" w:color="auto" w:fill="FFFFFF"/>
            <w:vAlign w:val="center"/>
            <w:hideMark/>
          </w:tcPr>
          <w:p w14:paraId="2C251595" w14:textId="77777777" w:rsidR="00944322" w:rsidRPr="007C1E37" w:rsidRDefault="00944322" w:rsidP="009C2296">
            <w:pPr>
              <w:spacing w:after="0" w:line="240" w:lineRule="auto"/>
              <w:rPr>
                <w:rFonts w:ascii="Aptos Narrow" w:hAnsi="Aptos Narrow"/>
                <w:color w:val="000000"/>
                <w:sz w:val="16"/>
                <w:szCs w:val="16"/>
                <w:lang w:eastAsia="en-AU"/>
              </w:rPr>
            </w:pPr>
            <w:r w:rsidRPr="007C1E37">
              <w:rPr>
                <w:rFonts w:ascii="Aptos Narrow" w:hAnsi="Aptos Narrow"/>
                <w:color w:val="000000" w:themeColor="accent6"/>
                <w:sz w:val="16"/>
                <w:szCs w:val="16"/>
                <w:lang w:eastAsia="en-AU"/>
              </w:rPr>
              <w:t>Dietetics</w:t>
            </w:r>
          </w:p>
        </w:tc>
        <w:tc>
          <w:tcPr>
            <w:tcW w:w="683" w:type="dxa"/>
            <w:shd w:val="clear" w:color="auto" w:fill="FFFFFF"/>
            <w:noWrap/>
            <w:vAlign w:val="bottom"/>
            <w:hideMark/>
          </w:tcPr>
          <w:p w14:paraId="25B9D14B" w14:textId="77777777" w:rsidR="00944322" w:rsidRPr="007C1E37" w:rsidRDefault="00944322" w:rsidP="009C2296">
            <w:pPr>
              <w:spacing w:after="0" w:line="240" w:lineRule="auto"/>
              <w:rPr>
                <w:rFonts w:ascii="Aptos Narrow" w:hAnsi="Aptos Narrow"/>
                <w:color w:val="000000"/>
                <w:sz w:val="16"/>
                <w:szCs w:val="16"/>
                <w:lang w:eastAsia="en-AU"/>
              </w:rPr>
            </w:pPr>
            <w:r w:rsidRPr="007C1E37">
              <w:rPr>
                <w:rFonts w:ascii="Aptos Narrow" w:hAnsi="Aptos Narrow"/>
                <w:color w:val="000000" w:themeColor="accent6"/>
                <w:sz w:val="16"/>
                <w:szCs w:val="16"/>
                <w:lang w:eastAsia="en-AU"/>
              </w:rPr>
              <w:t>PHI</w:t>
            </w:r>
          </w:p>
        </w:tc>
        <w:tc>
          <w:tcPr>
            <w:tcW w:w="737" w:type="dxa"/>
            <w:shd w:val="clear" w:color="auto" w:fill="FFFFFF"/>
            <w:noWrap/>
            <w:vAlign w:val="bottom"/>
            <w:hideMark/>
          </w:tcPr>
          <w:p w14:paraId="649EEDC1"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$103.0</w:t>
            </w:r>
          </w:p>
        </w:tc>
        <w:tc>
          <w:tcPr>
            <w:tcW w:w="737" w:type="dxa"/>
            <w:shd w:val="clear" w:color="auto" w:fill="FFFFFF"/>
            <w:noWrap/>
            <w:vAlign w:val="bottom"/>
            <w:hideMark/>
          </w:tcPr>
          <w:p w14:paraId="4013F834"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$127.0</w:t>
            </w:r>
          </w:p>
        </w:tc>
        <w:tc>
          <w:tcPr>
            <w:tcW w:w="737" w:type="dxa"/>
            <w:shd w:val="clear" w:color="auto" w:fill="FFFFFF"/>
            <w:noWrap/>
            <w:vAlign w:val="bottom"/>
            <w:hideMark/>
          </w:tcPr>
          <w:p w14:paraId="5925BCBA"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$153.0</w:t>
            </w:r>
          </w:p>
        </w:tc>
        <w:tc>
          <w:tcPr>
            <w:tcW w:w="794" w:type="dxa"/>
            <w:shd w:val="clear" w:color="auto" w:fill="FFFFFF"/>
            <w:noWrap/>
            <w:vAlign w:val="bottom"/>
            <w:hideMark/>
          </w:tcPr>
          <w:p w14:paraId="17C6239C"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44.0</w:t>
            </w:r>
          </w:p>
        </w:tc>
        <w:tc>
          <w:tcPr>
            <w:tcW w:w="794" w:type="dxa"/>
            <w:shd w:val="clear" w:color="auto" w:fill="FFFFFF"/>
            <w:noWrap/>
            <w:vAlign w:val="bottom"/>
            <w:hideMark/>
          </w:tcPr>
          <w:p w14:paraId="2750CAB3"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50.0</w:t>
            </w:r>
          </w:p>
        </w:tc>
        <w:tc>
          <w:tcPr>
            <w:tcW w:w="794" w:type="dxa"/>
            <w:shd w:val="clear" w:color="auto" w:fill="FFFFFF"/>
            <w:noWrap/>
            <w:vAlign w:val="bottom"/>
            <w:hideMark/>
          </w:tcPr>
          <w:p w14:paraId="617D0340"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56.5</w:t>
            </w:r>
          </w:p>
        </w:tc>
        <w:tc>
          <w:tcPr>
            <w:tcW w:w="680" w:type="dxa"/>
            <w:shd w:val="clear" w:color="auto" w:fill="FFFFFF"/>
            <w:noWrap/>
            <w:vAlign w:val="bottom"/>
            <w:hideMark/>
          </w:tcPr>
          <w:p w14:paraId="13F2A05E"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$140.6</w:t>
            </w:r>
          </w:p>
        </w:tc>
        <w:tc>
          <w:tcPr>
            <w:tcW w:w="737" w:type="dxa"/>
            <w:shd w:val="clear" w:color="auto" w:fill="FFFFFF"/>
            <w:noWrap/>
            <w:vAlign w:val="bottom"/>
            <w:hideMark/>
          </w:tcPr>
          <w:p w14:paraId="5DFF0220"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$152.4</w:t>
            </w:r>
          </w:p>
        </w:tc>
        <w:tc>
          <w:tcPr>
            <w:tcW w:w="680" w:type="dxa"/>
            <w:shd w:val="clear" w:color="auto" w:fill="FFFFFF"/>
            <w:noWrap/>
            <w:vAlign w:val="bottom"/>
            <w:hideMark/>
          </w:tcPr>
          <w:p w14:paraId="1B016683"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$162.3</w:t>
            </w:r>
          </w:p>
        </w:tc>
        <w:tc>
          <w:tcPr>
            <w:tcW w:w="794" w:type="dxa"/>
            <w:shd w:val="clear" w:color="auto" w:fill="FFFFFF"/>
            <w:noWrap/>
            <w:vAlign w:val="bottom"/>
            <w:hideMark/>
          </w:tcPr>
          <w:p w14:paraId="1FC65DBF"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$193.99</w:t>
            </w:r>
          </w:p>
        </w:tc>
      </w:tr>
      <w:tr w:rsidR="00BD68CD" w:rsidRPr="007C1E37" w14:paraId="4B87B14B" w14:textId="77777777" w:rsidTr="00BD68CD">
        <w:trPr>
          <w:trHeight w:val="369"/>
        </w:trPr>
        <w:tc>
          <w:tcPr>
            <w:tcW w:w="1304" w:type="dxa"/>
            <w:vMerge/>
            <w:vAlign w:val="center"/>
            <w:hideMark/>
          </w:tcPr>
          <w:p w14:paraId="68E383FB" w14:textId="77777777" w:rsidR="00944322" w:rsidRPr="007C1E37" w:rsidRDefault="00944322" w:rsidP="009C2296">
            <w:pPr>
              <w:spacing w:after="0" w:line="240" w:lineRule="auto"/>
              <w:rPr>
                <w:rFonts w:ascii="Aptos Narrow" w:hAnsi="Aptos Narrow"/>
                <w:color w:val="000000"/>
                <w:sz w:val="16"/>
                <w:szCs w:val="16"/>
                <w:lang w:eastAsia="en-AU"/>
              </w:rPr>
            </w:pPr>
          </w:p>
        </w:tc>
        <w:tc>
          <w:tcPr>
            <w:tcW w:w="683" w:type="dxa"/>
            <w:shd w:val="clear" w:color="auto" w:fill="FFFFFF"/>
            <w:noWrap/>
            <w:vAlign w:val="bottom"/>
            <w:hideMark/>
          </w:tcPr>
          <w:p w14:paraId="7B4B3488" w14:textId="77777777" w:rsidR="00944322" w:rsidRPr="007C1E37" w:rsidRDefault="00944322" w:rsidP="009C2296">
            <w:pPr>
              <w:spacing w:after="0" w:line="240" w:lineRule="auto"/>
              <w:rPr>
                <w:rFonts w:ascii="Aptos Narrow" w:hAnsi="Aptos Narrow"/>
                <w:color w:val="000000"/>
                <w:sz w:val="16"/>
                <w:szCs w:val="16"/>
                <w:lang w:eastAsia="en-AU"/>
              </w:rPr>
            </w:pPr>
            <w:r w:rsidRPr="007C1E37">
              <w:rPr>
                <w:rFonts w:ascii="Aptos Narrow" w:hAnsi="Aptos Narrow"/>
                <w:color w:val="000000" w:themeColor="accent6"/>
                <w:sz w:val="16"/>
                <w:szCs w:val="16"/>
                <w:lang w:eastAsia="en-AU"/>
              </w:rPr>
              <w:t>MBS</w:t>
            </w:r>
          </w:p>
        </w:tc>
        <w:tc>
          <w:tcPr>
            <w:tcW w:w="737" w:type="dxa"/>
            <w:shd w:val="clear" w:color="auto" w:fill="FFFFFF"/>
            <w:noWrap/>
            <w:vAlign w:val="bottom"/>
            <w:hideMark/>
          </w:tcPr>
          <w:p w14:paraId="0F2B4B62"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$58.0</w:t>
            </w:r>
          </w:p>
        </w:tc>
        <w:tc>
          <w:tcPr>
            <w:tcW w:w="737" w:type="dxa"/>
            <w:shd w:val="clear" w:color="auto" w:fill="FFFFFF"/>
            <w:noWrap/>
            <w:vAlign w:val="bottom"/>
            <w:hideMark/>
          </w:tcPr>
          <w:p w14:paraId="0AF79964"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$58.3</w:t>
            </w:r>
          </w:p>
        </w:tc>
        <w:tc>
          <w:tcPr>
            <w:tcW w:w="737" w:type="dxa"/>
            <w:shd w:val="clear" w:color="auto" w:fill="FFFFFF"/>
            <w:noWrap/>
            <w:vAlign w:val="bottom"/>
            <w:hideMark/>
          </w:tcPr>
          <w:p w14:paraId="57C439F0"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$88.3</w:t>
            </w:r>
          </w:p>
        </w:tc>
        <w:tc>
          <w:tcPr>
            <w:tcW w:w="794" w:type="dxa"/>
            <w:shd w:val="clear" w:color="auto" w:fill="FFFFFF"/>
            <w:noWrap/>
            <w:vAlign w:val="bottom"/>
            <w:hideMark/>
          </w:tcPr>
          <w:p w14:paraId="1DEF9743"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29.9</w:t>
            </w:r>
          </w:p>
        </w:tc>
        <w:tc>
          <w:tcPr>
            <w:tcW w:w="794" w:type="dxa"/>
            <w:shd w:val="clear" w:color="auto" w:fill="FFFFFF"/>
            <w:noWrap/>
            <w:vAlign w:val="bottom"/>
            <w:hideMark/>
          </w:tcPr>
          <w:p w14:paraId="0B8AAE79"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30.0</w:t>
            </w:r>
          </w:p>
        </w:tc>
        <w:tc>
          <w:tcPr>
            <w:tcW w:w="794" w:type="dxa"/>
            <w:shd w:val="clear" w:color="auto" w:fill="FFFFFF"/>
            <w:noWrap/>
            <w:vAlign w:val="bottom"/>
            <w:hideMark/>
          </w:tcPr>
          <w:p w14:paraId="62541638"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37.6</w:t>
            </w:r>
          </w:p>
        </w:tc>
        <w:tc>
          <w:tcPr>
            <w:tcW w:w="680" w:type="dxa"/>
            <w:shd w:val="clear" w:color="auto" w:fill="FFFFFF"/>
            <w:noWrap/>
            <w:vAlign w:val="bottom"/>
            <w:hideMark/>
          </w:tcPr>
          <w:p w14:paraId="4EE5605F"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$116.3</w:t>
            </w:r>
          </w:p>
        </w:tc>
        <w:tc>
          <w:tcPr>
            <w:tcW w:w="737" w:type="dxa"/>
            <w:shd w:val="clear" w:color="auto" w:fill="FFFFFF"/>
            <w:noWrap/>
            <w:vAlign w:val="bottom"/>
            <w:hideMark/>
          </w:tcPr>
          <w:p w14:paraId="50AF0A48"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$116.6</w:t>
            </w:r>
          </w:p>
        </w:tc>
        <w:tc>
          <w:tcPr>
            <w:tcW w:w="680" w:type="dxa"/>
            <w:shd w:val="clear" w:color="auto" w:fill="FFFFFF"/>
            <w:noWrap/>
            <w:vAlign w:val="bottom"/>
            <w:hideMark/>
          </w:tcPr>
          <w:p w14:paraId="662A49F7"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$141.1</w:t>
            </w:r>
          </w:p>
        </w:tc>
        <w:tc>
          <w:tcPr>
            <w:tcW w:w="794" w:type="dxa"/>
            <w:shd w:val="clear" w:color="auto" w:fill="FFFFFF"/>
            <w:noWrap/>
            <w:vAlign w:val="bottom"/>
            <w:hideMark/>
          </w:tcPr>
          <w:p w14:paraId="7F647273"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$193.99</w:t>
            </w:r>
          </w:p>
        </w:tc>
      </w:tr>
      <w:tr w:rsidR="00BD68CD" w:rsidRPr="007C1E37" w14:paraId="36968C80" w14:textId="77777777" w:rsidTr="00BD68CD">
        <w:trPr>
          <w:trHeight w:val="369"/>
        </w:trPr>
        <w:tc>
          <w:tcPr>
            <w:tcW w:w="1304" w:type="dxa"/>
            <w:vMerge w:val="restart"/>
            <w:shd w:val="clear" w:color="auto" w:fill="FFFFFF"/>
            <w:vAlign w:val="center"/>
            <w:hideMark/>
          </w:tcPr>
          <w:p w14:paraId="2FA96C7A" w14:textId="77777777" w:rsidR="00944322" w:rsidRPr="007C1E37" w:rsidRDefault="00944322" w:rsidP="009C2296">
            <w:pPr>
              <w:spacing w:after="0" w:line="240" w:lineRule="auto"/>
              <w:rPr>
                <w:rFonts w:ascii="Aptos Narrow" w:hAnsi="Aptos Narrow"/>
                <w:color w:val="000000"/>
                <w:sz w:val="16"/>
                <w:szCs w:val="16"/>
                <w:lang w:eastAsia="en-AU"/>
              </w:rPr>
            </w:pPr>
            <w:r w:rsidRPr="007C1E37">
              <w:rPr>
                <w:rFonts w:ascii="Aptos Narrow" w:hAnsi="Aptos Narrow"/>
                <w:color w:val="000000" w:themeColor="accent6"/>
                <w:sz w:val="16"/>
                <w:szCs w:val="16"/>
                <w:lang w:eastAsia="en-AU"/>
              </w:rPr>
              <w:t>Podiatry</w:t>
            </w:r>
          </w:p>
        </w:tc>
        <w:tc>
          <w:tcPr>
            <w:tcW w:w="683" w:type="dxa"/>
            <w:shd w:val="clear" w:color="auto" w:fill="FFFFFF"/>
            <w:noWrap/>
            <w:vAlign w:val="bottom"/>
            <w:hideMark/>
          </w:tcPr>
          <w:p w14:paraId="11B3632F" w14:textId="77777777" w:rsidR="00944322" w:rsidRPr="007C1E37" w:rsidRDefault="00944322" w:rsidP="009C2296">
            <w:pPr>
              <w:spacing w:after="0" w:line="240" w:lineRule="auto"/>
              <w:rPr>
                <w:rFonts w:ascii="Aptos Narrow" w:hAnsi="Aptos Narrow"/>
                <w:color w:val="000000"/>
                <w:sz w:val="16"/>
                <w:szCs w:val="16"/>
                <w:lang w:eastAsia="en-AU"/>
              </w:rPr>
            </w:pPr>
            <w:r w:rsidRPr="007C1E37">
              <w:rPr>
                <w:rFonts w:ascii="Aptos Narrow" w:hAnsi="Aptos Narrow"/>
                <w:color w:val="000000" w:themeColor="accent6"/>
                <w:sz w:val="16"/>
                <w:szCs w:val="16"/>
                <w:lang w:eastAsia="en-AU"/>
              </w:rPr>
              <w:t>PHI</w:t>
            </w:r>
          </w:p>
        </w:tc>
        <w:tc>
          <w:tcPr>
            <w:tcW w:w="737" w:type="dxa"/>
            <w:shd w:val="clear" w:color="auto" w:fill="FFFFFF"/>
            <w:noWrap/>
            <w:vAlign w:val="bottom"/>
            <w:hideMark/>
          </w:tcPr>
          <w:p w14:paraId="29F0B3E7"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$80.0</w:t>
            </w:r>
          </w:p>
        </w:tc>
        <w:tc>
          <w:tcPr>
            <w:tcW w:w="737" w:type="dxa"/>
            <w:shd w:val="clear" w:color="auto" w:fill="FFFFFF"/>
            <w:noWrap/>
            <w:vAlign w:val="bottom"/>
            <w:hideMark/>
          </w:tcPr>
          <w:p w14:paraId="123276BE"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$89.0</w:t>
            </w:r>
          </w:p>
        </w:tc>
        <w:tc>
          <w:tcPr>
            <w:tcW w:w="737" w:type="dxa"/>
            <w:shd w:val="clear" w:color="auto" w:fill="FFFFFF"/>
            <w:noWrap/>
            <w:vAlign w:val="bottom"/>
            <w:hideMark/>
          </w:tcPr>
          <w:p w14:paraId="350217FD"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$102.0</w:t>
            </w:r>
          </w:p>
        </w:tc>
        <w:tc>
          <w:tcPr>
            <w:tcW w:w="794" w:type="dxa"/>
            <w:shd w:val="clear" w:color="auto" w:fill="FFFFFF"/>
            <w:noWrap/>
            <w:vAlign w:val="bottom"/>
            <w:hideMark/>
          </w:tcPr>
          <w:p w14:paraId="2C5F0AE5"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27.7</w:t>
            </w:r>
          </w:p>
        </w:tc>
        <w:tc>
          <w:tcPr>
            <w:tcW w:w="794" w:type="dxa"/>
            <w:shd w:val="clear" w:color="auto" w:fill="FFFFFF"/>
            <w:noWrap/>
            <w:vAlign w:val="bottom"/>
            <w:hideMark/>
          </w:tcPr>
          <w:p w14:paraId="5531BFB1"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30.0</w:t>
            </w:r>
          </w:p>
        </w:tc>
        <w:tc>
          <w:tcPr>
            <w:tcW w:w="794" w:type="dxa"/>
            <w:shd w:val="clear" w:color="auto" w:fill="FFFFFF"/>
            <w:noWrap/>
            <w:vAlign w:val="bottom"/>
            <w:hideMark/>
          </w:tcPr>
          <w:p w14:paraId="7093D498"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33.4</w:t>
            </w:r>
          </w:p>
        </w:tc>
        <w:tc>
          <w:tcPr>
            <w:tcW w:w="680" w:type="dxa"/>
            <w:shd w:val="clear" w:color="auto" w:fill="FFFFFF"/>
            <w:noWrap/>
            <w:vAlign w:val="bottom"/>
            <w:hideMark/>
          </w:tcPr>
          <w:p w14:paraId="724FCF9D"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$173.5</w:t>
            </w:r>
          </w:p>
        </w:tc>
        <w:tc>
          <w:tcPr>
            <w:tcW w:w="737" w:type="dxa"/>
            <w:shd w:val="clear" w:color="auto" w:fill="FFFFFF"/>
            <w:noWrap/>
            <w:vAlign w:val="bottom"/>
            <w:hideMark/>
          </w:tcPr>
          <w:p w14:paraId="7ADCB8BC"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$178.0</w:t>
            </w:r>
          </w:p>
        </w:tc>
        <w:tc>
          <w:tcPr>
            <w:tcW w:w="680" w:type="dxa"/>
            <w:shd w:val="clear" w:color="auto" w:fill="FFFFFF"/>
            <w:noWrap/>
            <w:vAlign w:val="bottom"/>
            <w:hideMark/>
          </w:tcPr>
          <w:p w14:paraId="00A80A7F"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$183.4</w:t>
            </w:r>
          </w:p>
        </w:tc>
        <w:tc>
          <w:tcPr>
            <w:tcW w:w="794" w:type="dxa"/>
            <w:shd w:val="clear" w:color="auto" w:fill="FFFFFF"/>
            <w:noWrap/>
            <w:vAlign w:val="bottom"/>
            <w:hideMark/>
          </w:tcPr>
          <w:p w14:paraId="49A769E7"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$193.99</w:t>
            </w:r>
          </w:p>
        </w:tc>
      </w:tr>
      <w:tr w:rsidR="00BD68CD" w:rsidRPr="007C1E37" w14:paraId="1D0B37D6" w14:textId="77777777" w:rsidTr="00BD68CD">
        <w:trPr>
          <w:trHeight w:val="369"/>
        </w:trPr>
        <w:tc>
          <w:tcPr>
            <w:tcW w:w="1304" w:type="dxa"/>
            <w:vMerge/>
            <w:vAlign w:val="center"/>
            <w:hideMark/>
          </w:tcPr>
          <w:p w14:paraId="4898D7AD" w14:textId="77777777" w:rsidR="00944322" w:rsidRPr="007C1E37" w:rsidRDefault="00944322" w:rsidP="009C2296">
            <w:pPr>
              <w:spacing w:after="0" w:line="240" w:lineRule="auto"/>
              <w:rPr>
                <w:rFonts w:ascii="Aptos Narrow" w:hAnsi="Aptos Narrow"/>
                <w:color w:val="000000"/>
                <w:sz w:val="16"/>
                <w:szCs w:val="16"/>
                <w:lang w:eastAsia="en-AU"/>
              </w:rPr>
            </w:pPr>
          </w:p>
        </w:tc>
        <w:tc>
          <w:tcPr>
            <w:tcW w:w="683" w:type="dxa"/>
            <w:shd w:val="clear" w:color="auto" w:fill="FFFFFF"/>
            <w:noWrap/>
            <w:vAlign w:val="bottom"/>
            <w:hideMark/>
          </w:tcPr>
          <w:p w14:paraId="2A96E523" w14:textId="77777777" w:rsidR="00944322" w:rsidRPr="007C1E37" w:rsidRDefault="00944322" w:rsidP="009C2296">
            <w:pPr>
              <w:spacing w:after="0" w:line="240" w:lineRule="auto"/>
              <w:rPr>
                <w:rFonts w:ascii="Aptos Narrow" w:hAnsi="Aptos Narrow"/>
                <w:color w:val="000000"/>
                <w:sz w:val="16"/>
                <w:szCs w:val="16"/>
                <w:lang w:eastAsia="en-AU"/>
              </w:rPr>
            </w:pPr>
            <w:r w:rsidRPr="007C1E37">
              <w:rPr>
                <w:rFonts w:ascii="Aptos Narrow" w:hAnsi="Aptos Narrow"/>
                <w:color w:val="000000" w:themeColor="accent6"/>
                <w:sz w:val="16"/>
                <w:szCs w:val="16"/>
                <w:lang w:eastAsia="en-AU"/>
              </w:rPr>
              <w:t>MBS</w:t>
            </w:r>
          </w:p>
        </w:tc>
        <w:tc>
          <w:tcPr>
            <w:tcW w:w="737" w:type="dxa"/>
            <w:shd w:val="clear" w:color="auto" w:fill="FFFFFF"/>
            <w:noWrap/>
            <w:vAlign w:val="bottom"/>
            <w:hideMark/>
          </w:tcPr>
          <w:p w14:paraId="79E128A8"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$58.0</w:t>
            </w:r>
          </w:p>
        </w:tc>
        <w:tc>
          <w:tcPr>
            <w:tcW w:w="737" w:type="dxa"/>
            <w:shd w:val="clear" w:color="auto" w:fill="FFFFFF"/>
            <w:noWrap/>
            <w:vAlign w:val="bottom"/>
            <w:hideMark/>
          </w:tcPr>
          <w:p w14:paraId="4DE1B708"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$58.3</w:t>
            </w:r>
          </w:p>
        </w:tc>
        <w:tc>
          <w:tcPr>
            <w:tcW w:w="737" w:type="dxa"/>
            <w:shd w:val="clear" w:color="auto" w:fill="FFFFFF"/>
            <w:noWrap/>
            <w:vAlign w:val="bottom"/>
            <w:hideMark/>
          </w:tcPr>
          <w:p w14:paraId="67378D70"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$75.0</w:t>
            </w:r>
          </w:p>
        </w:tc>
        <w:tc>
          <w:tcPr>
            <w:tcW w:w="794" w:type="dxa"/>
            <w:shd w:val="clear" w:color="auto" w:fill="FFFFFF"/>
            <w:noWrap/>
            <w:vAlign w:val="bottom"/>
            <w:hideMark/>
          </w:tcPr>
          <w:p w14:paraId="5939F23B"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29.9</w:t>
            </w:r>
          </w:p>
        </w:tc>
        <w:tc>
          <w:tcPr>
            <w:tcW w:w="794" w:type="dxa"/>
            <w:shd w:val="clear" w:color="auto" w:fill="FFFFFF"/>
            <w:noWrap/>
            <w:vAlign w:val="bottom"/>
            <w:hideMark/>
          </w:tcPr>
          <w:p w14:paraId="1F0E9488"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30.0</w:t>
            </w:r>
          </w:p>
        </w:tc>
        <w:tc>
          <w:tcPr>
            <w:tcW w:w="794" w:type="dxa"/>
            <w:shd w:val="clear" w:color="auto" w:fill="FFFFFF"/>
            <w:noWrap/>
            <w:vAlign w:val="bottom"/>
            <w:hideMark/>
          </w:tcPr>
          <w:p w14:paraId="0D64E9BF"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34.3</w:t>
            </w:r>
          </w:p>
        </w:tc>
        <w:tc>
          <w:tcPr>
            <w:tcW w:w="680" w:type="dxa"/>
            <w:shd w:val="clear" w:color="auto" w:fill="FFFFFF"/>
            <w:noWrap/>
            <w:vAlign w:val="bottom"/>
            <w:hideMark/>
          </w:tcPr>
          <w:p w14:paraId="7367EAAC"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$116.3</w:t>
            </w:r>
          </w:p>
        </w:tc>
        <w:tc>
          <w:tcPr>
            <w:tcW w:w="737" w:type="dxa"/>
            <w:shd w:val="clear" w:color="auto" w:fill="FFFFFF"/>
            <w:noWrap/>
            <w:vAlign w:val="bottom"/>
            <w:hideMark/>
          </w:tcPr>
          <w:p w14:paraId="74A2C1B7"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$116.6</w:t>
            </w:r>
          </w:p>
        </w:tc>
        <w:tc>
          <w:tcPr>
            <w:tcW w:w="680" w:type="dxa"/>
            <w:shd w:val="clear" w:color="auto" w:fill="FFFFFF"/>
            <w:noWrap/>
            <w:vAlign w:val="bottom"/>
            <w:hideMark/>
          </w:tcPr>
          <w:p w14:paraId="22EE85CA"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$131.1</w:t>
            </w:r>
          </w:p>
        </w:tc>
        <w:tc>
          <w:tcPr>
            <w:tcW w:w="794" w:type="dxa"/>
            <w:shd w:val="clear" w:color="auto" w:fill="FFFFFF"/>
            <w:noWrap/>
            <w:vAlign w:val="bottom"/>
            <w:hideMark/>
          </w:tcPr>
          <w:p w14:paraId="338F570C"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$193.99</w:t>
            </w:r>
          </w:p>
        </w:tc>
      </w:tr>
      <w:tr w:rsidR="00BD68CD" w:rsidRPr="007C1E37" w14:paraId="2468B2ED" w14:textId="77777777" w:rsidTr="00BD68CD">
        <w:trPr>
          <w:trHeight w:val="369"/>
        </w:trPr>
        <w:tc>
          <w:tcPr>
            <w:tcW w:w="1304" w:type="dxa"/>
            <w:vMerge w:val="restart"/>
            <w:shd w:val="clear" w:color="auto" w:fill="FFFFFF"/>
            <w:vAlign w:val="center"/>
            <w:hideMark/>
          </w:tcPr>
          <w:p w14:paraId="5269C35D" w14:textId="77777777" w:rsidR="00944322" w:rsidRPr="007C1E37" w:rsidRDefault="00944322" w:rsidP="009C2296">
            <w:pPr>
              <w:spacing w:after="0" w:line="240" w:lineRule="auto"/>
              <w:rPr>
                <w:rFonts w:ascii="Aptos Narrow" w:hAnsi="Aptos Narrow"/>
                <w:color w:val="000000"/>
                <w:sz w:val="16"/>
                <w:szCs w:val="16"/>
                <w:lang w:eastAsia="en-AU"/>
              </w:rPr>
            </w:pPr>
            <w:r w:rsidRPr="007C1E37">
              <w:rPr>
                <w:rFonts w:ascii="Aptos Narrow" w:hAnsi="Aptos Narrow"/>
                <w:color w:val="000000" w:themeColor="accent6"/>
                <w:sz w:val="16"/>
                <w:szCs w:val="16"/>
                <w:lang w:eastAsia="en-AU"/>
              </w:rPr>
              <w:t>Physiotherapy (WA/SA/NT/Tas)</w:t>
            </w:r>
          </w:p>
        </w:tc>
        <w:tc>
          <w:tcPr>
            <w:tcW w:w="683" w:type="dxa"/>
            <w:shd w:val="clear" w:color="auto" w:fill="FFFFFF"/>
            <w:noWrap/>
            <w:vAlign w:val="bottom"/>
            <w:hideMark/>
          </w:tcPr>
          <w:p w14:paraId="3E78B096" w14:textId="77777777" w:rsidR="00944322" w:rsidRPr="007C1E37" w:rsidRDefault="00944322" w:rsidP="009C2296">
            <w:pPr>
              <w:spacing w:after="0" w:line="240" w:lineRule="auto"/>
              <w:rPr>
                <w:rFonts w:ascii="Aptos Narrow" w:hAnsi="Aptos Narrow"/>
                <w:color w:val="000000"/>
                <w:sz w:val="16"/>
                <w:szCs w:val="16"/>
                <w:lang w:eastAsia="en-AU"/>
              </w:rPr>
            </w:pPr>
            <w:r w:rsidRPr="007C1E37">
              <w:rPr>
                <w:rFonts w:ascii="Aptos Narrow" w:hAnsi="Aptos Narrow"/>
                <w:color w:val="000000" w:themeColor="accent6"/>
                <w:sz w:val="16"/>
                <w:szCs w:val="16"/>
                <w:lang w:eastAsia="en-AU"/>
              </w:rPr>
              <w:t>PHI</w:t>
            </w:r>
          </w:p>
        </w:tc>
        <w:tc>
          <w:tcPr>
            <w:tcW w:w="737" w:type="dxa"/>
            <w:shd w:val="clear" w:color="auto" w:fill="FFFFFF"/>
            <w:noWrap/>
            <w:vAlign w:val="bottom"/>
            <w:hideMark/>
          </w:tcPr>
          <w:p w14:paraId="371B3040"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$78.0</w:t>
            </w:r>
          </w:p>
        </w:tc>
        <w:tc>
          <w:tcPr>
            <w:tcW w:w="737" w:type="dxa"/>
            <w:shd w:val="clear" w:color="auto" w:fill="FFFFFF"/>
            <w:noWrap/>
            <w:vAlign w:val="bottom"/>
            <w:hideMark/>
          </w:tcPr>
          <w:p w14:paraId="2916E536"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$90.0</w:t>
            </w:r>
          </w:p>
        </w:tc>
        <w:tc>
          <w:tcPr>
            <w:tcW w:w="737" w:type="dxa"/>
            <w:shd w:val="clear" w:color="auto" w:fill="FFFFFF"/>
            <w:noWrap/>
            <w:vAlign w:val="bottom"/>
            <w:hideMark/>
          </w:tcPr>
          <w:p w14:paraId="6E6419E9"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$104.0</w:t>
            </w:r>
          </w:p>
        </w:tc>
        <w:tc>
          <w:tcPr>
            <w:tcW w:w="794" w:type="dxa"/>
            <w:shd w:val="clear" w:color="auto" w:fill="FFFFFF"/>
            <w:noWrap/>
            <w:vAlign w:val="bottom"/>
            <w:hideMark/>
          </w:tcPr>
          <w:p w14:paraId="114302EC"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43.5</w:t>
            </w:r>
          </w:p>
        </w:tc>
        <w:tc>
          <w:tcPr>
            <w:tcW w:w="794" w:type="dxa"/>
            <w:shd w:val="clear" w:color="auto" w:fill="FFFFFF"/>
            <w:noWrap/>
            <w:vAlign w:val="bottom"/>
            <w:hideMark/>
          </w:tcPr>
          <w:p w14:paraId="52D3D433"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45.0</w:t>
            </w:r>
          </w:p>
        </w:tc>
        <w:tc>
          <w:tcPr>
            <w:tcW w:w="794" w:type="dxa"/>
            <w:shd w:val="clear" w:color="auto" w:fill="FFFFFF"/>
            <w:noWrap/>
            <w:vAlign w:val="bottom"/>
            <w:hideMark/>
          </w:tcPr>
          <w:p w14:paraId="238098C6"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46.8</w:t>
            </w:r>
          </w:p>
        </w:tc>
        <w:tc>
          <w:tcPr>
            <w:tcW w:w="680" w:type="dxa"/>
            <w:shd w:val="clear" w:color="auto" w:fill="FFFFFF"/>
            <w:noWrap/>
            <w:vAlign w:val="bottom"/>
            <w:hideMark/>
          </w:tcPr>
          <w:p w14:paraId="17719B28"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$107.6</w:t>
            </w:r>
          </w:p>
        </w:tc>
        <w:tc>
          <w:tcPr>
            <w:tcW w:w="737" w:type="dxa"/>
            <w:shd w:val="clear" w:color="auto" w:fill="FFFFFF"/>
            <w:noWrap/>
            <w:vAlign w:val="bottom"/>
            <w:hideMark/>
          </w:tcPr>
          <w:p w14:paraId="7C59FBFC"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$120.0</w:t>
            </w:r>
          </w:p>
        </w:tc>
        <w:tc>
          <w:tcPr>
            <w:tcW w:w="680" w:type="dxa"/>
            <w:shd w:val="clear" w:color="auto" w:fill="FFFFFF"/>
            <w:noWrap/>
            <w:vAlign w:val="bottom"/>
            <w:hideMark/>
          </w:tcPr>
          <w:p w14:paraId="2324E411"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$133.4</w:t>
            </w:r>
          </w:p>
        </w:tc>
        <w:tc>
          <w:tcPr>
            <w:tcW w:w="794" w:type="dxa"/>
            <w:shd w:val="clear" w:color="auto" w:fill="FFFFFF"/>
            <w:noWrap/>
            <w:vAlign w:val="bottom"/>
            <w:hideMark/>
          </w:tcPr>
          <w:p w14:paraId="594E1AD8"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$224.62</w:t>
            </w:r>
          </w:p>
        </w:tc>
      </w:tr>
      <w:tr w:rsidR="00BD68CD" w:rsidRPr="007C1E37" w14:paraId="28E8F481" w14:textId="77777777" w:rsidTr="00BD68CD">
        <w:trPr>
          <w:trHeight w:val="369"/>
        </w:trPr>
        <w:tc>
          <w:tcPr>
            <w:tcW w:w="1304" w:type="dxa"/>
            <w:vMerge/>
            <w:vAlign w:val="center"/>
            <w:hideMark/>
          </w:tcPr>
          <w:p w14:paraId="5FA4FB7F" w14:textId="77777777" w:rsidR="00944322" w:rsidRPr="007C1E37" w:rsidRDefault="00944322" w:rsidP="009C2296">
            <w:pPr>
              <w:spacing w:after="0" w:line="240" w:lineRule="auto"/>
              <w:rPr>
                <w:rFonts w:ascii="Aptos Narrow" w:hAnsi="Aptos Narrow"/>
                <w:color w:val="000000"/>
                <w:sz w:val="16"/>
                <w:szCs w:val="16"/>
                <w:lang w:eastAsia="en-AU"/>
              </w:rPr>
            </w:pPr>
          </w:p>
        </w:tc>
        <w:tc>
          <w:tcPr>
            <w:tcW w:w="683" w:type="dxa"/>
            <w:shd w:val="clear" w:color="auto" w:fill="FFFFFF"/>
            <w:noWrap/>
            <w:vAlign w:val="bottom"/>
            <w:hideMark/>
          </w:tcPr>
          <w:p w14:paraId="57512954" w14:textId="77777777" w:rsidR="00944322" w:rsidRPr="007C1E37" w:rsidRDefault="00944322" w:rsidP="009C2296">
            <w:pPr>
              <w:spacing w:after="0" w:line="240" w:lineRule="auto"/>
              <w:rPr>
                <w:rFonts w:ascii="Aptos Narrow" w:hAnsi="Aptos Narrow"/>
                <w:color w:val="000000"/>
                <w:sz w:val="16"/>
                <w:szCs w:val="16"/>
                <w:lang w:eastAsia="en-AU"/>
              </w:rPr>
            </w:pPr>
            <w:r w:rsidRPr="007C1E37">
              <w:rPr>
                <w:rFonts w:ascii="Aptos Narrow" w:hAnsi="Aptos Narrow"/>
                <w:color w:val="000000" w:themeColor="accent6"/>
                <w:sz w:val="16"/>
                <w:szCs w:val="16"/>
                <w:lang w:eastAsia="en-AU"/>
              </w:rPr>
              <w:t>MBS</w:t>
            </w:r>
          </w:p>
        </w:tc>
        <w:tc>
          <w:tcPr>
            <w:tcW w:w="737" w:type="dxa"/>
            <w:shd w:val="clear" w:color="auto" w:fill="FFFFFF"/>
            <w:noWrap/>
            <w:vAlign w:val="bottom"/>
            <w:hideMark/>
          </w:tcPr>
          <w:p w14:paraId="5FAB4E76"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$58.3</w:t>
            </w:r>
          </w:p>
        </w:tc>
        <w:tc>
          <w:tcPr>
            <w:tcW w:w="737" w:type="dxa"/>
            <w:shd w:val="clear" w:color="auto" w:fill="FFFFFF"/>
            <w:noWrap/>
            <w:vAlign w:val="bottom"/>
            <w:hideMark/>
          </w:tcPr>
          <w:p w14:paraId="49EDE1A1"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$58.3</w:t>
            </w:r>
          </w:p>
        </w:tc>
        <w:tc>
          <w:tcPr>
            <w:tcW w:w="737" w:type="dxa"/>
            <w:shd w:val="clear" w:color="auto" w:fill="FFFFFF"/>
            <w:noWrap/>
            <w:vAlign w:val="bottom"/>
            <w:hideMark/>
          </w:tcPr>
          <w:p w14:paraId="45F5B262"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$79.0</w:t>
            </w:r>
          </w:p>
        </w:tc>
        <w:tc>
          <w:tcPr>
            <w:tcW w:w="794" w:type="dxa"/>
            <w:shd w:val="clear" w:color="auto" w:fill="FFFFFF"/>
            <w:noWrap/>
            <w:vAlign w:val="bottom"/>
            <w:hideMark/>
          </w:tcPr>
          <w:p w14:paraId="7DC92BB8"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30.0</w:t>
            </w:r>
          </w:p>
        </w:tc>
        <w:tc>
          <w:tcPr>
            <w:tcW w:w="794" w:type="dxa"/>
            <w:shd w:val="clear" w:color="auto" w:fill="FFFFFF"/>
            <w:noWrap/>
            <w:vAlign w:val="bottom"/>
            <w:hideMark/>
          </w:tcPr>
          <w:p w14:paraId="299F350B"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30.0</w:t>
            </w:r>
          </w:p>
        </w:tc>
        <w:tc>
          <w:tcPr>
            <w:tcW w:w="794" w:type="dxa"/>
            <w:shd w:val="clear" w:color="auto" w:fill="FFFFFF"/>
            <w:noWrap/>
            <w:vAlign w:val="bottom"/>
            <w:hideMark/>
          </w:tcPr>
          <w:p w14:paraId="5BC2C2EF"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32.6</w:t>
            </w:r>
          </w:p>
        </w:tc>
        <w:tc>
          <w:tcPr>
            <w:tcW w:w="680" w:type="dxa"/>
            <w:shd w:val="clear" w:color="auto" w:fill="FFFFFF"/>
            <w:noWrap/>
            <w:vAlign w:val="bottom"/>
            <w:hideMark/>
          </w:tcPr>
          <w:p w14:paraId="59BD1FCB"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$116.6</w:t>
            </w:r>
          </w:p>
        </w:tc>
        <w:tc>
          <w:tcPr>
            <w:tcW w:w="737" w:type="dxa"/>
            <w:shd w:val="clear" w:color="auto" w:fill="FFFFFF"/>
            <w:noWrap/>
            <w:vAlign w:val="bottom"/>
            <w:hideMark/>
          </w:tcPr>
          <w:p w14:paraId="477987D6"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$116.6</w:t>
            </w:r>
          </w:p>
        </w:tc>
        <w:tc>
          <w:tcPr>
            <w:tcW w:w="680" w:type="dxa"/>
            <w:shd w:val="clear" w:color="auto" w:fill="FFFFFF"/>
            <w:noWrap/>
            <w:vAlign w:val="bottom"/>
            <w:hideMark/>
          </w:tcPr>
          <w:p w14:paraId="1C5CF576"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$145.3</w:t>
            </w:r>
          </w:p>
        </w:tc>
        <w:tc>
          <w:tcPr>
            <w:tcW w:w="794" w:type="dxa"/>
            <w:shd w:val="clear" w:color="auto" w:fill="FFFFFF"/>
            <w:noWrap/>
            <w:vAlign w:val="bottom"/>
            <w:hideMark/>
          </w:tcPr>
          <w:p w14:paraId="354165BE"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$224.62</w:t>
            </w:r>
          </w:p>
        </w:tc>
      </w:tr>
      <w:tr w:rsidR="00BD68CD" w:rsidRPr="007C1E37" w14:paraId="0DE100FC" w14:textId="77777777" w:rsidTr="00BD68CD">
        <w:trPr>
          <w:trHeight w:val="369"/>
        </w:trPr>
        <w:tc>
          <w:tcPr>
            <w:tcW w:w="1304" w:type="dxa"/>
            <w:vMerge w:val="restart"/>
            <w:shd w:val="clear" w:color="auto" w:fill="FFFFFF"/>
            <w:vAlign w:val="center"/>
            <w:hideMark/>
          </w:tcPr>
          <w:p w14:paraId="0BF8C179" w14:textId="77777777" w:rsidR="00944322" w:rsidRPr="007C1E37" w:rsidRDefault="00944322" w:rsidP="009C2296">
            <w:pPr>
              <w:spacing w:after="0" w:line="240" w:lineRule="auto"/>
              <w:rPr>
                <w:rFonts w:ascii="Aptos Narrow" w:hAnsi="Aptos Narrow"/>
                <w:color w:val="000000"/>
                <w:sz w:val="16"/>
                <w:szCs w:val="16"/>
                <w:lang w:eastAsia="en-AU"/>
              </w:rPr>
            </w:pPr>
            <w:r w:rsidRPr="007C1E37">
              <w:rPr>
                <w:rFonts w:ascii="Aptos Narrow" w:hAnsi="Aptos Narrow"/>
                <w:color w:val="000000" w:themeColor="accent6"/>
                <w:sz w:val="16"/>
                <w:szCs w:val="16"/>
                <w:lang w:eastAsia="en-AU"/>
              </w:rPr>
              <w:t>Physiotherapy (NSW/VIC/QLD/ACT)</w:t>
            </w:r>
          </w:p>
        </w:tc>
        <w:tc>
          <w:tcPr>
            <w:tcW w:w="683" w:type="dxa"/>
            <w:shd w:val="clear" w:color="auto" w:fill="FFFFFF"/>
            <w:noWrap/>
            <w:vAlign w:val="bottom"/>
            <w:hideMark/>
          </w:tcPr>
          <w:p w14:paraId="6122F2CE" w14:textId="77777777" w:rsidR="00944322" w:rsidRPr="007C1E37" w:rsidRDefault="00944322" w:rsidP="009C2296">
            <w:pPr>
              <w:spacing w:after="0" w:line="240" w:lineRule="auto"/>
              <w:rPr>
                <w:rFonts w:ascii="Aptos Narrow" w:hAnsi="Aptos Narrow"/>
                <w:color w:val="000000"/>
                <w:sz w:val="16"/>
                <w:szCs w:val="16"/>
                <w:lang w:eastAsia="en-AU"/>
              </w:rPr>
            </w:pPr>
            <w:r w:rsidRPr="007C1E37">
              <w:rPr>
                <w:rFonts w:ascii="Aptos Narrow" w:hAnsi="Aptos Narrow"/>
                <w:color w:val="000000" w:themeColor="accent6"/>
                <w:sz w:val="16"/>
                <w:szCs w:val="16"/>
                <w:lang w:eastAsia="en-AU"/>
              </w:rPr>
              <w:t>PHI</w:t>
            </w:r>
          </w:p>
        </w:tc>
        <w:tc>
          <w:tcPr>
            <w:tcW w:w="737" w:type="dxa"/>
            <w:shd w:val="clear" w:color="auto" w:fill="FFFFFF"/>
            <w:noWrap/>
            <w:vAlign w:val="bottom"/>
            <w:hideMark/>
          </w:tcPr>
          <w:p w14:paraId="14C9BD5A"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$88.0</w:t>
            </w:r>
          </w:p>
        </w:tc>
        <w:tc>
          <w:tcPr>
            <w:tcW w:w="737" w:type="dxa"/>
            <w:shd w:val="clear" w:color="auto" w:fill="FFFFFF"/>
            <w:noWrap/>
            <w:vAlign w:val="bottom"/>
            <w:hideMark/>
          </w:tcPr>
          <w:p w14:paraId="1A71EA7B"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$102.0</w:t>
            </w:r>
          </w:p>
        </w:tc>
        <w:tc>
          <w:tcPr>
            <w:tcW w:w="737" w:type="dxa"/>
            <w:shd w:val="clear" w:color="auto" w:fill="FFFFFF"/>
            <w:noWrap/>
            <w:vAlign w:val="bottom"/>
            <w:hideMark/>
          </w:tcPr>
          <w:p w14:paraId="1F3D40C9"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$118.0</w:t>
            </w:r>
          </w:p>
        </w:tc>
        <w:tc>
          <w:tcPr>
            <w:tcW w:w="794" w:type="dxa"/>
            <w:shd w:val="clear" w:color="auto" w:fill="FFFFFF"/>
            <w:noWrap/>
            <w:vAlign w:val="bottom"/>
            <w:hideMark/>
          </w:tcPr>
          <w:p w14:paraId="0BEB192B"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43.2</w:t>
            </w:r>
          </w:p>
        </w:tc>
        <w:tc>
          <w:tcPr>
            <w:tcW w:w="794" w:type="dxa"/>
            <w:shd w:val="clear" w:color="auto" w:fill="FFFFFF"/>
            <w:noWrap/>
            <w:vAlign w:val="bottom"/>
            <w:hideMark/>
          </w:tcPr>
          <w:p w14:paraId="5531384C"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45.0</w:t>
            </w:r>
          </w:p>
        </w:tc>
        <w:tc>
          <w:tcPr>
            <w:tcW w:w="794" w:type="dxa"/>
            <w:shd w:val="clear" w:color="auto" w:fill="FFFFFF"/>
            <w:noWrap/>
            <w:vAlign w:val="bottom"/>
            <w:hideMark/>
          </w:tcPr>
          <w:p w14:paraId="5C49A5DB"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47.0</w:t>
            </w:r>
          </w:p>
        </w:tc>
        <w:tc>
          <w:tcPr>
            <w:tcW w:w="680" w:type="dxa"/>
            <w:shd w:val="clear" w:color="auto" w:fill="FFFFFF"/>
            <w:noWrap/>
            <w:vAlign w:val="bottom"/>
            <w:hideMark/>
          </w:tcPr>
          <w:p w14:paraId="106CB221"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$122.2</w:t>
            </w:r>
          </w:p>
        </w:tc>
        <w:tc>
          <w:tcPr>
            <w:tcW w:w="737" w:type="dxa"/>
            <w:shd w:val="clear" w:color="auto" w:fill="FFFFFF"/>
            <w:noWrap/>
            <w:vAlign w:val="bottom"/>
            <w:hideMark/>
          </w:tcPr>
          <w:p w14:paraId="34FA6139"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$136.0</w:t>
            </w:r>
          </w:p>
        </w:tc>
        <w:tc>
          <w:tcPr>
            <w:tcW w:w="680" w:type="dxa"/>
            <w:shd w:val="clear" w:color="auto" w:fill="FFFFFF"/>
            <w:noWrap/>
            <w:vAlign w:val="bottom"/>
            <w:hideMark/>
          </w:tcPr>
          <w:p w14:paraId="04709B42"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$150.5</w:t>
            </w:r>
          </w:p>
        </w:tc>
        <w:tc>
          <w:tcPr>
            <w:tcW w:w="794" w:type="dxa"/>
            <w:shd w:val="clear" w:color="auto" w:fill="FFFFFF"/>
            <w:noWrap/>
            <w:vAlign w:val="bottom"/>
            <w:hideMark/>
          </w:tcPr>
          <w:p w14:paraId="6F00D464"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$193.99</w:t>
            </w:r>
          </w:p>
        </w:tc>
      </w:tr>
      <w:tr w:rsidR="00BD68CD" w:rsidRPr="007C1E37" w14:paraId="7327F982" w14:textId="77777777" w:rsidTr="00BD68CD">
        <w:trPr>
          <w:trHeight w:val="369"/>
        </w:trPr>
        <w:tc>
          <w:tcPr>
            <w:tcW w:w="1304" w:type="dxa"/>
            <w:vMerge/>
            <w:vAlign w:val="center"/>
            <w:hideMark/>
          </w:tcPr>
          <w:p w14:paraId="0BEF7261" w14:textId="77777777" w:rsidR="00944322" w:rsidRPr="007C1E37" w:rsidRDefault="00944322" w:rsidP="009C2296">
            <w:pPr>
              <w:spacing w:after="0" w:line="240" w:lineRule="auto"/>
              <w:rPr>
                <w:rFonts w:ascii="Aptos Narrow" w:hAnsi="Aptos Narrow"/>
                <w:color w:val="000000"/>
                <w:sz w:val="16"/>
                <w:szCs w:val="16"/>
                <w:lang w:eastAsia="en-AU"/>
              </w:rPr>
            </w:pPr>
          </w:p>
        </w:tc>
        <w:tc>
          <w:tcPr>
            <w:tcW w:w="683" w:type="dxa"/>
            <w:shd w:val="clear" w:color="auto" w:fill="FFFFFF"/>
            <w:noWrap/>
            <w:vAlign w:val="bottom"/>
            <w:hideMark/>
          </w:tcPr>
          <w:p w14:paraId="7C03BADE" w14:textId="77777777" w:rsidR="00944322" w:rsidRPr="007C1E37" w:rsidRDefault="00944322" w:rsidP="009C2296">
            <w:pPr>
              <w:spacing w:after="0" w:line="240" w:lineRule="auto"/>
              <w:rPr>
                <w:rFonts w:ascii="Aptos Narrow" w:hAnsi="Aptos Narrow"/>
                <w:color w:val="000000"/>
                <w:sz w:val="16"/>
                <w:szCs w:val="16"/>
                <w:lang w:eastAsia="en-AU"/>
              </w:rPr>
            </w:pPr>
            <w:r w:rsidRPr="007C1E37">
              <w:rPr>
                <w:rFonts w:ascii="Aptos Narrow" w:hAnsi="Aptos Narrow"/>
                <w:color w:val="000000" w:themeColor="accent6"/>
                <w:sz w:val="16"/>
                <w:szCs w:val="16"/>
                <w:lang w:eastAsia="en-AU"/>
              </w:rPr>
              <w:t>MBS</w:t>
            </w:r>
          </w:p>
        </w:tc>
        <w:tc>
          <w:tcPr>
            <w:tcW w:w="737" w:type="dxa"/>
            <w:shd w:val="clear" w:color="auto" w:fill="FFFFFF"/>
            <w:noWrap/>
            <w:vAlign w:val="bottom"/>
            <w:hideMark/>
          </w:tcPr>
          <w:p w14:paraId="3624C95D"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$58.3</w:t>
            </w:r>
          </w:p>
        </w:tc>
        <w:tc>
          <w:tcPr>
            <w:tcW w:w="737" w:type="dxa"/>
            <w:shd w:val="clear" w:color="auto" w:fill="FFFFFF"/>
            <w:noWrap/>
            <w:vAlign w:val="bottom"/>
            <w:hideMark/>
          </w:tcPr>
          <w:p w14:paraId="3C4DD239"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$58.3</w:t>
            </w:r>
          </w:p>
        </w:tc>
        <w:tc>
          <w:tcPr>
            <w:tcW w:w="737" w:type="dxa"/>
            <w:shd w:val="clear" w:color="auto" w:fill="FFFFFF"/>
            <w:noWrap/>
            <w:vAlign w:val="bottom"/>
            <w:hideMark/>
          </w:tcPr>
          <w:p w14:paraId="10869B98"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$90.0</w:t>
            </w:r>
          </w:p>
        </w:tc>
        <w:tc>
          <w:tcPr>
            <w:tcW w:w="794" w:type="dxa"/>
            <w:shd w:val="clear" w:color="auto" w:fill="FFFFFF"/>
            <w:noWrap/>
            <w:vAlign w:val="bottom"/>
            <w:hideMark/>
          </w:tcPr>
          <w:p w14:paraId="170BC341"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30.0</w:t>
            </w:r>
          </w:p>
        </w:tc>
        <w:tc>
          <w:tcPr>
            <w:tcW w:w="794" w:type="dxa"/>
            <w:shd w:val="clear" w:color="auto" w:fill="FFFFFF"/>
            <w:noWrap/>
            <w:vAlign w:val="bottom"/>
            <w:hideMark/>
          </w:tcPr>
          <w:p w14:paraId="394E4E75"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30.0</w:t>
            </w:r>
          </w:p>
        </w:tc>
        <w:tc>
          <w:tcPr>
            <w:tcW w:w="794" w:type="dxa"/>
            <w:shd w:val="clear" w:color="auto" w:fill="FFFFFF"/>
            <w:noWrap/>
            <w:vAlign w:val="bottom"/>
            <w:hideMark/>
          </w:tcPr>
          <w:p w14:paraId="0C24C10A"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34.0</w:t>
            </w:r>
          </w:p>
        </w:tc>
        <w:tc>
          <w:tcPr>
            <w:tcW w:w="680" w:type="dxa"/>
            <w:shd w:val="clear" w:color="auto" w:fill="FFFFFF"/>
            <w:noWrap/>
            <w:vAlign w:val="bottom"/>
            <w:hideMark/>
          </w:tcPr>
          <w:p w14:paraId="790E4AA3"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$116.6</w:t>
            </w:r>
          </w:p>
        </w:tc>
        <w:tc>
          <w:tcPr>
            <w:tcW w:w="737" w:type="dxa"/>
            <w:shd w:val="clear" w:color="auto" w:fill="FFFFFF"/>
            <w:noWrap/>
            <w:vAlign w:val="bottom"/>
            <w:hideMark/>
          </w:tcPr>
          <w:p w14:paraId="34523D49"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$116.6</w:t>
            </w:r>
          </w:p>
        </w:tc>
        <w:tc>
          <w:tcPr>
            <w:tcW w:w="680" w:type="dxa"/>
            <w:shd w:val="clear" w:color="auto" w:fill="FFFFFF"/>
            <w:noWrap/>
            <w:vAlign w:val="bottom"/>
            <w:hideMark/>
          </w:tcPr>
          <w:p w14:paraId="5205ECEA"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$158.7</w:t>
            </w:r>
          </w:p>
        </w:tc>
        <w:tc>
          <w:tcPr>
            <w:tcW w:w="794" w:type="dxa"/>
            <w:shd w:val="clear" w:color="auto" w:fill="FFFFFF"/>
            <w:noWrap/>
            <w:vAlign w:val="bottom"/>
            <w:hideMark/>
          </w:tcPr>
          <w:p w14:paraId="485EAD37"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$193.99</w:t>
            </w:r>
          </w:p>
        </w:tc>
      </w:tr>
      <w:tr w:rsidR="00BD68CD" w:rsidRPr="007C1E37" w14:paraId="2071DA40" w14:textId="77777777" w:rsidTr="00BD68CD">
        <w:trPr>
          <w:trHeight w:val="369"/>
        </w:trPr>
        <w:tc>
          <w:tcPr>
            <w:tcW w:w="1304" w:type="dxa"/>
            <w:vMerge w:val="restart"/>
            <w:shd w:val="clear" w:color="auto" w:fill="FFFFFF"/>
            <w:vAlign w:val="center"/>
            <w:hideMark/>
          </w:tcPr>
          <w:p w14:paraId="5F9BEAF5" w14:textId="77777777" w:rsidR="00944322" w:rsidRPr="007C1E37" w:rsidRDefault="00944322" w:rsidP="009C2296">
            <w:pPr>
              <w:spacing w:after="0" w:line="240" w:lineRule="auto"/>
              <w:rPr>
                <w:rFonts w:ascii="Aptos Narrow" w:hAnsi="Aptos Narrow"/>
                <w:color w:val="000000"/>
                <w:sz w:val="16"/>
                <w:szCs w:val="16"/>
                <w:lang w:eastAsia="en-AU"/>
              </w:rPr>
            </w:pPr>
            <w:r w:rsidRPr="007C1E37">
              <w:rPr>
                <w:rFonts w:ascii="Aptos Narrow" w:hAnsi="Aptos Narrow"/>
                <w:color w:val="000000" w:themeColor="accent6"/>
                <w:sz w:val="16"/>
                <w:szCs w:val="16"/>
                <w:lang w:eastAsia="en-AU"/>
              </w:rPr>
              <w:t>Exercise Physiology</w:t>
            </w:r>
          </w:p>
        </w:tc>
        <w:tc>
          <w:tcPr>
            <w:tcW w:w="683" w:type="dxa"/>
            <w:shd w:val="clear" w:color="auto" w:fill="FFFFFF"/>
            <w:noWrap/>
            <w:vAlign w:val="bottom"/>
            <w:hideMark/>
          </w:tcPr>
          <w:p w14:paraId="7B91A738" w14:textId="77777777" w:rsidR="00944322" w:rsidRPr="007C1E37" w:rsidRDefault="00944322" w:rsidP="009C2296">
            <w:pPr>
              <w:spacing w:after="0" w:line="240" w:lineRule="auto"/>
              <w:rPr>
                <w:rFonts w:ascii="Aptos Narrow" w:hAnsi="Aptos Narrow"/>
                <w:color w:val="000000"/>
                <w:sz w:val="16"/>
                <w:szCs w:val="16"/>
                <w:lang w:eastAsia="en-AU"/>
              </w:rPr>
            </w:pPr>
            <w:r w:rsidRPr="007C1E37">
              <w:rPr>
                <w:rFonts w:ascii="Aptos Narrow" w:hAnsi="Aptos Narrow"/>
                <w:color w:val="000000" w:themeColor="accent6"/>
                <w:sz w:val="16"/>
                <w:szCs w:val="16"/>
                <w:lang w:eastAsia="en-AU"/>
              </w:rPr>
              <w:t>PHI</w:t>
            </w:r>
          </w:p>
        </w:tc>
        <w:tc>
          <w:tcPr>
            <w:tcW w:w="737" w:type="dxa"/>
            <w:shd w:val="clear" w:color="auto" w:fill="FFFFFF"/>
            <w:noWrap/>
            <w:vAlign w:val="bottom"/>
            <w:hideMark/>
          </w:tcPr>
          <w:p w14:paraId="1DC916F7"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N/A</w:t>
            </w:r>
          </w:p>
        </w:tc>
        <w:tc>
          <w:tcPr>
            <w:tcW w:w="737" w:type="dxa"/>
            <w:shd w:val="clear" w:color="auto" w:fill="FFFFFF"/>
            <w:noWrap/>
            <w:vAlign w:val="bottom"/>
            <w:hideMark/>
          </w:tcPr>
          <w:p w14:paraId="4682D2E1"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N/A</w:t>
            </w:r>
          </w:p>
        </w:tc>
        <w:tc>
          <w:tcPr>
            <w:tcW w:w="737" w:type="dxa"/>
            <w:shd w:val="clear" w:color="auto" w:fill="FFFFFF"/>
            <w:noWrap/>
            <w:vAlign w:val="bottom"/>
            <w:hideMark/>
          </w:tcPr>
          <w:p w14:paraId="23E0D0B7"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N/A</w:t>
            </w:r>
          </w:p>
        </w:tc>
        <w:tc>
          <w:tcPr>
            <w:tcW w:w="794" w:type="dxa"/>
            <w:shd w:val="clear" w:color="auto" w:fill="FFFFFF"/>
            <w:noWrap/>
            <w:vAlign w:val="bottom"/>
            <w:hideMark/>
          </w:tcPr>
          <w:p w14:paraId="02B3C132"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N/A</w:t>
            </w:r>
          </w:p>
        </w:tc>
        <w:tc>
          <w:tcPr>
            <w:tcW w:w="794" w:type="dxa"/>
            <w:shd w:val="clear" w:color="auto" w:fill="FFFFFF"/>
            <w:noWrap/>
            <w:vAlign w:val="bottom"/>
            <w:hideMark/>
          </w:tcPr>
          <w:p w14:paraId="45073DEE"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N/A</w:t>
            </w:r>
          </w:p>
        </w:tc>
        <w:tc>
          <w:tcPr>
            <w:tcW w:w="794" w:type="dxa"/>
            <w:shd w:val="clear" w:color="auto" w:fill="FFFFFF"/>
            <w:noWrap/>
            <w:vAlign w:val="bottom"/>
            <w:hideMark/>
          </w:tcPr>
          <w:p w14:paraId="41DFB818"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N/A</w:t>
            </w:r>
          </w:p>
        </w:tc>
        <w:tc>
          <w:tcPr>
            <w:tcW w:w="680" w:type="dxa"/>
            <w:shd w:val="clear" w:color="auto" w:fill="FFFFFF"/>
            <w:noWrap/>
            <w:vAlign w:val="bottom"/>
            <w:hideMark/>
          </w:tcPr>
          <w:p w14:paraId="3EA63906"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N/A</w:t>
            </w:r>
          </w:p>
        </w:tc>
        <w:tc>
          <w:tcPr>
            <w:tcW w:w="737" w:type="dxa"/>
            <w:shd w:val="clear" w:color="auto" w:fill="FFFFFF"/>
            <w:noWrap/>
            <w:vAlign w:val="bottom"/>
            <w:hideMark/>
          </w:tcPr>
          <w:p w14:paraId="09E67FE3"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N/A</w:t>
            </w:r>
          </w:p>
        </w:tc>
        <w:tc>
          <w:tcPr>
            <w:tcW w:w="680" w:type="dxa"/>
            <w:shd w:val="clear" w:color="auto" w:fill="FFFFFF"/>
            <w:noWrap/>
            <w:vAlign w:val="bottom"/>
            <w:hideMark/>
          </w:tcPr>
          <w:p w14:paraId="6AC4DFBC"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N/A</w:t>
            </w:r>
          </w:p>
        </w:tc>
        <w:tc>
          <w:tcPr>
            <w:tcW w:w="794" w:type="dxa"/>
            <w:shd w:val="clear" w:color="auto" w:fill="FFFFFF"/>
            <w:noWrap/>
            <w:vAlign w:val="bottom"/>
            <w:hideMark/>
          </w:tcPr>
          <w:p w14:paraId="1DC818F3"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N/A</w:t>
            </w:r>
          </w:p>
        </w:tc>
      </w:tr>
      <w:tr w:rsidR="00BD68CD" w:rsidRPr="007C1E37" w14:paraId="28D2822B" w14:textId="77777777" w:rsidTr="00BD68CD">
        <w:trPr>
          <w:trHeight w:val="369"/>
        </w:trPr>
        <w:tc>
          <w:tcPr>
            <w:tcW w:w="1304" w:type="dxa"/>
            <w:vMerge/>
            <w:vAlign w:val="center"/>
            <w:hideMark/>
          </w:tcPr>
          <w:p w14:paraId="4ACE9706" w14:textId="77777777" w:rsidR="00944322" w:rsidRPr="007C1E37" w:rsidRDefault="00944322" w:rsidP="009C2296">
            <w:pPr>
              <w:spacing w:after="0" w:line="240" w:lineRule="auto"/>
              <w:rPr>
                <w:rFonts w:ascii="Aptos Narrow" w:hAnsi="Aptos Narrow"/>
                <w:color w:val="000000"/>
                <w:sz w:val="16"/>
                <w:szCs w:val="16"/>
                <w:lang w:eastAsia="en-AU"/>
              </w:rPr>
            </w:pPr>
          </w:p>
        </w:tc>
        <w:tc>
          <w:tcPr>
            <w:tcW w:w="683" w:type="dxa"/>
            <w:shd w:val="clear" w:color="auto" w:fill="FFFFFF"/>
            <w:noWrap/>
            <w:vAlign w:val="bottom"/>
            <w:hideMark/>
          </w:tcPr>
          <w:p w14:paraId="7284AFD9" w14:textId="77777777" w:rsidR="00944322" w:rsidRPr="007C1E37" w:rsidRDefault="00944322" w:rsidP="009C2296">
            <w:pPr>
              <w:spacing w:after="0" w:line="240" w:lineRule="auto"/>
              <w:rPr>
                <w:rFonts w:ascii="Aptos Narrow" w:hAnsi="Aptos Narrow"/>
                <w:color w:val="000000"/>
                <w:sz w:val="16"/>
                <w:szCs w:val="16"/>
                <w:lang w:eastAsia="en-AU"/>
              </w:rPr>
            </w:pPr>
            <w:r w:rsidRPr="007C1E37">
              <w:rPr>
                <w:rFonts w:ascii="Aptos Narrow" w:hAnsi="Aptos Narrow"/>
                <w:color w:val="000000" w:themeColor="accent6"/>
                <w:sz w:val="16"/>
                <w:szCs w:val="16"/>
                <w:lang w:eastAsia="en-AU"/>
              </w:rPr>
              <w:t>MBS</w:t>
            </w:r>
          </w:p>
        </w:tc>
        <w:tc>
          <w:tcPr>
            <w:tcW w:w="737" w:type="dxa"/>
            <w:shd w:val="clear" w:color="auto" w:fill="FFFFFF"/>
            <w:noWrap/>
            <w:vAlign w:val="bottom"/>
            <w:hideMark/>
          </w:tcPr>
          <w:p w14:paraId="675AFC89"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$58</w:t>
            </w:r>
          </w:p>
        </w:tc>
        <w:tc>
          <w:tcPr>
            <w:tcW w:w="737" w:type="dxa"/>
            <w:shd w:val="clear" w:color="auto" w:fill="FFFFFF"/>
            <w:noWrap/>
            <w:vAlign w:val="bottom"/>
            <w:hideMark/>
          </w:tcPr>
          <w:p w14:paraId="2896F268"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$58</w:t>
            </w:r>
          </w:p>
        </w:tc>
        <w:tc>
          <w:tcPr>
            <w:tcW w:w="737" w:type="dxa"/>
            <w:shd w:val="clear" w:color="auto" w:fill="FFFFFF"/>
            <w:noWrap/>
            <w:vAlign w:val="bottom"/>
            <w:hideMark/>
          </w:tcPr>
          <w:p w14:paraId="41DE4311"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$88</w:t>
            </w:r>
          </w:p>
        </w:tc>
        <w:tc>
          <w:tcPr>
            <w:tcW w:w="794" w:type="dxa"/>
            <w:shd w:val="clear" w:color="auto" w:fill="FFFFFF"/>
            <w:noWrap/>
            <w:vAlign w:val="bottom"/>
            <w:hideMark/>
          </w:tcPr>
          <w:p w14:paraId="06BFC15D"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29.9</w:t>
            </w:r>
          </w:p>
        </w:tc>
        <w:tc>
          <w:tcPr>
            <w:tcW w:w="794" w:type="dxa"/>
            <w:shd w:val="clear" w:color="auto" w:fill="FFFFFF"/>
            <w:noWrap/>
            <w:vAlign w:val="bottom"/>
            <w:hideMark/>
          </w:tcPr>
          <w:p w14:paraId="0569CCA1"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30.0</w:t>
            </w:r>
          </w:p>
        </w:tc>
        <w:tc>
          <w:tcPr>
            <w:tcW w:w="794" w:type="dxa"/>
            <w:shd w:val="clear" w:color="auto" w:fill="FFFFFF"/>
            <w:noWrap/>
            <w:vAlign w:val="bottom"/>
            <w:hideMark/>
          </w:tcPr>
          <w:p w14:paraId="46DBE6AC"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37.6</w:t>
            </w:r>
          </w:p>
        </w:tc>
        <w:tc>
          <w:tcPr>
            <w:tcW w:w="680" w:type="dxa"/>
            <w:shd w:val="clear" w:color="auto" w:fill="FFFFFF"/>
            <w:noWrap/>
            <w:vAlign w:val="bottom"/>
            <w:hideMark/>
          </w:tcPr>
          <w:p w14:paraId="7D2D386F"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$116.3</w:t>
            </w:r>
          </w:p>
        </w:tc>
        <w:tc>
          <w:tcPr>
            <w:tcW w:w="737" w:type="dxa"/>
            <w:shd w:val="clear" w:color="auto" w:fill="FFFFFF"/>
            <w:noWrap/>
            <w:vAlign w:val="bottom"/>
            <w:hideMark/>
          </w:tcPr>
          <w:p w14:paraId="4ADB065D"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$116.6</w:t>
            </w:r>
          </w:p>
        </w:tc>
        <w:tc>
          <w:tcPr>
            <w:tcW w:w="680" w:type="dxa"/>
            <w:shd w:val="clear" w:color="auto" w:fill="FFFFFF"/>
            <w:noWrap/>
            <w:vAlign w:val="bottom"/>
            <w:hideMark/>
          </w:tcPr>
          <w:p w14:paraId="4F900A5B"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$140.8</w:t>
            </w:r>
          </w:p>
        </w:tc>
        <w:tc>
          <w:tcPr>
            <w:tcW w:w="794" w:type="dxa"/>
            <w:shd w:val="clear" w:color="auto" w:fill="FFFFFF"/>
            <w:noWrap/>
            <w:vAlign w:val="bottom"/>
            <w:hideMark/>
          </w:tcPr>
          <w:p w14:paraId="63EA2677" w14:textId="77777777" w:rsidR="00944322" w:rsidRPr="007C1E37" w:rsidRDefault="00944322" w:rsidP="009C2296">
            <w:pPr>
              <w:spacing w:after="0" w:line="240" w:lineRule="auto"/>
              <w:jc w:val="center"/>
              <w:rPr>
                <w:rFonts w:ascii="Aptos Narrow" w:hAnsi="Aptos Narrow"/>
                <w:sz w:val="16"/>
                <w:szCs w:val="16"/>
                <w:lang w:eastAsia="en-AU"/>
              </w:rPr>
            </w:pPr>
            <w:r w:rsidRPr="007C1E37">
              <w:rPr>
                <w:rFonts w:ascii="Aptos Narrow" w:hAnsi="Aptos Narrow"/>
                <w:sz w:val="16"/>
                <w:szCs w:val="16"/>
                <w:lang w:eastAsia="en-AU"/>
              </w:rPr>
              <w:t>$166.99</w:t>
            </w:r>
          </w:p>
        </w:tc>
      </w:tr>
    </w:tbl>
    <w:p w14:paraId="30F07E0E" w14:textId="77777777" w:rsidR="00F1648A" w:rsidRDefault="00944322" w:rsidP="003B2391">
      <w:pPr>
        <w:pStyle w:val="Notefortableorfigure"/>
        <w:spacing w:before="240"/>
      </w:pPr>
      <w:r w:rsidRPr="008034CE">
        <w:t>Source: NDIA calculations from Medicare Benefits Scheme (MBS) and Private Health Insurance (PHI) data</w:t>
      </w:r>
    </w:p>
    <w:p w14:paraId="4A76DA20" w14:textId="1520A0BA" w:rsidR="00944322" w:rsidRPr="008034CE" w:rsidRDefault="00F1648A" w:rsidP="003B2391">
      <w:pPr>
        <w:pStyle w:val="Notefortableorfigure"/>
        <w:spacing w:before="240"/>
        <w:rPr>
          <w:sz w:val="16"/>
          <w:szCs w:val="16"/>
        </w:rPr>
      </w:pPr>
      <w:r>
        <w:rPr>
          <w:rFonts w:cs="Arial"/>
          <w:szCs w:val="20"/>
        </w:rPr>
        <w:t>Note: Rounding was applied in the presentation of results.</w:t>
      </w:r>
      <w:r w:rsidR="00944322" w:rsidRPr="008034CE">
        <w:rPr>
          <w:sz w:val="16"/>
          <w:szCs w:val="16"/>
        </w:rPr>
        <w:br w:type="page"/>
      </w:r>
    </w:p>
    <w:p w14:paraId="5238190B" w14:textId="77777777" w:rsidR="004A181D" w:rsidRPr="008034CE" w:rsidRDefault="004A181D" w:rsidP="004A181D">
      <w:pPr>
        <w:pStyle w:val="Heading2"/>
        <w:numPr>
          <w:ilvl w:val="0"/>
          <w:numId w:val="0"/>
        </w:numPr>
        <w:ind w:left="720" w:hanging="720"/>
        <w:rPr>
          <w:rFonts w:asciiTheme="minorHAnsi" w:hAnsiTheme="minorHAnsi" w:cstheme="minorHAnsi"/>
        </w:rPr>
      </w:pPr>
      <w:bookmarkStart w:id="675" w:name="_Toc195538976"/>
      <w:bookmarkStart w:id="676" w:name="_Toc195538998"/>
      <w:bookmarkStart w:id="677" w:name="_Toc196754655"/>
      <w:bookmarkStart w:id="678" w:name="_Toc196758257"/>
      <w:bookmarkStart w:id="679" w:name="_Toc197344333"/>
      <w:bookmarkStart w:id="680" w:name="_Toc200271701"/>
      <w:r w:rsidRPr="008034CE">
        <w:rPr>
          <w:rFonts w:asciiTheme="minorHAnsi" w:hAnsiTheme="minorHAnsi" w:cstheme="minorHAnsi"/>
        </w:rPr>
        <w:lastRenderedPageBreak/>
        <w:t>Appendix C: Summary of website price listing</w:t>
      </w:r>
      <w:bookmarkEnd w:id="675"/>
      <w:bookmarkEnd w:id="676"/>
      <w:r w:rsidRPr="008034CE">
        <w:rPr>
          <w:rFonts w:asciiTheme="minorHAnsi" w:hAnsiTheme="minorHAnsi" w:cstheme="minorHAnsi"/>
        </w:rPr>
        <w:t xml:space="preserve"> dataset</w:t>
      </w:r>
      <w:bookmarkEnd w:id="677"/>
      <w:bookmarkEnd w:id="678"/>
      <w:bookmarkEnd w:id="679"/>
      <w:bookmarkEnd w:id="680"/>
    </w:p>
    <w:p w14:paraId="4D258F24" w14:textId="77777777" w:rsidR="004A181D" w:rsidRPr="008034CE" w:rsidRDefault="004A181D" w:rsidP="004A181D">
      <w:pPr>
        <w:rPr>
          <w:rFonts w:eastAsia="Calibri"/>
        </w:rPr>
      </w:pPr>
      <w:r w:rsidRPr="008034CE">
        <w:rPr>
          <w:rFonts w:eastAsia="Calibri"/>
        </w:rPr>
        <w:t>The 2024-25 sample included at least 50 price observations obtained for each therapy (except audiology). In total, 698 price points were obtained from provider websites. The sample had representation across states and territories, as well as regionality – although observations for certain therapies in the smaller states were difficult to obtain. Each private billing rate observation was converted to effective hourly rates based on the length of consultation offered. Note, prices for weekend, initial consultations and telehealth consultations were excluded from the dataset.</w:t>
      </w:r>
    </w:p>
    <w:p w14:paraId="34F1313E" w14:textId="0F5EAE0A" w:rsidR="004A181D" w:rsidRPr="008034CE" w:rsidRDefault="004A181D" w:rsidP="004A181D">
      <w:pPr>
        <w:rPr>
          <w:rFonts w:eastAsia="Calibri"/>
        </w:rPr>
      </w:pPr>
      <w:r w:rsidRPr="008034CE">
        <w:fldChar w:fldCharType="begin"/>
      </w:r>
      <w:r w:rsidRPr="008034CE">
        <w:instrText xml:space="preserve"> REF _Ref195540342 \h  \* MERGEFORMAT </w:instrText>
      </w:r>
      <w:r w:rsidRPr="008034CE">
        <w:fldChar w:fldCharType="separate"/>
      </w:r>
      <w:r w:rsidR="005763F9" w:rsidRPr="008034CE">
        <w:t xml:space="preserve">Table </w:t>
      </w:r>
      <w:r w:rsidR="005763F9">
        <w:t>38</w:t>
      </w:r>
      <w:r w:rsidRPr="008034CE">
        <w:fldChar w:fldCharType="end"/>
      </w:r>
      <w:r w:rsidRPr="008034CE">
        <w:rPr>
          <w:rFonts w:eastAsia="Calibri"/>
        </w:rPr>
        <w:t xml:space="preserve"> displays the number of observations for each corresponding type of therapy captured in the website price listing dataset.</w:t>
      </w:r>
    </w:p>
    <w:p w14:paraId="23FAF735" w14:textId="325996E9" w:rsidR="004A181D" w:rsidRPr="008034CE" w:rsidRDefault="004A181D" w:rsidP="004A181D">
      <w:pPr>
        <w:pStyle w:val="Caption"/>
      </w:pPr>
      <w:bookmarkStart w:id="681" w:name="_Ref195540342"/>
      <w:r w:rsidRPr="008034CE">
        <w:t xml:space="preserve">Table </w:t>
      </w:r>
      <w:r w:rsidR="005763F9">
        <w:fldChar w:fldCharType="begin"/>
      </w:r>
      <w:r w:rsidR="005763F9">
        <w:instrText xml:space="preserve"> SEQ Table \* ARABIC </w:instrText>
      </w:r>
      <w:r w:rsidR="005763F9">
        <w:fldChar w:fldCharType="separate"/>
      </w:r>
      <w:r w:rsidR="005763F9">
        <w:rPr>
          <w:noProof/>
        </w:rPr>
        <w:t>38</w:t>
      </w:r>
      <w:r w:rsidR="005763F9">
        <w:rPr>
          <w:noProof/>
        </w:rPr>
        <w:fldChar w:fldCharType="end"/>
      </w:r>
      <w:bookmarkEnd w:id="681"/>
      <w:r w:rsidRPr="008034CE">
        <w:t>: FY24-25 Number of Observations of Website Listings by Therapy Type</w:t>
      </w:r>
    </w:p>
    <w:tbl>
      <w:tblPr>
        <w:tblW w:w="0" w:type="auto"/>
        <w:tblLook w:val="04A0" w:firstRow="1" w:lastRow="0" w:firstColumn="1" w:lastColumn="0" w:noHBand="0" w:noVBand="1"/>
      </w:tblPr>
      <w:tblGrid>
        <w:gridCol w:w="2176"/>
        <w:gridCol w:w="1505"/>
      </w:tblGrid>
      <w:tr w:rsidR="004A181D" w:rsidRPr="007C1E37" w14:paraId="4BCFB83F" w14:textId="77777777" w:rsidTr="009C2296">
        <w:trPr>
          <w:trHeight w:val="350"/>
          <w:tblHeader/>
        </w:trPr>
        <w:tc>
          <w:tcPr>
            <w:tcW w:w="0" w:type="auto"/>
            <w:tcBorders>
              <w:top w:val="single" w:sz="4" w:space="0" w:color="auto"/>
              <w:left w:val="single" w:sz="4" w:space="0" w:color="auto"/>
              <w:bottom w:val="nil"/>
              <w:right w:val="nil"/>
            </w:tcBorders>
            <w:shd w:val="clear" w:color="000000" w:fill="6B2976"/>
            <w:noWrap/>
            <w:vAlign w:val="bottom"/>
            <w:hideMark/>
          </w:tcPr>
          <w:p w14:paraId="30F4B925" w14:textId="77777777" w:rsidR="004A181D" w:rsidRPr="007C1E37" w:rsidRDefault="004A181D" w:rsidP="009C2296">
            <w:pPr>
              <w:spacing w:after="0" w:line="240" w:lineRule="auto"/>
              <w:rPr>
                <w:rFonts w:asciiTheme="minorHAnsi" w:hAnsiTheme="minorHAnsi" w:cstheme="minorHAnsi"/>
                <w:b/>
                <w:bCs/>
                <w:color w:val="FFFFFF"/>
                <w:sz w:val="22"/>
                <w:szCs w:val="22"/>
                <w:lang w:eastAsia="en-AU"/>
              </w:rPr>
            </w:pPr>
            <w:r w:rsidRPr="007C1E37">
              <w:rPr>
                <w:rFonts w:asciiTheme="minorHAnsi" w:hAnsiTheme="minorHAnsi" w:cstheme="minorHAnsi"/>
                <w:b/>
                <w:bCs/>
                <w:color w:val="FFFFFF"/>
                <w:sz w:val="22"/>
                <w:szCs w:val="22"/>
                <w:lang w:eastAsia="en-AU"/>
              </w:rPr>
              <w:t>Therapy</w:t>
            </w:r>
          </w:p>
        </w:tc>
        <w:tc>
          <w:tcPr>
            <w:tcW w:w="1505" w:type="dxa"/>
            <w:vMerge w:val="restart"/>
            <w:tcBorders>
              <w:top w:val="single" w:sz="4" w:space="0" w:color="auto"/>
              <w:left w:val="nil"/>
              <w:bottom w:val="single" w:sz="4" w:space="0" w:color="000000"/>
              <w:right w:val="nil"/>
            </w:tcBorders>
            <w:shd w:val="clear" w:color="000000" w:fill="6B2976"/>
            <w:vAlign w:val="bottom"/>
            <w:hideMark/>
          </w:tcPr>
          <w:p w14:paraId="376F81B4" w14:textId="77777777" w:rsidR="004A181D" w:rsidRPr="007C1E37" w:rsidRDefault="004A181D" w:rsidP="009C2296">
            <w:pPr>
              <w:spacing w:after="0" w:line="240" w:lineRule="auto"/>
              <w:jc w:val="center"/>
              <w:rPr>
                <w:rFonts w:asciiTheme="minorHAnsi" w:hAnsiTheme="minorHAnsi" w:cstheme="minorHAnsi"/>
                <w:color w:val="FFFFFF"/>
                <w:sz w:val="22"/>
                <w:szCs w:val="22"/>
                <w:lang w:eastAsia="en-AU"/>
              </w:rPr>
            </w:pPr>
            <w:r w:rsidRPr="007C1E37">
              <w:rPr>
                <w:rFonts w:asciiTheme="minorHAnsi" w:hAnsiTheme="minorHAnsi" w:cstheme="minorHAnsi"/>
                <w:color w:val="FFFFFF"/>
                <w:sz w:val="22"/>
                <w:szCs w:val="22"/>
                <w:lang w:eastAsia="en-AU"/>
              </w:rPr>
              <w:t>Number of observations</w:t>
            </w:r>
          </w:p>
        </w:tc>
      </w:tr>
      <w:tr w:rsidR="004A181D" w:rsidRPr="007C1E37" w14:paraId="78704A72" w14:textId="77777777" w:rsidTr="009C2296">
        <w:trPr>
          <w:trHeight w:val="350"/>
        </w:trPr>
        <w:tc>
          <w:tcPr>
            <w:tcW w:w="0" w:type="auto"/>
            <w:tcBorders>
              <w:top w:val="nil"/>
              <w:left w:val="single" w:sz="4" w:space="0" w:color="auto"/>
              <w:bottom w:val="nil"/>
              <w:right w:val="nil"/>
            </w:tcBorders>
            <w:shd w:val="clear" w:color="000000" w:fill="6B2976"/>
            <w:noWrap/>
            <w:vAlign w:val="bottom"/>
            <w:hideMark/>
          </w:tcPr>
          <w:p w14:paraId="7ADC2B44" w14:textId="77777777" w:rsidR="004A181D" w:rsidRPr="007C1E37" w:rsidRDefault="004A181D" w:rsidP="009C2296">
            <w:pPr>
              <w:spacing w:after="0" w:line="240" w:lineRule="auto"/>
              <w:rPr>
                <w:rFonts w:asciiTheme="minorHAnsi" w:hAnsiTheme="minorHAnsi" w:cstheme="minorHAnsi"/>
                <w:color w:val="FFFFFF"/>
                <w:sz w:val="22"/>
                <w:szCs w:val="22"/>
                <w:lang w:eastAsia="en-AU"/>
              </w:rPr>
            </w:pPr>
            <w:r w:rsidRPr="007C1E37">
              <w:rPr>
                <w:rFonts w:asciiTheme="minorHAnsi" w:hAnsiTheme="minorHAnsi" w:cstheme="minorHAnsi"/>
                <w:color w:val="FFFFFF"/>
                <w:sz w:val="22"/>
                <w:szCs w:val="22"/>
                <w:lang w:eastAsia="en-AU"/>
              </w:rPr>
              <w:t> </w:t>
            </w:r>
          </w:p>
        </w:tc>
        <w:tc>
          <w:tcPr>
            <w:tcW w:w="1505" w:type="dxa"/>
            <w:vMerge/>
            <w:tcBorders>
              <w:top w:val="single" w:sz="4" w:space="0" w:color="auto"/>
              <w:left w:val="nil"/>
              <w:bottom w:val="single" w:sz="4" w:space="0" w:color="000000"/>
              <w:right w:val="nil"/>
            </w:tcBorders>
            <w:vAlign w:val="center"/>
            <w:hideMark/>
          </w:tcPr>
          <w:p w14:paraId="6B74BC7F" w14:textId="77777777" w:rsidR="004A181D" w:rsidRPr="007C1E37" w:rsidRDefault="004A181D" w:rsidP="009C2296">
            <w:pPr>
              <w:spacing w:after="0" w:line="240" w:lineRule="auto"/>
              <w:rPr>
                <w:rFonts w:asciiTheme="minorHAnsi" w:hAnsiTheme="minorHAnsi" w:cstheme="minorHAnsi"/>
                <w:color w:val="FFFFFF"/>
                <w:sz w:val="22"/>
                <w:szCs w:val="22"/>
                <w:lang w:eastAsia="en-AU"/>
              </w:rPr>
            </w:pPr>
          </w:p>
        </w:tc>
      </w:tr>
      <w:tr w:rsidR="004A181D" w:rsidRPr="007C1E37" w14:paraId="44E7C84C" w14:textId="77777777" w:rsidTr="009C2296">
        <w:trPr>
          <w:trHeight w:val="350"/>
        </w:trPr>
        <w:tc>
          <w:tcPr>
            <w:tcW w:w="0" w:type="auto"/>
            <w:tcBorders>
              <w:top w:val="nil"/>
              <w:left w:val="single" w:sz="4" w:space="0" w:color="auto"/>
              <w:bottom w:val="nil"/>
              <w:right w:val="nil"/>
            </w:tcBorders>
            <w:shd w:val="clear" w:color="000000" w:fill="6B2976"/>
            <w:noWrap/>
            <w:vAlign w:val="bottom"/>
            <w:hideMark/>
          </w:tcPr>
          <w:p w14:paraId="06E4F06D" w14:textId="77777777" w:rsidR="004A181D" w:rsidRPr="007C1E37" w:rsidRDefault="004A181D" w:rsidP="009C2296">
            <w:pPr>
              <w:spacing w:after="0" w:line="240" w:lineRule="auto"/>
              <w:rPr>
                <w:rFonts w:asciiTheme="minorHAnsi" w:hAnsiTheme="minorHAnsi" w:cstheme="minorHAnsi"/>
                <w:color w:val="FFFFFF"/>
                <w:sz w:val="22"/>
                <w:szCs w:val="22"/>
                <w:lang w:eastAsia="en-AU"/>
              </w:rPr>
            </w:pPr>
            <w:r w:rsidRPr="007C1E37">
              <w:rPr>
                <w:rFonts w:asciiTheme="minorHAnsi" w:hAnsiTheme="minorHAnsi" w:cstheme="minorHAnsi"/>
                <w:color w:val="FFFFFF"/>
                <w:sz w:val="22"/>
                <w:szCs w:val="22"/>
                <w:lang w:eastAsia="en-AU"/>
              </w:rPr>
              <w:t>Psychology</w:t>
            </w:r>
          </w:p>
        </w:tc>
        <w:tc>
          <w:tcPr>
            <w:tcW w:w="1505" w:type="dxa"/>
            <w:tcBorders>
              <w:top w:val="nil"/>
              <w:left w:val="nil"/>
              <w:bottom w:val="dotted" w:sz="4" w:space="0" w:color="auto"/>
              <w:right w:val="nil"/>
            </w:tcBorders>
            <w:shd w:val="clear" w:color="000000" w:fill="FFFFFF"/>
            <w:noWrap/>
            <w:vAlign w:val="bottom"/>
            <w:hideMark/>
          </w:tcPr>
          <w:p w14:paraId="17E84690" w14:textId="77777777" w:rsidR="004A181D" w:rsidRPr="007C1E37" w:rsidRDefault="004A181D" w:rsidP="009C2296">
            <w:pPr>
              <w:spacing w:after="0" w:line="240" w:lineRule="auto"/>
              <w:jc w:val="center"/>
              <w:rPr>
                <w:rFonts w:asciiTheme="minorHAnsi" w:hAnsiTheme="minorHAnsi" w:cstheme="minorHAnsi"/>
                <w:color w:val="000000"/>
                <w:sz w:val="22"/>
                <w:szCs w:val="22"/>
                <w:lang w:eastAsia="en-AU"/>
              </w:rPr>
            </w:pPr>
            <w:r w:rsidRPr="007C1E37">
              <w:rPr>
                <w:rFonts w:asciiTheme="minorHAnsi" w:hAnsiTheme="minorHAnsi" w:cstheme="minorHAnsi"/>
                <w:color w:val="000000"/>
                <w:sz w:val="22"/>
                <w:szCs w:val="22"/>
                <w:lang w:eastAsia="en-AU"/>
              </w:rPr>
              <w:t>116</w:t>
            </w:r>
          </w:p>
        </w:tc>
      </w:tr>
      <w:tr w:rsidR="004A181D" w:rsidRPr="007C1E37" w14:paraId="30D8FAA1" w14:textId="77777777" w:rsidTr="009C2296">
        <w:trPr>
          <w:trHeight w:val="350"/>
        </w:trPr>
        <w:tc>
          <w:tcPr>
            <w:tcW w:w="0" w:type="auto"/>
            <w:tcBorders>
              <w:top w:val="nil"/>
              <w:left w:val="single" w:sz="4" w:space="0" w:color="auto"/>
              <w:bottom w:val="nil"/>
              <w:right w:val="nil"/>
            </w:tcBorders>
            <w:shd w:val="clear" w:color="000000" w:fill="6B2976"/>
            <w:noWrap/>
            <w:vAlign w:val="bottom"/>
            <w:hideMark/>
          </w:tcPr>
          <w:p w14:paraId="0AFBD81D" w14:textId="77777777" w:rsidR="004A181D" w:rsidRPr="007C1E37" w:rsidRDefault="004A181D" w:rsidP="009C2296">
            <w:pPr>
              <w:spacing w:after="0" w:line="240" w:lineRule="auto"/>
              <w:rPr>
                <w:rFonts w:asciiTheme="minorHAnsi" w:hAnsiTheme="minorHAnsi" w:cstheme="minorHAnsi"/>
                <w:color w:val="FFFFFF"/>
                <w:sz w:val="22"/>
                <w:szCs w:val="22"/>
                <w:lang w:eastAsia="en-AU"/>
              </w:rPr>
            </w:pPr>
            <w:r w:rsidRPr="007C1E37">
              <w:rPr>
                <w:rFonts w:asciiTheme="minorHAnsi" w:hAnsiTheme="minorHAnsi" w:cstheme="minorHAnsi"/>
                <w:color w:val="FFFFFF"/>
                <w:sz w:val="22"/>
                <w:szCs w:val="22"/>
                <w:lang w:eastAsia="en-AU"/>
              </w:rPr>
              <w:t>Speech Pathology</w:t>
            </w:r>
          </w:p>
        </w:tc>
        <w:tc>
          <w:tcPr>
            <w:tcW w:w="1505" w:type="dxa"/>
            <w:tcBorders>
              <w:top w:val="nil"/>
              <w:left w:val="nil"/>
              <w:bottom w:val="dotted" w:sz="4" w:space="0" w:color="auto"/>
              <w:right w:val="nil"/>
            </w:tcBorders>
            <w:shd w:val="clear" w:color="000000" w:fill="FFFFFF"/>
            <w:noWrap/>
            <w:vAlign w:val="bottom"/>
            <w:hideMark/>
          </w:tcPr>
          <w:p w14:paraId="7A9E9577" w14:textId="77777777" w:rsidR="004A181D" w:rsidRPr="007C1E37" w:rsidRDefault="004A181D" w:rsidP="009C2296">
            <w:pPr>
              <w:spacing w:after="0" w:line="240" w:lineRule="auto"/>
              <w:jc w:val="center"/>
              <w:rPr>
                <w:rFonts w:asciiTheme="minorHAnsi" w:hAnsiTheme="minorHAnsi" w:cstheme="minorHAnsi"/>
                <w:color w:val="000000"/>
                <w:sz w:val="22"/>
                <w:szCs w:val="22"/>
                <w:lang w:eastAsia="en-AU"/>
              </w:rPr>
            </w:pPr>
            <w:r w:rsidRPr="007C1E37">
              <w:rPr>
                <w:rFonts w:asciiTheme="minorHAnsi" w:hAnsiTheme="minorHAnsi" w:cstheme="minorHAnsi"/>
                <w:color w:val="000000"/>
                <w:sz w:val="22"/>
                <w:szCs w:val="22"/>
                <w:lang w:eastAsia="en-AU"/>
              </w:rPr>
              <w:t>77</w:t>
            </w:r>
          </w:p>
        </w:tc>
      </w:tr>
      <w:tr w:rsidR="004A181D" w:rsidRPr="007C1E37" w14:paraId="4365B904" w14:textId="77777777" w:rsidTr="009C2296">
        <w:trPr>
          <w:trHeight w:val="350"/>
        </w:trPr>
        <w:tc>
          <w:tcPr>
            <w:tcW w:w="0" w:type="auto"/>
            <w:tcBorders>
              <w:top w:val="nil"/>
              <w:left w:val="single" w:sz="4" w:space="0" w:color="auto"/>
              <w:bottom w:val="nil"/>
              <w:right w:val="nil"/>
            </w:tcBorders>
            <w:shd w:val="clear" w:color="000000" w:fill="6B2976"/>
            <w:noWrap/>
            <w:vAlign w:val="bottom"/>
            <w:hideMark/>
          </w:tcPr>
          <w:p w14:paraId="0F13CAD5" w14:textId="77777777" w:rsidR="004A181D" w:rsidRPr="007C1E37" w:rsidRDefault="004A181D" w:rsidP="009C2296">
            <w:pPr>
              <w:spacing w:after="0" w:line="240" w:lineRule="auto"/>
              <w:rPr>
                <w:rFonts w:asciiTheme="minorHAnsi" w:hAnsiTheme="minorHAnsi" w:cstheme="minorHAnsi"/>
                <w:color w:val="FFFFFF"/>
                <w:sz w:val="22"/>
                <w:szCs w:val="22"/>
                <w:lang w:eastAsia="en-AU"/>
              </w:rPr>
            </w:pPr>
            <w:r w:rsidRPr="007C1E37">
              <w:rPr>
                <w:rFonts w:asciiTheme="minorHAnsi" w:hAnsiTheme="minorHAnsi" w:cstheme="minorHAnsi"/>
                <w:color w:val="FFFFFF"/>
                <w:sz w:val="22"/>
                <w:szCs w:val="22"/>
                <w:lang w:eastAsia="en-AU"/>
              </w:rPr>
              <w:t>Occupational Therapy</w:t>
            </w:r>
          </w:p>
        </w:tc>
        <w:tc>
          <w:tcPr>
            <w:tcW w:w="1505" w:type="dxa"/>
            <w:tcBorders>
              <w:top w:val="nil"/>
              <w:left w:val="nil"/>
              <w:bottom w:val="dotted" w:sz="4" w:space="0" w:color="auto"/>
              <w:right w:val="nil"/>
            </w:tcBorders>
            <w:shd w:val="clear" w:color="000000" w:fill="FFFFFF"/>
            <w:noWrap/>
            <w:vAlign w:val="bottom"/>
            <w:hideMark/>
          </w:tcPr>
          <w:p w14:paraId="055906C7" w14:textId="77777777" w:rsidR="004A181D" w:rsidRPr="007C1E37" w:rsidRDefault="004A181D" w:rsidP="009C2296">
            <w:pPr>
              <w:spacing w:after="0" w:line="240" w:lineRule="auto"/>
              <w:jc w:val="center"/>
              <w:rPr>
                <w:rFonts w:asciiTheme="minorHAnsi" w:hAnsiTheme="minorHAnsi" w:cstheme="minorHAnsi"/>
                <w:color w:val="000000"/>
                <w:sz w:val="22"/>
                <w:szCs w:val="22"/>
                <w:lang w:eastAsia="en-AU"/>
              </w:rPr>
            </w:pPr>
            <w:r w:rsidRPr="007C1E37">
              <w:rPr>
                <w:rFonts w:asciiTheme="minorHAnsi" w:hAnsiTheme="minorHAnsi" w:cstheme="minorHAnsi"/>
                <w:color w:val="000000"/>
                <w:sz w:val="22"/>
                <w:szCs w:val="22"/>
                <w:lang w:eastAsia="en-AU"/>
              </w:rPr>
              <w:t>50</w:t>
            </w:r>
          </w:p>
        </w:tc>
      </w:tr>
      <w:tr w:rsidR="004A181D" w:rsidRPr="007C1E37" w14:paraId="69D894A4" w14:textId="77777777" w:rsidTr="009C2296">
        <w:trPr>
          <w:trHeight w:val="350"/>
        </w:trPr>
        <w:tc>
          <w:tcPr>
            <w:tcW w:w="0" w:type="auto"/>
            <w:tcBorders>
              <w:top w:val="nil"/>
              <w:left w:val="single" w:sz="4" w:space="0" w:color="auto"/>
              <w:bottom w:val="nil"/>
              <w:right w:val="nil"/>
            </w:tcBorders>
            <w:shd w:val="clear" w:color="000000" w:fill="6B2976"/>
            <w:noWrap/>
            <w:vAlign w:val="bottom"/>
            <w:hideMark/>
          </w:tcPr>
          <w:p w14:paraId="30779530" w14:textId="77777777" w:rsidR="004A181D" w:rsidRPr="007C1E37" w:rsidRDefault="004A181D" w:rsidP="009C2296">
            <w:pPr>
              <w:spacing w:after="0" w:line="240" w:lineRule="auto"/>
              <w:rPr>
                <w:rFonts w:asciiTheme="minorHAnsi" w:hAnsiTheme="minorHAnsi" w:cstheme="minorHAnsi"/>
                <w:color w:val="FFFFFF"/>
                <w:sz w:val="22"/>
                <w:szCs w:val="22"/>
                <w:lang w:eastAsia="en-AU"/>
              </w:rPr>
            </w:pPr>
            <w:r w:rsidRPr="007C1E37">
              <w:rPr>
                <w:rFonts w:asciiTheme="minorHAnsi" w:hAnsiTheme="minorHAnsi" w:cstheme="minorHAnsi"/>
                <w:color w:val="FFFFFF"/>
                <w:sz w:val="22"/>
                <w:szCs w:val="22"/>
                <w:lang w:eastAsia="en-AU"/>
              </w:rPr>
              <w:t>Audiology</w:t>
            </w:r>
          </w:p>
        </w:tc>
        <w:tc>
          <w:tcPr>
            <w:tcW w:w="1505" w:type="dxa"/>
            <w:tcBorders>
              <w:top w:val="nil"/>
              <w:left w:val="nil"/>
              <w:bottom w:val="dotted" w:sz="4" w:space="0" w:color="auto"/>
              <w:right w:val="nil"/>
            </w:tcBorders>
            <w:shd w:val="clear" w:color="000000" w:fill="FFFFFF"/>
            <w:noWrap/>
            <w:vAlign w:val="bottom"/>
            <w:hideMark/>
          </w:tcPr>
          <w:p w14:paraId="76A317E5" w14:textId="77777777" w:rsidR="004A181D" w:rsidRPr="007C1E37" w:rsidRDefault="004A181D" w:rsidP="009C2296">
            <w:pPr>
              <w:spacing w:after="0" w:line="240" w:lineRule="auto"/>
              <w:jc w:val="center"/>
              <w:rPr>
                <w:rFonts w:asciiTheme="minorHAnsi" w:hAnsiTheme="minorHAnsi" w:cstheme="minorHAnsi"/>
                <w:color w:val="000000"/>
                <w:sz w:val="22"/>
                <w:szCs w:val="22"/>
                <w:lang w:eastAsia="en-AU"/>
              </w:rPr>
            </w:pPr>
            <w:r w:rsidRPr="007C1E37">
              <w:rPr>
                <w:rFonts w:asciiTheme="minorHAnsi" w:hAnsiTheme="minorHAnsi" w:cstheme="minorHAnsi"/>
                <w:color w:val="000000"/>
                <w:sz w:val="22"/>
                <w:szCs w:val="22"/>
                <w:lang w:eastAsia="en-AU"/>
              </w:rPr>
              <w:t>21</w:t>
            </w:r>
          </w:p>
        </w:tc>
      </w:tr>
      <w:tr w:rsidR="004A181D" w:rsidRPr="007C1E37" w14:paraId="48640514" w14:textId="77777777" w:rsidTr="009C2296">
        <w:trPr>
          <w:trHeight w:val="290"/>
        </w:trPr>
        <w:tc>
          <w:tcPr>
            <w:tcW w:w="0" w:type="auto"/>
            <w:tcBorders>
              <w:top w:val="nil"/>
              <w:left w:val="single" w:sz="4" w:space="0" w:color="auto"/>
              <w:bottom w:val="nil"/>
              <w:right w:val="nil"/>
            </w:tcBorders>
            <w:shd w:val="clear" w:color="000000" w:fill="6B2976"/>
            <w:noWrap/>
            <w:vAlign w:val="bottom"/>
            <w:hideMark/>
          </w:tcPr>
          <w:p w14:paraId="34CB3983" w14:textId="77777777" w:rsidR="004A181D" w:rsidRPr="007C1E37" w:rsidRDefault="004A181D" w:rsidP="009C2296">
            <w:pPr>
              <w:spacing w:after="0" w:line="240" w:lineRule="auto"/>
              <w:rPr>
                <w:rFonts w:asciiTheme="minorHAnsi" w:hAnsiTheme="minorHAnsi" w:cstheme="minorHAnsi"/>
                <w:color w:val="FFFFFF"/>
                <w:sz w:val="22"/>
                <w:szCs w:val="22"/>
                <w:lang w:eastAsia="en-AU"/>
              </w:rPr>
            </w:pPr>
            <w:r w:rsidRPr="007C1E37">
              <w:rPr>
                <w:rFonts w:asciiTheme="minorHAnsi" w:hAnsiTheme="minorHAnsi" w:cstheme="minorHAnsi"/>
                <w:color w:val="FFFFFF"/>
                <w:sz w:val="22"/>
                <w:szCs w:val="22"/>
                <w:lang w:eastAsia="en-AU"/>
              </w:rPr>
              <w:t>Dietetics</w:t>
            </w:r>
          </w:p>
        </w:tc>
        <w:tc>
          <w:tcPr>
            <w:tcW w:w="1505" w:type="dxa"/>
            <w:tcBorders>
              <w:top w:val="nil"/>
              <w:left w:val="nil"/>
              <w:bottom w:val="dotted" w:sz="4" w:space="0" w:color="auto"/>
              <w:right w:val="nil"/>
            </w:tcBorders>
            <w:shd w:val="clear" w:color="000000" w:fill="FFFFFF"/>
            <w:noWrap/>
            <w:vAlign w:val="bottom"/>
            <w:hideMark/>
          </w:tcPr>
          <w:p w14:paraId="736A1993" w14:textId="77777777" w:rsidR="004A181D" w:rsidRPr="007C1E37" w:rsidRDefault="004A181D" w:rsidP="009C2296">
            <w:pPr>
              <w:spacing w:after="0" w:line="240" w:lineRule="auto"/>
              <w:jc w:val="center"/>
              <w:rPr>
                <w:rFonts w:asciiTheme="minorHAnsi" w:hAnsiTheme="minorHAnsi" w:cstheme="minorHAnsi"/>
                <w:color w:val="000000"/>
                <w:sz w:val="22"/>
                <w:szCs w:val="22"/>
                <w:lang w:eastAsia="en-AU"/>
              </w:rPr>
            </w:pPr>
            <w:r w:rsidRPr="007C1E37">
              <w:rPr>
                <w:rFonts w:asciiTheme="minorHAnsi" w:hAnsiTheme="minorHAnsi" w:cstheme="minorHAnsi"/>
                <w:color w:val="000000"/>
                <w:sz w:val="22"/>
                <w:szCs w:val="22"/>
                <w:lang w:eastAsia="en-AU"/>
              </w:rPr>
              <w:t>50</w:t>
            </w:r>
          </w:p>
        </w:tc>
      </w:tr>
      <w:tr w:rsidR="004A181D" w:rsidRPr="007C1E37" w14:paraId="30E7ECDA" w14:textId="77777777" w:rsidTr="009C2296">
        <w:trPr>
          <w:trHeight w:val="290"/>
        </w:trPr>
        <w:tc>
          <w:tcPr>
            <w:tcW w:w="0" w:type="auto"/>
            <w:tcBorders>
              <w:top w:val="nil"/>
              <w:left w:val="single" w:sz="4" w:space="0" w:color="auto"/>
              <w:bottom w:val="nil"/>
              <w:right w:val="nil"/>
            </w:tcBorders>
            <w:shd w:val="clear" w:color="000000" w:fill="6B2976"/>
            <w:noWrap/>
            <w:vAlign w:val="bottom"/>
            <w:hideMark/>
          </w:tcPr>
          <w:p w14:paraId="4023A0AA" w14:textId="77777777" w:rsidR="004A181D" w:rsidRPr="007C1E37" w:rsidRDefault="004A181D" w:rsidP="009C2296">
            <w:pPr>
              <w:spacing w:after="0" w:line="240" w:lineRule="auto"/>
              <w:rPr>
                <w:rFonts w:asciiTheme="minorHAnsi" w:hAnsiTheme="minorHAnsi" w:cstheme="minorHAnsi"/>
                <w:color w:val="FFFFFF"/>
                <w:sz w:val="22"/>
                <w:szCs w:val="22"/>
                <w:lang w:eastAsia="en-AU"/>
              </w:rPr>
            </w:pPr>
            <w:r w:rsidRPr="007C1E37">
              <w:rPr>
                <w:rFonts w:asciiTheme="minorHAnsi" w:hAnsiTheme="minorHAnsi" w:cstheme="minorHAnsi"/>
                <w:color w:val="FFFFFF"/>
                <w:sz w:val="22"/>
                <w:szCs w:val="22"/>
                <w:lang w:eastAsia="en-AU"/>
              </w:rPr>
              <w:t>Podiatry</w:t>
            </w:r>
          </w:p>
        </w:tc>
        <w:tc>
          <w:tcPr>
            <w:tcW w:w="1505" w:type="dxa"/>
            <w:tcBorders>
              <w:top w:val="nil"/>
              <w:left w:val="nil"/>
              <w:bottom w:val="dotted" w:sz="4" w:space="0" w:color="auto"/>
              <w:right w:val="nil"/>
            </w:tcBorders>
            <w:shd w:val="clear" w:color="000000" w:fill="FFFFFF"/>
            <w:noWrap/>
            <w:vAlign w:val="bottom"/>
            <w:hideMark/>
          </w:tcPr>
          <w:p w14:paraId="31D76FC7" w14:textId="77777777" w:rsidR="004A181D" w:rsidRPr="007C1E37" w:rsidRDefault="004A181D" w:rsidP="009C2296">
            <w:pPr>
              <w:spacing w:after="0" w:line="240" w:lineRule="auto"/>
              <w:jc w:val="center"/>
              <w:rPr>
                <w:rFonts w:asciiTheme="minorHAnsi" w:hAnsiTheme="minorHAnsi" w:cstheme="minorHAnsi"/>
                <w:color w:val="000000"/>
                <w:sz w:val="22"/>
                <w:szCs w:val="22"/>
                <w:lang w:eastAsia="en-AU"/>
              </w:rPr>
            </w:pPr>
            <w:r w:rsidRPr="007C1E37">
              <w:rPr>
                <w:rFonts w:asciiTheme="minorHAnsi" w:hAnsiTheme="minorHAnsi" w:cstheme="minorHAnsi"/>
                <w:color w:val="000000"/>
                <w:sz w:val="22"/>
                <w:szCs w:val="22"/>
                <w:lang w:eastAsia="en-AU"/>
              </w:rPr>
              <w:t>57</w:t>
            </w:r>
          </w:p>
        </w:tc>
      </w:tr>
      <w:tr w:rsidR="004A181D" w:rsidRPr="007C1E37" w14:paraId="465155CA" w14:textId="77777777" w:rsidTr="009C2296">
        <w:trPr>
          <w:trHeight w:val="290"/>
        </w:trPr>
        <w:tc>
          <w:tcPr>
            <w:tcW w:w="0" w:type="auto"/>
            <w:tcBorders>
              <w:top w:val="nil"/>
              <w:left w:val="single" w:sz="4" w:space="0" w:color="auto"/>
              <w:bottom w:val="nil"/>
              <w:right w:val="nil"/>
            </w:tcBorders>
            <w:shd w:val="clear" w:color="000000" w:fill="6B2976"/>
            <w:noWrap/>
            <w:vAlign w:val="bottom"/>
            <w:hideMark/>
          </w:tcPr>
          <w:p w14:paraId="4C762C94" w14:textId="77777777" w:rsidR="004A181D" w:rsidRPr="007C1E37" w:rsidRDefault="004A181D" w:rsidP="009C2296">
            <w:pPr>
              <w:spacing w:after="0" w:line="240" w:lineRule="auto"/>
              <w:rPr>
                <w:rFonts w:asciiTheme="minorHAnsi" w:hAnsiTheme="minorHAnsi" w:cstheme="minorHAnsi"/>
                <w:color w:val="FFFFFF"/>
                <w:sz w:val="22"/>
                <w:szCs w:val="22"/>
                <w:lang w:eastAsia="en-AU"/>
              </w:rPr>
            </w:pPr>
            <w:r w:rsidRPr="007C1E37">
              <w:rPr>
                <w:rFonts w:asciiTheme="minorHAnsi" w:hAnsiTheme="minorHAnsi" w:cstheme="minorHAnsi"/>
                <w:color w:val="FFFFFF"/>
                <w:sz w:val="22"/>
                <w:szCs w:val="22"/>
                <w:lang w:eastAsia="en-AU"/>
              </w:rPr>
              <w:t>Physiotherapy</w:t>
            </w:r>
          </w:p>
        </w:tc>
        <w:tc>
          <w:tcPr>
            <w:tcW w:w="1505" w:type="dxa"/>
            <w:tcBorders>
              <w:top w:val="nil"/>
              <w:left w:val="nil"/>
              <w:bottom w:val="dotted" w:sz="4" w:space="0" w:color="auto"/>
              <w:right w:val="nil"/>
            </w:tcBorders>
            <w:shd w:val="clear" w:color="000000" w:fill="FFFFFF"/>
            <w:noWrap/>
            <w:vAlign w:val="bottom"/>
            <w:hideMark/>
          </w:tcPr>
          <w:p w14:paraId="6C990B3F" w14:textId="77777777" w:rsidR="004A181D" w:rsidRPr="007C1E37" w:rsidRDefault="004A181D" w:rsidP="009C2296">
            <w:pPr>
              <w:spacing w:after="0" w:line="240" w:lineRule="auto"/>
              <w:jc w:val="center"/>
              <w:rPr>
                <w:rFonts w:asciiTheme="minorHAnsi" w:hAnsiTheme="minorHAnsi" w:cstheme="minorHAnsi"/>
                <w:color w:val="000000"/>
                <w:sz w:val="22"/>
                <w:szCs w:val="22"/>
                <w:lang w:eastAsia="en-AU"/>
              </w:rPr>
            </w:pPr>
            <w:r w:rsidRPr="007C1E37">
              <w:rPr>
                <w:rFonts w:asciiTheme="minorHAnsi" w:hAnsiTheme="minorHAnsi" w:cstheme="minorHAnsi"/>
                <w:color w:val="000000"/>
                <w:sz w:val="22"/>
                <w:szCs w:val="22"/>
                <w:lang w:eastAsia="en-AU"/>
              </w:rPr>
              <w:t>165</w:t>
            </w:r>
          </w:p>
        </w:tc>
      </w:tr>
      <w:tr w:rsidR="004A181D" w:rsidRPr="007C1E37" w14:paraId="46A96CE1" w14:textId="77777777" w:rsidTr="009C2296">
        <w:trPr>
          <w:trHeight w:val="290"/>
        </w:trPr>
        <w:tc>
          <w:tcPr>
            <w:tcW w:w="0" w:type="auto"/>
            <w:tcBorders>
              <w:top w:val="nil"/>
              <w:left w:val="single" w:sz="4" w:space="0" w:color="auto"/>
              <w:bottom w:val="nil"/>
              <w:right w:val="nil"/>
            </w:tcBorders>
            <w:shd w:val="clear" w:color="000000" w:fill="6B2976"/>
            <w:noWrap/>
            <w:vAlign w:val="bottom"/>
            <w:hideMark/>
          </w:tcPr>
          <w:p w14:paraId="3955016C" w14:textId="77777777" w:rsidR="004A181D" w:rsidRPr="007C1E37" w:rsidRDefault="004A181D" w:rsidP="009C2296">
            <w:pPr>
              <w:spacing w:after="0" w:line="240" w:lineRule="auto"/>
              <w:rPr>
                <w:rFonts w:asciiTheme="minorHAnsi" w:hAnsiTheme="minorHAnsi" w:cstheme="minorHAnsi"/>
                <w:color w:val="FFFFFF"/>
                <w:sz w:val="22"/>
                <w:szCs w:val="22"/>
                <w:lang w:eastAsia="en-AU"/>
              </w:rPr>
            </w:pPr>
            <w:r w:rsidRPr="007C1E37">
              <w:rPr>
                <w:rFonts w:asciiTheme="minorHAnsi" w:hAnsiTheme="minorHAnsi" w:cstheme="minorHAnsi"/>
                <w:color w:val="FFFFFF"/>
                <w:sz w:val="22"/>
                <w:szCs w:val="22"/>
                <w:lang w:eastAsia="en-AU"/>
              </w:rPr>
              <w:t>Social Worker</w:t>
            </w:r>
          </w:p>
        </w:tc>
        <w:tc>
          <w:tcPr>
            <w:tcW w:w="1505" w:type="dxa"/>
            <w:tcBorders>
              <w:top w:val="nil"/>
              <w:left w:val="nil"/>
              <w:bottom w:val="dotted" w:sz="4" w:space="0" w:color="auto"/>
              <w:right w:val="nil"/>
            </w:tcBorders>
            <w:shd w:val="clear" w:color="000000" w:fill="FFFFFF"/>
            <w:noWrap/>
            <w:vAlign w:val="bottom"/>
            <w:hideMark/>
          </w:tcPr>
          <w:p w14:paraId="0D245A50" w14:textId="77777777" w:rsidR="004A181D" w:rsidRPr="007C1E37" w:rsidRDefault="004A181D" w:rsidP="009C2296">
            <w:pPr>
              <w:spacing w:after="0" w:line="240" w:lineRule="auto"/>
              <w:jc w:val="center"/>
              <w:rPr>
                <w:rFonts w:asciiTheme="minorHAnsi" w:hAnsiTheme="minorHAnsi" w:cstheme="minorHAnsi"/>
                <w:color w:val="000000"/>
                <w:sz w:val="22"/>
                <w:szCs w:val="22"/>
                <w:lang w:eastAsia="en-AU"/>
              </w:rPr>
            </w:pPr>
            <w:r w:rsidRPr="007C1E37">
              <w:rPr>
                <w:rFonts w:asciiTheme="minorHAnsi" w:hAnsiTheme="minorHAnsi" w:cstheme="minorHAnsi"/>
                <w:color w:val="000000"/>
                <w:sz w:val="22"/>
                <w:szCs w:val="22"/>
                <w:lang w:eastAsia="en-AU"/>
              </w:rPr>
              <w:t>50</w:t>
            </w:r>
          </w:p>
        </w:tc>
      </w:tr>
      <w:tr w:rsidR="004A181D" w:rsidRPr="007C1E37" w14:paraId="0359345B" w14:textId="77777777" w:rsidTr="009C2296">
        <w:trPr>
          <w:trHeight w:val="290"/>
        </w:trPr>
        <w:tc>
          <w:tcPr>
            <w:tcW w:w="0" w:type="auto"/>
            <w:tcBorders>
              <w:top w:val="nil"/>
              <w:left w:val="single" w:sz="4" w:space="0" w:color="auto"/>
              <w:bottom w:val="nil"/>
              <w:right w:val="nil"/>
            </w:tcBorders>
            <w:shd w:val="clear" w:color="000000" w:fill="6B2976"/>
            <w:noWrap/>
            <w:vAlign w:val="bottom"/>
            <w:hideMark/>
          </w:tcPr>
          <w:p w14:paraId="6CC2C7F5" w14:textId="77777777" w:rsidR="004A181D" w:rsidRPr="007C1E37" w:rsidRDefault="004A181D" w:rsidP="009C2296">
            <w:pPr>
              <w:spacing w:after="0" w:line="240" w:lineRule="auto"/>
              <w:rPr>
                <w:rFonts w:asciiTheme="minorHAnsi" w:hAnsiTheme="minorHAnsi" w:cstheme="minorHAnsi"/>
                <w:color w:val="FFFFFF"/>
                <w:sz w:val="22"/>
                <w:szCs w:val="22"/>
                <w:lang w:eastAsia="en-AU"/>
              </w:rPr>
            </w:pPr>
            <w:r w:rsidRPr="007C1E37">
              <w:rPr>
                <w:rFonts w:asciiTheme="minorHAnsi" w:hAnsiTheme="minorHAnsi" w:cstheme="minorHAnsi"/>
                <w:color w:val="FFFFFF"/>
                <w:sz w:val="22"/>
                <w:szCs w:val="22"/>
                <w:lang w:eastAsia="en-AU"/>
              </w:rPr>
              <w:t>Counselling</w:t>
            </w:r>
          </w:p>
        </w:tc>
        <w:tc>
          <w:tcPr>
            <w:tcW w:w="1505" w:type="dxa"/>
            <w:tcBorders>
              <w:top w:val="nil"/>
              <w:left w:val="nil"/>
              <w:bottom w:val="dotted" w:sz="4" w:space="0" w:color="auto"/>
              <w:right w:val="nil"/>
            </w:tcBorders>
            <w:shd w:val="clear" w:color="000000" w:fill="FFFFFF"/>
            <w:noWrap/>
            <w:vAlign w:val="bottom"/>
            <w:hideMark/>
          </w:tcPr>
          <w:p w14:paraId="077DE224" w14:textId="77777777" w:rsidR="004A181D" w:rsidRPr="007C1E37" w:rsidRDefault="004A181D" w:rsidP="009C2296">
            <w:pPr>
              <w:spacing w:after="0" w:line="240" w:lineRule="auto"/>
              <w:jc w:val="center"/>
              <w:rPr>
                <w:rFonts w:asciiTheme="minorHAnsi" w:hAnsiTheme="minorHAnsi" w:cstheme="minorHAnsi"/>
                <w:color w:val="000000"/>
                <w:sz w:val="22"/>
                <w:szCs w:val="22"/>
                <w:lang w:eastAsia="en-AU"/>
              </w:rPr>
            </w:pPr>
            <w:r w:rsidRPr="007C1E37">
              <w:rPr>
                <w:rFonts w:asciiTheme="minorHAnsi" w:hAnsiTheme="minorHAnsi" w:cstheme="minorHAnsi"/>
                <w:color w:val="000000"/>
                <w:sz w:val="22"/>
                <w:szCs w:val="22"/>
                <w:lang w:eastAsia="en-AU"/>
              </w:rPr>
              <w:t>50</w:t>
            </w:r>
          </w:p>
        </w:tc>
      </w:tr>
      <w:tr w:rsidR="004A181D" w:rsidRPr="007C1E37" w14:paraId="389BAD3E" w14:textId="77777777" w:rsidTr="009C2296">
        <w:trPr>
          <w:trHeight w:val="290"/>
        </w:trPr>
        <w:tc>
          <w:tcPr>
            <w:tcW w:w="0" w:type="auto"/>
            <w:tcBorders>
              <w:top w:val="nil"/>
              <w:left w:val="single" w:sz="4" w:space="0" w:color="auto"/>
              <w:bottom w:val="nil"/>
              <w:right w:val="nil"/>
            </w:tcBorders>
            <w:shd w:val="clear" w:color="000000" w:fill="6B2976"/>
            <w:noWrap/>
            <w:vAlign w:val="bottom"/>
            <w:hideMark/>
          </w:tcPr>
          <w:p w14:paraId="103A4028" w14:textId="77777777" w:rsidR="004A181D" w:rsidRPr="007C1E37" w:rsidRDefault="004A181D" w:rsidP="009C2296">
            <w:pPr>
              <w:spacing w:after="0" w:line="240" w:lineRule="auto"/>
              <w:rPr>
                <w:rFonts w:asciiTheme="minorHAnsi" w:hAnsiTheme="minorHAnsi" w:cstheme="minorHAnsi"/>
                <w:color w:val="FFFFFF"/>
                <w:sz w:val="22"/>
                <w:szCs w:val="22"/>
                <w:lang w:eastAsia="en-AU"/>
              </w:rPr>
            </w:pPr>
            <w:r w:rsidRPr="007C1E37">
              <w:rPr>
                <w:rFonts w:asciiTheme="minorHAnsi" w:hAnsiTheme="minorHAnsi" w:cstheme="minorHAnsi"/>
                <w:color w:val="FFFFFF"/>
                <w:sz w:val="22"/>
                <w:szCs w:val="22"/>
                <w:lang w:eastAsia="en-AU"/>
              </w:rPr>
              <w:t>Exercise Physiology</w:t>
            </w:r>
          </w:p>
        </w:tc>
        <w:tc>
          <w:tcPr>
            <w:tcW w:w="1505" w:type="dxa"/>
            <w:tcBorders>
              <w:top w:val="nil"/>
              <w:left w:val="nil"/>
              <w:bottom w:val="dotted" w:sz="4" w:space="0" w:color="auto"/>
              <w:right w:val="nil"/>
            </w:tcBorders>
            <w:shd w:val="clear" w:color="000000" w:fill="FFFFFF"/>
            <w:noWrap/>
            <w:vAlign w:val="bottom"/>
            <w:hideMark/>
          </w:tcPr>
          <w:p w14:paraId="25BC01BE" w14:textId="77777777" w:rsidR="004A181D" w:rsidRPr="007C1E37" w:rsidRDefault="004A181D" w:rsidP="009C2296">
            <w:pPr>
              <w:spacing w:after="0" w:line="240" w:lineRule="auto"/>
              <w:jc w:val="center"/>
              <w:rPr>
                <w:rFonts w:asciiTheme="minorHAnsi" w:hAnsiTheme="minorHAnsi" w:cstheme="minorHAnsi"/>
                <w:color w:val="000000"/>
                <w:sz w:val="22"/>
                <w:szCs w:val="22"/>
                <w:lang w:eastAsia="en-AU"/>
              </w:rPr>
            </w:pPr>
            <w:r w:rsidRPr="007C1E37">
              <w:rPr>
                <w:rFonts w:asciiTheme="minorHAnsi" w:hAnsiTheme="minorHAnsi" w:cstheme="minorHAnsi"/>
                <w:color w:val="000000"/>
                <w:sz w:val="22"/>
                <w:szCs w:val="22"/>
                <w:lang w:eastAsia="en-AU"/>
              </w:rPr>
              <w:t>62</w:t>
            </w:r>
          </w:p>
        </w:tc>
      </w:tr>
      <w:tr w:rsidR="004A181D" w:rsidRPr="007C1E37" w14:paraId="6E545BD1" w14:textId="77777777" w:rsidTr="009C2296">
        <w:trPr>
          <w:trHeight w:val="290"/>
        </w:trPr>
        <w:tc>
          <w:tcPr>
            <w:tcW w:w="0" w:type="auto"/>
            <w:tcBorders>
              <w:top w:val="nil"/>
              <w:left w:val="single" w:sz="4" w:space="0" w:color="auto"/>
              <w:bottom w:val="single" w:sz="4" w:space="0" w:color="auto"/>
              <w:right w:val="nil"/>
            </w:tcBorders>
            <w:shd w:val="clear" w:color="000000" w:fill="6B2976"/>
            <w:noWrap/>
            <w:vAlign w:val="bottom"/>
            <w:hideMark/>
          </w:tcPr>
          <w:p w14:paraId="4751E77C" w14:textId="77777777" w:rsidR="004A181D" w:rsidRPr="007C1E37" w:rsidRDefault="004A181D" w:rsidP="009C2296">
            <w:pPr>
              <w:spacing w:after="0" w:line="240" w:lineRule="auto"/>
              <w:rPr>
                <w:rFonts w:asciiTheme="minorHAnsi" w:hAnsiTheme="minorHAnsi" w:cstheme="minorHAnsi"/>
                <w:color w:val="FFFFFF"/>
                <w:sz w:val="22"/>
                <w:szCs w:val="22"/>
                <w:lang w:eastAsia="en-AU"/>
              </w:rPr>
            </w:pPr>
            <w:r w:rsidRPr="007C1E37">
              <w:rPr>
                <w:rFonts w:asciiTheme="minorHAnsi" w:hAnsiTheme="minorHAnsi" w:cstheme="minorHAnsi"/>
                <w:color w:val="FFFFFF"/>
                <w:sz w:val="22"/>
                <w:szCs w:val="22"/>
                <w:lang w:eastAsia="en-AU"/>
              </w:rPr>
              <w:t>Total</w:t>
            </w:r>
          </w:p>
        </w:tc>
        <w:tc>
          <w:tcPr>
            <w:tcW w:w="1505" w:type="dxa"/>
            <w:tcBorders>
              <w:top w:val="dotted" w:sz="4" w:space="0" w:color="auto"/>
              <w:left w:val="nil"/>
              <w:bottom w:val="single" w:sz="4" w:space="0" w:color="auto"/>
              <w:right w:val="nil"/>
            </w:tcBorders>
            <w:shd w:val="clear" w:color="000000" w:fill="FFFFFF"/>
            <w:noWrap/>
            <w:vAlign w:val="bottom"/>
            <w:hideMark/>
          </w:tcPr>
          <w:p w14:paraId="2C2A5039" w14:textId="77777777" w:rsidR="004A181D" w:rsidRPr="007C1E37" w:rsidRDefault="004A181D" w:rsidP="009C2296">
            <w:pPr>
              <w:spacing w:after="0" w:line="240" w:lineRule="auto"/>
              <w:jc w:val="center"/>
              <w:rPr>
                <w:rFonts w:asciiTheme="minorHAnsi" w:hAnsiTheme="minorHAnsi" w:cstheme="minorHAnsi"/>
                <w:color w:val="000000"/>
                <w:sz w:val="22"/>
                <w:szCs w:val="22"/>
                <w:lang w:eastAsia="en-AU"/>
              </w:rPr>
            </w:pPr>
            <w:r w:rsidRPr="007C1E37">
              <w:rPr>
                <w:rFonts w:asciiTheme="minorHAnsi" w:hAnsiTheme="minorHAnsi" w:cstheme="minorHAnsi"/>
                <w:color w:val="000000"/>
                <w:sz w:val="22"/>
                <w:szCs w:val="22"/>
                <w:lang w:eastAsia="en-AU"/>
              </w:rPr>
              <w:t>698</w:t>
            </w:r>
          </w:p>
        </w:tc>
      </w:tr>
    </w:tbl>
    <w:p w14:paraId="58E4FB5D" w14:textId="6B3AEF72" w:rsidR="004A181D" w:rsidRPr="008034CE" w:rsidRDefault="004A181D" w:rsidP="004A181D">
      <w:pPr>
        <w:spacing w:before="480"/>
        <w:rPr>
          <w:rFonts w:eastAsia="Calibri"/>
        </w:rPr>
      </w:pPr>
      <w:r w:rsidRPr="008034CE">
        <w:fldChar w:fldCharType="begin"/>
      </w:r>
      <w:r w:rsidRPr="008034CE">
        <w:instrText xml:space="preserve"> REF _Ref195541007 \h  \* MERGEFORMAT </w:instrText>
      </w:r>
      <w:r w:rsidRPr="008034CE">
        <w:fldChar w:fldCharType="separate"/>
      </w:r>
      <w:r w:rsidR="005763F9" w:rsidRPr="008034CE">
        <w:t xml:space="preserve">Figure </w:t>
      </w:r>
      <w:r w:rsidR="005763F9">
        <w:t>45</w:t>
      </w:r>
      <w:r w:rsidRPr="008034CE">
        <w:fldChar w:fldCharType="end"/>
      </w:r>
      <w:r w:rsidRPr="008034CE">
        <w:rPr>
          <w:rFonts w:eastAsia="Calibri"/>
        </w:rPr>
        <w:t xml:space="preserve"> displays the NDIS price limit relative to the website price listings data for the relevant therapist, compared to the median and the spread of the sampled price listings. Results show that the annual average growth in prices, across all therapies, from the 2023-24 sample to the </w:t>
      </w:r>
      <w:bookmarkStart w:id="682" w:name="_Hlk195537805"/>
      <w:r w:rsidRPr="008034CE">
        <w:rPr>
          <w:rFonts w:eastAsia="Calibri"/>
        </w:rPr>
        <w:t xml:space="preserve">2024-25 sample </w:t>
      </w:r>
      <w:bookmarkEnd w:id="682"/>
      <w:r w:rsidRPr="008034CE">
        <w:rPr>
          <w:rFonts w:eastAsia="Calibri"/>
        </w:rPr>
        <w:t>was 7.7%.</w:t>
      </w:r>
    </w:p>
    <w:p w14:paraId="638C0A4E" w14:textId="1576672D" w:rsidR="00116DB9" w:rsidRDefault="00116DB9">
      <w:pPr>
        <w:spacing w:before="120" w:after="120"/>
        <w:rPr>
          <w:rFonts w:ascii="Calibri" w:eastAsia="Calibri" w:hAnsi="Calibri" w:cs="Calibri"/>
        </w:rPr>
      </w:pPr>
      <w:r>
        <w:rPr>
          <w:rFonts w:ascii="Calibri" w:eastAsia="Calibri" w:hAnsi="Calibri" w:cs="Calibri"/>
        </w:rPr>
        <w:br w:type="page"/>
      </w:r>
    </w:p>
    <w:p w14:paraId="2AE68E67" w14:textId="2C65C3D8" w:rsidR="00116DB9" w:rsidRPr="008034CE" w:rsidRDefault="00116DB9" w:rsidP="00116DB9">
      <w:pPr>
        <w:pStyle w:val="Caption"/>
      </w:pPr>
      <w:bookmarkStart w:id="683" w:name="_Ref195541007"/>
      <w:r w:rsidRPr="008034CE">
        <w:lastRenderedPageBreak/>
        <w:t xml:space="preserve">Figure </w:t>
      </w:r>
      <w:r w:rsidR="005763F9">
        <w:fldChar w:fldCharType="begin"/>
      </w:r>
      <w:r w:rsidR="005763F9">
        <w:instrText xml:space="preserve"> SEQ Figure \* ARABIC </w:instrText>
      </w:r>
      <w:r w:rsidR="005763F9">
        <w:fldChar w:fldCharType="separate"/>
      </w:r>
      <w:r w:rsidR="005763F9">
        <w:rPr>
          <w:noProof/>
        </w:rPr>
        <w:t>45</w:t>
      </w:r>
      <w:r w:rsidR="005763F9">
        <w:rPr>
          <w:noProof/>
        </w:rPr>
        <w:fldChar w:fldCharType="end"/>
      </w:r>
      <w:bookmarkEnd w:id="683"/>
      <w:r w:rsidRPr="008034CE">
        <w:t xml:space="preserve">: Website price listings (25th, 50th and 75th percentile) compared to applicable NDIS price limits </w:t>
      </w:r>
    </w:p>
    <w:p w14:paraId="69F1C495" w14:textId="77777777" w:rsidR="00116DB9" w:rsidRPr="008034CE" w:rsidRDefault="00116DB9" w:rsidP="00116DB9">
      <w:pPr>
        <w:jc w:val="center"/>
        <w:rPr>
          <w:rFonts w:cs="Arial"/>
          <w:sz w:val="16"/>
          <w:szCs w:val="16"/>
        </w:rPr>
      </w:pPr>
      <w:r w:rsidRPr="008034CE">
        <w:rPr>
          <w:noProof/>
        </w:rPr>
        <w:drawing>
          <wp:inline distT="0" distB="0" distL="0" distR="0" wp14:anchorId="7B0F66AF" wp14:editId="4FF3BB20">
            <wp:extent cx="5327650" cy="4424082"/>
            <wp:effectExtent l="0" t="0" r="6350" b="0"/>
            <wp:docPr id="139906000" name="Picture 3" descr="A graph showing the distribution of prices on website listings compared to NDIS price limits. The graph shows that NDIS price limits are roughly equal to, or above, the median listed prices for most therapy types, except for psychology, social workers, and physiotherap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06000" name="Picture 3" descr="A graph showing the distribution of prices on website listings compared to NDIS price limits. The graph shows that NDIS price limits are roughly equal to, or above, the median listed prices for most therapy types, except for psychology, social workers, and physiotherapy. "/>
                    <pic:cNvPicPr/>
                  </pic:nvPicPr>
                  <pic:blipFill rotWithShape="1">
                    <a:blip r:embed="rId63" cstate="print">
                      <a:extLst>
                        <a:ext uri="{28A0092B-C50C-407E-A947-70E740481C1C}">
                          <a14:useLocalDpi xmlns:a14="http://schemas.microsoft.com/office/drawing/2010/main" val="0"/>
                        </a:ext>
                      </a:extLst>
                    </a:blip>
                    <a:srcRect b="847"/>
                    <a:stretch>
                      <a:fillRect/>
                    </a:stretch>
                  </pic:blipFill>
                  <pic:spPr bwMode="auto">
                    <a:xfrm>
                      <a:off x="0" y="0"/>
                      <a:ext cx="5328000" cy="4424373"/>
                    </a:xfrm>
                    <a:prstGeom prst="rect">
                      <a:avLst/>
                    </a:prstGeom>
                    <a:ln>
                      <a:noFill/>
                    </a:ln>
                    <a:extLst>
                      <a:ext uri="{53640926-AAD7-44D8-BBD7-CCE9431645EC}">
                        <a14:shadowObscured xmlns:a14="http://schemas.microsoft.com/office/drawing/2010/main"/>
                      </a:ext>
                    </a:extLst>
                  </pic:spPr>
                </pic:pic>
              </a:graphicData>
            </a:graphic>
          </wp:inline>
        </w:drawing>
      </w:r>
    </w:p>
    <w:p w14:paraId="1BB17CCC" w14:textId="77777777" w:rsidR="00944322" w:rsidRPr="00944322" w:rsidRDefault="00944322" w:rsidP="00944322"/>
    <w:sectPr w:rsidR="00944322" w:rsidRPr="00944322" w:rsidSect="00B90EE5">
      <w:headerReference w:type="even" r:id="rId64"/>
      <w:footerReference w:type="even" r:id="rId65"/>
      <w:footerReference w:type="default" r:id="rId66"/>
      <w:footerReference w:type="first" r:id="rId67"/>
      <w:pgSz w:w="11906" w:h="16838" w:code="9"/>
      <w:pgMar w:top="1765" w:right="1440" w:bottom="1440" w:left="1440" w:header="73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DBAE7" w14:textId="77777777" w:rsidR="000F5DAD" w:rsidRDefault="000F5DAD" w:rsidP="00863C7F">
      <w:r>
        <w:separator/>
      </w:r>
    </w:p>
    <w:p w14:paraId="273815E6" w14:textId="77777777" w:rsidR="000F5DAD" w:rsidRDefault="000F5DAD" w:rsidP="00863C7F"/>
    <w:p w14:paraId="2DACD433" w14:textId="77777777" w:rsidR="000F5DAD" w:rsidRDefault="000F5DAD" w:rsidP="00863C7F"/>
    <w:p w14:paraId="5A55727B" w14:textId="77777777" w:rsidR="000F5DAD" w:rsidRDefault="000F5DAD" w:rsidP="00863C7F"/>
    <w:p w14:paraId="1B15BD3D" w14:textId="77777777" w:rsidR="000F5DAD" w:rsidRDefault="000F5DAD" w:rsidP="00863C7F"/>
    <w:p w14:paraId="2C099DDC" w14:textId="77777777" w:rsidR="000F5DAD" w:rsidRDefault="000F5DAD" w:rsidP="00863C7F"/>
    <w:p w14:paraId="07F9CC74" w14:textId="77777777" w:rsidR="000F5DAD" w:rsidRDefault="000F5DAD" w:rsidP="00863C7F"/>
    <w:p w14:paraId="15253537" w14:textId="77777777" w:rsidR="000F5DAD" w:rsidRDefault="000F5DAD" w:rsidP="00863C7F"/>
    <w:p w14:paraId="4F7745DD" w14:textId="77777777" w:rsidR="000F5DAD" w:rsidRDefault="000F5DAD" w:rsidP="00863C7F"/>
    <w:p w14:paraId="2DC002AF" w14:textId="77777777" w:rsidR="000F5DAD" w:rsidRDefault="000F5DAD" w:rsidP="00863C7F"/>
  </w:endnote>
  <w:endnote w:type="continuationSeparator" w:id="0">
    <w:p w14:paraId="6B90C466" w14:textId="77777777" w:rsidR="000F5DAD" w:rsidRDefault="000F5DAD" w:rsidP="00863C7F">
      <w:r>
        <w:continuationSeparator/>
      </w:r>
    </w:p>
    <w:p w14:paraId="2BCB77CA" w14:textId="77777777" w:rsidR="000F5DAD" w:rsidRDefault="000F5DAD" w:rsidP="00863C7F"/>
    <w:p w14:paraId="37BF483D" w14:textId="77777777" w:rsidR="000F5DAD" w:rsidRDefault="000F5DAD" w:rsidP="00863C7F"/>
    <w:p w14:paraId="40432D6B" w14:textId="77777777" w:rsidR="000F5DAD" w:rsidRDefault="000F5DAD" w:rsidP="00863C7F"/>
    <w:p w14:paraId="6C3232DE" w14:textId="77777777" w:rsidR="000F5DAD" w:rsidRDefault="000F5DAD" w:rsidP="00863C7F"/>
    <w:p w14:paraId="5CD6560C" w14:textId="77777777" w:rsidR="000F5DAD" w:rsidRDefault="000F5DAD" w:rsidP="00863C7F"/>
    <w:p w14:paraId="25AFFDAD" w14:textId="77777777" w:rsidR="000F5DAD" w:rsidRDefault="000F5DAD" w:rsidP="00863C7F"/>
    <w:p w14:paraId="6BA39E3A" w14:textId="77777777" w:rsidR="000F5DAD" w:rsidRDefault="000F5DAD" w:rsidP="00863C7F"/>
    <w:p w14:paraId="7EFA02BD" w14:textId="77777777" w:rsidR="000F5DAD" w:rsidRDefault="000F5DAD" w:rsidP="00863C7F"/>
    <w:p w14:paraId="58480D9C" w14:textId="77777777" w:rsidR="000F5DAD" w:rsidRDefault="000F5DAD" w:rsidP="00863C7F"/>
  </w:endnote>
  <w:endnote w:type="continuationNotice" w:id="1">
    <w:p w14:paraId="108BD22D" w14:textId="77777777" w:rsidR="000F5DAD" w:rsidRDefault="000F5D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FS Me Pro Light">
    <w:charset w:val="00"/>
    <w:family w:val="auto"/>
    <w:pitch w:val="variable"/>
    <w:sig w:usb0="A00002EF" w:usb1="4000606A" w:usb2="00000000" w:usb3="00000000" w:csb0="0000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1BEB2" w14:textId="77777777" w:rsidR="008D4B76" w:rsidRDefault="008D4B76" w:rsidP="00863C7F">
    <w:pPr>
      <w:pStyle w:val="Footer"/>
    </w:pPr>
  </w:p>
  <w:p w14:paraId="424D5C40" w14:textId="77777777" w:rsidR="00AA6762" w:rsidRDefault="00AA6762" w:rsidP="00863C7F"/>
  <w:p w14:paraId="2CD8D5D3" w14:textId="77777777" w:rsidR="00AA6762" w:rsidRDefault="00AA6762" w:rsidP="00863C7F"/>
  <w:p w14:paraId="158FB993" w14:textId="77777777" w:rsidR="00A71751" w:rsidRDefault="00A71751" w:rsidP="00863C7F"/>
  <w:p w14:paraId="45CEFF8A" w14:textId="77777777" w:rsidR="00A71751" w:rsidRDefault="00A71751" w:rsidP="00863C7F"/>
  <w:p w14:paraId="312E2162" w14:textId="77777777" w:rsidR="00A71751" w:rsidRDefault="00A71751" w:rsidP="00863C7F"/>
  <w:p w14:paraId="51C374AF" w14:textId="77777777"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3E3C1" w14:textId="308EBEA2" w:rsidR="00830A50" w:rsidRDefault="00323BB7" w:rsidP="00DE6D19">
    <w:pPr>
      <w:pStyle w:val="Footer"/>
      <w:spacing w:after="720"/>
    </w:pPr>
    <w:r w:rsidRPr="00FA334F">
      <w:rPr>
        <w:b/>
        <w:bCs/>
      </w:rPr>
      <w:t>ndis.gov.au</w:t>
    </w:r>
    <w:r w:rsidR="0023603F">
      <w:tab/>
    </w:r>
    <w:r w:rsidR="00DE6D19" w:rsidRPr="008034CE">
      <w:t>May 2025 | Annual Pricing Review</w:t>
    </w:r>
    <w:r w:rsidR="0023603F">
      <w:tab/>
    </w:r>
    <w:r w:rsidR="004D32B5" w:rsidRPr="00FA334F">
      <w:fldChar w:fldCharType="begin"/>
    </w:r>
    <w:r w:rsidR="004D32B5" w:rsidRPr="00FA334F">
      <w:instrText xml:space="preserve"> PAGE   \* MERGEFORMAT </w:instrText>
    </w:r>
    <w:r w:rsidR="004D32B5" w:rsidRPr="00FA334F">
      <w:fldChar w:fldCharType="separate"/>
    </w:r>
    <w:r w:rsidR="00D35FF8" w:rsidRPr="004E4B0F">
      <w:t>2</w:t>
    </w:r>
    <w:r w:rsidR="004D32B5" w:rsidRPr="00FA334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7B59F" w14:textId="6CC65243" w:rsidR="007219F1" w:rsidRPr="007219F1" w:rsidRDefault="007219F1" w:rsidP="00333D2B">
    <w:pPr>
      <w:spacing w:after="6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68BAD" w14:textId="77777777" w:rsidR="000F5DAD" w:rsidRDefault="000F5DAD" w:rsidP="00863C7F">
      <w:r>
        <w:separator/>
      </w:r>
    </w:p>
  </w:footnote>
  <w:footnote w:type="continuationSeparator" w:id="0">
    <w:p w14:paraId="6EDD5FED" w14:textId="77777777" w:rsidR="000F5DAD" w:rsidRDefault="000F5DAD" w:rsidP="00863C7F">
      <w:r>
        <w:continuationSeparator/>
      </w:r>
    </w:p>
    <w:p w14:paraId="3DB5E97B" w14:textId="77777777" w:rsidR="000F5DAD" w:rsidRDefault="000F5DAD" w:rsidP="00863C7F"/>
  </w:footnote>
  <w:footnote w:type="continuationNotice" w:id="1">
    <w:p w14:paraId="2F2160B8" w14:textId="77777777" w:rsidR="000F5DAD" w:rsidRDefault="000F5DAD">
      <w:pPr>
        <w:spacing w:after="0" w:line="240" w:lineRule="auto"/>
      </w:pPr>
    </w:p>
  </w:footnote>
  <w:footnote w:id="2">
    <w:p w14:paraId="3330EC1A" w14:textId="77777777" w:rsidR="001E7864" w:rsidRPr="008034CE" w:rsidRDefault="001E7864" w:rsidP="001E7864">
      <w:pPr>
        <w:pStyle w:val="FootnoteText"/>
      </w:pPr>
      <w:r w:rsidRPr="008034CE">
        <w:rPr>
          <w:rStyle w:val="FootnoteReference"/>
        </w:rPr>
        <w:footnoteRef/>
      </w:r>
      <w:r w:rsidRPr="008034CE">
        <w:t xml:space="preserve">The Treasury. (2025). </w:t>
      </w:r>
      <w:r w:rsidRPr="008034CE">
        <w:rPr>
          <w:i/>
          <w:iCs/>
        </w:rPr>
        <w:t>Budget 2025–26: Budget Paper No. 1: Budget Strategy and Outlook.</w:t>
      </w:r>
      <w:r w:rsidRPr="008034CE">
        <w:t xml:space="preserve"> </w:t>
      </w:r>
      <w:hyperlink r:id="rId1" w:history="1">
        <w:r w:rsidRPr="008034CE">
          <w:rPr>
            <w:rStyle w:val="Hyperlink"/>
          </w:rPr>
          <w:t>https://budget.gov.au/content/bp1/download/bp1_2025-26.pdf</w:t>
        </w:r>
      </w:hyperlink>
    </w:p>
  </w:footnote>
  <w:footnote w:id="3">
    <w:p w14:paraId="76DE76DC" w14:textId="77777777" w:rsidR="001E7864" w:rsidRPr="008034CE" w:rsidRDefault="001E7864" w:rsidP="001E7864">
      <w:pPr>
        <w:pStyle w:val="FootnoteText"/>
      </w:pPr>
      <w:r w:rsidRPr="008034CE">
        <w:rPr>
          <w:rStyle w:val="FootnoteReference"/>
        </w:rPr>
        <w:footnoteRef/>
      </w:r>
      <w:r w:rsidRPr="008034CE">
        <w:t xml:space="preserve">Australian Bureau of Statistics. (2025). </w:t>
      </w:r>
      <w:r w:rsidRPr="008034CE">
        <w:rPr>
          <w:i/>
          <w:iCs/>
        </w:rPr>
        <w:t>Australian National Accounts: National Income, Expenditure and Product, December 2024</w:t>
      </w:r>
      <w:r w:rsidRPr="008034CE">
        <w:t xml:space="preserve">. </w:t>
      </w:r>
      <w:hyperlink r:id="rId2" w:history="1">
        <w:r w:rsidRPr="008034CE">
          <w:rPr>
            <w:rStyle w:val="Hyperlink"/>
          </w:rPr>
          <w:t>https://www.abs.gov.au/statistics/economy/national-accounts/australian-national-accounts-national-income-expenditure-and-product/dec-2024</w:t>
        </w:r>
      </w:hyperlink>
    </w:p>
  </w:footnote>
  <w:footnote w:id="4">
    <w:p w14:paraId="4F82D8D2" w14:textId="77777777" w:rsidR="001E7864" w:rsidRPr="008034CE" w:rsidRDefault="001E7864" w:rsidP="001E7864">
      <w:pPr>
        <w:pStyle w:val="FootnoteText"/>
      </w:pPr>
      <w:r w:rsidRPr="008034CE">
        <w:rPr>
          <w:rStyle w:val="FootnoteReference"/>
        </w:rPr>
        <w:footnoteRef/>
      </w:r>
      <w:r w:rsidRPr="008034CE">
        <w:t xml:space="preserve">The Treasury. (2025). </w:t>
      </w:r>
      <w:r w:rsidRPr="008034CE">
        <w:rPr>
          <w:i/>
          <w:iCs/>
        </w:rPr>
        <w:t>Budget 2025–26: Budget Paper No. 1: Budget Strategy and Outlook</w:t>
      </w:r>
      <w:r w:rsidRPr="008034CE">
        <w:t xml:space="preserve">. </w:t>
      </w:r>
      <w:hyperlink r:id="rId3" w:history="1">
        <w:r w:rsidRPr="008034CE">
          <w:rPr>
            <w:rStyle w:val="Hyperlink"/>
          </w:rPr>
          <w:t>https://budget.gov.au/content/bp1/download/bp1_2025-26.pdf</w:t>
        </w:r>
      </w:hyperlink>
    </w:p>
  </w:footnote>
  <w:footnote w:id="5">
    <w:p w14:paraId="69C4D6B7" w14:textId="77777777" w:rsidR="001E7864" w:rsidRPr="008034CE" w:rsidRDefault="001E7864" w:rsidP="001E7864">
      <w:pPr>
        <w:pStyle w:val="FootnoteText"/>
      </w:pPr>
      <w:r w:rsidRPr="008034CE">
        <w:rPr>
          <w:rStyle w:val="FootnoteReference"/>
        </w:rPr>
        <w:footnoteRef/>
      </w:r>
      <w:r w:rsidRPr="008034CE">
        <w:t xml:space="preserve">Australian Bureau of Statistics. (2025). </w:t>
      </w:r>
      <w:r w:rsidRPr="008034CE">
        <w:rPr>
          <w:i/>
          <w:iCs/>
        </w:rPr>
        <w:t>Consumer Price Index, Australia, March Quarter 2025</w:t>
      </w:r>
      <w:r w:rsidRPr="008034CE">
        <w:t xml:space="preserve">. </w:t>
      </w:r>
      <w:hyperlink r:id="rId4" w:history="1">
        <w:r w:rsidRPr="008034CE">
          <w:rPr>
            <w:rStyle w:val="Hyperlink"/>
          </w:rPr>
          <w:t>https://www.abs.gov.au/statistics/economy/price-indexes-and-inflation/consumer-price-index-australia/mar-quarter-2025</w:t>
        </w:r>
      </w:hyperlink>
      <w:r w:rsidRPr="008034CE">
        <w:t xml:space="preserve"> </w:t>
      </w:r>
    </w:p>
  </w:footnote>
  <w:footnote w:id="6">
    <w:p w14:paraId="3F6E0FEF" w14:textId="77777777" w:rsidR="001E7864" w:rsidRPr="008034CE" w:rsidRDefault="001E7864" w:rsidP="001E7864">
      <w:pPr>
        <w:pStyle w:val="FootnoteText"/>
      </w:pPr>
      <w:r w:rsidRPr="008034CE">
        <w:rPr>
          <w:rStyle w:val="FootnoteReference"/>
        </w:rPr>
        <w:footnoteRef/>
      </w:r>
      <w:r w:rsidRPr="008034CE">
        <w:t xml:space="preserve">Reserve Bank of Australia. (2025). </w:t>
      </w:r>
      <w:r w:rsidRPr="008034CE">
        <w:rPr>
          <w:i/>
          <w:iCs/>
        </w:rPr>
        <w:t>Statement on Monetary Policy – May 2025</w:t>
      </w:r>
      <w:r w:rsidRPr="008034CE">
        <w:t xml:space="preserve">. </w:t>
      </w:r>
      <w:hyperlink r:id="rId5" w:history="1">
        <w:r w:rsidRPr="008034CE">
          <w:rPr>
            <w:rStyle w:val="Hyperlink"/>
          </w:rPr>
          <w:t>https://www.rba.gov.au/publications/smp/2025/may/</w:t>
        </w:r>
      </w:hyperlink>
      <w:r w:rsidRPr="008034CE">
        <w:t xml:space="preserve">      </w:t>
      </w:r>
    </w:p>
  </w:footnote>
  <w:footnote w:id="7">
    <w:p w14:paraId="074BDC99" w14:textId="77777777" w:rsidR="004D12B4" w:rsidRPr="005472BC" w:rsidRDefault="004D12B4" w:rsidP="004D12B4">
      <w:pPr>
        <w:pStyle w:val="FootnoteText"/>
        <w:rPr>
          <w:i/>
          <w:iCs/>
        </w:rPr>
      </w:pPr>
      <w:r>
        <w:rPr>
          <w:rStyle w:val="FootnoteReference"/>
        </w:rPr>
        <w:footnoteRef/>
      </w:r>
      <w:r>
        <w:t xml:space="preserve">Australian Bureau of Statistics. (2025). </w:t>
      </w:r>
      <w:r w:rsidRPr="005472BC">
        <w:rPr>
          <w:i/>
          <w:iCs/>
        </w:rPr>
        <w:t xml:space="preserve">Consumer Price Index, Australia, </w:t>
      </w:r>
      <w:r>
        <w:rPr>
          <w:i/>
          <w:iCs/>
        </w:rPr>
        <w:t>March</w:t>
      </w:r>
      <w:r w:rsidRPr="005472BC">
        <w:rPr>
          <w:i/>
          <w:iCs/>
        </w:rPr>
        <w:t xml:space="preserve"> Quarter 202</w:t>
      </w:r>
      <w:r>
        <w:rPr>
          <w:i/>
          <w:iCs/>
        </w:rPr>
        <w:t>5.</w:t>
      </w:r>
      <w:r>
        <w:t xml:space="preserve"> </w:t>
      </w:r>
      <w:hyperlink r:id="rId6" w:history="1">
        <w:r w:rsidRPr="00C6199A">
          <w:rPr>
            <w:rStyle w:val="Hyperlink"/>
          </w:rPr>
          <w:t>https://www.abs.gov.au/statistics/economy/price-indexes-and-inflation/consumer-price-index-australia/mar-quarter-2025</w:t>
        </w:r>
      </w:hyperlink>
      <w:r>
        <w:t xml:space="preserve"> </w:t>
      </w:r>
    </w:p>
  </w:footnote>
  <w:footnote w:id="8">
    <w:p w14:paraId="2DE04DE4" w14:textId="326DCE46" w:rsidR="002874A6" w:rsidRPr="008034CE" w:rsidRDefault="002874A6" w:rsidP="002874A6">
      <w:pPr>
        <w:pStyle w:val="FootnoteText"/>
      </w:pPr>
      <w:r w:rsidRPr="008034CE">
        <w:rPr>
          <w:rStyle w:val="FootnoteReference"/>
        </w:rPr>
        <w:footnoteRef/>
      </w:r>
      <w:r w:rsidRPr="008034CE">
        <w:t xml:space="preserve">Australian Bureau of Statistics. (2025). </w:t>
      </w:r>
      <w:r w:rsidRPr="008034CE">
        <w:rPr>
          <w:i/>
          <w:iCs/>
        </w:rPr>
        <w:t>Labour Force, Australia, April 2025.</w:t>
      </w:r>
      <w:r w:rsidRPr="008034CE">
        <w:t xml:space="preserve"> </w:t>
      </w:r>
      <w:hyperlink r:id="rId7" w:history="1">
        <w:r w:rsidR="00A43B9C" w:rsidRPr="00A43B9C">
          <w:rPr>
            <w:rStyle w:val="Hyperlink"/>
          </w:rPr>
          <w:t>https://www.abs.gov.au/statistics/labour/employment-and-unemployment/labour-force-australia/</w:t>
        </w:r>
        <w:r w:rsidR="00A43B9C" w:rsidRPr="00A43B9C">
          <w:rPr>
            <w:rStyle w:val="Hyperlink"/>
          </w:rPr>
          <w:br/>
          <w:t>apr-2025</w:t>
        </w:r>
        <w:r w:rsidRPr="00A43B9C">
          <w:rPr>
            <w:rStyle w:val="Hyperlink"/>
          </w:rPr>
          <w:t xml:space="preserve"> </w:t>
        </w:r>
      </w:hyperlink>
    </w:p>
  </w:footnote>
  <w:footnote w:id="9">
    <w:p w14:paraId="1118EE76" w14:textId="77777777" w:rsidR="002874A6" w:rsidRPr="008034CE" w:rsidRDefault="002874A6" w:rsidP="002874A6">
      <w:pPr>
        <w:pStyle w:val="FootnoteText"/>
      </w:pPr>
      <w:r w:rsidRPr="008034CE">
        <w:rPr>
          <w:rStyle w:val="FootnoteReference"/>
        </w:rPr>
        <w:footnoteRef/>
      </w:r>
      <w:r w:rsidRPr="008034CE">
        <w:t>ibid</w:t>
      </w:r>
    </w:p>
  </w:footnote>
  <w:footnote w:id="10">
    <w:p w14:paraId="0480D50D" w14:textId="77777777" w:rsidR="002874A6" w:rsidRPr="008034CE" w:rsidRDefault="002874A6" w:rsidP="002874A6">
      <w:pPr>
        <w:pStyle w:val="FootnoteText"/>
      </w:pPr>
      <w:r w:rsidRPr="008034CE">
        <w:rPr>
          <w:rStyle w:val="FootnoteReference"/>
        </w:rPr>
        <w:footnoteRef/>
      </w:r>
      <w:r w:rsidRPr="008034CE">
        <w:t xml:space="preserve">The Treasury. (2025). </w:t>
      </w:r>
      <w:r w:rsidRPr="008034CE">
        <w:rPr>
          <w:i/>
          <w:iCs/>
        </w:rPr>
        <w:t>Budget 2025–26: Budget Paper No. 1: Budget Strategy and Outlook.</w:t>
      </w:r>
      <w:r w:rsidRPr="008034CE">
        <w:t xml:space="preserve"> </w:t>
      </w:r>
      <w:hyperlink r:id="rId8" w:history="1">
        <w:r w:rsidRPr="008034CE">
          <w:rPr>
            <w:rStyle w:val="Hyperlink"/>
          </w:rPr>
          <w:t>https://budget.gov.au/content/bp1/download/bp1_2025-26.pdf</w:t>
        </w:r>
      </w:hyperlink>
    </w:p>
  </w:footnote>
  <w:footnote w:id="11">
    <w:p w14:paraId="5D79FF54" w14:textId="77777777" w:rsidR="002874A6" w:rsidRPr="008034CE" w:rsidRDefault="002874A6" w:rsidP="002874A6">
      <w:pPr>
        <w:pStyle w:val="FootnoteText"/>
      </w:pPr>
      <w:r w:rsidRPr="008034CE">
        <w:rPr>
          <w:rStyle w:val="FootnoteReference"/>
        </w:rPr>
        <w:footnoteRef/>
      </w:r>
      <w:r w:rsidRPr="008034CE">
        <w:t>ibid</w:t>
      </w:r>
    </w:p>
  </w:footnote>
  <w:footnote w:id="12">
    <w:p w14:paraId="2C452EC8" w14:textId="77777777" w:rsidR="002874A6" w:rsidRPr="008034CE" w:rsidRDefault="002874A6" w:rsidP="002874A6">
      <w:pPr>
        <w:pStyle w:val="FootnoteText"/>
      </w:pPr>
      <w:r w:rsidRPr="008034CE">
        <w:rPr>
          <w:rStyle w:val="FootnoteReference"/>
        </w:rPr>
        <w:footnoteRef/>
      </w:r>
      <w:r w:rsidRPr="008034CE">
        <w:t xml:space="preserve">Australian Bureau of Statistics. (2025). </w:t>
      </w:r>
      <w:r w:rsidRPr="008034CE">
        <w:rPr>
          <w:i/>
          <w:iCs/>
        </w:rPr>
        <w:t>Labour Force, Australia, Detailed, February Quarter 2025.</w:t>
      </w:r>
      <w:r w:rsidRPr="008034CE">
        <w:t xml:space="preserve"> </w:t>
      </w:r>
      <w:hyperlink r:id="rId9" w:anchor="data-downloads" w:history="1">
        <w:r w:rsidRPr="008034CE">
          <w:rPr>
            <w:rStyle w:val="Hyperlink"/>
          </w:rPr>
          <w:t>https://www.abs.gov.au/statistics/labour/employment-and-unemployment/labour-force-australia-detailed/feb-2025#data-downloads</w:t>
        </w:r>
      </w:hyperlink>
    </w:p>
  </w:footnote>
  <w:footnote w:id="13">
    <w:p w14:paraId="75206C65" w14:textId="77777777" w:rsidR="002874A6" w:rsidRPr="008034CE" w:rsidRDefault="002874A6" w:rsidP="002874A6">
      <w:pPr>
        <w:pStyle w:val="FootnoteText"/>
      </w:pPr>
      <w:r w:rsidRPr="008034CE">
        <w:rPr>
          <w:rStyle w:val="FootnoteReference"/>
        </w:rPr>
        <w:footnoteRef/>
      </w:r>
      <w:r w:rsidRPr="008034CE">
        <w:t>ibid</w:t>
      </w:r>
    </w:p>
  </w:footnote>
  <w:footnote w:id="14">
    <w:p w14:paraId="01EE7077" w14:textId="77777777" w:rsidR="00254C6D" w:rsidRPr="008034CE" w:rsidRDefault="00254C6D" w:rsidP="00254C6D">
      <w:pPr>
        <w:pStyle w:val="FootnoteText"/>
      </w:pPr>
      <w:r w:rsidRPr="008034CE">
        <w:rPr>
          <w:rStyle w:val="FootnoteReference"/>
        </w:rPr>
        <w:footnoteRef/>
      </w:r>
      <w:r w:rsidRPr="008034CE">
        <w:t>ibid</w:t>
      </w:r>
    </w:p>
  </w:footnote>
  <w:footnote w:id="15">
    <w:p w14:paraId="335D3004" w14:textId="77777777" w:rsidR="00254C6D" w:rsidRPr="008034CE" w:rsidRDefault="00254C6D" w:rsidP="00254C6D">
      <w:pPr>
        <w:pStyle w:val="FootnoteText"/>
      </w:pPr>
      <w:r w:rsidRPr="008034CE">
        <w:rPr>
          <w:rStyle w:val="FootnoteReference"/>
        </w:rPr>
        <w:footnoteRef/>
      </w:r>
      <w:r w:rsidRPr="008034CE">
        <w:t xml:space="preserve">Australian Bureau of Statistics. (2025). </w:t>
      </w:r>
      <w:r w:rsidRPr="008034CE">
        <w:rPr>
          <w:i/>
          <w:iCs/>
        </w:rPr>
        <w:t>Job Vacancies, Australia, February 2025.</w:t>
      </w:r>
      <w:r w:rsidRPr="008034CE">
        <w:t xml:space="preserve"> </w:t>
      </w:r>
      <w:hyperlink r:id="rId10" w:history="1">
        <w:r w:rsidRPr="008034CE">
          <w:rPr>
            <w:rStyle w:val="Hyperlink"/>
          </w:rPr>
          <w:t>https://www.abs.gov.au/statistics/labour/jobs/job-vacancies-australia/feb-2025</w:t>
        </w:r>
      </w:hyperlink>
    </w:p>
  </w:footnote>
  <w:footnote w:id="16">
    <w:p w14:paraId="1907D86F" w14:textId="77777777" w:rsidR="00254C6D" w:rsidRPr="008034CE" w:rsidRDefault="00254C6D" w:rsidP="00254C6D">
      <w:pPr>
        <w:pStyle w:val="FootnoteText"/>
      </w:pPr>
      <w:r w:rsidRPr="008034CE">
        <w:rPr>
          <w:rStyle w:val="FootnoteReference"/>
        </w:rPr>
        <w:footnoteRef/>
      </w:r>
      <w:r w:rsidRPr="008034CE">
        <w:t xml:space="preserve">Jobs and Skills Australia. (2025). </w:t>
      </w:r>
      <w:r w:rsidRPr="008034CE">
        <w:rPr>
          <w:i/>
          <w:iCs/>
        </w:rPr>
        <w:t>Internet Vacancy Index, February 2025.</w:t>
      </w:r>
      <w:r w:rsidRPr="008034CE">
        <w:t xml:space="preserve"> </w:t>
      </w:r>
      <w:hyperlink r:id="rId11" w:anchor="downloads" w:history="1">
        <w:r w:rsidRPr="008034CE">
          <w:rPr>
            <w:rStyle w:val="Hyperlink"/>
          </w:rPr>
          <w:t>https://www.jobsandskills.gov.au/data/internet-vacancy-index#downloads</w:t>
        </w:r>
      </w:hyperlink>
    </w:p>
  </w:footnote>
  <w:footnote w:id="17">
    <w:p w14:paraId="5D06CFAC" w14:textId="77777777" w:rsidR="00254C6D" w:rsidRPr="008034CE" w:rsidRDefault="00254C6D" w:rsidP="00254C6D">
      <w:pPr>
        <w:pStyle w:val="FootnoteText"/>
      </w:pPr>
      <w:r w:rsidRPr="008034CE">
        <w:rPr>
          <w:rStyle w:val="FootnoteReference"/>
        </w:rPr>
        <w:footnoteRef/>
      </w:r>
      <w:r w:rsidRPr="008034CE">
        <w:t xml:space="preserve">Jobs and Skills Australia. (2025). </w:t>
      </w:r>
      <w:r w:rsidRPr="008034CE">
        <w:rPr>
          <w:i/>
          <w:iCs/>
        </w:rPr>
        <w:t>Jobs and Skills Atlas, January 2025.</w:t>
      </w:r>
      <w:r w:rsidRPr="008034CE">
        <w:t xml:space="preserve"> </w:t>
      </w:r>
      <w:hyperlink r:id="rId12" w:history="1">
        <w:r w:rsidRPr="008034CE">
          <w:rPr>
            <w:rStyle w:val="Hyperlink"/>
          </w:rPr>
          <w:t>https://www.jobsandskills.gov.au/jobs-and-skills-atlas</w:t>
        </w:r>
      </w:hyperlink>
    </w:p>
  </w:footnote>
  <w:footnote w:id="18">
    <w:p w14:paraId="6959DFE9" w14:textId="77777777" w:rsidR="00254C6D" w:rsidRPr="008034CE" w:rsidRDefault="00254C6D" w:rsidP="00254C6D">
      <w:pPr>
        <w:pStyle w:val="FootnoteText"/>
      </w:pPr>
      <w:r w:rsidRPr="008034CE">
        <w:rPr>
          <w:rStyle w:val="FootnoteReference"/>
        </w:rPr>
        <w:footnoteRef/>
      </w:r>
      <w:r w:rsidRPr="008034CE">
        <w:t xml:space="preserve">Jobs and Skills Australia. (2024). </w:t>
      </w:r>
      <w:r w:rsidRPr="008034CE">
        <w:rPr>
          <w:i/>
          <w:iCs/>
        </w:rPr>
        <w:t>Employment Projections, May 2024 - May 2034.</w:t>
      </w:r>
      <w:r w:rsidRPr="008034CE">
        <w:t xml:space="preserve"> </w:t>
      </w:r>
      <w:hyperlink r:id="rId13" w:history="1">
        <w:r w:rsidRPr="008034CE">
          <w:rPr>
            <w:rStyle w:val="Hyperlink"/>
          </w:rPr>
          <w:t>https://www.jobsandskills.gov.au/data/employment-projections</w:t>
        </w:r>
      </w:hyperlink>
    </w:p>
  </w:footnote>
  <w:footnote w:id="19">
    <w:p w14:paraId="37EFD319" w14:textId="77777777" w:rsidR="00254C6D" w:rsidRPr="008034CE" w:rsidRDefault="00254C6D" w:rsidP="00254C6D">
      <w:pPr>
        <w:pStyle w:val="FootnoteText"/>
      </w:pPr>
      <w:r w:rsidRPr="008034CE">
        <w:rPr>
          <w:rStyle w:val="FootnoteReference"/>
        </w:rPr>
        <w:footnoteRef/>
      </w:r>
      <w:r w:rsidRPr="008034CE">
        <w:t>ibid</w:t>
      </w:r>
    </w:p>
  </w:footnote>
  <w:footnote w:id="20">
    <w:p w14:paraId="06823DAD" w14:textId="77777777" w:rsidR="00254C6D" w:rsidRPr="008034CE" w:rsidRDefault="00254C6D" w:rsidP="00254C6D">
      <w:pPr>
        <w:pStyle w:val="FootnoteText"/>
      </w:pPr>
      <w:r w:rsidRPr="008034CE">
        <w:rPr>
          <w:rStyle w:val="FootnoteReference"/>
        </w:rPr>
        <w:footnoteRef/>
      </w:r>
      <w:r w:rsidRPr="008034CE">
        <w:t>ibid</w:t>
      </w:r>
    </w:p>
  </w:footnote>
  <w:footnote w:id="21">
    <w:p w14:paraId="46611456" w14:textId="77777777" w:rsidR="00254C6D" w:rsidRPr="008034CE" w:rsidRDefault="00254C6D" w:rsidP="00254C6D">
      <w:pPr>
        <w:pStyle w:val="FootnoteText"/>
      </w:pPr>
      <w:r w:rsidRPr="008034CE">
        <w:rPr>
          <w:rStyle w:val="FootnoteReference"/>
        </w:rPr>
        <w:footnoteRef/>
      </w:r>
      <w:r w:rsidRPr="008034CE">
        <w:t xml:space="preserve">Australian Bureau of Statistics. (2025). </w:t>
      </w:r>
      <w:r w:rsidRPr="008034CE">
        <w:rPr>
          <w:i/>
          <w:iCs/>
        </w:rPr>
        <w:t>Wage Price Index, Australia, March 2025.</w:t>
      </w:r>
      <w:r w:rsidRPr="008034CE">
        <w:t xml:space="preserve"> </w:t>
      </w:r>
      <w:hyperlink r:id="rId14" w:history="1">
        <w:r w:rsidRPr="008034CE">
          <w:rPr>
            <w:rStyle w:val="Hyperlink"/>
          </w:rPr>
          <w:t>https://www.abs.gov.au/statistics/economy/price-indexes-and-inflation/wage-price-index-australia/mar-2025</w:t>
        </w:r>
      </w:hyperlink>
      <w:r w:rsidRPr="008034CE">
        <w:t xml:space="preserve">  </w:t>
      </w:r>
    </w:p>
  </w:footnote>
  <w:footnote w:id="22">
    <w:p w14:paraId="1555F9BE" w14:textId="77777777" w:rsidR="00254C6D" w:rsidRPr="008034CE" w:rsidRDefault="00254C6D" w:rsidP="00254C6D">
      <w:pPr>
        <w:pStyle w:val="FootnoteText"/>
      </w:pPr>
      <w:r w:rsidRPr="008034CE">
        <w:rPr>
          <w:rStyle w:val="FootnoteReference"/>
        </w:rPr>
        <w:footnoteRef/>
      </w:r>
      <w:r w:rsidRPr="008034CE">
        <w:t xml:space="preserve">The Treasury. (2025). </w:t>
      </w:r>
      <w:r w:rsidRPr="008034CE">
        <w:rPr>
          <w:i/>
          <w:iCs/>
        </w:rPr>
        <w:t>Budget 2025–26: Budget Paper No. 1: Budget Strategy and Outlook</w:t>
      </w:r>
      <w:r w:rsidRPr="008034CE">
        <w:t xml:space="preserve">. </w:t>
      </w:r>
      <w:hyperlink r:id="rId15" w:history="1">
        <w:r w:rsidRPr="008034CE">
          <w:rPr>
            <w:rStyle w:val="Hyperlink"/>
          </w:rPr>
          <w:t>https://budget.gov.au/content/bp1/download/bp1_2025-26.pdf</w:t>
        </w:r>
      </w:hyperlink>
    </w:p>
  </w:footnote>
  <w:footnote w:id="23">
    <w:p w14:paraId="1E5AA0FA" w14:textId="77777777" w:rsidR="00254C6D" w:rsidRPr="008034CE" w:rsidRDefault="00254C6D" w:rsidP="00254C6D">
      <w:pPr>
        <w:pStyle w:val="FootnoteText"/>
      </w:pPr>
      <w:r w:rsidRPr="008034CE">
        <w:rPr>
          <w:rStyle w:val="FootnoteReference"/>
        </w:rPr>
        <w:footnoteRef/>
      </w:r>
      <w:r w:rsidRPr="008034CE">
        <w:t xml:space="preserve">Australian Bureau of Statistics. (2025). </w:t>
      </w:r>
      <w:r w:rsidRPr="008034CE">
        <w:rPr>
          <w:i/>
          <w:iCs/>
        </w:rPr>
        <w:t>Wage Price Index, Australia, March 2025</w:t>
      </w:r>
      <w:r w:rsidRPr="008034CE">
        <w:t xml:space="preserve">. </w:t>
      </w:r>
      <w:hyperlink r:id="rId16" w:history="1">
        <w:r w:rsidRPr="008034CE">
          <w:rPr>
            <w:rStyle w:val="Hyperlink"/>
          </w:rPr>
          <w:t>https://www.abs.gov.au/statistics/economy/price-indexes-and-inflation/wage-price-index-australia/mar-2025</w:t>
        </w:r>
      </w:hyperlink>
      <w:r w:rsidRPr="008034CE">
        <w:t xml:space="preserve"> </w:t>
      </w:r>
    </w:p>
  </w:footnote>
  <w:footnote w:id="24">
    <w:p w14:paraId="15DE5E14" w14:textId="77777777" w:rsidR="00254C6D" w:rsidRPr="008034CE" w:rsidRDefault="00254C6D" w:rsidP="00254C6D">
      <w:pPr>
        <w:pStyle w:val="FootnoteText"/>
      </w:pPr>
      <w:r w:rsidRPr="008034CE">
        <w:rPr>
          <w:rStyle w:val="FootnoteReference"/>
        </w:rPr>
        <w:footnoteRef/>
      </w:r>
      <w:r w:rsidRPr="008034CE">
        <w:t>ibid</w:t>
      </w:r>
    </w:p>
  </w:footnote>
  <w:footnote w:id="25">
    <w:p w14:paraId="072BB747" w14:textId="77777777" w:rsidR="005633D2" w:rsidRPr="008034CE" w:rsidRDefault="005633D2" w:rsidP="005633D2">
      <w:pPr>
        <w:pStyle w:val="FootnoteText"/>
      </w:pPr>
      <w:r w:rsidRPr="008034CE">
        <w:rPr>
          <w:rStyle w:val="FootnoteReference"/>
        </w:rPr>
        <w:footnoteRef/>
      </w:r>
      <w:hyperlink r:id="rId17" w:history="1">
        <w:r w:rsidRPr="008034CE">
          <w:rPr>
            <w:rStyle w:val="Hyperlink"/>
          </w:rPr>
          <w:t>Work Value Case – Nurses and Midwives</w:t>
        </w:r>
      </w:hyperlink>
      <w:r w:rsidRPr="008034CE">
        <w:t>, Fair Work Commission</w:t>
      </w:r>
    </w:p>
  </w:footnote>
  <w:footnote w:id="26">
    <w:p w14:paraId="3322C947" w14:textId="77777777" w:rsidR="005633D2" w:rsidRPr="008034CE" w:rsidRDefault="005633D2" w:rsidP="005633D2">
      <w:pPr>
        <w:spacing w:before="120" w:after="0"/>
        <w:rPr>
          <w:rFonts w:eastAsia="Arial"/>
          <w:color w:val="0432FF"/>
          <w:sz w:val="20"/>
          <w:u w:val="single"/>
        </w:rPr>
      </w:pPr>
      <w:r w:rsidRPr="008034CE">
        <w:rPr>
          <w:rStyle w:val="FootnoteReference"/>
          <w:sz w:val="20"/>
        </w:rPr>
        <w:footnoteRef/>
      </w:r>
      <w:r w:rsidRPr="008034CE">
        <w:rPr>
          <w:sz w:val="20"/>
        </w:rPr>
        <w:t>I</w:t>
      </w:r>
      <w:r w:rsidRPr="008034CE">
        <w:rPr>
          <w:sz w:val="20"/>
          <w:szCs w:val="20"/>
        </w:rPr>
        <w:t xml:space="preserve">nformation can be found on the </w:t>
      </w:r>
      <w:hyperlink r:id="rId18" w:history="1">
        <w:r w:rsidRPr="008034CE">
          <w:rPr>
            <w:rStyle w:val="Hyperlink"/>
            <w:sz w:val="20"/>
            <w:szCs w:val="20"/>
          </w:rPr>
          <w:t>FWC website</w:t>
        </w:r>
      </w:hyperlink>
      <w:r w:rsidRPr="008034CE">
        <w:rPr>
          <w:sz w:val="20"/>
          <w:szCs w:val="20"/>
        </w:rPr>
        <w:t xml:space="preserve"> and </w:t>
      </w:r>
      <w:hyperlink r:id="rId19" w:history="1">
        <w:r w:rsidRPr="008034CE">
          <w:rPr>
            <w:rStyle w:val="Hyperlink"/>
            <w:sz w:val="20"/>
            <w:szCs w:val="20"/>
          </w:rPr>
          <w:t>Department of Health and Aged Care website</w:t>
        </w:r>
      </w:hyperlink>
    </w:p>
  </w:footnote>
  <w:footnote w:id="27">
    <w:p w14:paraId="1B4370B5" w14:textId="77777777" w:rsidR="00120DFC" w:rsidRPr="008034CE" w:rsidRDefault="00120DFC" w:rsidP="00120DFC">
      <w:pPr>
        <w:pStyle w:val="FootnoteText"/>
        <w:rPr>
          <w:rFonts w:eastAsia="Arial" w:cs="Arial"/>
        </w:rPr>
      </w:pPr>
      <w:r w:rsidRPr="008034CE">
        <w:rPr>
          <w:rStyle w:val="FootnoteReference"/>
        </w:rPr>
        <w:footnoteRef/>
      </w:r>
      <w:r w:rsidRPr="008034CE">
        <w:rPr>
          <w:rFonts w:eastAsia="Arial" w:cs="Arial"/>
        </w:rPr>
        <w:t>Data analysis of registered provider payment activity by the NDIA includes payments made against agency managed plans, which are attributed to registered providers, and payments for plan management services. Providers with an unclear status at the time of transaction or those providing an invalid ABN have been excluded from this analysis.</w:t>
      </w:r>
    </w:p>
  </w:footnote>
  <w:footnote w:id="28">
    <w:p w14:paraId="51CBD7B4" w14:textId="77777777" w:rsidR="003F6D67" w:rsidRPr="008034CE" w:rsidRDefault="003F6D67" w:rsidP="003F6D67">
      <w:pPr>
        <w:pStyle w:val="FootnoteText"/>
      </w:pPr>
      <w:r w:rsidRPr="008034CE">
        <w:rPr>
          <w:rStyle w:val="FootnoteReference"/>
        </w:rPr>
        <w:footnoteRef/>
      </w:r>
      <w:r w:rsidRPr="008034CE">
        <w:t>Data analysis of registered provider payment activity by the NDIA includes payments made against agency managed plans, which are attributed to registered providers, and payments for plan management services. Providers with an unclear status at the time of transaction or those providing an invalid ABN have been excluded from this analysis.</w:t>
      </w:r>
    </w:p>
  </w:footnote>
  <w:footnote w:id="29">
    <w:p w14:paraId="23295B6E" w14:textId="77777777" w:rsidR="00CC4748" w:rsidRDefault="00CC4748" w:rsidP="00CC4748">
      <w:pPr>
        <w:pStyle w:val="FootnoteText"/>
      </w:pPr>
      <w:r w:rsidRPr="008034CE">
        <w:rPr>
          <w:rStyle w:val="FootnoteReference"/>
        </w:rPr>
        <w:footnoteRef/>
      </w:r>
      <w:r w:rsidRPr="008034CE">
        <w:t>This percentage does not include participants who are partly self-managed and partly plan-managed.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145D6" w14:textId="77777777" w:rsidR="008D4B76" w:rsidRDefault="008D4B76" w:rsidP="00863C7F">
    <w:pPr>
      <w:pStyle w:val="Header"/>
    </w:pPr>
  </w:p>
  <w:p w14:paraId="4C210C04" w14:textId="77777777" w:rsidR="00AA6762" w:rsidRDefault="00AA6762" w:rsidP="00863C7F"/>
  <w:p w14:paraId="2AD6D73C" w14:textId="77777777" w:rsidR="00AA6762" w:rsidRDefault="00AA6762" w:rsidP="00863C7F"/>
  <w:p w14:paraId="0F0BF436" w14:textId="77777777" w:rsidR="00A71751" w:rsidRDefault="00A71751" w:rsidP="00863C7F"/>
  <w:p w14:paraId="58A4862B" w14:textId="77777777" w:rsidR="00A71751" w:rsidRDefault="00A71751" w:rsidP="00863C7F"/>
  <w:p w14:paraId="3ABC158F" w14:textId="77777777" w:rsidR="00A71751" w:rsidRDefault="00A71751" w:rsidP="00863C7F"/>
  <w:p w14:paraId="5C93E50A" w14:textId="77777777" w:rsidR="00A71751" w:rsidRDefault="00A71751" w:rsidP="00863C7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62CC5"/>
    <w:multiLevelType w:val="hybridMultilevel"/>
    <w:tmpl w:val="7BE8F9BA"/>
    <w:lvl w:ilvl="0" w:tplc="EA1E3034">
      <w:start w:val="1"/>
      <w:numFmt w:val="bullet"/>
      <w:pStyle w:val="DotPoint"/>
      <w:lvlText w:val=""/>
      <w:lvlJc w:val="left"/>
      <w:pPr>
        <w:ind w:left="567" w:hanging="283"/>
      </w:pPr>
      <w:rPr>
        <w:rFonts w:ascii="Symbol" w:hAnsi="Symbol" w:hint="default"/>
      </w:rPr>
    </w:lvl>
    <w:lvl w:ilvl="1" w:tplc="FF88AB46">
      <w:start w:val="1"/>
      <w:numFmt w:val="bullet"/>
      <w:lvlText w:val="o"/>
      <w:lvlJc w:val="left"/>
      <w:pPr>
        <w:ind w:left="851" w:hanging="284"/>
      </w:pPr>
      <w:rPr>
        <w:rFonts w:ascii="Courier New" w:hAnsi="Courier New" w:cs="Times New Roman" w:hint="default"/>
      </w:rPr>
    </w:lvl>
    <w:lvl w:ilvl="2" w:tplc="0C090005">
      <w:start w:val="1"/>
      <w:numFmt w:val="bullet"/>
      <w:lvlText w:val=""/>
      <w:lvlJc w:val="left"/>
      <w:pPr>
        <w:ind w:left="2160" w:hanging="360"/>
      </w:pPr>
      <w:rPr>
        <w:rFonts w:ascii="Wingdings" w:hAnsi="Wingdings" w:hint="default"/>
      </w:rPr>
    </w:lvl>
    <w:lvl w:ilvl="3" w:tplc="0C090001">
      <w:numFmt w:val="bullet"/>
      <w:lvlText w:val="•"/>
      <w:lvlJc w:val="left"/>
      <w:pPr>
        <w:ind w:left="2880" w:hanging="360"/>
      </w:pPr>
      <w:rPr>
        <w:rFonts w:ascii="Arial" w:eastAsiaTheme="minorEastAsia" w:hAnsi="Arial" w:cs="Aria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0ED064F3"/>
    <w:multiLevelType w:val="hybridMultilevel"/>
    <w:tmpl w:val="1590A4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1506A0B"/>
    <w:multiLevelType w:val="hybridMultilevel"/>
    <w:tmpl w:val="E46CBA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064F4D"/>
    <w:multiLevelType w:val="hybridMultilevel"/>
    <w:tmpl w:val="0756A6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13055FF"/>
    <w:multiLevelType w:val="hybridMultilevel"/>
    <w:tmpl w:val="A0848650"/>
    <w:lvl w:ilvl="0" w:tplc="489E4EDC">
      <w:start w:val="1"/>
      <w:numFmt w:val="bullet"/>
      <w:pStyle w:val="Bullet"/>
      <w:lvlText w:val=""/>
      <w:lvlJc w:val="left"/>
      <w:pPr>
        <w:ind w:left="-1779" w:hanging="360"/>
      </w:pPr>
      <w:rPr>
        <w:rFonts w:ascii="Symbol" w:hAnsi="Symbol" w:hint="default"/>
      </w:rPr>
    </w:lvl>
    <w:lvl w:ilvl="1" w:tplc="08090003" w:tentative="1">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6" w15:restartNumberingAfterBreak="0">
    <w:nsid w:val="21A8ECB1"/>
    <w:multiLevelType w:val="hybridMultilevel"/>
    <w:tmpl w:val="FFFFFFFF"/>
    <w:lvl w:ilvl="0" w:tplc="26C6CC3C">
      <w:start w:val="1"/>
      <w:numFmt w:val="decimal"/>
      <w:pStyle w:val="RecDotPoint"/>
      <w:lvlText w:val="%1."/>
      <w:lvlJc w:val="left"/>
      <w:pPr>
        <w:ind w:left="720" w:hanging="360"/>
      </w:pPr>
    </w:lvl>
    <w:lvl w:ilvl="1" w:tplc="B1F2223C">
      <w:start w:val="1"/>
      <w:numFmt w:val="lowerLetter"/>
      <w:lvlText w:val="%2."/>
      <w:lvlJc w:val="left"/>
      <w:pPr>
        <w:ind w:left="1440" w:hanging="360"/>
      </w:pPr>
    </w:lvl>
    <w:lvl w:ilvl="2" w:tplc="DFF2EA02">
      <w:start w:val="1"/>
      <w:numFmt w:val="lowerRoman"/>
      <w:lvlText w:val="%3."/>
      <w:lvlJc w:val="right"/>
      <w:pPr>
        <w:ind w:left="2160" w:hanging="180"/>
      </w:pPr>
    </w:lvl>
    <w:lvl w:ilvl="3" w:tplc="E558F3A0">
      <w:start w:val="1"/>
      <w:numFmt w:val="decimal"/>
      <w:lvlText w:val="%4."/>
      <w:lvlJc w:val="left"/>
      <w:pPr>
        <w:ind w:left="2880" w:hanging="360"/>
      </w:pPr>
    </w:lvl>
    <w:lvl w:ilvl="4" w:tplc="F0CEB8E6">
      <w:start w:val="1"/>
      <w:numFmt w:val="lowerLetter"/>
      <w:lvlText w:val="%5."/>
      <w:lvlJc w:val="left"/>
      <w:pPr>
        <w:ind w:left="3600" w:hanging="360"/>
      </w:pPr>
    </w:lvl>
    <w:lvl w:ilvl="5" w:tplc="D7626670">
      <w:start w:val="1"/>
      <w:numFmt w:val="lowerRoman"/>
      <w:lvlText w:val="%6."/>
      <w:lvlJc w:val="right"/>
      <w:pPr>
        <w:ind w:left="4320" w:hanging="180"/>
      </w:pPr>
    </w:lvl>
    <w:lvl w:ilvl="6" w:tplc="4182A5E4">
      <w:start w:val="1"/>
      <w:numFmt w:val="decimal"/>
      <w:lvlText w:val="%7."/>
      <w:lvlJc w:val="left"/>
      <w:pPr>
        <w:ind w:left="5040" w:hanging="360"/>
      </w:pPr>
    </w:lvl>
    <w:lvl w:ilvl="7" w:tplc="A85C47D0">
      <w:start w:val="1"/>
      <w:numFmt w:val="lowerLetter"/>
      <w:lvlText w:val="%8."/>
      <w:lvlJc w:val="left"/>
      <w:pPr>
        <w:ind w:left="5760" w:hanging="360"/>
      </w:pPr>
    </w:lvl>
    <w:lvl w:ilvl="8" w:tplc="64B28464">
      <w:start w:val="1"/>
      <w:numFmt w:val="lowerRoman"/>
      <w:lvlText w:val="%9."/>
      <w:lvlJc w:val="right"/>
      <w:pPr>
        <w:ind w:left="6480" w:hanging="180"/>
      </w:pPr>
    </w:lvl>
  </w:abstractNum>
  <w:abstractNum w:abstractNumId="7" w15:restartNumberingAfterBreak="0">
    <w:nsid w:val="263D2251"/>
    <w:multiLevelType w:val="hybridMultilevel"/>
    <w:tmpl w:val="8EB412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7331660"/>
    <w:multiLevelType w:val="hybridMultilevel"/>
    <w:tmpl w:val="4B380330"/>
    <w:lvl w:ilvl="0" w:tplc="0E74F980">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F1C0E73"/>
    <w:multiLevelType w:val="hybridMultilevel"/>
    <w:tmpl w:val="7F0690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2F172AB"/>
    <w:multiLevelType w:val="hybridMultilevel"/>
    <w:tmpl w:val="9A96DF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B11C03"/>
    <w:multiLevelType w:val="hybridMultilevel"/>
    <w:tmpl w:val="93047E5C"/>
    <w:lvl w:ilvl="0" w:tplc="0C090001">
      <w:start w:val="5"/>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6371832"/>
    <w:multiLevelType w:val="hybridMultilevel"/>
    <w:tmpl w:val="56A2D9C2"/>
    <w:lvl w:ilvl="0" w:tplc="8076A17C">
      <w:start w:val="1"/>
      <w:numFmt w:val="decimal"/>
      <w:pStyle w:val="QUESTION"/>
      <w:lvlText w:val="%1."/>
      <w:lvlJc w:val="left"/>
      <w:pPr>
        <w:ind w:left="567" w:hanging="283"/>
      </w:pPr>
      <w:rPr>
        <w:rFonts w:hint="default"/>
      </w:rPr>
    </w:lvl>
    <w:lvl w:ilvl="1" w:tplc="8BA0E6D6">
      <w:start w:val="1"/>
      <w:numFmt w:val="bullet"/>
      <w:lvlText w:val="o"/>
      <w:lvlJc w:val="left"/>
      <w:pPr>
        <w:ind w:left="709" w:hanging="284"/>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8210B2F"/>
    <w:multiLevelType w:val="multilevel"/>
    <w:tmpl w:val="886E5346"/>
    <w:lvl w:ilvl="0">
      <w:start w:val="1"/>
      <w:numFmt w:val="decimal"/>
      <w:pStyle w:val="Heading2"/>
      <w:lvlText w:val="%1."/>
      <w:lvlJc w:val="left"/>
      <w:pPr>
        <w:ind w:left="1080" w:hanging="720"/>
      </w:pPr>
      <w:rPr>
        <w:rFonts w:hint="default"/>
        <w:b/>
        <w:bCs/>
        <w:color w:val="6A2875"/>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5" w15:restartNumberingAfterBreak="0">
    <w:nsid w:val="3CC17389"/>
    <w:multiLevelType w:val="hybridMultilevel"/>
    <w:tmpl w:val="31340C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2366581"/>
    <w:multiLevelType w:val="hybridMultilevel"/>
    <w:tmpl w:val="B2A28E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79979E2"/>
    <w:multiLevelType w:val="hybridMultilevel"/>
    <w:tmpl w:val="A770DEC8"/>
    <w:lvl w:ilvl="0" w:tplc="0C090001">
      <w:start w:val="6"/>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8ADD6B9"/>
    <w:multiLevelType w:val="hybridMultilevel"/>
    <w:tmpl w:val="11FC73D4"/>
    <w:lvl w:ilvl="0" w:tplc="05A87FC0">
      <w:start w:val="1"/>
      <w:numFmt w:val="bullet"/>
      <w:lvlText w:val="·"/>
      <w:lvlJc w:val="left"/>
      <w:pPr>
        <w:ind w:left="720" w:hanging="360"/>
      </w:pPr>
      <w:rPr>
        <w:rFonts w:ascii="Symbol" w:hAnsi="Symbol" w:hint="default"/>
      </w:rPr>
    </w:lvl>
    <w:lvl w:ilvl="1" w:tplc="83224160">
      <w:start w:val="1"/>
      <w:numFmt w:val="bullet"/>
      <w:lvlText w:val="o"/>
      <w:lvlJc w:val="left"/>
      <w:pPr>
        <w:ind w:left="1440" w:hanging="360"/>
      </w:pPr>
      <w:rPr>
        <w:rFonts w:ascii="Courier New" w:hAnsi="Courier New" w:hint="default"/>
      </w:rPr>
    </w:lvl>
    <w:lvl w:ilvl="2" w:tplc="8CF8736E">
      <w:start w:val="1"/>
      <w:numFmt w:val="bullet"/>
      <w:lvlText w:val=""/>
      <w:lvlJc w:val="left"/>
      <w:pPr>
        <w:ind w:left="2160" w:hanging="360"/>
      </w:pPr>
      <w:rPr>
        <w:rFonts w:ascii="Wingdings" w:hAnsi="Wingdings" w:hint="default"/>
      </w:rPr>
    </w:lvl>
    <w:lvl w:ilvl="3" w:tplc="ABE05DFC">
      <w:start w:val="1"/>
      <w:numFmt w:val="bullet"/>
      <w:lvlText w:val=""/>
      <w:lvlJc w:val="left"/>
      <w:pPr>
        <w:ind w:left="2880" w:hanging="360"/>
      </w:pPr>
      <w:rPr>
        <w:rFonts w:ascii="Symbol" w:hAnsi="Symbol" w:hint="default"/>
      </w:rPr>
    </w:lvl>
    <w:lvl w:ilvl="4" w:tplc="134490D8">
      <w:start w:val="1"/>
      <w:numFmt w:val="bullet"/>
      <w:lvlText w:val="o"/>
      <w:lvlJc w:val="left"/>
      <w:pPr>
        <w:ind w:left="3600" w:hanging="360"/>
      </w:pPr>
      <w:rPr>
        <w:rFonts w:ascii="Courier New" w:hAnsi="Courier New" w:hint="default"/>
      </w:rPr>
    </w:lvl>
    <w:lvl w:ilvl="5" w:tplc="48FEB83E">
      <w:start w:val="1"/>
      <w:numFmt w:val="bullet"/>
      <w:lvlText w:val=""/>
      <w:lvlJc w:val="left"/>
      <w:pPr>
        <w:ind w:left="4320" w:hanging="360"/>
      </w:pPr>
      <w:rPr>
        <w:rFonts w:ascii="Wingdings" w:hAnsi="Wingdings" w:hint="default"/>
      </w:rPr>
    </w:lvl>
    <w:lvl w:ilvl="6" w:tplc="CC42775A">
      <w:start w:val="1"/>
      <w:numFmt w:val="bullet"/>
      <w:lvlText w:val=""/>
      <w:lvlJc w:val="left"/>
      <w:pPr>
        <w:ind w:left="5040" w:hanging="360"/>
      </w:pPr>
      <w:rPr>
        <w:rFonts w:ascii="Symbol" w:hAnsi="Symbol" w:hint="default"/>
      </w:rPr>
    </w:lvl>
    <w:lvl w:ilvl="7" w:tplc="35BCFDD0">
      <w:start w:val="1"/>
      <w:numFmt w:val="bullet"/>
      <w:lvlText w:val="o"/>
      <w:lvlJc w:val="left"/>
      <w:pPr>
        <w:ind w:left="5760" w:hanging="360"/>
      </w:pPr>
      <w:rPr>
        <w:rFonts w:ascii="Courier New" w:hAnsi="Courier New" w:hint="default"/>
      </w:rPr>
    </w:lvl>
    <w:lvl w:ilvl="8" w:tplc="C67AE02A">
      <w:start w:val="1"/>
      <w:numFmt w:val="bullet"/>
      <w:lvlText w:val=""/>
      <w:lvlJc w:val="left"/>
      <w:pPr>
        <w:ind w:left="6480" w:hanging="360"/>
      </w:pPr>
      <w:rPr>
        <w:rFonts w:ascii="Wingdings" w:hAnsi="Wingdings" w:hint="default"/>
      </w:rPr>
    </w:lvl>
  </w:abstractNum>
  <w:abstractNum w:abstractNumId="19"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962490"/>
    <w:multiLevelType w:val="hybridMultilevel"/>
    <w:tmpl w:val="E190F7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00F20E0"/>
    <w:multiLevelType w:val="hybridMultilevel"/>
    <w:tmpl w:val="EB0EF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3221378"/>
    <w:multiLevelType w:val="hybridMultilevel"/>
    <w:tmpl w:val="10609E84"/>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3" w15:restartNumberingAfterBreak="0">
    <w:nsid w:val="55DC113C"/>
    <w:multiLevelType w:val="hybridMultilevel"/>
    <w:tmpl w:val="BE623B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67A17F4"/>
    <w:multiLevelType w:val="hybridMultilevel"/>
    <w:tmpl w:val="4B5696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BC7073D"/>
    <w:multiLevelType w:val="hybridMultilevel"/>
    <w:tmpl w:val="70AE4270"/>
    <w:lvl w:ilvl="0" w:tplc="9B2094D6">
      <w:start w:val="1"/>
      <w:numFmt w:val="bullet"/>
      <w:lvlText w:val="·"/>
      <w:lvlJc w:val="left"/>
      <w:pPr>
        <w:ind w:left="720" w:hanging="360"/>
      </w:pPr>
      <w:rPr>
        <w:rFonts w:ascii="Symbol" w:hAnsi="Symbol" w:hint="default"/>
      </w:rPr>
    </w:lvl>
    <w:lvl w:ilvl="1" w:tplc="722C64DE">
      <w:start w:val="1"/>
      <w:numFmt w:val="bullet"/>
      <w:lvlText w:val="o"/>
      <w:lvlJc w:val="left"/>
      <w:pPr>
        <w:ind w:left="1440" w:hanging="360"/>
      </w:pPr>
      <w:rPr>
        <w:rFonts w:ascii="Courier New" w:hAnsi="Courier New" w:hint="default"/>
      </w:rPr>
    </w:lvl>
    <w:lvl w:ilvl="2" w:tplc="0024B5C4">
      <w:start w:val="1"/>
      <w:numFmt w:val="bullet"/>
      <w:lvlText w:val=""/>
      <w:lvlJc w:val="left"/>
      <w:pPr>
        <w:ind w:left="2160" w:hanging="360"/>
      </w:pPr>
      <w:rPr>
        <w:rFonts w:ascii="Wingdings" w:hAnsi="Wingdings" w:hint="default"/>
      </w:rPr>
    </w:lvl>
    <w:lvl w:ilvl="3" w:tplc="AE52080A">
      <w:start w:val="1"/>
      <w:numFmt w:val="bullet"/>
      <w:lvlText w:val=""/>
      <w:lvlJc w:val="left"/>
      <w:pPr>
        <w:ind w:left="2880" w:hanging="360"/>
      </w:pPr>
      <w:rPr>
        <w:rFonts w:ascii="Symbol" w:hAnsi="Symbol" w:hint="default"/>
      </w:rPr>
    </w:lvl>
    <w:lvl w:ilvl="4" w:tplc="BAE0AF20">
      <w:start w:val="1"/>
      <w:numFmt w:val="bullet"/>
      <w:lvlText w:val="o"/>
      <w:lvlJc w:val="left"/>
      <w:pPr>
        <w:ind w:left="3600" w:hanging="360"/>
      </w:pPr>
      <w:rPr>
        <w:rFonts w:ascii="Courier New" w:hAnsi="Courier New" w:hint="default"/>
      </w:rPr>
    </w:lvl>
    <w:lvl w:ilvl="5" w:tplc="FC2CEF9A">
      <w:start w:val="1"/>
      <w:numFmt w:val="bullet"/>
      <w:lvlText w:val=""/>
      <w:lvlJc w:val="left"/>
      <w:pPr>
        <w:ind w:left="4320" w:hanging="360"/>
      </w:pPr>
      <w:rPr>
        <w:rFonts w:ascii="Wingdings" w:hAnsi="Wingdings" w:hint="default"/>
      </w:rPr>
    </w:lvl>
    <w:lvl w:ilvl="6" w:tplc="A106E982">
      <w:start w:val="1"/>
      <w:numFmt w:val="bullet"/>
      <w:lvlText w:val=""/>
      <w:lvlJc w:val="left"/>
      <w:pPr>
        <w:ind w:left="5040" w:hanging="360"/>
      </w:pPr>
      <w:rPr>
        <w:rFonts w:ascii="Symbol" w:hAnsi="Symbol" w:hint="default"/>
      </w:rPr>
    </w:lvl>
    <w:lvl w:ilvl="7" w:tplc="CEBA448C">
      <w:start w:val="1"/>
      <w:numFmt w:val="bullet"/>
      <w:lvlText w:val="o"/>
      <w:lvlJc w:val="left"/>
      <w:pPr>
        <w:ind w:left="5760" w:hanging="360"/>
      </w:pPr>
      <w:rPr>
        <w:rFonts w:ascii="Courier New" w:hAnsi="Courier New" w:hint="default"/>
      </w:rPr>
    </w:lvl>
    <w:lvl w:ilvl="8" w:tplc="0596CAF2">
      <w:start w:val="1"/>
      <w:numFmt w:val="bullet"/>
      <w:lvlText w:val=""/>
      <w:lvlJc w:val="left"/>
      <w:pPr>
        <w:ind w:left="6480" w:hanging="360"/>
      </w:pPr>
      <w:rPr>
        <w:rFonts w:ascii="Wingdings" w:hAnsi="Wingdings" w:hint="default"/>
      </w:rPr>
    </w:lvl>
  </w:abstractNum>
  <w:abstractNum w:abstractNumId="26" w15:restartNumberingAfterBreak="0">
    <w:nsid w:val="774A1959"/>
    <w:multiLevelType w:val="multilevel"/>
    <w:tmpl w:val="682618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802886648">
    <w:abstractNumId w:val="14"/>
  </w:num>
  <w:num w:numId="2" w16cid:durableId="883564319">
    <w:abstractNumId w:val="5"/>
  </w:num>
  <w:num w:numId="3" w16cid:durableId="1537111354">
    <w:abstractNumId w:val="19"/>
  </w:num>
  <w:num w:numId="4" w16cid:durableId="1510094410">
    <w:abstractNumId w:val="27"/>
  </w:num>
  <w:num w:numId="5" w16cid:durableId="1772625208">
    <w:abstractNumId w:val="9"/>
  </w:num>
  <w:num w:numId="6" w16cid:durableId="2063170462">
    <w:abstractNumId w:val="0"/>
  </w:num>
  <w:num w:numId="7" w16cid:durableId="982007725">
    <w:abstractNumId w:val="6"/>
  </w:num>
  <w:num w:numId="8" w16cid:durableId="1301687664">
    <w:abstractNumId w:val="13"/>
  </w:num>
  <w:num w:numId="9" w16cid:durableId="407272651">
    <w:abstractNumId w:val="4"/>
  </w:num>
  <w:num w:numId="10" w16cid:durableId="1304579982">
    <w:abstractNumId w:val="17"/>
  </w:num>
  <w:num w:numId="11" w16cid:durableId="1360089279">
    <w:abstractNumId w:val="24"/>
  </w:num>
  <w:num w:numId="12" w16cid:durableId="104690860">
    <w:abstractNumId w:val="11"/>
  </w:num>
  <w:num w:numId="13" w16cid:durableId="1941597244">
    <w:abstractNumId w:val="3"/>
  </w:num>
  <w:num w:numId="14" w16cid:durableId="1845051380">
    <w:abstractNumId w:val="15"/>
  </w:num>
  <w:num w:numId="15" w16cid:durableId="219563491">
    <w:abstractNumId w:val="22"/>
  </w:num>
  <w:num w:numId="16" w16cid:durableId="1257785168">
    <w:abstractNumId w:val="2"/>
  </w:num>
  <w:num w:numId="17" w16cid:durableId="774824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12968168">
    <w:abstractNumId w:val="16"/>
  </w:num>
  <w:num w:numId="19" w16cid:durableId="1719813539">
    <w:abstractNumId w:val="25"/>
  </w:num>
  <w:num w:numId="20" w16cid:durableId="1351834125">
    <w:abstractNumId w:val="18"/>
  </w:num>
  <w:num w:numId="21" w16cid:durableId="1588542531">
    <w:abstractNumId w:val="8"/>
  </w:num>
  <w:num w:numId="22" w16cid:durableId="1256204426">
    <w:abstractNumId w:val="14"/>
  </w:num>
  <w:num w:numId="23" w16cid:durableId="87982608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31899207">
    <w:abstractNumId w:val="1"/>
  </w:num>
  <w:num w:numId="25" w16cid:durableId="3758619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073725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11211982">
    <w:abstractNumId w:val="7"/>
  </w:num>
  <w:num w:numId="28" w16cid:durableId="1964188379">
    <w:abstractNumId w:val="10"/>
  </w:num>
  <w:num w:numId="29" w16cid:durableId="2071884796">
    <w:abstractNumId w:val="12"/>
  </w:num>
  <w:num w:numId="30" w16cid:durableId="89812740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1979627">
    <w:abstractNumId w:val="26"/>
  </w:num>
  <w:num w:numId="32" w16cid:durableId="6411537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74340731">
    <w:abstractNumId w:val="21"/>
  </w:num>
  <w:num w:numId="34" w16cid:durableId="1285234911">
    <w:abstractNumId w:val="20"/>
  </w:num>
  <w:num w:numId="35" w16cid:durableId="68371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453500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522623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756711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737965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527146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17192984">
    <w:abstractNumId w:val="2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4AE"/>
    <w:rsid w:val="000006B8"/>
    <w:rsid w:val="00000D87"/>
    <w:rsid w:val="00002212"/>
    <w:rsid w:val="00002F71"/>
    <w:rsid w:val="000037A2"/>
    <w:rsid w:val="000039F1"/>
    <w:rsid w:val="000044A8"/>
    <w:rsid w:val="00004F61"/>
    <w:rsid w:val="00005420"/>
    <w:rsid w:val="00005732"/>
    <w:rsid w:val="00005CE2"/>
    <w:rsid w:val="0000665F"/>
    <w:rsid w:val="000077B7"/>
    <w:rsid w:val="0000783A"/>
    <w:rsid w:val="00007B6C"/>
    <w:rsid w:val="00010422"/>
    <w:rsid w:val="000108A6"/>
    <w:rsid w:val="000110DA"/>
    <w:rsid w:val="00012C3E"/>
    <w:rsid w:val="00013EFB"/>
    <w:rsid w:val="000157F9"/>
    <w:rsid w:val="00015E29"/>
    <w:rsid w:val="00015EEB"/>
    <w:rsid w:val="0001644E"/>
    <w:rsid w:val="00016B53"/>
    <w:rsid w:val="00020FEC"/>
    <w:rsid w:val="000210FB"/>
    <w:rsid w:val="000213D2"/>
    <w:rsid w:val="0002162F"/>
    <w:rsid w:val="000223C0"/>
    <w:rsid w:val="000226D9"/>
    <w:rsid w:val="00022916"/>
    <w:rsid w:val="00022F32"/>
    <w:rsid w:val="0002488E"/>
    <w:rsid w:val="000259F4"/>
    <w:rsid w:val="0003084B"/>
    <w:rsid w:val="00031518"/>
    <w:rsid w:val="0003270C"/>
    <w:rsid w:val="000343A2"/>
    <w:rsid w:val="00034EB9"/>
    <w:rsid w:val="00034FD3"/>
    <w:rsid w:val="0003530D"/>
    <w:rsid w:val="000354BA"/>
    <w:rsid w:val="00035AC0"/>
    <w:rsid w:val="00035E3D"/>
    <w:rsid w:val="000367FA"/>
    <w:rsid w:val="00036C31"/>
    <w:rsid w:val="00036D57"/>
    <w:rsid w:val="00037796"/>
    <w:rsid w:val="000401F1"/>
    <w:rsid w:val="00040A46"/>
    <w:rsid w:val="00040E01"/>
    <w:rsid w:val="000413E1"/>
    <w:rsid w:val="00041550"/>
    <w:rsid w:val="00041732"/>
    <w:rsid w:val="00041A51"/>
    <w:rsid w:val="0004267F"/>
    <w:rsid w:val="0004281B"/>
    <w:rsid w:val="0004353F"/>
    <w:rsid w:val="000438F2"/>
    <w:rsid w:val="0004397F"/>
    <w:rsid w:val="00044E02"/>
    <w:rsid w:val="0004511D"/>
    <w:rsid w:val="00045FC5"/>
    <w:rsid w:val="000469D5"/>
    <w:rsid w:val="00046FF0"/>
    <w:rsid w:val="00047770"/>
    <w:rsid w:val="00047ECF"/>
    <w:rsid w:val="000506B7"/>
    <w:rsid w:val="000508FB"/>
    <w:rsid w:val="00050CB9"/>
    <w:rsid w:val="000512A3"/>
    <w:rsid w:val="00051353"/>
    <w:rsid w:val="0005148E"/>
    <w:rsid w:val="000514FA"/>
    <w:rsid w:val="00052526"/>
    <w:rsid w:val="00052987"/>
    <w:rsid w:val="000529A3"/>
    <w:rsid w:val="00052A1B"/>
    <w:rsid w:val="000533A3"/>
    <w:rsid w:val="0005373D"/>
    <w:rsid w:val="00053A23"/>
    <w:rsid w:val="00053D41"/>
    <w:rsid w:val="000546FE"/>
    <w:rsid w:val="00054ADC"/>
    <w:rsid w:val="00055394"/>
    <w:rsid w:val="00055439"/>
    <w:rsid w:val="00056DDB"/>
    <w:rsid w:val="000579F3"/>
    <w:rsid w:val="00060F94"/>
    <w:rsid w:val="0006108E"/>
    <w:rsid w:val="00061110"/>
    <w:rsid w:val="000612F8"/>
    <w:rsid w:val="00061A88"/>
    <w:rsid w:val="00061B06"/>
    <w:rsid w:val="00061C73"/>
    <w:rsid w:val="00062067"/>
    <w:rsid w:val="0006245D"/>
    <w:rsid w:val="0006542B"/>
    <w:rsid w:val="00065BA6"/>
    <w:rsid w:val="00066632"/>
    <w:rsid w:val="000669C6"/>
    <w:rsid w:val="00070794"/>
    <w:rsid w:val="00071296"/>
    <w:rsid w:val="00071480"/>
    <w:rsid w:val="000717B0"/>
    <w:rsid w:val="00071C07"/>
    <w:rsid w:val="00073001"/>
    <w:rsid w:val="00073003"/>
    <w:rsid w:val="0007372D"/>
    <w:rsid w:val="00073B7C"/>
    <w:rsid w:val="000746BC"/>
    <w:rsid w:val="0007480F"/>
    <w:rsid w:val="0007519A"/>
    <w:rsid w:val="00075521"/>
    <w:rsid w:val="000758CA"/>
    <w:rsid w:val="00075E55"/>
    <w:rsid w:val="00076786"/>
    <w:rsid w:val="00076B4C"/>
    <w:rsid w:val="00077872"/>
    <w:rsid w:val="00077A16"/>
    <w:rsid w:val="00077AE3"/>
    <w:rsid w:val="00080771"/>
    <w:rsid w:val="00080DF4"/>
    <w:rsid w:val="00080E63"/>
    <w:rsid w:val="000814DE"/>
    <w:rsid w:val="000825E5"/>
    <w:rsid w:val="000826FC"/>
    <w:rsid w:val="000827A9"/>
    <w:rsid w:val="000829D1"/>
    <w:rsid w:val="00082D1D"/>
    <w:rsid w:val="0008390C"/>
    <w:rsid w:val="00083FDC"/>
    <w:rsid w:val="00085197"/>
    <w:rsid w:val="000851E1"/>
    <w:rsid w:val="000853DA"/>
    <w:rsid w:val="0008541C"/>
    <w:rsid w:val="000855C8"/>
    <w:rsid w:val="000860D7"/>
    <w:rsid w:val="000860F0"/>
    <w:rsid w:val="00086366"/>
    <w:rsid w:val="00086913"/>
    <w:rsid w:val="00086FD0"/>
    <w:rsid w:val="0008752C"/>
    <w:rsid w:val="000879FF"/>
    <w:rsid w:val="00087CE0"/>
    <w:rsid w:val="00087E27"/>
    <w:rsid w:val="000901C5"/>
    <w:rsid w:val="000907C5"/>
    <w:rsid w:val="00090883"/>
    <w:rsid w:val="00090CDF"/>
    <w:rsid w:val="00091220"/>
    <w:rsid w:val="00091841"/>
    <w:rsid w:val="0009197B"/>
    <w:rsid w:val="00092883"/>
    <w:rsid w:val="0009307E"/>
    <w:rsid w:val="00094B01"/>
    <w:rsid w:val="00095382"/>
    <w:rsid w:val="00095F03"/>
    <w:rsid w:val="0009624F"/>
    <w:rsid w:val="000971D7"/>
    <w:rsid w:val="00097978"/>
    <w:rsid w:val="00097ED2"/>
    <w:rsid w:val="000A016A"/>
    <w:rsid w:val="000A027C"/>
    <w:rsid w:val="000A0C4C"/>
    <w:rsid w:val="000A1083"/>
    <w:rsid w:val="000A123E"/>
    <w:rsid w:val="000A1C35"/>
    <w:rsid w:val="000A218C"/>
    <w:rsid w:val="000A22C4"/>
    <w:rsid w:val="000A2552"/>
    <w:rsid w:val="000A358B"/>
    <w:rsid w:val="000A4610"/>
    <w:rsid w:val="000A4907"/>
    <w:rsid w:val="000A5651"/>
    <w:rsid w:val="000A6BA0"/>
    <w:rsid w:val="000A6F1C"/>
    <w:rsid w:val="000A7B66"/>
    <w:rsid w:val="000B0BD3"/>
    <w:rsid w:val="000B2119"/>
    <w:rsid w:val="000B3B1B"/>
    <w:rsid w:val="000B3B8E"/>
    <w:rsid w:val="000B4FE6"/>
    <w:rsid w:val="000B6542"/>
    <w:rsid w:val="000B6A30"/>
    <w:rsid w:val="000B6A59"/>
    <w:rsid w:val="000B6E8C"/>
    <w:rsid w:val="000B7B31"/>
    <w:rsid w:val="000C0346"/>
    <w:rsid w:val="000C0FBD"/>
    <w:rsid w:val="000C121A"/>
    <w:rsid w:val="000C146E"/>
    <w:rsid w:val="000C178D"/>
    <w:rsid w:val="000C1A2B"/>
    <w:rsid w:val="000C1B1F"/>
    <w:rsid w:val="000C28BB"/>
    <w:rsid w:val="000C2DE7"/>
    <w:rsid w:val="000C2F5E"/>
    <w:rsid w:val="000C43CB"/>
    <w:rsid w:val="000C48CE"/>
    <w:rsid w:val="000C4B1B"/>
    <w:rsid w:val="000C63D0"/>
    <w:rsid w:val="000D01F1"/>
    <w:rsid w:val="000D0CFC"/>
    <w:rsid w:val="000D1664"/>
    <w:rsid w:val="000D1787"/>
    <w:rsid w:val="000D1A18"/>
    <w:rsid w:val="000D2661"/>
    <w:rsid w:val="000D2837"/>
    <w:rsid w:val="000D2927"/>
    <w:rsid w:val="000D2A36"/>
    <w:rsid w:val="000D320F"/>
    <w:rsid w:val="000D3BBC"/>
    <w:rsid w:val="000D43C8"/>
    <w:rsid w:val="000D47DD"/>
    <w:rsid w:val="000D55CC"/>
    <w:rsid w:val="000D5F0C"/>
    <w:rsid w:val="000D63F6"/>
    <w:rsid w:val="000E0EC9"/>
    <w:rsid w:val="000E11F2"/>
    <w:rsid w:val="000E1823"/>
    <w:rsid w:val="000E1FCF"/>
    <w:rsid w:val="000E32A5"/>
    <w:rsid w:val="000E3478"/>
    <w:rsid w:val="000E39B2"/>
    <w:rsid w:val="000E3C78"/>
    <w:rsid w:val="000E3D96"/>
    <w:rsid w:val="000E4202"/>
    <w:rsid w:val="000E45EC"/>
    <w:rsid w:val="000E52D0"/>
    <w:rsid w:val="000E5438"/>
    <w:rsid w:val="000E5780"/>
    <w:rsid w:val="000E594A"/>
    <w:rsid w:val="000E5965"/>
    <w:rsid w:val="000E5BC0"/>
    <w:rsid w:val="000E5F59"/>
    <w:rsid w:val="000E6612"/>
    <w:rsid w:val="000E661F"/>
    <w:rsid w:val="000E69BD"/>
    <w:rsid w:val="000E7B59"/>
    <w:rsid w:val="000F01B4"/>
    <w:rsid w:val="000F06EC"/>
    <w:rsid w:val="000F0727"/>
    <w:rsid w:val="000F11EC"/>
    <w:rsid w:val="000F16BC"/>
    <w:rsid w:val="000F2B4C"/>
    <w:rsid w:val="000F2BF2"/>
    <w:rsid w:val="000F36A9"/>
    <w:rsid w:val="000F38FA"/>
    <w:rsid w:val="000F3EE2"/>
    <w:rsid w:val="000F479D"/>
    <w:rsid w:val="000F4B28"/>
    <w:rsid w:val="000F5338"/>
    <w:rsid w:val="000F56AA"/>
    <w:rsid w:val="000F5902"/>
    <w:rsid w:val="000F5DAD"/>
    <w:rsid w:val="000F661D"/>
    <w:rsid w:val="000F6854"/>
    <w:rsid w:val="000F6A97"/>
    <w:rsid w:val="000F6C91"/>
    <w:rsid w:val="000F6F95"/>
    <w:rsid w:val="000F71AA"/>
    <w:rsid w:val="000F74A0"/>
    <w:rsid w:val="000F7746"/>
    <w:rsid w:val="000F7EC3"/>
    <w:rsid w:val="000F7FB9"/>
    <w:rsid w:val="0010080C"/>
    <w:rsid w:val="00100BFD"/>
    <w:rsid w:val="00100C3C"/>
    <w:rsid w:val="00100DFF"/>
    <w:rsid w:val="00100ECB"/>
    <w:rsid w:val="001017E2"/>
    <w:rsid w:val="001023AB"/>
    <w:rsid w:val="00102738"/>
    <w:rsid w:val="00102A1D"/>
    <w:rsid w:val="00103AC7"/>
    <w:rsid w:val="00104612"/>
    <w:rsid w:val="001052CB"/>
    <w:rsid w:val="001052DB"/>
    <w:rsid w:val="00105AAC"/>
    <w:rsid w:val="0010695B"/>
    <w:rsid w:val="00106B54"/>
    <w:rsid w:val="00107307"/>
    <w:rsid w:val="00107D54"/>
    <w:rsid w:val="001101B0"/>
    <w:rsid w:val="001105AB"/>
    <w:rsid w:val="00110CA0"/>
    <w:rsid w:val="00110EDD"/>
    <w:rsid w:val="00111083"/>
    <w:rsid w:val="0011190E"/>
    <w:rsid w:val="00111B71"/>
    <w:rsid w:val="00112245"/>
    <w:rsid w:val="00112976"/>
    <w:rsid w:val="001136B8"/>
    <w:rsid w:val="0011389A"/>
    <w:rsid w:val="00113CA8"/>
    <w:rsid w:val="00113D59"/>
    <w:rsid w:val="00114AB6"/>
    <w:rsid w:val="00114CE2"/>
    <w:rsid w:val="00114D8E"/>
    <w:rsid w:val="00115442"/>
    <w:rsid w:val="0011594B"/>
    <w:rsid w:val="00115C65"/>
    <w:rsid w:val="001160D3"/>
    <w:rsid w:val="00116DB9"/>
    <w:rsid w:val="00117596"/>
    <w:rsid w:val="001205C7"/>
    <w:rsid w:val="0012080F"/>
    <w:rsid w:val="00120DFC"/>
    <w:rsid w:val="00121436"/>
    <w:rsid w:val="00121ADF"/>
    <w:rsid w:val="00121F21"/>
    <w:rsid w:val="001222F3"/>
    <w:rsid w:val="00122863"/>
    <w:rsid w:val="00122CED"/>
    <w:rsid w:val="001232B1"/>
    <w:rsid w:val="001234F6"/>
    <w:rsid w:val="00123631"/>
    <w:rsid w:val="00123928"/>
    <w:rsid w:val="00123DC9"/>
    <w:rsid w:val="00123FBD"/>
    <w:rsid w:val="001242D7"/>
    <w:rsid w:val="001248AB"/>
    <w:rsid w:val="001259E6"/>
    <w:rsid w:val="00125E5D"/>
    <w:rsid w:val="00127864"/>
    <w:rsid w:val="00127B00"/>
    <w:rsid w:val="00127F04"/>
    <w:rsid w:val="00127FF3"/>
    <w:rsid w:val="0013001E"/>
    <w:rsid w:val="001300B1"/>
    <w:rsid w:val="0013054F"/>
    <w:rsid w:val="00130B33"/>
    <w:rsid w:val="00130C73"/>
    <w:rsid w:val="00130E8B"/>
    <w:rsid w:val="00130EB3"/>
    <w:rsid w:val="0013142B"/>
    <w:rsid w:val="001319F0"/>
    <w:rsid w:val="00132A85"/>
    <w:rsid w:val="0013304D"/>
    <w:rsid w:val="0013386B"/>
    <w:rsid w:val="00133EA1"/>
    <w:rsid w:val="00133EFD"/>
    <w:rsid w:val="00134A14"/>
    <w:rsid w:val="00134B17"/>
    <w:rsid w:val="0013538E"/>
    <w:rsid w:val="001369DC"/>
    <w:rsid w:val="0014082A"/>
    <w:rsid w:val="0014083C"/>
    <w:rsid w:val="00141013"/>
    <w:rsid w:val="0014133F"/>
    <w:rsid w:val="0014207A"/>
    <w:rsid w:val="00142181"/>
    <w:rsid w:val="0014240C"/>
    <w:rsid w:val="00142E50"/>
    <w:rsid w:val="0014302E"/>
    <w:rsid w:val="0014329F"/>
    <w:rsid w:val="00143DF1"/>
    <w:rsid w:val="001442EC"/>
    <w:rsid w:val="00144C1E"/>
    <w:rsid w:val="0014598D"/>
    <w:rsid w:val="00145B6C"/>
    <w:rsid w:val="00145BA0"/>
    <w:rsid w:val="00145DA8"/>
    <w:rsid w:val="00145E71"/>
    <w:rsid w:val="00145FD9"/>
    <w:rsid w:val="0014624F"/>
    <w:rsid w:val="0014643C"/>
    <w:rsid w:val="00147309"/>
    <w:rsid w:val="00147946"/>
    <w:rsid w:val="00147D94"/>
    <w:rsid w:val="00150CFD"/>
    <w:rsid w:val="00150EC6"/>
    <w:rsid w:val="00150F40"/>
    <w:rsid w:val="00151043"/>
    <w:rsid w:val="00151189"/>
    <w:rsid w:val="00151357"/>
    <w:rsid w:val="0015158A"/>
    <w:rsid w:val="00151CB3"/>
    <w:rsid w:val="0015383E"/>
    <w:rsid w:val="00153FF5"/>
    <w:rsid w:val="00154AB1"/>
    <w:rsid w:val="00154B12"/>
    <w:rsid w:val="0015574F"/>
    <w:rsid w:val="001557FF"/>
    <w:rsid w:val="00155D62"/>
    <w:rsid w:val="0015601B"/>
    <w:rsid w:val="0015684C"/>
    <w:rsid w:val="00156984"/>
    <w:rsid w:val="00156A63"/>
    <w:rsid w:val="0016075E"/>
    <w:rsid w:val="001607CB"/>
    <w:rsid w:val="00160961"/>
    <w:rsid w:val="00160BC3"/>
    <w:rsid w:val="00161097"/>
    <w:rsid w:val="001615AA"/>
    <w:rsid w:val="00161854"/>
    <w:rsid w:val="00162C0C"/>
    <w:rsid w:val="001634DC"/>
    <w:rsid w:val="00163858"/>
    <w:rsid w:val="00163F4D"/>
    <w:rsid w:val="00164AF4"/>
    <w:rsid w:val="00164D3F"/>
    <w:rsid w:val="00165874"/>
    <w:rsid w:val="00165C34"/>
    <w:rsid w:val="001665A1"/>
    <w:rsid w:val="00167040"/>
    <w:rsid w:val="001672EA"/>
    <w:rsid w:val="00167368"/>
    <w:rsid w:val="0016747B"/>
    <w:rsid w:val="001677A0"/>
    <w:rsid w:val="00170426"/>
    <w:rsid w:val="00171F8B"/>
    <w:rsid w:val="00172AFE"/>
    <w:rsid w:val="00174A49"/>
    <w:rsid w:val="00175318"/>
    <w:rsid w:val="001757F1"/>
    <w:rsid w:val="00175B74"/>
    <w:rsid w:val="00175D3B"/>
    <w:rsid w:val="00175FB4"/>
    <w:rsid w:val="00176078"/>
    <w:rsid w:val="001762DF"/>
    <w:rsid w:val="00176570"/>
    <w:rsid w:val="001765D5"/>
    <w:rsid w:val="00176D38"/>
    <w:rsid w:val="001809B3"/>
    <w:rsid w:val="00180D51"/>
    <w:rsid w:val="00181743"/>
    <w:rsid w:val="00181C26"/>
    <w:rsid w:val="00181E9F"/>
    <w:rsid w:val="0018211F"/>
    <w:rsid w:val="0018242F"/>
    <w:rsid w:val="00182457"/>
    <w:rsid w:val="001825C5"/>
    <w:rsid w:val="00182FC7"/>
    <w:rsid w:val="00183075"/>
    <w:rsid w:val="0018320F"/>
    <w:rsid w:val="00183497"/>
    <w:rsid w:val="001834BE"/>
    <w:rsid w:val="00183AD3"/>
    <w:rsid w:val="00183B88"/>
    <w:rsid w:val="00184A39"/>
    <w:rsid w:val="00184BD7"/>
    <w:rsid w:val="00184DB9"/>
    <w:rsid w:val="00185A1F"/>
    <w:rsid w:val="0018621E"/>
    <w:rsid w:val="001863BC"/>
    <w:rsid w:val="001866DF"/>
    <w:rsid w:val="00186895"/>
    <w:rsid w:val="00186D12"/>
    <w:rsid w:val="00186EC8"/>
    <w:rsid w:val="001870DC"/>
    <w:rsid w:val="00187907"/>
    <w:rsid w:val="00187A7A"/>
    <w:rsid w:val="00187D79"/>
    <w:rsid w:val="00187EA6"/>
    <w:rsid w:val="00190FB4"/>
    <w:rsid w:val="00191541"/>
    <w:rsid w:val="0019171B"/>
    <w:rsid w:val="00192119"/>
    <w:rsid w:val="00193E2D"/>
    <w:rsid w:val="001943DB"/>
    <w:rsid w:val="001945EC"/>
    <w:rsid w:val="001950B1"/>
    <w:rsid w:val="00195769"/>
    <w:rsid w:val="0019596C"/>
    <w:rsid w:val="00195F63"/>
    <w:rsid w:val="0019622A"/>
    <w:rsid w:val="001964A9"/>
    <w:rsid w:val="00196CC5"/>
    <w:rsid w:val="00196DC2"/>
    <w:rsid w:val="00196F47"/>
    <w:rsid w:val="001971CC"/>
    <w:rsid w:val="001972EA"/>
    <w:rsid w:val="00197359"/>
    <w:rsid w:val="001976F8"/>
    <w:rsid w:val="001A0534"/>
    <w:rsid w:val="001A13AA"/>
    <w:rsid w:val="001A147C"/>
    <w:rsid w:val="001A15AB"/>
    <w:rsid w:val="001A1980"/>
    <w:rsid w:val="001A1A9F"/>
    <w:rsid w:val="001A20B9"/>
    <w:rsid w:val="001A2432"/>
    <w:rsid w:val="001A2817"/>
    <w:rsid w:val="001A2CC1"/>
    <w:rsid w:val="001A2DE9"/>
    <w:rsid w:val="001A3723"/>
    <w:rsid w:val="001A373A"/>
    <w:rsid w:val="001A386C"/>
    <w:rsid w:val="001A3A54"/>
    <w:rsid w:val="001A3E42"/>
    <w:rsid w:val="001A4002"/>
    <w:rsid w:val="001A4069"/>
    <w:rsid w:val="001A45CC"/>
    <w:rsid w:val="001A526D"/>
    <w:rsid w:val="001A52D4"/>
    <w:rsid w:val="001A55A7"/>
    <w:rsid w:val="001A595A"/>
    <w:rsid w:val="001A59A5"/>
    <w:rsid w:val="001A6772"/>
    <w:rsid w:val="001A6E61"/>
    <w:rsid w:val="001A7303"/>
    <w:rsid w:val="001A7E26"/>
    <w:rsid w:val="001B06F3"/>
    <w:rsid w:val="001B0F8A"/>
    <w:rsid w:val="001B17AC"/>
    <w:rsid w:val="001B279C"/>
    <w:rsid w:val="001B2EB9"/>
    <w:rsid w:val="001B326D"/>
    <w:rsid w:val="001B3973"/>
    <w:rsid w:val="001B3BAE"/>
    <w:rsid w:val="001B3C1F"/>
    <w:rsid w:val="001B3CE5"/>
    <w:rsid w:val="001B3EB1"/>
    <w:rsid w:val="001B549B"/>
    <w:rsid w:val="001B5AA4"/>
    <w:rsid w:val="001B618A"/>
    <w:rsid w:val="001B62AC"/>
    <w:rsid w:val="001B6B67"/>
    <w:rsid w:val="001B6DAC"/>
    <w:rsid w:val="001B73AE"/>
    <w:rsid w:val="001C0320"/>
    <w:rsid w:val="001C0D88"/>
    <w:rsid w:val="001C0E34"/>
    <w:rsid w:val="001C1298"/>
    <w:rsid w:val="001C1E83"/>
    <w:rsid w:val="001C1FA8"/>
    <w:rsid w:val="001C2378"/>
    <w:rsid w:val="001C24E3"/>
    <w:rsid w:val="001C2ADA"/>
    <w:rsid w:val="001C2D07"/>
    <w:rsid w:val="001C30C6"/>
    <w:rsid w:val="001C3851"/>
    <w:rsid w:val="001C4025"/>
    <w:rsid w:val="001C474A"/>
    <w:rsid w:val="001C48AC"/>
    <w:rsid w:val="001C5108"/>
    <w:rsid w:val="001C51DE"/>
    <w:rsid w:val="001C58B4"/>
    <w:rsid w:val="001C5A09"/>
    <w:rsid w:val="001C68BD"/>
    <w:rsid w:val="001C6A1A"/>
    <w:rsid w:val="001C74A2"/>
    <w:rsid w:val="001C77EE"/>
    <w:rsid w:val="001C7FBB"/>
    <w:rsid w:val="001D0910"/>
    <w:rsid w:val="001D0A72"/>
    <w:rsid w:val="001D0F5C"/>
    <w:rsid w:val="001D1499"/>
    <w:rsid w:val="001D1930"/>
    <w:rsid w:val="001D281B"/>
    <w:rsid w:val="001D2EC4"/>
    <w:rsid w:val="001D3278"/>
    <w:rsid w:val="001D3A9D"/>
    <w:rsid w:val="001D4E88"/>
    <w:rsid w:val="001D5080"/>
    <w:rsid w:val="001D5B32"/>
    <w:rsid w:val="001D6059"/>
    <w:rsid w:val="001D6073"/>
    <w:rsid w:val="001D63B3"/>
    <w:rsid w:val="001D748A"/>
    <w:rsid w:val="001E077B"/>
    <w:rsid w:val="001E0FE6"/>
    <w:rsid w:val="001E2299"/>
    <w:rsid w:val="001E2896"/>
    <w:rsid w:val="001E2A42"/>
    <w:rsid w:val="001E37D2"/>
    <w:rsid w:val="001E3983"/>
    <w:rsid w:val="001E4659"/>
    <w:rsid w:val="001E468E"/>
    <w:rsid w:val="001E47D2"/>
    <w:rsid w:val="001E5689"/>
    <w:rsid w:val="001E5DD0"/>
    <w:rsid w:val="001E6155"/>
    <w:rsid w:val="001E630D"/>
    <w:rsid w:val="001E67C8"/>
    <w:rsid w:val="001E7864"/>
    <w:rsid w:val="001E7919"/>
    <w:rsid w:val="001F03E3"/>
    <w:rsid w:val="001F0581"/>
    <w:rsid w:val="001F091D"/>
    <w:rsid w:val="001F0C18"/>
    <w:rsid w:val="001F1180"/>
    <w:rsid w:val="001F15FD"/>
    <w:rsid w:val="001F1842"/>
    <w:rsid w:val="001F1E02"/>
    <w:rsid w:val="001F2553"/>
    <w:rsid w:val="001F2575"/>
    <w:rsid w:val="001F3562"/>
    <w:rsid w:val="001F35CE"/>
    <w:rsid w:val="001F3695"/>
    <w:rsid w:val="001F37B7"/>
    <w:rsid w:val="001F3815"/>
    <w:rsid w:val="001F3F12"/>
    <w:rsid w:val="001F4FE2"/>
    <w:rsid w:val="001F728B"/>
    <w:rsid w:val="001F72E1"/>
    <w:rsid w:val="001F7448"/>
    <w:rsid w:val="001F75F7"/>
    <w:rsid w:val="001F7682"/>
    <w:rsid w:val="001F7C7F"/>
    <w:rsid w:val="001F7EF4"/>
    <w:rsid w:val="0020154E"/>
    <w:rsid w:val="0020167D"/>
    <w:rsid w:val="002016F5"/>
    <w:rsid w:val="00201F08"/>
    <w:rsid w:val="002021FE"/>
    <w:rsid w:val="002031C1"/>
    <w:rsid w:val="0020336C"/>
    <w:rsid w:val="0020368E"/>
    <w:rsid w:val="00203D8F"/>
    <w:rsid w:val="00203FEA"/>
    <w:rsid w:val="00204097"/>
    <w:rsid w:val="00204358"/>
    <w:rsid w:val="00204490"/>
    <w:rsid w:val="00204A21"/>
    <w:rsid w:val="002058AC"/>
    <w:rsid w:val="00205B47"/>
    <w:rsid w:val="002100FE"/>
    <w:rsid w:val="00210726"/>
    <w:rsid w:val="002109F9"/>
    <w:rsid w:val="002114DB"/>
    <w:rsid w:val="002118E3"/>
    <w:rsid w:val="00211B66"/>
    <w:rsid w:val="00212995"/>
    <w:rsid w:val="00213C32"/>
    <w:rsid w:val="0021474E"/>
    <w:rsid w:val="00214A99"/>
    <w:rsid w:val="00215778"/>
    <w:rsid w:val="0021579F"/>
    <w:rsid w:val="00215A19"/>
    <w:rsid w:val="00215E28"/>
    <w:rsid w:val="00216CE6"/>
    <w:rsid w:val="00216E8A"/>
    <w:rsid w:val="00220BD8"/>
    <w:rsid w:val="002212B3"/>
    <w:rsid w:val="00221385"/>
    <w:rsid w:val="0022175A"/>
    <w:rsid w:val="0022180D"/>
    <w:rsid w:val="00221954"/>
    <w:rsid w:val="00221CF7"/>
    <w:rsid w:val="00222131"/>
    <w:rsid w:val="0022215B"/>
    <w:rsid w:val="00222366"/>
    <w:rsid w:val="0022294A"/>
    <w:rsid w:val="00222BDE"/>
    <w:rsid w:val="00222FB7"/>
    <w:rsid w:val="00223C8B"/>
    <w:rsid w:val="00224A29"/>
    <w:rsid w:val="00225034"/>
    <w:rsid w:val="00225862"/>
    <w:rsid w:val="00225B7F"/>
    <w:rsid w:val="00225DE0"/>
    <w:rsid w:val="00226037"/>
    <w:rsid w:val="00226A9A"/>
    <w:rsid w:val="00226B0A"/>
    <w:rsid w:val="00227C14"/>
    <w:rsid w:val="00230260"/>
    <w:rsid w:val="00230663"/>
    <w:rsid w:val="00230E85"/>
    <w:rsid w:val="00231308"/>
    <w:rsid w:val="00231354"/>
    <w:rsid w:val="002321EA"/>
    <w:rsid w:val="002337D9"/>
    <w:rsid w:val="00233D01"/>
    <w:rsid w:val="0023442D"/>
    <w:rsid w:val="0023460C"/>
    <w:rsid w:val="00234649"/>
    <w:rsid w:val="0023470C"/>
    <w:rsid w:val="00235568"/>
    <w:rsid w:val="00235926"/>
    <w:rsid w:val="002359A9"/>
    <w:rsid w:val="00235E33"/>
    <w:rsid w:val="0023603F"/>
    <w:rsid w:val="00236D63"/>
    <w:rsid w:val="00237A7D"/>
    <w:rsid w:val="00237CBE"/>
    <w:rsid w:val="0024010E"/>
    <w:rsid w:val="0024017C"/>
    <w:rsid w:val="002403ED"/>
    <w:rsid w:val="00240FF7"/>
    <w:rsid w:val="002416C9"/>
    <w:rsid w:val="00241BF8"/>
    <w:rsid w:val="00241D69"/>
    <w:rsid w:val="00242A53"/>
    <w:rsid w:val="00243BB8"/>
    <w:rsid w:val="002441B8"/>
    <w:rsid w:val="002444D7"/>
    <w:rsid w:val="00244856"/>
    <w:rsid w:val="002448A1"/>
    <w:rsid w:val="00244DE5"/>
    <w:rsid w:val="00244F26"/>
    <w:rsid w:val="00245E0F"/>
    <w:rsid w:val="00246325"/>
    <w:rsid w:val="00246536"/>
    <w:rsid w:val="00246909"/>
    <w:rsid w:val="00246FDC"/>
    <w:rsid w:val="00247995"/>
    <w:rsid w:val="002500CE"/>
    <w:rsid w:val="00250461"/>
    <w:rsid w:val="00250927"/>
    <w:rsid w:val="00250A93"/>
    <w:rsid w:val="00251DF5"/>
    <w:rsid w:val="0025223F"/>
    <w:rsid w:val="002523E6"/>
    <w:rsid w:val="00252A95"/>
    <w:rsid w:val="00252E25"/>
    <w:rsid w:val="00253080"/>
    <w:rsid w:val="002532F8"/>
    <w:rsid w:val="002535AE"/>
    <w:rsid w:val="002539BF"/>
    <w:rsid w:val="00253D03"/>
    <w:rsid w:val="00253D78"/>
    <w:rsid w:val="00253F63"/>
    <w:rsid w:val="0025444B"/>
    <w:rsid w:val="00254B65"/>
    <w:rsid w:val="00254C6D"/>
    <w:rsid w:val="00255F30"/>
    <w:rsid w:val="00255F5A"/>
    <w:rsid w:val="002563B4"/>
    <w:rsid w:val="002563C9"/>
    <w:rsid w:val="002563FC"/>
    <w:rsid w:val="00256BB2"/>
    <w:rsid w:val="0025724B"/>
    <w:rsid w:val="002579FD"/>
    <w:rsid w:val="0026072A"/>
    <w:rsid w:val="00260BA9"/>
    <w:rsid w:val="00260D3D"/>
    <w:rsid w:val="0026109E"/>
    <w:rsid w:val="00262395"/>
    <w:rsid w:val="002623D1"/>
    <w:rsid w:val="002624F3"/>
    <w:rsid w:val="002625BF"/>
    <w:rsid w:val="00262759"/>
    <w:rsid w:val="00262905"/>
    <w:rsid w:val="00262DA5"/>
    <w:rsid w:val="00263332"/>
    <w:rsid w:val="0026359A"/>
    <w:rsid w:val="002636F1"/>
    <w:rsid w:val="00263A27"/>
    <w:rsid w:val="00263F31"/>
    <w:rsid w:val="002649AE"/>
    <w:rsid w:val="00264E4E"/>
    <w:rsid w:val="00265552"/>
    <w:rsid w:val="00266648"/>
    <w:rsid w:val="00266EF8"/>
    <w:rsid w:val="00270632"/>
    <w:rsid w:val="0027167E"/>
    <w:rsid w:val="00271989"/>
    <w:rsid w:val="00271B9E"/>
    <w:rsid w:val="00271CBC"/>
    <w:rsid w:val="00271CD9"/>
    <w:rsid w:val="00272AE1"/>
    <w:rsid w:val="002736DD"/>
    <w:rsid w:val="00273EED"/>
    <w:rsid w:val="00274097"/>
    <w:rsid w:val="0027431D"/>
    <w:rsid w:val="00274419"/>
    <w:rsid w:val="00274959"/>
    <w:rsid w:val="00275445"/>
    <w:rsid w:val="00276C5E"/>
    <w:rsid w:val="002773D4"/>
    <w:rsid w:val="002800AF"/>
    <w:rsid w:val="0028026B"/>
    <w:rsid w:val="002804B5"/>
    <w:rsid w:val="00280A97"/>
    <w:rsid w:val="00280FD0"/>
    <w:rsid w:val="0028103A"/>
    <w:rsid w:val="00281C94"/>
    <w:rsid w:val="002820AA"/>
    <w:rsid w:val="002820B1"/>
    <w:rsid w:val="00283765"/>
    <w:rsid w:val="00283AD0"/>
    <w:rsid w:val="00283CC5"/>
    <w:rsid w:val="00284DBF"/>
    <w:rsid w:val="00284EDE"/>
    <w:rsid w:val="00284F0C"/>
    <w:rsid w:val="00285216"/>
    <w:rsid w:val="002856F8"/>
    <w:rsid w:val="00285922"/>
    <w:rsid w:val="002859EF"/>
    <w:rsid w:val="002860C7"/>
    <w:rsid w:val="0028634C"/>
    <w:rsid w:val="002863F6"/>
    <w:rsid w:val="00286B1F"/>
    <w:rsid w:val="0028727F"/>
    <w:rsid w:val="002874A6"/>
    <w:rsid w:val="002878A6"/>
    <w:rsid w:val="00287A35"/>
    <w:rsid w:val="00287AB6"/>
    <w:rsid w:val="00287F35"/>
    <w:rsid w:val="002900D9"/>
    <w:rsid w:val="002901BE"/>
    <w:rsid w:val="00292475"/>
    <w:rsid w:val="00292A01"/>
    <w:rsid w:val="002938B0"/>
    <w:rsid w:val="00294239"/>
    <w:rsid w:val="002944F6"/>
    <w:rsid w:val="00294532"/>
    <w:rsid w:val="00294A5A"/>
    <w:rsid w:val="00294B9E"/>
    <w:rsid w:val="0029522D"/>
    <w:rsid w:val="002961BF"/>
    <w:rsid w:val="00296EF2"/>
    <w:rsid w:val="00296F28"/>
    <w:rsid w:val="002973A3"/>
    <w:rsid w:val="00297D21"/>
    <w:rsid w:val="002A0783"/>
    <w:rsid w:val="002A0B7A"/>
    <w:rsid w:val="002A0C91"/>
    <w:rsid w:val="002A0F2B"/>
    <w:rsid w:val="002A16BA"/>
    <w:rsid w:val="002A1D22"/>
    <w:rsid w:val="002A242C"/>
    <w:rsid w:val="002A2494"/>
    <w:rsid w:val="002A2D10"/>
    <w:rsid w:val="002A30E0"/>
    <w:rsid w:val="002A396B"/>
    <w:rsid w:val="002A4127"/>
    <w:rsid w:val="002A413F"/>
    <w:rsid w:val="002A4687"/>
    <w:rsid w:val="002A4F9F"/>
    <w:rsid w:val="002A52C8"/>
    <w:rsid w:val="002A54FC"/>
    <w:rsid w:val="002A5904"/>
    <w:rsid w:val="002A6190"/>
    <w:rsid w:val="002A62F1"/>
    <w:rsid w:val="002A6FCC"/>
    <w:rsid w:val="002A733A"/>
    <w:rsid w:val="002A779A"/>
    <w:rsid w:val="002A7BBA"/>
    <w:rsid w:val="002A7C4A"/>
    <w:rsid w:val="002B00A7"/>
    <w:rsid w:val="002B03C7"/>
    <w:rsid w:val="002B0758"/>
    <w:rsid w:val="002B0AC3"/>
    <w:rsid w:val="002B0F43"/>
    <w:rsid w:val="002B19B5"/>
    <w:rsid w:val="002B1B47"/>
    <w:rsid w:val="002B1F58"/>
    <w:rsid w:val="002B1F64"/>
    <w:rsid w:val="002B1FE4"/>
    <w:rsid w:val="002B21BA"/>
    <w:rsid w:val="002B2500"/>
    <w:rsid w:val="002B2745"/>
    <w:rsid w:val="002B2A55"/>
    <w:rsid w:val="002B30C9"/>
    <w:rsid w:val="002B3A90"/>
    <w:rsid w:val="002B4830"/>
    <w:rsid w:val="002B51AB"/>
    <w:rsid w:val="002B58B0"/>
    <w:rsid w:val="002B5B80"/>
    <w:rsid w:val="002B5EF6"/>
    <w:rsid w:val="002B75E2"/>
    <w:rsid w:val="002B7B1F"/>
    <w:rsid w:val="002B7E14"/>
    <w:rsid w:val="002C0A85"/>
    <w:rsid w:val="002C0B5B"/>
    <w:rsid w:val="002C14E2"/>
    <w:rsid w:val="002C1655"/>
    <w:rsid w:val="002C19C5"/>
    <w:rsid w:val="002C2189"/>
    <w:rsid w:val="002C2287"/>
    <w:rsid w:val="002C284E"/>
    <w:rsid w:val="002C2CDE"/>
    <w:rsid w:val="002C34B0"/>
    <w:rsid w:val="002C35CF"/>
    <w:rsid w:val="002C38EA"/>
    <w:rsid w:val="002C4142"/>
    <w:rsid w:val="002C491B"/>
    <w:rsid w:val="002C5997"/>
    <w:rsid w:val="002C5D9D"/>
    <w:rsid w:val="002C6334"/>
    <w:rsid w:val="002C6927"/>
    <w:rsid w:val="002C69AD"/>
    <w:rsid w:val="002C6A0A"/>
    <w:rsid w:val="002C73C2"/>
    <w:rsid w:val="002C7581"/>
    <w:rsid w:val="002C75D8"/>
    <w:rsid w:val="002C7680"/>
    <w:rsid w:val="002C7ED8"/>
    <w:rsid w:val="002D03B0"/>
    <w:rsid w:val="002D1002"/>
    <w:rsid w:val="002D1932"/>
    <w:rsid w:val="002D19BC"/>
    <w:rsid w:val="002D219A"/>
    <w:rsid w:val="002D2587"/>
    <w:rsid w:val="002D2A9F"/>
    <w:rsid w:val="002D3118"/>
    <w:rsid w:val="002D3D80"/>
    <w:rsid w:val="002D43D4"/>
    <w:rsid w:val="002D4940"/>
    <w:rsid w:val="002D4F73"/>
    <w:rsid w:val="002D5E88"/>
    <w:rsid w:val="002D6417"/>
    <w:rsid w:val="002D645C"/>
    <w:rsid w:val="002D6A95"/>
    <w:rsid w:val="002D6BD5"/>
    <w:rsid w:val="002D78CF"/>
    <w:rsid w:val="002E035D"/>
    <w:rsid w:val="002E0636"/>
    <w:rsid w:val="002E0ABE"/>
    <w:rsid w:val="002E0DC8"/>
    <w:rsid w:val="002E10AC"/>
    <w:rsid w:val="002E2129"/>
    <w:rsid w:val="002E2441"/>
    <w:rsid w:val="002E2493"/>
    <w:rsid w:val="002E25FF"/>
    <w:rsid w:val="002E2E70"/>
    <w:rsid w:val="002E30B8"/>
    <w:rsid w:val="002E35B1"/>
    <w:rsid w:val="002E3CD6"/>
    <w:rsid w:val="002E3E74"/>
    <w:rsid w:val="002E44AC"/>
    <w:rsid w:val="002E45EE"/>
    <w:rsid w:val="002E4EDB"/>
    <w:rsid w:val="002E520C"/>
    <w:rsid w:val="002E539B"/>
    <w:rsid w:val="002E6110"/>
    <w:rsid w:val="002E61DD"/>
    <w:rsid w:val="002E6222"/>
    <w:rsid w:val="002E64A6"/>
    <w:rsid w:val="002E69E5"/>
    <w:rsid w:val="002E6C78"/>
    <w:rsid w:val="002E6D75"/>
    <w:rsid w:val="002E6D90"/>
    <w:rsid w:val="002E7545"/>
    <w:rsid w:val="002E76C0"/>
    <w:rsid w:val="002E76E0"/>
    <w:rsid w:val="002E7AB7"/>
    <w:rsid w:val="002F04E1"/>
    <w:rsid w:val="002F09F3"/>
    <w:rsid w:val="002F0ABC"/>
    <w:rsid w:val="002F0C80"/>
    <w:rsid w:val="002F1824"/>
    <w:rsid w:val="002F1861"/>
    <w:rsid w:val="002F19E6"/>
    <w:rsid w:val="002F1A4C"/>
    <w:rsid w:val="002F1CCF"/>
    <w:rsid w:val="002F1D3F"/>
    <w:rsid w:val="002F2D6E"/>
    <w:rsid w:val="002F34D4"/>
    <w:rsid w:val="002F387E"/>
    <w:rsid w:val="002F3B9D"/>
    <w:rsid w:val="002F482D"/>
    <w:rsid w:val="002F48F0"/>
    <w:rsid w:val="002F4AA5"/>
    <w:rsid w:val="002F53EB"/>
    <w:rsid w:val="002F59F6"/>
    <w:rsid w:val="002F5AC5"/>
    <w:rsid w:val="002F5B37"/>
    <w:rsid w:val="002F6992"/>
    <w:rsid w:val="002F6C0E"/>
    <w:rsid w:val="002F6C77"/>
    <w:rsid w:val="002F75C0"/>
    <w:rsid w:val="00300E79"/>
    <w:rsid w:val="0030156E"/>
    <w:rsid w:val="0030176B"/>
    <w:rsid w:val="00301966"/>
    <w:rsid w:val="0030219F"/>
    <w:rsid w:val="003023FF"/>
    <w:rsid w:val="003025A1"/>
    <w:rsid w:val="003027BA"/>
    <w:rsid w:val="003032AA"/>
    <w:rsid w:val="00303354"/>
    <w:rsid w:val="0030405C"/>
    <w:rsid w:val="003044E2"/>
    <w:rsid w:val="003057A9"/>
    <w:rsid w:val="00305BFB"/>
    <w:rsid w:val="0030647A"/>
    <w:rsid w:val="00306B26"/>
    <w:rsid w:val="00306D55"/>
    <w:rsid w:val="003073C4"/>
    <w:rsid w:val="0030750F"/>
    <w:rsid w:val="003077DC"/>
    <w:rsid w:val="0030796D"/>
    <w:rsid w:val="003100E2"/>
    <w:rsid w:val="003106AA"/>
    <w:rsid w:val="003106EA"/>
    <w:rsid w:val="00310CFD"/>
    <w:rsid w:val="00311D9D"/>
    <w:rsid w:val="003120A6"/>
    <w:rsid w:val="00312689"/>
    <w:rsid w:val="00312883"/>
    <w:rsid w:val="003135B9"/>
    <w:rsid w:val="00313B72"/>
    <w:rsid w:val="00313D3F"/>
    <w:rsid w:val="00313D6F"/>
    <w:rsid w:val="003146F8"/>
    <w:rsid w:val="00314B24"/>
    <w:rsid w:val="00314C7F"/>
    <w:rsid w:val="0031548C"/>
    <w:rsid w:val="00315F50"/>
    <w:rsid w:val="00316188"/>
    <w:rsid w:val="00316FF3"/>
    <w:rsid w:val="003171F2"/>
    <w:rsid w:val="00317454"/>
    <w:rsid w:val="0031746E"/>
    <w:rsid w:val="003176FA"/>
    <w:rsid w:val="00317D47"/>
    <w:rsid w:val="00320B6A"/>
    <w:rsid w:val="00322037"/>
    <w:rsid w:val="00322698"/>
    <w:rsid w:val="00323825"/>
    <w:rsid w:val="00323BB7"/>
    <w:rsid w:val="003242E7"/>
    <w:rsid w:val="003247C5"/>
    <w:rsid w:val="00324CC4"/>
    <w:rsid w:val="003259EF"/>
    <w:rsid w:val="00325B55"/>
    <w:rsid w:val="00325D70"/>
    <w:rsid w:val="00326C68"/>
    <w:rsid w:val="00326C75"/>
    <w:rsid w:val="003274A2"/>
    <w:rsid w:val="00327DDA"/>
    <w:rsid w:val="00330467"/>
    <w:rsid w:val="00330E0A"/>
    <w:rsid w:val="00330EA0"/>
    <w:rsid w:val="00331621"/>
    <w:rsid w:val="00333127"/>
    <w:rsid w:val="00333B03"/>
    <w:rsid w:val="00333D2B"/>
    <w:rsid w:val="00333E26"/>
    <w:rsid w:val="00334184"/>
    <w:rsid w:val="0033418B"/>
    <w:rsid w:val="0033465C"/>
    <w:rsid w:val="0033490E"/>
    <w:rsid w:val="00335047"/>
    <w:rsid w:val="003352BF"/>
    <w:rsid w:val="00335A4E"/>
    <w:rsid w:val="003360E1"/>
    <w:rsid w:val="00336A3A"/>
    <w:rsid w:val="00337048"/>
    <w:rsid w:val="003370DA"/>
    <w:rsid w:val="00337563"/>
    <w:rsid w:val="00337CFA"/>
    <w:rsid w:val="00337E2A"/>
    <w:rsid w:val="00340045"/>
    <w:rsid w:val="00340D99"/>
    <w:rsid w:val="00342022"/>
    <w:rsid w:val="003429CA"/>
    <w:rsid w:val="00344211"/>
    <w:rsid w:val="003443DE"/>
    <w:rsid w:val="00344A34"/>
    <w:rsid w:val="00344B32"/>
    <w:rsid w:val="003455D7"/>
    <w:rsid w:val="003458F9"/>
    <w:rsid w:val="00345D98"/>
    <w:rsid w:val="0034633E"/>
    <w:rsid w:val="003465AA"/>
    <w:rsid w:val="00347315"/>
    <w:rsid w:val="00347B93"/>
    <w:rsid w:val="00347CA2"/>
    <w:rsid w:val="003507EA"/>
    <w:rsid w:val="00350CC1"/>
    <w:rsid w:val="00350F7D"/>
    <w:rsid w:val="00351535"/>
    <w:rsid w:val="00351CA7"/>
    <w:rsid w:val="003524A4"/>
    <w:rsid w:val="00352EBE"/>
    <w:rsid w:val="00352FDD"/>
    <w:rsid w:val="003530AB"/>
    <w:rsid w:val="00353C52"/>
    <w:rsid w:val="00354200"/>
    <w:rsid w:val="003543C0"/>
    <w:rsid w:val="0035453D"/>
    <w:rsid w:val="0035610E"/>
    <w:rsid w:val="0035624E"/>
    <w:rsid w:val="003602E7"/>
    <w:rsid w:val="00360CC8"/>
    <w:rsid w:val="00360F21"/>
    <w:rsid w:val="0036109E"/>
    <w:rsid w:val="00361442"/>
    <w:rsid w:val="00361BC6"/>
    <w:rsid w:val="003622D9"/>
    <w:rsid w:val="003622E7"/>
    <w:rsid w:val="003625A9"/>
    <w:rsid w:val="0036275F"/>
    <w:rsid w:val="00362EAE"/>
    <w:rsid w:val="003644A0"/>
    <w:rsid w:val="00365285"/>
    <w:rsid w:val="00365C86"/>
    <w:rsid w:val="0036611A"/>
    <w:rsid w:val="003662D5"/>
    <w:rsid w:val="003668B7"/>
    <w:rsid w:val="00367918"/>
    <w:rsid w:val="003707B7"/>
    <w:rsid w:val="0037116F"/>
    <w:rsid w:val="00371D23"/>
    <w:rsid w:val="00373393"/>
    <w:rsid w:val="00373BCE"/>
    <w:rsid w:val="00374142"/>
    <w:rsid w:val="0037483B"/>
    <w:rsid w:val="00375041"/>
    <w:rsid w:val="00375EFA"/>
    <w:rsid w:val="003760BD"/>
    <w:rsid w:val="0037630C"/>
    <w:rsid w:val="003764C0"/>
    <w:rsid w:val="00376B12"/>
    <w:rsid w:val="00377078"/>
    <w:rsid w:val="00377404"/>
    <w:rsid w:val="0037740D"/>
    <w:rsid w:val="003774BB"/>
    <w:rsid w:val="0037772D"/>
    <w:rsid w:val="00377D5D"/>
    <w:rsid w:val="00380101"/>
    <w:rsid w:val="00380129"/>
    <w:rsid w:val="0038165C"/>
    <w:rsid w:val="003819E5"/>
    <w:rsid w:val="00381AB3"/>
    <w:rsid w:val="00381BFA"/>
    <w:rsid w:val="00381DA0"/>
    <w:rsid w:val="003820DF"/>
    <w:rsid w:val="003826F2"/>
    <w:rsid w:val="00382818"/>
    <w:rsid w:val="00382888"/>
    <w:rsid w:val="00382EB1"/>
    <w:rsid w:val="0038317C"/>
    <w:rsid w:val="00383689"/>
    <w:rsid w:val="003838D3"/>
    <w:rsid w:val="00383A15"/>
    <w:rsid w:val="003845C1"/>
    <w:rsid w:val="003857E9"/>
    <w:rsid w:val="003858F6"/>
    <w:rsid w:val="00385939"/>
    <w:rsid w:val="003862A5"/>
    <w:rsid w:val="003865C7"/>
    <w:rsid w:val="0038671A"/>
    <w:rsid w:val="00386E1C"/>
    <w:rsid w:val="003874C9"/>
    <w:rsid w:val="003874F2"/>
    <w:rsid w:val="00387EA7"/>
    <w:rsid w:val="0039017D"/>
    <w:rsid w:val="003906F0"/>
    <w:rsid w:val="00390A5D"/>
    <w:rsid w:val="00390F1D"/>
    <w:rsid w:val="003910E1"/>
    <w:rsid w:val="00391BA9"/>
    <w:rsid w:val="00391CB2"/>
    <w:rsid w:val="00392FE9"/>
    <w:rsid w:val="00394645"/>
    <w:rsid w:val="00395227"/>
    <w:rsid w:val="003959A6"/>
    <w:rsid w:val="0039678C"/>
    <w:rsid w:val="00396E3D"/>
    <w:rsid w:val="00397900"/>
    <w:rsid w:val="00397932"/>
    <w:rsid w:val="00397B3F"/>
    <w:rsid w:val="00397F37"/>
    <w:rsid w:val="00397F8F"/>
    <w:rsid w:val="003A00FB"/>
    <w:rsid w:val="003A1554"/>
    <w:rsid w:val="003A177C"/>
    <w:rsid w:val="003A19DA"/>
    <w:rsid w:val="003A1CA7"/>
    <w:rsid w:val="003A268B"/>
    <w:rsid w:val="003A3E2E"/>
    <w:rsid w:val="003A3FCC"/>
    <w:rsid w:val="003A4A1D"/>
    <w:rsid w:val="003A60EF"/>
    <w:rsid w:val="003A6144"/>
    <w:rsid w:val="003A61F5"/>
    <w:rsid w:val="003A75EB"/>
    <w:rsid w:val="003A7890"/>
    <w:rsid w:val="003A79DD"/>
    <w:rsid w:val="003A7C48"/>
    <w:rsid w:val="003A7FD7"/>
    <w:rsid w:val="003B0039"/>
    <w:rsid w:val="003B0E2F"/>
    <w:rsid w:val="003B11B6"/>
    <w:rsid w:val="003B129F"/>
    <w:rsid w:val="003B16F0"/>
    <w:rsid w:val="003B1A97"/>
    <w:rsid w:val="003B2050"/>
    <w:rsid w:val="003B2391"/>
    <w:rsid w:val="003B2877"/>
    <w:rsid w:val="003B2BB8"/>
    <w:rsid w:val="003B2CA5"/>
    <w:rsid w:val="003B3BEA"/>
    <w:rsid w:val="003B3F1F"/>
    <w:rsid w:val="003B4485"/>
    <w:rsid w:val="003B52BF"/>
    <w:rsid w:val="003B57AF"/>
    <w:rsid w:val="003B5B95"/>
    <w:rsid w:val="003B6503"/>
    <w:rsid w:val="003B6685"/>
    <w:rsid w:val="003B720D"/>
    <w:rsid w:val="003B74A3"/>
    <w:rsid w:val="003B74A6"/>
    <w:rsid w:val="003B776B"/>
    <w:rsid w:val="003B7D60"/>
    <w:rsid w:val="003B7F4D"/>
    <w:rsid w:val="003C005A"/>
    <w:rsid w:val="003C0189"/>
    <w:rsid w:val="003C02E2"/>
    <w:rsid w:val="003C0AA8"/>
    <w:rsid w:val="003C11FB"/>
    <w:rsid w:val="003C1271"/>
    <w:rsid w:val="003C206F"/>
    <w:rsid w:val="003C270B"/>
    <w:rsid w:val="003C292C"/>
    <w:rsid w:val="003C390A"/>
    <w:rsid w:val="003C3A51"/>
    <w:rsid w:val="003C3AF1"/>
    <w:rsid w:val="003C3E20"/>
    <w:rsid w:val="003C3EFE"/>
    <w:rsid w:val="003C4298"/>
    <w:rsid w:val="003C460E"/>
    <w:rsid w:val="003C4CD6"/>
    <w:rsid w:val="003C5300"/>
    <w:rsid w:val="003C5CAE"/>
    <w:rsid w:val="003C5F64"/>
    <w:rsid w:val="003C66D3"/>
    <w:rsid w:val="003C6B41"/>
    <w:rsid w:val="003C6B7E"/>
    <w:rsid w:val="003C705B"/>
    <w:rsid w:val="003D0457"/>
    <w:rsid w:val="003D12EB"/>
    <w:rsid w:val="003D14FE"/>
    <w:rsid w:val="003D27B6"/>
    <w:rsid w:val="003D2A42"/>
    <w:rsid w:val="003D2EA4"/>
    <w:rsid w:val="003D3346"/>
    <w:rsid w:val="003D34FF"/>
    <w:rsid w:val="003D3626"/>
    <w:rsid w:val="003D4330"/>
    <w:rsid w:val="003D462A"/>
    <w:rsid w:val="003D572B"/>
    <w:rsid w:val="003D5CC3"/>
    <w:rsid w:val="003D61C5"/>
    <w:rsid w:val="003D63A8"/>
    <w:rsid w:val="003D7A64"/>
    <w:rsid w:val="003D7C1C"/>
    <w:rsid w:val="003E0057"/>
    <w:rsid w:val="003E0440"/>
    <w:rsid w:val="003E04B5"/>
    <w:rsid w:val="003E165C"/>
    <w:rsid w:val="003E28F5"/>
    <w:rsid w:val="003E3374"/>
    <w:rsid w:val="003E3808"/>
    <w:rsid w:val="003E4022"/>
    <w:rsid w:val="003E43D2"/>
    <w:rsid w:val="003E4636"/>
    <w:rsid w:val="003E6206"/>
    <w:rsid w:val="003E661D"/>
    <w:rsid w:val="003E66E5"/>
    <w:rsid w:val="003E7987"/>
    <w:rsid w:val="003E7C30"/>
    <w:rsid w:val="003F01BA"/>
    <w:rsid w:val="003F0799"/>
    <w:rsid w:val="003F0ADC"/>
    <w:rsid w:val="003F142C"/>
    <w:rsid w:val="003F1475"/>
    <w:rsid w:val="003F229B"/>
    <w:rsid w:val="003F22CB"/>
    <w:rsid w:val="003F24E3"/>
    <w:rsid w:val="003F26D1"/>
    <w:rsid w:val="003F2A57"/>
    <w:rsid w:val="003F2DA2"/>
    <w:rsid w:val="003F37BF"/>
    <w:rsid w:val="003F37D6"/>
    <w:rsid w:val="003F38E4"/>
    <w:rsid w:val="003F3C7D"/>
    <w:rsid w:val="003F4629"/>
    <w:rsid w:val="003F4723"/>
    <w:rsid w:val="003F4943"/>
    <w:rsid w:val="003F4B1D"/>
    <w:rsid w:val="003F5648"/>
    <w:rsid w:val="003F5F83"/>
    <w:rsid w:val="003F6140"/>
    <w:rsid w:val="003F6945"/>
    <w:rsid w:val="003F6B5D"/>
    <w:rsid w:val="003F6D67"/>
    <w:rsid w:val="003F6ED7"/>
    <w:rsid w:val="003F75DC"/>
    <w:rsid w:val="003F7645"/>
    <w:rsid w:val="003F7D69"/>
    <w:rsid w:val="003F7E70"/>
    <w:rsid w:val="00400151"/>
    <w:rsid w:val="004002B4"/>
    <w:rsid w:val="0040062A"/>
    <w:rsid w:val="00400E48"/>
    <w:rsid w:val="00401212"/>
    <w:rsid w:val="004017F3"/>
    <w:rsid w:val="00401FD8"/>
    <w:rsid w:val="00403C61"/>
    <w:rsid w:val="00403CA6"/>
    <w:rsid w:val="0040430C"/>
    <w:rsid w:val="004044C2"/>
    <w:rsid w:val="00404D06"/>
    <w:rsid w:val="0040595A"/>
    <w:rsid w:val="004059D9"/>
    <w:rsid w:val="00405C37"/>
    <w:rsid w:val="00405D0E"/>
    <w:rsid w:val="0040632C"/>
    <w:rsid w:val="0040633E"/>
    <w:rsid w:val="004063D4"/>
    <w:rsid w:val="0040667A"/>
    <w:rsid w:val="00407CB2"/>
    <w:rsid w:val="0041008D"/>
    <w:rsid w:val="004100DD"/>
    <w:rsid w:val="00410C13"/>
    <w:rsid w:val="004114E1"/>
    <w:rsid w:val="004117C7"/>
    <w:rsid w:val="00412550"/>
    <w:rsid w:val="00412AC5"/>
    <w:rsid w:val="00413918"/>
    <w:rsid w:val="00413B9F"/>
    <w:rsid w:val="00414120"/>
    <w:rsid w:val="0041413E"/>
    <w:rsid w:val="0041432C"/>
    <w:rsid w:val="00414841"/>
    <w:rsid w:val="00414967"/>
    <w:rsid w:val="004152C1"/>
    <w:rsid w:val="0041597F"/>
    <w:rsid w:val="0041668C"/>
    <w:rsid w:val="00417149"/>
    <w:rsid w:val="00417254"/>
    <w:rsid w:val="00417A1F"/>
    <w:rsid w:val="00417E76"/>
    <w:rsid w:val="00420482"/>
    <w:rsid w:val="00420EE1"/>
    <w:rsid w:val="00421273"/>
    <w:rsid w:val="0042281A"/>
    <w:rsid w:val="0042338F"/>
    <w:rsid w:val="00423C55"/>
    <w:rsid w:val="00423F1F"/>
    <w:rsid w:val="004261A6"/>
    <w:rsid w:val="0042670F"/>
    <w:rsid w:val="00427009"/>
    <w:rsid w:val="00430032"/>
    <w:rsid w:val="004300AB"/>
    <w:rsid w:val="004302F2"/>
    <w:rsid w:val="00430432"/>
    <w:rsid w:val="004304EA"/>
    <w:rsid w:val="00430627"/>
    <w:rsid w:val="00430AD7"/>
    <w:rsid w:val="00430CA6"/>
    <w:rsid w:val="00430DA7"/>
    <w:rsid w:val="00430FE4"/>
    <w:rsid w:val="004310CA"/>
    <w:rsid w:val="00431687"/>
    <w:rsid w:val="00431B00"/>
    <w:rsid w:val="00431F38"/>
    <w:rsid w:val="00431FE9"/>
    <w:rsid w:val="0043207E"/>
    <w:rsid w:val="004320C7"/>
    <w:rsid w:val="0043280E"/>
    <w:rsid w:val="00432BEC"/>
    <w:rsid w:val="00432C60"/>
    <w:rsid w:val="00432C6E"/>
    <w:rsid w:val="004330EB"/>
    <w:rsid w:val="004339C8"/>
    <w:rsid w:val="00433B1B"/>
    <w:rsid w:val="00433F2E"/>
    <w:rsid w:val="00435B36"/>
    <w:rsid w:val="00435BC6"/>
    <w:rsid w:val="00435F5F"/>
    <w:rsid w:val="00436003"/>
    <w:rsid w:val="004363F0"/>
    <w:rsid w:val="00437D58"/>
    <w:rsid w:val="004407B3"/>
    <w:rsid w:val="00440CB5"/>
    <w:rsid w:val="00440D10"/>
    <w:rsid w:val="00441BA9"/>
    <w:rsid w:val="0044231B"/>
    <w:rsid w:val="004425F3"/>
    <w:rsid w:val="00442B6B"/>
    <w:rsid w:val="00442CFF"/>
    <w:rsid w:val="00443838"/>
    <w:rsid w:val="00443F1F"/>
    <w:rsid w:val="00444786"/>
    <w:rsid w:val="00444C33"/>
    <w:rsid w:val="00444F55"/>
    <w:rsid w:val="0044537A"/>
    <w:rsid w:val="004455CB"/>
    <w:rsid w:val="004466E1"/>
    <w:rsid w:val="00446FFA"/>
    <w:rsid w:val="00447B0A"/>
    <w:rsid w:val="00447D88"/>
    <w:rsid w:val="00451472"/>
    <w:rsid w:val="00451D33"/>
    <w:rsid w:val="004527E9"/>
    <w:rsid w:val="00452C54"/>
    <w:rsid w:val="004534F2"/>
    <w:rsid w:val="004542D2"/>
    <w:rsid w:val="0045460D"/>
    <w:rsid w:val="00454B2A"/>
    <w:rsid w:val="004555C4"/>
    <w:rsid w:val="004555FB"/>
    <w:rsid w:val="00455642"/>
    <w:rsid w:val="004558D5"/>
    <w:rsid w:val="00455D99"/>
    <w:rsid w:val="004561BE"/>
    <w:rsid w:val="00457368"/>
    <w:rsid w:val="004603FF"/>
    <w:rsid w:val="004612D4"/>
    <w:rsid w:val="00461342"/>
    <w:rsid w:val="00461F09"/>
    <w:rsid w:val="00461FA5"/>
    <w:rsid w:val="004625E4"/>
    <w:rsid w:val="004629FE"/>
    <w:rsid w:val="00462F5D"/>
    <w:rsid w:val="0046305C"/>
    <w:rsid w:val="0046348A"/>
    <w:rsid w:val="00463D0A"/>
    <w:rsid w:val="0046516C"/>
    <w:rsid w:val="004651F9"/>
    <w:rsid w:val="0046522E"/>
    <w:rsid w:val="00465CAA"/>
    <w:rsid w:val="00466910"/>
    <w:rsid w:val="00466F84"/>
    <w:rsid w:val="00467104"/>
    <w:rsid w:val="004672E0"/>
    <w:rsid w:val="0046774B"/>
    <w:rsid w:val="00467A26"/>
    <w:rsid w:val="00467A96"/>
    <w:rsid w:val="00470079"/>
    <w:rsid w:val="00470BC3"/>
    <w:rsid w:val="0047241B"/>
    <w:rsid w:val="0047275A"/>
    <w:rsid w:val="004727BE"/>
    <w:rsid w:val="004743BC"/>
    <w:rsid w:val="004748CD"/>
    <w:rsid w:val="00476A6E"/>
    <w:rsid w:val="0047704F"/>
    <w:rsid w:val="0047798D"/>
    <w:rsid w:val="00477ED8"/>
    <w:rsid w:val="0048002C"/>
    <w:rsid w:val="0048042A"/>
    <w:rsid w:val="00480AEC"/>
    <w:rsid w:val="00480B50"/>
    <w:rsid w:val="00480F15"/>
    <w:rsid w:val="004810EA"/>
    <w:rsid w:val="00481919"/>
    <w:rsid w:val="00481C0C"/>
    <w:rsid w:val="004821D6"/>
    <w:rsid w:val="00482250"/>
    <w:rsid w:val="0048341F"/>
    <w:rsid w:val="004846F1"/>
    <w:rsid w:val="00484F90"/>
    <w:rsid w:val="004861C3"/>
    <w:rsid w:val="0048680C"/>
    <w:rsid w:val="004876FD"/>
    <w:rsid w:val="00490199"/>
    <w:rsid w:val="00490423"/>
    <w:rsid w:val="00490524"/>
    <w:rsid w:val="004909DF"/>
    <w:rsid w:val="004912F9"/>
    <w:rsid w:val="00491AF5"/>
    <w:rsid w:val="00492413"/>
    <w:rsid w:val="004926DC"/>
    <w:rsid w:val="00492C65"/>
    <w:rsid w:val="0049386F"/>
    <w:rsid w:val="004938E6"/>
    <w:rsid w:val="0049393D"/>
    <w:rsid w:val="004947FE"/>
    <w:rsid w:val="0049541F"/>
    <w:rsid w:val="00495801"/>
    <w:rsid w:val="00495E9D"/>
    <w:rsid w:val="00496256"/>
    <w:rsid w:val="0049687A"/>
    <w:rsid w:val="004971D0"/>
    <w:rsid w:val="004979D1"/>
    <w:rsid w:val="004A0686"/>
    <w:rsid w:val="004A0C80"/>
    <w:rsid w:val="004A0D9A"/>
    <w:rsid w:val="004A1650"/>
    <w:rsid w:val="004A181D"/>
    <w:rsid w:val="004A1C5A"/>
    <w:rsid w:val="004A21C0"/>
    <w:rsid w:val="004A2B5A"/>
    <w:rsid w:val="004A4049"/>
    <w:rsid w:val="004A4650"/>
    <w:rsid w:val="004A52F9"/>
    <w:rsid w:val="004A554B"/>
    <w:rsid w:val="004A5659"/>
    <w:rsid w:val="004A6AD9"/>
    <w:rsid w:val="004A6CFB"/>
    <w:rsid w:val="004A6DDB"/>
    <w:rsid w:val="004A7914"/>
    <w:rsid w:val="004A7A06"/>
    <w:rsid w:val="004A7A37"/>
    <w:rsid w:val="004B00F5"/>
    <w:rsid w:val="004B080F"/>
    <w:rsid w:val="004B140A"/>
    <w:rsid w:val="004B1677"/>
    <w:rsid w:val="004B21F6"/>
    <w:rsid w:val="004B2A4C"/>
    <w:rsid w:val="004B2D52"/>
    <w:rsid w:val="004B2FDA"/>
    <w:rsid w:val="004B3AD8"/>
    <w:rsid w:val="004B46D4"/>
    <w:rsid w:val="004B4BCB"/>
    <w:rsid w:val="004B4D72"/>
    <w:rsid w:val="004B4EDF"/>
    <w:rsid w:val="004B4F1B"/>
    <w:rsid w:val="004B5196"/>
    <w:rsid w:val="004B54CA"/>
    <w:rsid w:val="004B66A4"/>
    <w:rsid w:val="004B6AF6"/>
    <w:rsid w:val="004B6BEB"/>
    <w:rsid w:val="004B7487"/>
    <w:rsid w:val="004C002F"/>
    <w:rsid w:val="004C05CA"/>
    <w:rsid w:val="004C0603"/>
    <w:rsid w:val="004C0647"/>
    <w:rsid w:val="004C0A73"/>
    <w:rsid w:val="004C0D34"/>
    <w:rsid w:val="004C1796"/>
    <w:rsid w:val="004C1B09"/>
    <w:rsid w:val="004C1CB2"/>
    <w:rsid w:val="004C2896"/>
    <w:rsid w:val="004C2997"/>
    <w:rsid w:val="004C2D9C"/>
    <w:rsid w:val="004C3E3B"/>
    <w:rsid w:val="004C495E"/>
    <w:rsid w:val="004C5407"/>
    <w:rsid w:val="004C576D"/>
    <w:rsid w:val="004C5A4D"/>
    <w:rsid w:val="004C6548"/>
    <w:rsid w:val="004C6F49"/>
    <w:rsid w:val="004C7D76"/>
    <w:rsid w:val="004D0DF5"/>
    <w:rsid w:val="004D0E0C"/>
    <w:rsid w:val="004D12B4"/>
    <w:rsid w:val="004D1BE2"/>
    <w:rsid w:val="004D1DD7"/>
    <w:rsid w:val="004D1F56"/>
    <w:rsid w:val="004D28B0"/>
    <w:rsid w:val="004D29C4"/>
    <w:rsid w:val="004D32B5"/>
    <w:rsid w:val="004D3953"/>
    <w:rsid w:val="004D3981"/>
    <w:rsid w:val="004D3D28"/>
    <w:rsid w:val="004D3DE7"/>
    <w:rsid w:val="004D3DFF"/>
    <w:rsid w:val="004D49FF"/>
    <w:rsid w:val="004D57F1"/>
    <w:rsid w:val="004D6BB8"/>
    <w:rsid w:val="004D7179"/>
    <w:rsid w:val="004E036F"/>
    <w:rsid w:val="004E1CEB"/>
    <w:rsid w:val="004E1E5B"/>
    <w:rsid w:val="004E3153"/>
    <w:rsid w:val="004E360B"/>
    <w:rsid w:val="004E3CC3"/>
    <w:rsid w:val="004E3E4F"/>
    <w:rsid w:val="004E4269"/>
    <w:rsid w:val="004E461E"/>
    <w:rsid w:val="004E48BE"/>
    <w:rsid w:val="004E4B0F"/>
    <w:rsid w:val="004E4F07"/>
    <w:rsid w:val="004E5165"/>
    <w:rsid w:val="004E5418"/>
    <w:rsid w:val="004E551A"/>
    <w:rsid w:val="004E5906"/>
    <w:rsid w:val="004E5CBF"/>
    <w:rsid w:val="004E6572"/>
    <w:rsid w:val="004E6E01"/>
    <w:rsid w:val="004F0179"/>
    <w:rsid w:val="004F01BF"/>
    <w:rsid w:val="004F0D2B"/>
    <w:rsid w:val="004F0DDE"/>
    <w:rsid w:val="004F10C5"/>
    <w:rsid w:val="004F134B"/>
    <w:rsid w:val="004F16EA"/>
    <w:rsid w:val="004F1918"/>
    <w:rsid w:val="004F1ABC"/>
    <w:rsid w:val="004F1FD0"/>
    <w:rsid w:val="004F2D76"/>
    <w:rsid w:val="004F39A4"/>
    <w:rsid w:val="004F3DB1"/>
    <w:rsid w:val="004F3FA1"/>
    <w:rsid w:val="004F3FB3"/>
    <w:rsid w:val="004F44B9"/>
    <w:rsid w:val="004F495C"/>
    <w:rsid w:val="004F4E0F"/>
    <w:rsid w:val="004F543A"/>
    <w:rsid w:val="004F6354"/>
    <w:rsid w:val="004F636B"/>
    <w:rsid w:val="004F6691"/>
    <w:rsid w:val="004F6B03"/>
    <w:rsid w:val="004F7273"/>
    <w:rsid w:val="004F7386"/>
    <w:rsid w:val="004F785B"/>
    <w:rsid w:val="004F7D1A"/>
    <w:rsid w:val="00500369"/>
    <w:rsid w:val="00500DB6"/>
    <w:rsid w:val="00500F94"/>
    <w:rsid w:val="0050140D"/>
    <w:rsid w:val="00501560"/>
    <w:rsid w:val="0050192D"/>
    <w:rsid w:val="005019AE"/>
    <w:rsid w:val="00501BA4"/>
    <w:rsid w:val="00501BC4"/>
    <w:rsid w:val="00501DDA"/>
    <w:rsid w:val="00501FF7"/>
    <w:rsid w:val="005024AC"/>
    <w:rsid w:val="00502A8F"/>
    <w:rsid w:val="0050433A"/>
    <w:rsid w:val="00504509"/>
    <w:rsid w:val="00504CE3"/>
    <w:rsid w:val="00504ED4"/>
    <w:rsid w:val="0050505C"/>
    <w:rsid w:val="00505117"/>
    <w:rsid w:val="00505B7F"/>
    <w:rsid w:val="00505F30"/>
    <w:rsid w:val="005062FF"/>
    <w:rsid w:val="00506916"/>
    <w:rsid w:val="00507198"/>
    <w:rsid w:val="0050723F"/>
    <w:rsid w:val="00507569"/>
    <w:rsid w:val="00507BD8"/>
    <w:rsid w:val="00510440"/>
    <w:rsid w:val="005104B7"/>
    <w:rsid w:val="00510694"/>
    <w:rsid w:val="00510B33"/>
    <w:rsid w:val="00510BE4"/>
    <w:rsid w:val="00510CF1"/>
    <w:rsid w:val="00510FF3"/>
    <w:rsid w:val="0051105E"/>
    <w:rsid w:val="00511AFD"/>
    <w:rsid w:val="005122D9"/>
    <w:rsid w:val="0051258D"/>
    <w:rsid w:val="00513124"/>
    <w:rsid w:val="00513A99"/>
    <w:rsid w:val="00513CB5"/>
    <w:rsid w:val="00513E2B"/>
    <w:rsid w:val="005142A5"/>
    <w:rsid w:val="005145B7"/>
    <w:rsid w:val="00514C44"/>
    <w:rsid w:val="005151E7"/>
    <w:rsid w:val="0051524C"/>
    <w:rsid w:val="00515AB6"/>
    <w:rsid w:val="0051730E"/>
    <w:rsid w:val="005178B8"/>
    <w:rsid w:val="00517AF5"/>
    <w:rsid w:val="00517E8D"/>
    <w:rsid w:val="00517EE9"/>
    <w:rsid w:val="0052054B"/>
    <w:rsid w:val="0052065D"/>
    <w:rsid w:val="005206AF"/>
    <w:rsid w:val="00520A0D"/>
    <w:rsid w:val="00521115"/>
    <w:rsid w:val="00522938"/>
    <w:rsid w:val="00522976"/>
    <w:rsid w:val="005238E6"/>
    <w:rsid w:val="00524691"/>
    <w:rsid w:val="005248D0"/>
    <w:rsid w:val="00524FE0"/>
    <w:rsid w:val="005265DC"/>
    <w:rsid w:val="0052660D"/>
    <w:rsid w:val="005269DA"/>
    <w:rsid w:val="005273DA"/>
    <w:rsid w:val="005274ED"/>
    <w:rsid w:val="00527C75"/>
    <w:rsid w:val="00527CA0"/>
    <w:rsid w:val="00527FDB"/>
    <w:rsid w:val="005300B5"/>
    <w:rsid w:val="0053039A"/>
    <w:rsid w:val="00530620"/>
    <w:rsid w:val="00530F29"/>
    <w:rsid w:val="00531688"/>
    <w:rsid w:val="00531BF4"/>
    <w:rsid w:val="00531C2E"/>
    <w:rsid w:val="00531E4B"/>
    <w:rsid w:val="00532045"/>
    <w:rsid w:val="0053232A"/>
    <w:rsid w:val="00532334"/>
    <w:rsid w:val="005335D3"/>
    <w:rsid w:val="00535517"/>
    <w:rsid w:val="00536CEE"/>
    <w:rsid w:val="005373B3"/>
    <w:rsid w:val="00537AF1"/>
    <w:rsid w:val="00540065"/>
    <w:rsid w:val="00540692"/>
    <w:rsid w:val="00540B1F"/>
    <w:rsid w:val="00540B3B"/>
    <w:rsid w:val="00540BAC"/>
    <w:rsid w:val="0054218F"/>
    <w:rsid w:val="0054255D"/>
    <w:rsid w:val="005427B8"/>
    <w:rsid w:val="00542A27"/>
    <w:rsid w:val="00543925"/>
    <w:rsid w:val="00543DDF"/>
    <w:rsid w:val="00543F62"/>
    <w:rsid w:val="005443FF"/>
    <w:rsid w:val="0054483A"/>
    <w:rsid w:val="005449A1"/>
    <w:rsid w:val="00544FA0"/>
    <w:rsid w:val="00546B14"/>
    <w:rsid w:val="0054714E"/>
    <w:rsid w:val="0054716A"/>
    <w:rsid w:val="005473C3"/>
    <w:rsid w:val="0054767C"/>
    <w:rsid w:val="00547C15"/>
    <w:rsid w:val="00547EF3"/>
    <w:rsid w:val="00550034"/>
    <w:rsid w:val="00550174"/>
    <w:rsid w:val="005507DE"/>
    <w:rsid w:val="00550B88"/>
    <w:rsid w:val="005514FA"/>
    <w:rsid w:val="00551ADC"/>
    <w:rsid w:val="00551C47"/>
    <w:rsid w:val="00551F29"/>
    <w:rsid w:val="00552000"/>
    <w:rsid w:val="00552506"/>
    <w:rsid w:val="00552B95"/>
    <w:rsid w:val="00553217"/>
    <w:rsid w:val="00553468"/>
    <w:rsid w:val="005534E3"/>
    <w:rsid w:val="005537E2"/>
    <w:rsid w:val="00553CEB"/>
    <w:rsid w:val="0055492D"/>
    <w:rsid w:val="00554C21"/>
    <w:rsid w:val="00554D35"/>
    <w:rsid w:val="00554D8F"/>
    <w:rsid w:val="0055549C"/>
    <w:rsid w:val="0055571D"/>
    <w:rsid w:val="00555FA4"/>
    <w:rsid w:val="0055681C"/>
    <w:rsid w:val="0055752B"/>
    <w:rsid w:val="00557546"/>
    <w:rsid w:val="00557675"/>
    <w:rsid w:val="00560620"/>
    <w:rsid w:val="00560CE6"/>
    <w:rsid w:val="00560EB8"/>
    <w:rsid w:val="00561AE3"/>
    <w:rsid w:val="00562098"/>
    <w:rsid w:val="0056309E"/>
    <w:rsid w:val="005633D2"/>
    <w:rsid w:val="00564E02"/>
    <w:rsid w:val="00564E38"/>
    <w:rsid w:val="00565030"/>
    <w:rsid w:val="005650EA"/>
    <w:rsid w:val="005652A1"/>
    <w:rsid w:val="00565319"/>
    <w:rsid w:val="00565820"/>
    <w:rsid w:val="005668A2"/>
    <w:rsid w:val="00566E0C"/>
    <w:rsid w:val="0057003F"/>
    <w:rsid w:val="005703AC"/>
    <w:rsid w:val="005704C2"/>
    <w:rsid w:val="00570781"/>
    <w:rsid w:val="005716CB"/>
    <w:rsid w:val="00572501"/>
    <w:rsid w:val="00572DBD"/>
    <w:rsid w:val="00572E55"/>
    <w:rsid w:val="00573605"/>
    <w:rsid w:val="00573756"/>
    <w:rsid w:val="00574662"/>
    <w:rsid w:val="005746A5"/>
    <w:rsid w:val="00574D04"/>
    <w:rsid w:val="00575470"/>
    <w:rsid w:val="00575529"/>
    <w:rsid w:val="00575C1F"/>
    <w:rsid w:val="00576162"/>
    <w:rsid w:val="005761EF"/>
    <w:rsid w:val="005763EB"/>
    <w:rsid w:val="005763F9"/>
    <w:rsid w:val="00576FC2"/>
    <w:rsid w:val="005817D0"/>
    <w:rsid w:val="00581E4D"/>
    <w:rsid w:val="00582563"/>
    <w:rsid w:val="00582C4D"/>
    <w:rsid w:val="00582E0E"/>
    <w:rsid w:val="00582EF5"/>
    <w:rsid w:val="005834C0"/>
    <w:rsid w:val="005839A6"/>
    <w:rsid w:val="0058407A"/>
    <w:rsid w:val="00585203"/>
    <w:rsid w:val="00585AF1"/>
    <w:rsid w:val="00585EAA"/>
    <w:rsid w:val="005869A9"/>
    <w:rsid w:val="00586DC3"/>
    <w:rsid w:val="00587165"/>
    <w:rsid w:val="00587263"/>
    <w:rsid w:val="0058753E"/>
    <w:rsid w:val="005879C4"/>
    <w:rsid w:val="00587B28"/>
    <w:rsid w:val="005900E0"/>
    <w:rsid w:val="005909F2"/>
    <w:rsid w:val="00593420"/>
    <w:rsid w:val="005938B8"/>
    <w:rsid w:val="00593C73"/>
    <w:rsid w:val="005940A3"/>
    <w:rsid w:val="00594204"/>
    <w:rsid w:val="005948B7"/>
    <w:rsid w:val="00594E49"/>
    <w:rsid w:val="00595D60"/>
    <w:rsid w:val="00595DC0"/>
    <w:rsid w:val="0059637E"/>
    <w:rsid w:val="00596FCC"/>
    <w:rsid w:val="005971B3"/>
    <w:rsid w:val="005978E3"/>
    <w:rsid w:val="005A0C5B"/>
    <w:rsid w:val="005A16A3"/>
    <w:rsid w:val="005A1743"/>
    <w:rsid w:val="005A2325"/>
    <w:rsid w:val="005A259D"/>
    <w:rsid w:val="005A2E5D"/>
    <w:rsid w:val="005A2FBD"/>
    <w:rsid w:val="005A33E9"/>
    <w:rsid w:val="005A35FE"/>
    <w:rsid w:val="005A4818"/>
    <w:rsid w:val="005A48D5"/>
    <w:rsid w:val="005A58E7"/>
    <w:rsid w:val="005A600B"/>
    <w:rsid w:val="005A6312"/>
    <w:rsid w:val="005A633A"/>
    <w:rsid w:val="005A6CB7"/>
    <w:rsid w:val="005B04F7"/>
    <w:rsid w:val="005B0F57"/>
    <w:rsid w:val="005B17E7"/>
    <w:rsid w:val="005B292D"/>
    <w:rsid w:val="005B29FA"/>
    <w:rsid w:val="005B3008"/>
    <w:rsid w:val="005B3246"/>
    <w:rsid w:val="005B3FF9"/>
    <w:rsid w:val="005B408B"/>
    <w:rsid w:val="005B42F0"/>
    <w:rsid w:val="005B4C82"/>
    <w:rsid w:val="005B4FEC"/>
    <w:rsid w:val="005B5004"/>
    <w:rsid w:val="005B5038"/>
    <w:rsid w:val="005B5707"/>
    <w:rsid w:val="005B6458"/>
    <w:rsid w:val="005B6827"/>
    <w:rsid w:val="005B6981"/>
    <w:rsid w:val="005B6C1D"/>
    <w:rsid w:val="005B7508"/>
    <w:rsid w:val="005B762C"/>
    <w:rsid w:val="005B7949"/>
    <w:rsid w:val="005B7F97"/>
    <w:rsid w:val="005C07B9"/>
    <w:rsid w:val="005C12F3"/>
    <w:rsid w:val="005C2047"/>
    <w:rsid w:val="005C229E"/>
    <w:rsid w:val="005C24F2"/>
    <w:rsid w:val="005C2611"/>
    <w:rsid w:val="005C3AA9"/>
    <w:rsid w:val="005C4170"/>
    <w:rsid w:val="005C4487"/>
    <w:rsid w:val="005C4A06"/>
    <w:rsid w:val="005C4A2E"/>
    <w:rsid w:val="005C4A45"/>
    <w:rsid w:val="005C4E8E"/>
    <w:rsid w:val="005C6586"/>
    <w:rsid w:val="005C67CB"/>
    <w:rsid w:val="005C6910"/>
    <w:rsid w:val="005C6BB8"/>
    <w:rsid w:val="005C77E7"/>
    <w:rsid w:val="005C78DA"/>
    <w:rsid w:val="005D0186"/>
    <w:rsid w:val="005D0917"/>
    <w:rsid w:val="005D129E"/>
    <w:rsid w:val="005D1585"/>
    <w:rsid w:val="005D1939"/>
    <w:rsid w:val="005D1945"/>
    <w:rsid w:val="005D2563"/>
    <w:rsid w:val="005D37ED"/>
    <w:rsid w:val="005D39C9"/>
    <w:rsid w:val="005D3EFF"/>
    <w:rsid w:val="005D5114"/>
    <w:rsid w:val="005D5656"/>
    <w:rsid w:val="005D5A70"/>
    <w:rsid w:val="005D67BA"/>
    <w:rsid w:val="005D6C04"/>
    <w:rsid w:val="005D6ECB"/>
    <w:rsid w:val="005D78C6"/>
    <w:rsid w:val="005D7B76"/>
    <w:rsid w:val="005D7F59"/>
    <w:rsid w:val="005E0182"/>
    <w:rsid w:val="005E031D"/>
    <w:rsid w:val="005E0771"/>
    <w:rsid w:val="005E1078"/>
    <w:rsid w:val="005E17AE"/>
    <w:rsid w:val="005E2BFA"/>
    <w:rsid w:val="005E2D27"/>
    <w:rsid w:val="005E2DD3"/>
    <w:rsid w:val="005E2ED8"/>
    <w:rsid w:val="005E31F9"/>
    <w:rsid w:val="005E3F35"/>
    <w:rsid w:val="005E4925"/>
    <w:rsid w:val="005E52D2"/>
    <w:rsid w:val="005E5571"/>
    <w:rsid w:val="005E5A2A"/>
    <w:rsid w:val="005E63BD"/>
    <w:rsid w:val="005E6B86"/>
    <w:rsid w:val="005E6FD3"/>
    <w:rsid w:val="005F00D9"/>
    <w:rsid w:val="005F0621"/>
    <w:rsid w:val="005F1050"/>
    <w:rsid w:val="005F1843"/>
    <w:rsid w:val="005F2565"/>
    <w:rsid w:val="005F317E"/>
    <w:rsid w:val="005F3762"/>
    <w:rsid w:val="005F3955"/>
    <w:rsid w:val="005F4FD7"/>
    <w:rsid w:val="005F527A"/>
    <w:rsid w:val="005F56FE"/>
    <w:rsid w:val="005F5736"/>
    <w:rsid w:val="005F5765"/>
    <w:rsid w:val="005F57E7"/>
    <w:rsid w:val="005F5892"/>
    <w:rsid w:val="005F6112"/>
    <w:rsid w:val="005F65C6"/>
    <w:rsid w:val="005F7DAD"/>
    <w:rsid w:val="006003F0"/>
    <w:rsid w:val="00601AFC"/>
    <w:rsid w:val="00602F8B"/>
    <w:rsid w:val="006032D3"/>
    <w:rsid w:val="0060363E"/>
    <w:rsid w:val="006039D8"/>
    <w:rsid w:val="00603ABF"/>
    <w:rsid w:val="00604BE6"/>
    <w:rsid w:val="00604C50"/>
    <w:rsid w:val="006051BE"/>
    <w:rsid w:val="0060547C"/>
    <w:rsid w:val="00605613"/>
    <w:rsid w:val="006058CE"/>
    <w:rsid w:val="006059E7"/>
    <w:rsid w:val="00605DBE"/>
    <w:rsid w:val="00605F90"/>
    <w:rsid w:val="00606BBD"/>
    <w:rsid w:val="00607BE9"/>
    <w:rsid w:val="00610079"/>
    <w:rsid w:val="00610572"/>
    <w:rsid w:val="00610622"/>
    <w:rsid w:val="00610B92"/>
    <w:rsid w:val="00610C00"/>
    <w:rsid w:val="0061102B"/>
    <w:rsid w:val="006115B7"/>
    <w:rsid w:val="0061267D"/>
    <w:rsid w:val="006128E1"/>
    <w:rsid w:val="00613026"/>
    <w:rsid w:val="00613C71"/>
    <w:rsid w:val="00613FE7"/>
    <w:rsid w:val="00614181"/>
    <w:rsid w:val="00614593"/>
    <w:rsid w:val="00616240"/>
    <w:rsid w:val="006165B7"/>
    <w:rsid w:val="006166D2"/>
    <w:rsid w:val="006166DB"/>
    <w:rsid w:val="006173A4"/>
    <w:rsid w:val="006202E1"/>
    <w:rsid w:val="00621D16"/>
    <w:rsid w:val="00622627"/>
    <w:rsid w:val="00622850"/>
    <w:rsid w:val="006228FA"/>
    <w:rsid w:val="0062307A"/>
    <w:rsid w:val="006230AC"/>
    <w:rsid w:val="00623270"/>
    <w:rsid w:val="006239E6"/>
    <w:rsid w:val="00623CF9"/>
    <w:rsid w:val="0062407C"/>
    <w:rsid w:val="0062473E"/>
    <w:rsid w:val="00625331"/>
    <w:rsid w:val="00626812"/>
    <w:rsid w:val="0062688D"/>
    <w:rsid w:val="00626BC3"/>
    <w:rsid w:val="006278CE"/>
    <w:rsid w:val="00627A78"/>
    <w:rsid w:val="00627C1C"/>
    <w:rsid w:val="00627FB8"/>
    <w:rsid w:val="006302CF"/>
    <w:rsid w:val="00630F08"/>
    <w:rsid w:val="0063184F"/>
    <w:rsid w:val="00631A08"/>
    <w:rsid w:val="00631E59"/>
    <w:rsid w:val="0063252B"/>
    <w:rsid w:val="00632980"/>
    <w:rsid w:val="00632E3F"/>
    <w:rsid w:val="006334F1"/>
    <w:rsid w:val="006336B4"/>
    <w:rsid w:val="00633DD9"/>
    <w:rsid w:val="00633F16"/>
    <w:rsid w:val="00634DE4"/>
    <w:rsid w:val="00635D09"/>
    <w:rsid w:val="0063641E"/>
    <w:rsid w:val="006369F1"/>
    <w:rsid w:val="00636C9C"/>
    <w:rsid w:val="006379C4"/>
    <w:rsid w:val="00640B3D"/>
    <w:rsid w:val="0064171C"/>
    <w:rsid w:val="0064173C"/>
    <w:rsid w:val="00642345"/>
    <w:rsid w:val="00642AB5"/>
    <w:rsid w:val="00642B62"/>
    <w:rsid w:val="006432E3"/>
    <w:rsid w:val="006443A1"/>
    <w:rsid w:val="00644792"/>
    <w:rsid w:val="00644A5C"/>
    <w:rsid w:val="00645007"/>
    <w:rsid w:val="00646266"/>
    <w:rsid w:val="006465CC"/>
    <w:rsid w:val="0064680E"/>
    <w:rsid w:val="00646C36"/>
    <w:rsid w:val="00646D69"/>
    <w:rsid w:val="006476B0"/>
    <w:rsid w:val="00647E9D"/>
    <w:rsid w:val="00647F16"/>
    <w:rsid w:val="00650242"/>
    <w:rsid w:val="006511AF"/>
    <w:rsid w:val="006516A4"/>
    <w:rsid w:val="0065305D"/>
    <w:rsid w:val="00653554"/>
    <w:rsid w:val="00653E4E"/>
    <w:rsid w:val="006545B5"/>
    <w:rsid w:val="0065560E"/>
    <w:rsid w:val="00655F2E"/>
    <w:rsid w:val="006560C2"/>
    <w:rsid w:val="006566C2"/>
    <w:rsid w:val="00656A85"/>
    <w:rsid w:val="00657E5B"/>
    <w:rsid w:val="00660A97"/>
    <w:rsid w:val="00661880"/>
    <w:rsid w:val="006621DD"/>
    <w:rsid w:val="0066245F"/>
    <w:rsid w:val="00662892"/>
    <w:rsid w:val="00663524"/>
    <w:rsid w:val="006637B6"/>
    <w:rsid w:val="006639E9"/>
    <w:rsid w:val="00663D07"/>
    <w:rsid w:val="0066423E"/>
    <w:rsid w:val="00664817"/>
    <w:rsid w:val="0066493B"/>
    <w:rsid w:val="00664C85"/>
    <w:rsid w:val="00664E61"/>
    <w:rsid w:val="00665857"/>
    <w:rsid w:val="0066593B"/>
    <w:rsid w:val="006659A0"/>
    <w:rsid w:val="00665FF5"/>
    <w:rsid w:val="00666768"/>
    <w:rsid w:val="006668DA"/>
    <w:rsid w:val="00666928"/>
    <w:rsid w:val="00666FF0"/>
    <w:rsid w:val="00667355"/>
    <w:rsid w:val="00667B07"/>
    <w:rsid w:val="00667F25"/>
    <w:rsid w:val="00670413"/>
    <w:rsid w:val="0067238E"/>
    <w:rsid w:val="00673676"/>
    <w:rsid w:val="00673681"/>
    <w:rsid w:val="00673A38"/>
    <w:rsid w:val="006742C6"/>
    <w:rsid w:val="00674996"/>
    <w:rsid w:val="00675231"/>
    <w:rsid w:val="00675AE1"/>
    <w:rsid w:val="0067633B"/>
    <w:rsid w:val="006765FF"/>
    <w:rsid w:val="006766C2"/>
    <w:rsid w:val="00676CED"/>
    <w:rsid w:val="00676E65"/>
    <w:rsid w:val="0068149B"/>
    <w:rsid w:val="006815B2"/>
    <w:rsid w:val="0068199E"/>
    <w:rsid w:val="00681C00"/>
    <w:rsid w:val="00682D59"/>
    <w:rsid w:val="006836CD"/>
    <w:rsid w:val="00683992"/>
    <w:rsid w:val="00683C5E"/>
    <w:rsid w:val="00683F0B"/>
    <w:rsid w:val="00685020"/>
    <w:rsid w:val="00685206"/>
    <w:rsid w:val="006854ED"/>
    <w:rsid w:val="00685691"/>
    <w:rsid w:val="00685AD5"/>
    <w:rsid w:val="00685B5B"/>
    <w:rsid w:val="0068767C"/>
    <w:rsid w:val="00687E88"/>
    <w:rsid w:val="00691360"/>
    <w:rsid w:val="00691459"/>
    <w:rsid w:val="00693156"/>
    <w:rsid w:val="00693343"/>
    <w:rsid w:val="00693706"/>
    <w:rsid w:val="00693A00"/>
    <w:rsid w:val="00693A21"/>
    <w:rsid w:val="00693BEB"/>
    <w:rsid w:val="006950FD"/>
    <w:rsid w:val="00696196"/>
    <w:rsid w:val="00696A68"/>
    <w:rsid w:val="00697053"/>
    <w:rsid w:val="00697A49"/>
    <w:rsid w:val="00697A9F"/>
    <w:rsid w:val="00697AFA"/>
    <w:rsid w:val="006A02D9"/>
    <w:rsid w:val="006A0BD7"/>
    <w:rsid w:val="006A0F97"/>
    <w:rsid w:val="006A160B"/>
    <w:rsid w:val="006A18A7"/>
    <w:rsid w:val="006A285B"/>
    <w:rsid w:val="006A28FF"/>
    <w:rsid w:val="006A3D20"/>
    <w:rsid w:val="006A4C7E"/>
    <w:rsid w:val="006A4CE7"/>
    <w:rsid w:val="006A4D49"/>
    <w:rsid w:val="006A5506"/>
    <w:rsid w:val="006A68CE"/>
    <w:rsid w:val="006A694A"/>
    <w:rsid w:val="006A7441"/>
    <w:rsid w:val="006A7E6C"/>
    <w:rsid w:val="006B04E9"/>
    <w:rsid w:val="006B0D56"/>
    <w:rsid w:val="006B0DF5"/>
    <w:rsid w:val="006B16A7"/>
    <w:rsid w:val="006B35F9"/>
    <w:rsid w:val="006B40F6"/>
    <w:rsid w:val="006B46BC"/>
    <w:rsid w:val="006B48FF"/>
    <w:rsid w:val="006B567D"/>
    <w:rsid w:val="006B5DA6"/>
    <w:rsid w:val="006B6BD3"/>
    <w:rsid w:val="006B7445"/>
    <w:rsid w:val="006B7537"/>
    <w:rsid w:val="006B77C7"/>
    <w:rsid w:val="006B7B20"/>
    <w:rsid w:val="006B7B84"/>
    <w:rsid w:val="006B7DCF"/>
    <w:rsid w:val="006B7E9D"/>
    <w:rsid w:val="006C01D2"/>
    <w:rsid w:val="006C031E"/>
    <w:rsid w:val="006C0428"/>
    <w:rsid w:val="006C110E"/>
    <w:rsid w:val="006C136C"/>
    <w:rsid w:val="006C1CB0"/>
    <w:rsid w:val="006C1E6E"/>
    <w:rsid w:val="006C20A1"/>
    <w:rsid w:val="006C2911"/>
    <w:rsid w:val="006C2D06"/>
    <w:rsid w:val="006C3117"/>
    <w:rsid w:val="006C34B1"/>
    <w:rsid w:val="006C3C5B"/>
    <w:rsid w:val="006C42C7"/>
    <w:rsid w:val="006C501F"/>
    <w:rsid w:val="006C50B0"/>
    <w:rsid w:val="006C554D"/>
    <w:rsid w:val="006C61B7"/>
    <w:rsid w:val="006C6228"/>
    <w:rsid w:val="006C67E2"/>
    <w:rsid w:val="006C69B6"/>
    <w:rsid w:val="006C7F8C"/>
    <w:rsid w:val="006D02ED"/>
    <w:rsid w:val="006D0679"/>
    <w:rsid w:val="006D06F2"/>
    <w:rsid w:val="006D0A6B"/>
    <w:rsid w:val="006D0D2B"/>
    <w:rsid w:val="006D0D69"/>
    <w:rsid w:val="006D17E2"/>
    <w:rsid w:val="006D1CC4"/>
    <w:rsid w:val="006D20A7"/>
    <w:rsid w:val="006D2243"/>
    <w:rsid w:val="006D286B"/>
    <w:rsid w:val="006D3993"/>
    <w:rsid w:val="006D44E7"/>
    <w:rsid w:val="006D4AB2"/>
    <w:rsid w:val="006D4C7A"/>
    <w:rsid w:val="006D513A"/>
    <w:rsid w:val="006D66DE"/>
    <w:rsid w:val="006D737A"/>
    <w:rsid w:val="006D7441"/>
    <w:rsid w:val="006D748F"/>
    <w:rsid w:val="006D7518"/>
    <w:rsid w:val="006D78AA"/>
    <w:rsid w:val="006D7A88"/>
    <w:rsid w:val="006D7B1B"/>
    <w:rsid w:val="006E009F"/>
    <w:rsid w:val="006E0405"/>
    <w:rsid w:val="006E0F8C"/>
    <w:rsid w:val="006E11DD"/>
    <w:rsid w:val="006E1235"/>
    <w:rsid w:val="006E1A22"/>
    <w:rsid w:val="006E1C03"/>
    <w:rsid w:val="006E1C37"/>
    <w:rsid w:val="006E2330"/>
    <w:rsid w:val="006E2919"/>
    <w:rsid w:val="006E2CB5"/>
    <w:rsid w:val="006E3240"/>
    <w:rsid w:val="006E37FB"/>
    <w:rsid w:val="006E3818"/>
    <w:rsid w:val="006E3914"/>
    <w:rsid w:val="006E3A95"/>
    <w:rsid w:val="006E40ED"/>
    <w:rsid w:val="006E43A2"/>
    <w:rsid w:val="006E462B"/>
    <w:rsid w:val="006E46E7"/>
    <w:rsid w:val="006E49DD"/>
    <w:rsid w:val="006E562A"/>
    <w:rsid w:val="006E633A"/>
    <w:rsid w:val="006E6942"/>
    <w:rsid w:val="006E73E7"/>
    <w:rsid w:val="006E7A52"/>
    <w:rsid w:val="006F0212"/>
    <w:rsid w:val="006F02C6"/>
    <w:rsid w:val="006F02D5"/>
    <w:rsid w:val="006F0428"/>
    <w:rsid w:val="006F04CA"/>
    <w:rsid w:val="006F1061"/>
    <w:rsid w:val="006F1415"/>
    <w:rsid w:val="006F1C32"/>
    <w:rsid w:val="006F27AA"/>
    <w:rsid w:val="006F29BF"/>
    <w:rsid w:val="006F3525"/>
    <w:rsid w:val="006F4140"/>
    <w:rsid w:val="006F5561"/>
    <w:rsid w:val="006F5C7A"/>
    <w:rsid w:val="006F6E4F"/>
    <w:rsid w:val="006F6E62"/>
    <w:rsid w:val="006F71A5"/>
    <w:rsid w:val="006F7470"/>
    <w:rsid w:val="006F74A6"/>
    <w:rsid w:val="006F76C5"/>
    <w:rsid w:val="006F76FE"/>
    <w:rsid w:val="006F7876"/>
    <w:rsid w:val="006F7DD8"/>
    <w:rsid w:val="006F7EB7"/>
    <w:rsid w:val="00700516"/>
    <w:rsid w:val="007005A9"/>
    <w:rsid w:val="007007DB"/>
    <w:rsid w:val="00701353"/>
    <w:rsid w:val="0070171E"/>
    <w:rsid w:val="0070253B"/>
    <w:rsid w:val="00702786"/>
    <w:rsid w:val="007048D6"/>
    <w:rsid w:val="00704E90"/>
    <w:rsid w:val="00705158"/>
    <w:rsid w:val="007058C4"/>
    <w:rsid w:val="007058DF"/>
    <w:rsid w:val="00705EEC"/>
    <w:rsid w:val="0070731D"/>
    <w:rsid w:val="00707327"/>
    <w:rsid w:val="007075CE"/>
    <w:rsid w:val="00707AD5"/>
    <w:rsid w:val="00707E97"/>
    <w:rsid w:val="0071147F"/>
    <w:rsid w:val="00711F9B"/>
    <w:rsid w:val="00712BF5"/>
    <w:rsid w:val="00712CBA"/>
    <w:rsid w:val="0071440F"/>
    <w:rsid w:val="00714622"/>
    <w:rsid w:val="007151F0"/>
    <w:rsid w:val="007154EC"/>
    <w:rsid w:val="0071590B"/>
    <w:rsid w:val="00715DFB"/>
    <w:rsid w:val="007164B4"/>
    <w:rsid w:val="00717C50"/>
    <w:rsid w:val="007205C7"/>
    <w:rsid w:val="00720A3C"/>
    <w:rsid w:val="00720B48"/>
    <w:rsid w:val="00720D77"/>
    <w:rsid w:val="0072194B"/>
    <w:rsid w:val="007219F1"/>
    <w:rsid w:val="00722574"/>
    <w:rsid w:val="00723AA0"/>
    <w:rsid w:val="00723DFC"/>
    <w:rsid w:val="00723E12"/>
    <w:rsid w:val="00724062"/>
    <w:rsid w:val="00724762"/>
    <w:rsid w:val="00724824"/>
    <w:rsid w:val="00725D0A"/>
    <w:rsid w:val="00725E6B"/>
    <w:rsid w:val="007260E1"/>
    <w:rsid w:val="0072681B"/>
    <w:rsid w:val="007272AD"/>
    <w:rsid w:val="00727581"/>
    <w:rsid w:val="0072779E"/>
    <w:rsid w:val="00727B97"/>
    <w:rsid w:val="00730461"/>
    <w:rsid w:val="0073062E"/>
    <w:rsid w:val="007308AC"/>
    <w:rsid w:val="00731BB4"/>
    <w:rsid w:val="00732516"/>
    <w:rsid w:val="00732780"/>
    <w:rsid w:val="007327FD"/>
    <w:rsid w:val="00732D2D"/>
    <w:rsid w:val="00732DE7"/>
    <w:rsid w:val="00733299"/>
    <w:rsid w:val="0073403A"/>
    <w:rsid w:val="00734159"/>
    <w:rsid w:val="007341E2"/>
    <w:rsid w:val="00734283"/>
    <w:rsid w:val="00735EDD"/>
    <w:rsid w:val="0073681A"/>
    <w:rsid w:val="0073690A"/>
    <w:rsid w:val="00736F6A"/>
    <w:rsid w:val="007378F8"/>
    <w:rsid w:val="00737A2A"/>
    <w:rsid w:val="0074036A"/>
    <w:rsid w:val="007409B3"/>
    <w:rsid w:val="00741063"/>
    <w:rsid w:val="007413AE"/>
    <w:rsid w:val="00741C01"/>
    <w:rsid w:val="0074258B"/>
    <w:rsid w:val="00742785"/>
    <w:rsid w:val="00742FAF"/>
    <w:rsid w:val="00743037"/>
    <w:rsid w:val="00743402"/>
    <w:rsid w:val="00743BDF"/>
    <w:rsid w:val="007447CE"/>
    <w:rsid w:val="00745D2E"/>
    <w:rsid w:val="00746674"/>
    <w:rsid w:val="00746CD0"/>
    <w:rsid w:val="00746F76"/>
    <w:rsid w:val="00747240"/>
    <w:rsid w:val="0075039D"/>
    <w:rsid w:val="0075051E"/>
    <w:rsid w:val="00750879"/>
    <w:rsid w:val="00750CCA"/>
    <w:rsid w:val="00750D51"/>
    <w:rsid w:val="00751040"/>
    <w:rsid w:val="00751551"/>
    <w:rsid w:val="0075206A"/>
    <w:rsid w:val="00752B89"/>
    <w:rsid w:val="00753DC6"/>
    <w:rsid w:val="00754216"/>
    <w:rsid w:val="00754266"/>
    <w:rsid w:val="0075428A"/>
    <w:rsid w:val="00754519"/>
    <w:rsid w:val="007546AF"/>
    <w:rsid w:val="00754A0E"/>
    <w:rsid w:val="00755391"/>
    <w:rsid w:val="007553CD"/>
    <w:rsid w:val="00756274"/>
    <w:rsid w:val="0075643C"/>
    <w:rsid w:val="00756FF2"/>
    <w:rsid w:val="00757322"/>
    <w:rsid w:val="00760110"/>
    <w:rsid w:val="00761C6C"/>
    <w:rsid w:val="00763903"/>
    <w:rsid w:val="00763AF7"/>
    <w:rsid w:val="00763D87"/>
    <w:rsid w:val="00763DF5"/>
    <w:rsid w:val="00764913"/>
    <w:rsid w:val="00764E1C"/>
    <w:rsid w:val="007654AE"/>
    <w:rsid w:val="00765CF3"/>
    <w:rsid w:val="0076731E"/>
    <w:rsid w:val="0076747C"/>
    <w:rsid w:val="00767529"/>
    <w:rsid w:val="007678CE"/>
    <w:rsid w:val="00767FAA"/>
    <w:rsid w:val="00771562"/>
    <w:rsid w:val="00771819"/>
    <w:rsid w:val="0077189C"/>
    <w:rsid w:val="00771D3C"/>
    <w:rsid w:val="007724B6"/>
    <w:rsid w:val="00772A09"/>
    <w:rsid w:val="00772A27"/>
    <w:rsid w:val="00772F1E"/>
    <w:rsid w:val="00773515"/>
    <w:rsid w:val="00773953"/>
    <w:rsid w:val="00773B11"/>
    <w:rsid w:val="00775983"/>
    <w:rsid w:val="007759BA"/>
    <w:rsid w:val="00775BA3"/>
    <w:rsid w:val="00775D5D"/>
    <w:rsid w:val="00775DBC"/>
    <w:rsid w:val="00776017"/>
    <w:rsid w:val="007763A2"/>
    <w:rsid w:val="00777315"/>
    <w:rsid w:val="00777920"/>
    <w:rsid w:val="007800D5"/>
    <w:rsid w:val="007802D7"/>
    <w:rsid w:val="0078044C"/>
    <w:rsid w:val="00780925"/>
    <w:rsid w:val="0078092C"/>
    <w:rsid w:val="00780FCC"/>
    <w:rsid w:val="00781740"/>
    <w:rsid w:val="00781D65"/>
    <w:rsid w:val="00781E3D"/>
    <w:rsid w:val="00782336"/>
    <w:rsid w:val="0078365C"/>
    <w:rsid w:val="00783860"/>
    <w:rsid w:val="00784C2F"/>
    <w:rsid w:val="00784F45"/>
    <w:rsid w:val="00785261"/>
    <w:rsid w:val="00785CF8"/>
    <w:rsid w:val="00786E84"/>
    <w:rsid w:val="0078728A"/>
    <w:rsid w:val="0078735B"/>
    <w:rsid w:val="00787C80"/>
    <w:rsid w:val="007907F3"/>
    <w:rsid w:val="00792404"/>
    <w:rsid w:val="00792786"/>
    <w:rsid w:val="007940EE"/>
    <w:rsid w:val="00794DDA"/>
    <w:rsid w:val="007952C1"/>
    <w:rsid w:val="007953CF"/>
    <w:rsid w:val="0079552A"/>
    <w:rsid w:val="00795B9C"/>
    <w:rsid w:val="0079607B"/>
    <w:rsid w:val="00796963"/>
    <w:rsid w:val="00797186"/>
    <w:rsid w:val="007A0B7A"/>
    <w:rsid w:val="007A0D2C"/>
    <w:rsid w:val="007A2767"/>
    <w:rsid w:val="007A3356"/>
    <w:rsid w:val="007A3835"/>
    <w:rsid w:val="007A39EB"/>
    <w:rsid w:val="007A47B3"/>
    <w:rsid w:val="007A519D"/>
    <w:rsid w:val="007A63AD"/>
    <w:rsid w:val="007A63C8"/>
    <w:rsid w:val="007B0256"/>
    <w:rsid w:val="007B086D"/>
    <w:rsid w:val="007B0977"/>
    <w:rsid w:val="007B0C64"/>
    <w:rsid w:val="007B0E1B"/>
    <w:rsid w:val="007B0F32"/>
    <w:rsid w:val="007B0FB7"/>
    <w:rsid w:val="007B1337"/>
    <w:rsid w:val="007B176D"/>
    <w:rsid w:val="007B20B1"/>
    <w:rsid w:val="007B31E1"/>
    <w:rsid w:val="007B33D5"/>
    <w:rsid w:val="007B3545"/>
    <w:rsid w:val="007B357A"/>
    <w:rsid w:val="007B365A"/>
    <w:rsid w:val="007B38BD"/>
    <w:rsid w:val="007B3ED9"/>
    <w:rsid w:val="007B417E"/>
    <w:rsid w:val="007B480F"/>
    <w:rsid w:val="007B482A"/>
    <w:rsid w:val="007B4990"/>
    <w:rsid w:val="007B588E"/>
    <w:rsid w:val="007B5B87"/>
    <w:rsid w:val="007B60DF"/>
    <w:rsid w:val="007B730E"/>
    <w:rsid w:val="007B7A31"/>
    <w:rsid w:val="007C0416"/>
    <w:rsid w:val="007C0DB5"/>
    <w:rsid w:val="007C1898"/>
    <w:rsid w:val="007C213D"/>
    <w:rsid w:val="007C28CF"/>
    <w:rsid w:val="007C2D7D"/>
    <w:rsid w:val="007C32D5"/>
    <w:rsid w:val="007C367A"/>
    <w:rsid w:val="007C41A8"/>
    <w:rsid w:val="007C4A1E"/>
    <w:rsid w:val="007C4B09"/>
    <w:rsid w:val="007C4B59"/>
    <w:rsid w:val="007C4D39"/>
    <w:rsid w:val="007C4FEE"/>
    <w:rsid w:val="007C5265"/>
    <w:rsid w:val="007C6022"/>
    <w:rsid w:val="007C627B"/>
    <w:rsid w:val="007C6680"/>
    <w:rsid w:val="007C683C"/>
    <w:rsid w:val="007C6DB2"/>
    <w:rsid w:val="007C770A"/>
    <w:rsid w:val="007C776A"/>
    <w:rsid w:val="007C7F74"/>
    <w:rsid w:val="007D0686"/>
    <w:rsid w:val="007D17BB"/>
    <w:rsid w:val="007D181C"/>
    <w:rsid w:val="007D18EC"/>
    <w:rsid w:val="007D1A6C"/>
    <w:rsid w:val="007D1A91"/>
    <w:rsid w:val="007D1D64"/>
    <w:rsid w:val="007D1FBF"/>
    <w:rsid w:val="007D2A57"/>
    <w:rsid w:val="007D2CE7"/>
    <w:rsid w:val="007D3693"/>
    <w:rsid w:val="007D36B9"/>
    <w:rsid w:val="007D3E83"/>
    <w:rsid w:val="007D46AC"/>
    <w:rsid w:val="007D4746"/>
    <w:rsid w:val="007D4BA7"/>
    <w:rsid w:val="007D4E6A"/>
    <w:rsid w:val="007D4FA9"/>
    <w:rsid w:val="007D5E48"/>
    <w:rsid w:val="007D60D6"/>
    <w:rsid w:val="007D61ED"/>
    <w:rsid w:val="007D6334"/>
    <w:rsid w:val="007D6412"/>
    <w:rsid w:val="007D643C"/>
    <w:rsid w:val="007D6C39"/>
    <w:rsid w:val="007D74A6"/>
    <w:rsid w:val="007D7F1B"/>
    <w:rsid w:val="007E0103"/>
    <w:rsid w:val="007E08A6"/>
    <w:rsid w:val="007E10B2"/>
    <w:rsid w:val="007E1259"/>
    <w:rsid w:val="007E1438"/>
    <w:rsid w:val="007E184C"/>
    <w:rsid w:val="007E1B4E"/>
    <w:rsid w:val="007E2FF0"/>
    <w:rsid w:val="007E35BE"/>
    <w:rsid w:val="007E39AD"/>
    <w:rsid w:val="007E3C4A"/>
    <w:rsid w:val="007E449B"/>
    <w:rsid w:val="007E47CC"/>
    <w:rsid w:val="007E4B05"/>
    <w:rsid w:val="007E59FB"/>
    <w:rsid w:val="007E6205"/>
    <w:rsid w:val="007E6C06"/>
    <w:rsid w:val="007E7621"/>
    <w:rsid w:val="007E7DAE"/>
    <w:rsid w:val="007F03B5"/>
    <w:rsid w:val="007F115C"/>
    <w:rsid w:val="007F23CA"/>
    <w:rsid w:val="007F29FD"/>
    <w:rsid w:val="007F2C76"/>
    <w:rsid w:val="007F2E96"/>
    <w:rsid w:val="007F30D0"/>
    <w:rsid w:val="007F31D0"/>
    <w:rsid w:val="007F356D"/>
    <w:rsid w:val="007F3A8A"/>
    <w:rsid w:val="007F3B10"/>
    <w:rsid w:val="007F4874"/>
    <w:rsid w:val="007F4B52"/>
    <w:rsid w:val="007F58AE"/>
    <w:rsid w:val="007F5D4D"/>
    <w:rsid w:val="007F60DC"/>
    <w:rsid w:val="007F65F8"/>
    <w:rsid w:val="007F6C78"/>
    <w:rsid w:val="007F6C84"/>
    <w:rsid w:val="007F77E5"/>
    <w:rsid w:val="00800272"/>
    <w:rsid w:val="00800515"/>
    <w:rsid w:val="008017CF"/>
    <w:rsid w:val="008019A9"/>
    <w:rsid w:val="00801FBD"/>
    <w:rsid w:val="008022E0"/>
    <w:rsid w:val="00802935"/>
    <w:rsid w:val="00802BEC"/>
    <w:rsid w:val="00802F4D"/>
    <w:rsid w:val="00802FCE"/>
    <w:rsid w:val="0080384F"/>
    <w:rsid w:val="008039D0"/>
    <w:rsid w:val="00803F64"/>
    <w:rsid w:val="0080427A"/>
    <w:rsid w:val="0080488E"/>
    <w:rsid w:val="00804C4D"/>
    <w:rsid w:val="008050E6"/>
    <w:rsid w:val="00805453"/>
    <w:rsid w:val="00805518"/>
    <w:rsid w:val="008061EC"/>
    <w:rsid w:val="0080639E"/>
    <w:rsid w:val="00806AB9"/>
    <w:rsid w:val="0080726F"/>
    <w:rsid w:val="008072A5"/>
    <w:rsid w:val="00807645"/>
    <w:rsid w:val="00807848"/>
    <w:rsid w:val="00807D56"/>
    <w:rsid w:val="00807FE2"/>
    <w:rsid w:val="00810B74"/>
    <w:rsid w:val="00810DA1"/>
    <w:rsid w:val="00810DFC"/>
    <w:rsid w:val="00810F2E"/>
    <w:rsid w:val="008111F3"/>
    <w:rsid w:val="008113FF"/>
    <w:rsid w:val="008126CA"/>
    <w:rsid w:val="00812850"/>
    <w:rsid w:val="008138B7"/>
    <w:rsid w:val="00813C16"/>
    <w:rsid w:val="00813CFF"/>
    <w:rsid w:val="00814B4D"/>
    <w:rsid w:val="00815C43"/>
    <w:rsid w:val="0081634B"/>
    <w:rsid w:val="008166B5"/>
    <w:rsid w:val="008171F3"/>
    <w:rsid w:val="00817FE0"/>
    <w:rsid w:val="008209BE"/>
    <w:rsid w:val="00820E16"/>
    <w:rsid w:val="00821003"/>
    <w:rsid w:val="00821E60"/>
    <w:rsid w:val="00822687"/>
    <w:rsid w:val="0082406F"/>
    <w:rsid w:val="0082444F"/>
    <w:rsid w:val="00824999"/>
    <w:rsid w:val="00824EED"/>
    <w:rsid w:val="0082572A"/>
    <w:rsid w:val="00825B4C"/>
    <w:rsid w:val="00825C8A"/>
    <w:rsid w:val="00826B03"/>
    <w:rsid w:val="00826C55"/>
    <w:rsid w:val="00827512"/>
    <w:rsid w:val="008275E5"/>
    <w:rsid w:val="00827C10"/>
    <w:rsid w:val="00827CF8"/>
    <w:rsid w:val="00827E99"/>
    <w:rsid w:val="00830233"/>
    <w:rsid w:val="008304AE"/>
    <w:rsid w:val="00830A50"/>
    <w:rsid w:val="00830D1D"/>
    <w:rsid w:val="0083253E"/>
    <w:rsid w:val="00832F73"/>
    <w:rsid w:val="0083356B"/>
    <w:rsid w:val="00833705"/>
    <w:rsid w:val="00833C64"/>
    <w:rsid w:val="00833DB5"/>
    <w:rsid w:val="008341BC"/>
    <w:rsid w:val="00834801"/>
    <w:rsid w:val="0083512B"/>
    <w:rsid w:val="008359AC"/>
    <w:rsid w:val="00836166"/>
    <w:rsid w:val="00836182"/>
    <w:rsid w:val="00836353"/>
    <w:rsid w:val="00836462"/>
    <w:rsid w:val="00836D79"/>
    <w:rsid w:val="00836E7A"/>
    <w:rsid w:val="00837763"/>
    <w:rsid w:val="00840041"/>
    <w:rsid w:val="0084093F"/>
    <w:rsid w:val="00840A78"/>
    <w:rsid w:val="00840D72"/>
    <w:rsid w:val="008416C0"/>
    <w:rsid w:val="00841738"/>
    <w:rsid w:val="00841DE8"/>
    <w:rsid w:val="00842177"/>
    <w:rsid w:val="0084237F"/>
    <w:rsid w:val="00842981"/>
    <w:rsid w:val="00842F25"/>
    <w:rsid w:val="00843225"/>
    <w:rsid w:val="00843C03"/>
    <w:rsid w:val="00844605"/>
    <w:rsid w:val="00844ABE"/>
    <w:rsid w:val="00845026"/>
    <w:rsid w:val="008450D7"/>
    <w:rsid w:val="00845148"/>
    <w:rsid w:val="00845B39"/>
    <w:rsid w:val="008460DE"/>
    <w:rsid w:val="00846397"/>
    <w:rsid w:val="008463BC"/>
    <w:rsid w:val="008463F0"/>
    <w:rsid w:val="00846C78"/>
    <w:rsid w:val="00847409"/>
    <w:rsid w:val="008475F9"/>
    <w:rsid w:val="00850133"/>
    <w:rsid w:val="008506DB"/>
    <w:rsid w:val="0085098D"/>
    <w:rsid w:val="00850B29"/>
    <w:rsid w:val="0085130C"/>
    <w:rsid w:val="0085146A"/>
    <w:rsid w:val="0085278F"/>
    <w:rsid w:val="00852B88"/>
    <w:rsid w:val="008530F1"/>
    <w:rsid w:val="00853C5F"/>
    <w:rsid w:val="00853F38"/>
    <w:rsid w:val="008553BA"/>
    <w:rsid w:val="008553F3"/>
    <w:rsid w:val="00855427"/>
    <w:rsid w:val="00855849"/>
    <w:rsid w:val="00855998"/>
    <w:rsid w:val="00855CCB"/>
    <w:rsid w:val="0085627B"/>
    <w:rsid w:val="008564C5"/>
    <w:rsid w:val="008567CD"/>
    <w:rsid w:val="0085680C"/>
    <w:rsid w:val="00856E9E"/>
    <w:rsid w:val="00856EA9"/>
    <w:rsid w:val="008570B7"/>
    <w:rsid w:val="008572FF"/>
    <w:rsid w:val="00857300"/>
    <w:rsid w:val="008573DD"/>
    <w:rsid w:val="008575A8"/>
    <w:rsid w:val="00857F9F"/>
    <w:rsid w:val="008602A6"/>
    <w:rsid w:val="00860385"/>
    <w:rsid w:val="00860B64"/>
    <w:rsid w:val="0086100F"/>
    <w:rsid w:val="008612B2"/>
    <w:rsid w:val="008615C9"/>
    <w:rsid w:val="008616CE"/>
    <w:rsid w:val="00861B90"/>
    <w:rsid w:val="00861E03"/>
    <w:rsid w:val="00862B5B"/>
    <w:rsid w:val="00862F4E"/>
    <w:rsid w:val="00863539"/>
    <w:rsid w:val="00863C7F"/>
    <w:rsid w:val="00864722"/>
    <w:rsid w:val="0086489F"/>
    <w:rsid w:val="0086504F"/>
    <w:rsid w:val="00866577"/>
    <w:rsid w:val="00866F7B"/>
    <w:rsid w:val="0087012C"/>
    <w:rsid w:val="008704C8"/>
    <w:rsid w:val="00870689"/>
    <w:rsid w:val="00870A0A"/>
    <w:rsid w:val="00870BCA"/>
    <w:rsid w:val="00870F7E"/>
    <w:rsid w:val="008712AF"/>
    <w:rsid w:val="0087163B"/>
    <w:rsid w:val="00871842"/>
    <w:rsid w:val="00871A14"/>
    <w:rsid w:val="00872725"/>
    <w:rsid w:val="00872DFF"/>
    <w:rsid w:val="00872F00"/>
    <w:rsid w:val="00873116"/>
    <w:rsid w:val="00873DE8"/>
    <w:rsid w:val="00874762"/>
    <w:rsid w:val="008750A8"/>
    <w:rsid w:val="00875487"/>
    <w:rsid w:val="00875CF2"/>
    <w:rsid w:val="00876072"/>
    <w:rsid w:val="00876678"/>
    <w:rsid w:val="008768BA"/>
    <w:rsid w:val="00876904"/>
    <w:rsid w:val="00877116"/>
    <w:rsid w:val="00877A26"/>
    <w:rsid w:val="00877EFC"/>
    <w:rsid w:val="0088032F"/>
    <w:rsid w:val="00880394"/>
    <w:rsid w:val="00880A15"/>
    <w:rsid w:val="00880BBA"/>
    <w:rsid w:val="00880C1F"/>
    <w:rsid w:val="00880D0F"/>
    <w:rsid w:val="00880E55"/>
    <w:rsid w:val="00880E66"/>
    <w:rsid w:val="00881875"/>
    <w:rsid w:val="00881934"/>
    <w:rsid w:val="0088193B"/>
    <w:rsid w:val="00881A3D"/>
    <w:rsid w:val="00881EE2"/>
    <w:rsid w:val="0088237F"/>
    <w:rsid w:val="008832B1"/>
    <w:rsid w:val="00883B11"/>
    <w:rsid w:val="00883E32"/>
    <w:rsid w:val="00883F06"/>
    <w:rsid w:val="0088419B"/>
    <w:rsid w:val="008843D2"/>
    <w:rsid w:val="00884603"/>
    <w:rsid w:val="008848E6"/>
    <w:rsid w:val="00884D4F"/>
    <w:rsid w:val="008854A3"/>
    <w:rsid w:val="008856D0"/>
    <w:rsid w:val="00885850"/>
    <w:rsid w:val="00885C7C"/>
    <w:rsid w:val="00885E6D"/>
    <w:rsid w:val="00885F8F"/>
    <w:rsid w:val="00886D23"/>
    <w:rsid w:val="00887867"/>
    <w:rsid w:val="00887A8D"/>
    <w:rsid w:val="00887F63"/>
    <w:rsid w:val="00890204"/>
    <w:rsid w:val="00890406"/>
    <w:rsid w:val="0089066B"/>
    <w:rsid w:val="00891181"/>
    <w:rsid w:val="0089162F"/>
    <w:rsid w:val="00893F28"/>
    <w:rsid w:val="008942C3"/>
    <w:rsid w:val="008949CA"/>
    <w:rsid w:val="00894C38"/>
    <w:rsid w:val="00894D49"/>
    <w:rsid w:val="00894E49"/>
    <w:rsid w:val="0089556B"/>
    <w:rsid w:val="008955C2"/>
    <w:rsid w:val="008955CF"/>
    <w:rsid w:val="00895647"/>
    <w:rsid w:val="00895C52"/>
    <w:rsid w:val="00895CF7"/>
    <w:rsid w:val="00896963"/>
    <w:rsid w:val="00896E45"/>
    <w:rsid w:val="0089703A"/>
    <w:rsid w:val="0089761D"/>
    <w:rsid w:val="008977D3"/>
    <w:rsid w:val="00897AC5"/>
    <w:rsid w:val="008A0C7F"/>
    <w:rsid w:val="008A0F9C"/>
    <w:rsid w:val="008A1C0F"/>
    <w:rsid w:val="008A4521"/>
    <w:rsid w:val="008A4B07"/>
    <w:rsid w:val="008A4D94"/>
    <w:rsid w:val="008A4E2A"/>
    <w:rsid w:val="008A5267"/>
    <w:rsid w:val="008A52BA"/>
    <w:rsid w:val="008A589F"/>
    <w:rsid w:val="008A5D72"/>
    <w:rsid w:val="008A656F"/>
    <w:rsid w:val="008A6E08"/>
    <w:rsid w:val="008B16D2"/>
    <w:rsid w:val="008B1BEB"/>
    <w:rsid w:val="008B1DB8"/>
    <w:rsid w:val="008B1EBB"/>
    <w:rsid w:val="008B3112"/>
    <w:rsid w:val="008B359C"/>
    <w:rsid w:val="008B35E8"/>
    <w:rsid w:val="008B3664"/>
    <w:rsid w:val="008B374A"/>
    <w:rsid w:val="008B380C"/>
    <w:rsid w:val="008B3996"/>
    <w:rsid w:val="008B3CB1"/>
    <w:rsid w:val="008B3E6A"/>
    <w:rsid w:val="008B42D1"/>
    <w:rsid w:val="008B47AD"/>
    <w:rsid w:val="008B4924"/>
    <w:rsid w:val="008B4A74"/>
    <w:rsid w:val="008B4D45"/>
    <w:rsid w:val="008B4E30"/>
    <w:rsid w:val="008B5335"/>
    <w:rsid w:val="008B5A71"/>
    <w:rsid w:val="008B5BA4"/>
    <w:rsid w:val="008B6075"/>
    <w:rsid w:val="008B681F"/>
    <w:rsid w:val="008B6FF5"/>
    <w:rsid w:val="008B74E6"/>
    <w:rsid w:val="008B772D"/>
    <w:rsid w:val="008B7884"/>
    <w:rsid w:val="008B7AE7"/>
    <w:rsid w:val="008B7C66"/>
    <w:rsid w:val="008C151E"/>
    <w:rsid w:val="008C186F"/>
    <w:rsid w:val="008C1DDF"/>
    <w:rsid w:val="008C2261"/>
    <w:rsid w:val="008C22B2"/>
    <w:rsid w:val="008C28C5"/>
    <w:rsid w:val="008C2AD1"/>
    <w:rsid w:val="008C2C8E"/>
    <w:rsid w:val="008C2F2A"/>
    <w:rsid w:val="008C37CC"/>
    <w:rsid w:val="008C4B7C"/>
    <w:rsid w:val="008C5020"/>
    <w:rsid w:val="008C51EF"/>
    <w:rsid w:val="008C542F"/>
    <w:rsid w:val="008C55AE"/>
    <w:rsid w:val="008C55F6"/>
    <w:rsid w:val="008C5793"/>
    <w:rsid w:val="008C616A"/>
    <w:rsid w:val="008C6233"/>
    <w:rsid w:val="008C66E6"/>
    <w:rsid w:val="008C69A7"/>
    <w:rsid w:val="008C7C06"/>
    <w:rsid w:val="008D0351"/>
    <w:rsid w:val="008D057C"/>
    <w:rsid w:val="008D0E5B"/>
    <w:rsid w:val="008D1BE3"/>
    <w:rsid w:val="008D1CDE"/>
    <w:rsid w:val="008D243A"/>
    <w:rsid w:val="008D325E"/>
    <w:rsid w:val="008D3596"/>
    <w:rsid w:val="008D40FB"/>
    <w:rsid w:val="008D49F6"/>
    <w:rsid w:val="008D4B76"/>
    <w:rsid w:val="008D4D7D"/>
    <w:rsid w:val="008D4E45"/>
    <w:rsid w:val="008D5B75"/>
    <w:rsid w:val="008D60AB"/>
    <w:rsid w:val="008D62C1"/>
    <w:rsid w:val="008D6B37"/>
    <w:rsid w:val="008D6BB6"/>
    <w:rsid w:val="008D7637"/>
    <w:rsid w:val="008E065E"/>
    <w:rsid w:val="008E0AC1"/>
    <w:rsid w:val="008E0AC3"/>
    <w:rsid w:val="008E11DF"/>
    <w:rsid w:val="008E17FD"/>
    <w:rsid w:val="008E217A"/>
    <w:rsid w:val="008E2348"/>
    <w:rsid w:val="008E2566"/>
    <w:rsid w:val="008E27CA"/>
    <w:rsid w:val="008E2A8C"/>
    <w:rsid w:val="008E30DE"/>
    <w:rsid w:val="008E3639"/>
    <w:rsid w:val="008E3B68"/>
    <w:rsid w:val="008E3DBF"/>
    <w:rsid w:val="008E3F2A"/>
    <w:rsid w:val="008E4889"/>
    <w:rsid w:val="008E5994"/>
    <w:rsid w:val="008E629B"/>
    <w:rsid w:val="008E71EA"/>
    <w:rsid w:val="008E7CBE"/>
    <w:rsid w:val="008E7E66"/>
    <w:rsid w:val="008F03DC"/>
    <w:rsid w:val="008F04C8"/>
    <w:rsid w:val="008F165A"/>
    <w:rsid w:val="008F1C31"/>
    <w:rsid w:val="008F1DA2"/>
    <w:rsid w:val="008F2856"/>
    <w:rsid w:val="008F3BA1"/>
    <w:rsid w:val="008F3D9B"/>
    <w:rsid w:val="008F3E40"/>
    <w:rsid w:val="008F47CD"/>
    <w:rsid w:val="008F47D8"/>
    <w:rsid w:val="008F49F3"/>
    <w:rsid w:val="008F4AA7"/>
    <w:rsid w:val="008F5F63"/>
    <w:rsid w:val="008F621C"/>
    <w:rsid w:val="008F6704"/>
    <w:rsid w:val="008F672A"/>
    <w:rsid w:val="008F6F5A"/>
    <w:rsid w:val="008F7116"/>
    <w:rsid w:val="008F7E36"/>
    <w:rsid w:val="009011D1"/>
    <w:rsid w:val="00901492"/>
    <w:rsid w:val="00901ADF"/>
    <w:rsid w:val="00901E9A"/>
    <w:rsid w:val="009021DE"/>
    <w:rsid w:val="009024C8"/>
    <w:rsid w:val="00902F17"/>
    <w:rsid w:val="00903832"/>
    <w:rsid w:val="00903A44"/>
    <w:rsid w:val="00903E9B"/>
    <w:rsid w:val="00904686"/>
    <w:rsid w:val="00904E0C"/>
    <w:rsid w:val="00905551"/>
    <w:rsid w:val="009056CE"/>
    <w:rsid w:val="00905783"/>
    <w:rsid w:val="009064DE"/>
    <w:rsid w:val="0090661B"/>
    <w:rsid w:val="00906D97"/>
    <w:rsid w:val="00907C20"/>
    <w:rsid w:val="00907EE4"/>
    <w:rsid w:val="00910255"/>
    <w:rsid w:val="00910795"/>
    <w:rsid w:val="00910DD4"/>
    <w:rsid w:val="00910F07"/>
    <w:rsid w:val="00911A97"/>
    <w:rsid w:val="009125B2"/>
    <w:rsid w:val="0091293D"/>
    <w:rsid w:val="00912CFE"/>
    <w:rsid w:val="00912D8D"/>
    <w:rsid w:val="0091313B"/>
    <w:rsid w:val="0091345E"/>
    <w:rsid w:val="00913E58"/>
    <w:rsid w:val="0091410A"/>
    <w:rsid w:val="00914230"/>
    <w:rsid w:val="009148D4"/>
    <w:rsid w:val="00914BE8"/>
    <w:rsid w:val="0091582A"/>
    <w:rsid w:val="009158B5"/>
    <w:rsid w:val="009162E9"/>
    <w:rsid w:val="0091733D"/>
    <w:rsid w:val="00917870"/>
    <w:rsid w:val="00917C42"/>
    <w:rsid w:val="009201A4"/>
    <w:rsid w:val="009202D8"/>
    <w:rsid w:val="00920506"/>
    <w:rsid w:val="00921167"/>
    <w:rsid w:val="00921A2C"/>
    <w:rsid w:val="009223DD"/>
    <w:rsid w:val="00922490"/>
    <w:rsid w:val="009225F0"/>
    <w:rsid w:val="0092295E"/>
    <w:rsid w:val="00922987"/>
    <w:rsid w:val="009231BE"/>
    <w:rsid w:val="00923E0E"/>
    <w:rsid w:val="00923ED2"/>
    <w:rsid w:val="0092413C"/>
    <w:rsid w:val="0092521D"/>
    <w:rsid w:val="009256CB"/>
    <w:rsid w:val="009257E3"/>
    <w:rsid w:val="00925C40"/>
    <w:rsid w:val="00925DDD"/>
    <w:rsid w:val="0092602F"/>
    <w:rsid w:val="0092609E"/>
    <w:rsid w:val="009271CE"/>
    <w:rsid w:val="00927446"/>
    <w:rsid w:val="009275FA"/>
    <w:rsid w:val="0092767C"/>
    <w:rsid w:val="0093031B"/>
    <w:rsid w:val="009307FA"/>
    <w:rsid w:val="00930B52"/>
    <w:rsid w:val="0093109B"/>
    <w:rsid w:val="00931782"/>
    <w:rsid w:val="00931BFB"/>
    <w:rsid w:val="00932826"/>
    <w:rsid w:val="009341D0"/>
    <w:rsid w:val="009346F8"/>
    <w:rsid w:val="00934BF8"/>
    <w:rsid w:val="00935D0C"/>
    <w:rsid w:val="00935F1B"/>
    <w:rsid w:val="00935F33"/>
    <w:rsid w:val="0093648F"/>
    <w:rsid w:val="009368A2"/>
    <w:rsid w:val="00936F2D"/>
    <w:rsid w:val="009402E8"/>
    <w:rsid w:val="00940450"/>
    <w:rsid w:val="009405BA"/>
    <w:rsid w:val="00940789"/>
    <w:rsid w:val="00940906"/>
    <w:rsid w:val="00940AC8"/>
    <w:rsid w:val="00940B0D"/>
    <w:rsid w:val="009411CE"/>
    <w:rsid w:val="00941583"/>
    <w:rsid w:val="0094171C"/>
    <w:rsid w:val="00942533"/>
    <w:rsid w:val="00942B36"/>
    <w:rsid w:val="00942F3D"/>
    <w:rsid w:val="00943525"/>
    <w:rsid w:val="00943860"/>
    <w:rsid w:val="00943B24"/>
    <w:rsid w:val="00943D64"/>
    <w:rsid w:val="00943F06"/>
    <w:rsid w:val="00944322"/>
    <w:rsid w:val="009443D2"/>
    <w:rsid w:val="00945933"/>
    <w:rsid w:val="00945FB0"/>
    <w:rsid w:val="0094687F"/>
    <w:rsid w:val="00946E26"/>
    <w:rsid w:val="00946FA2"/>
    <w:rsid w:val="009470AD"/>
    <w:rsid w:val="00947C80"/>
    <w:rsid w:val="00947D91"/>
    <w:rsid w:val="00950006"/>
    <w:rsid w:val="0095047F"/>
    <w:rsid w:val="00950F57"/>
    <w:rsid w:val="00951CCE"/>
    <w:rsid w:val="00952024"/>
    <w:rsid w:val="00952293"/>
    <w:rsid w:val="0095263D"/>
    <w:rsid w:val="00953272"/>
    <w:rsid w:val="009538A0"/>
    <w:rsid w:val="00954EA1"/>
    <w:rsid w:val="009550A0"/>
    <w:rsid w:val="00955626"/>
    <w:rsid w:val="00955C18"/>
    <w:rsid w:val="009567B7"/>
    <w:rsid w:val="00956935"/>
    <w:rsid w:val="00956A05"/>
    <w:rsid w:val="00956FAF"/>
    <w:rsid w:val="009573EE"/>
    <w:rsid w:val="0096013C"/>
    <w:rsid w:val="00960D1C"/>
    <w:rsid w:val="0096143C"/>
    <w:rsid w:val="009615F6"/>
    <w:rsid w:val="00961608"/>
    <w:rsid w:val="00961742"/>
    <w:rsid w:val="00962858"/>
    <w:rsid w:val="00962B21"/>
    <w:rsid w:val="00962D72"/>
    <w:rsid w:val="00962F29"/>
    <w:rsid w:val="00963123"/>
    <w:rsid w:val="009634D1"/>
    <w:rsid w:val="00963BDC"/>
    <w:rsid w:val="00964235"/>
    <w:rsid w:val="00964420"/>
    <w:rsid w:val="00964AD9"/>
    <w:rsid w:val="009654CF"/>
    <w:rsid w:val="00965603"/>
    <w:rsid w:val="00965A2F"/>
    <w:rsid w:val="00965C99"/>
    <w:rsid w:val="00965DB3"/>
    <w:rsid w:val="00967379"/>
    <w:rsid w:val="009673DE"/>
    <w:rsid w:val="0097058C"/>
    <w:rsid w:val="009714AA"/>
    <w:rsid w:val="0097171F"/>
    <w:rsid w:val="00971B69"/>
    <w:rsid w:val="009723F7"/>
    <w:rsid w:val="00972C64"/>
    <w:rsid w:val="009737FE"/>
    <w:rsid w:val="009738D4"/>
    <w:rsid w:val="00973B27"/>
    <w:rsid w:val="00974682"/>
    <w:rsid w:val="00974DD8"/>
    <w:rsid w:val="0097564F"/>
    <w:rsid w:val="00975847"/>
    <w:rsid w:val="00975E88"/>
    <w:rsid w:val="00976B52"/>
    <w:rsid w:val="00976E47"/>
    <w:rsid w:val="0097746A"/>
    <w:rsid w:val="009802BE"/>
    <w:rsid w:val="00981298"/>
    <w:rsid w:val="0098168E"/>
    <w:rsid w:val="00981ADB"/>
    <w:rsid w:val="00981E26"/>
    <w:rsid w:val="0098200A"/>
    <w:rsid w:val="009828CD"/>
    <w:rsid w:val="009829F4"/>
    <w:rsid w:val="00983825"/>
    <w:rsid w:val="00983A0F"/>
    <w:rsid w:val="00983B6F"/>
    <w:rsid w:val="00983F6F"/>
    <w:rsid w:val="009848CA"/>
    <w:rsid w:val="009854C8"/>
    <w:rsid w:val="00985B3E"/>
    <w:rsid w:val="00985B6A"/>
    <w:rsid w:val="00986415"/>
    <w:rsid w:val="009876C9"/>
    <w:rsid w:val="00987A21"/>
    <w:rsid w:val="00987B1F"/>
    <w:rsid w:val="0099097A"/>
    <w:rsid w:val="0099126C"/>
    <w:rsid w:val="009913B6"/>
    <w:rsid w:val="00992153"/>
    <w:rsid w:val="00992741"/>
    <w:rsid w:val="00992D7E"/>
    <w:rsid w:val="00992EF8"/>
    <w:rsid w:val="009931F2"/>
    <w:rsid w:val="00994143"/>
    <w:rsid w:val="00994616"/>
    <w:rsid w:val="009948D4"/>
    <w:rsid w:val="00994907"/>
    <w:rsid w:val="00995B08"/>
    <w:rsid w:val="00995B7E"/>
    <w:rsid w:val="00995D6A"/>
    <w:rsid w:val="009960FC"/>
    <w:rsid w:val="00997021"/>
    <w:rsid w:val="009976BF"/>
    <w:rsid w:val="009A073D"/>
    <w:rsid w:val="009A077B"/>
    <w:rsid w:val="009A0AAB"/>
    <w:rsid w:val="009A0CB3"/>
    <w:rsid w:val="009A1A1A"/>
    <w:rsid w:val="009A1D79"/>
    <w:rsid w:val="009A24F7"/>
    <w:rsid w:val="009A31C4"/>
    <w:rsid w:val="009A3516"/>
    <w:rsid w:val="009A3B28"/>
    <w:rsid w:val="009A3CAA"/>
    <w:rsid w:val="009A3D70"/>
    <w:rsid w:val="009A4451"/>
    <w:rsid w:val="009A458C"/>
    <w:rsid w:val="009A578C"/>
    <w:rsid w:val="009A5F0B"/>
    <w:rsid w:val="009A6183"/>
    <w:rsid w:val="009A6980"/>
    <w:rsid w:val="009A6D03"/>
    <w:rsid w:val="009A6E32"/>
    <w:rsid w:val="009A6FAD"/>
    <w:rsid w:val="009A744B"/>
    <w:rsid w:val="009A7464"/>
    <w:rsid w:val="009B00C2"/>
    <w:rsid w:val="009B04FC"/>
    <w:rsid w:val="009B06C3"/>
    <w:rsid w:val="009B0E87"/>
    <w:rsid w:val="009B19F3"/>
    <w:rsid w:val="009B2822"/>
    <w:rsid w:val="009B33DD"/>
    <w:rsid w:val="009B3434"/>
    <w:rsid w:val="009B3827"/>
    <w:rsid w:val="009B3C5C"/>
    <w:rsid w:val="009B3F90"/>
    <w:rsid w:val="009B41AB"/>
    <w:rsid w:val="009B4220"/>
    <w:rsid w:val="009B46EC"/>
    <w:rsid w:val="009B496A"/>
    <w:rsid w:val="009B53D4"/>
    <w:rsid w:val="009B5761"/>
    <w:rsid w:val="009B5B08"/>
    <w:rsid w:val="009B5D08"/>
    <w:rsid w:val="009B61E8"/>
    <w:rsid w:val="009B66D7"/>
    <w:rsid w:val="009B686E"/>
    <w:rsid w:val="009B69A5"/>
    <w:rsid w:val="009B6D8B"/>
    <w:rsid w:val="009B70F9"/>
    <w:rsid w:val="009B7E09"/>
    <w:rsid w:val="009C0156"/>
    <w:rsid w:val="009C0D69"/>
    <w:rsid w:val="009C0E7F"/>
    <w:rsid w:val="009C101C"/>
    <w:rsid w:val="009C119F"/>
    <w:rsid w:val="009C1679"/>
    <w:rsid w:val="009C1C64"/>
    <w:rsid w:val="009C2A52"/>
    <w:rsid w:val="009C2B47"/>
    <w:rsid w:val="009C300E"/>
    <w:rsid w:val="009C40F3"/>
    <w:rsid w:val="009C423E"/>
    <w:rsid w:val="009C4384"/>
    <w:rsid w:val="009C4585"/>
    <w:rsid w:val="009C4B2F"/>
    <w:rsid w:val="009C4D2C"/>
    <w:rsid w:val="009C4D39"/>
    <w:rsid w:val="009C5617"/>
    <w:rsid w:val="009C563E"/>
    <w:rsid w:val="009C592B"/>
    <w:rsid w:val="009C5AF2"/>
    <w:rsid w:val="009C5BDA"/>
    <w:rsid w:val="009C5E1E"/>
    <w:rsid w:val="009C5EB7"/>
    <w:rsid w:val="009C63A3"/>
    <w:rsid w:val="009C6645"/>
    <w:rsid w:val="009C6A41"/>
    <w:rsid w:val="009C6E34"/>
    <w:rsid w:val="009C7E92"/>
    <w:rsid w:val="009D03AC"/>
    <w:rsid w:val="009D135C"/>
    <w:rsid w:val="009D16AC"/>
    <w:rsid w:val="009D1BE9"/>
    <w:rsid w:val="009D1C29"/>
    <w:rsid w:val="009D1E75"/>
    <w:rsid w:val="009D2094"/>
    <w:rsid w:val="009D283A"/>
    <w:rsid w:val="009D28BC"/>
    <w:rsid w:val="009D2F02"/>
    <w:rsid w:val="009D33CD"/>
    <w:rsid w:val="009D3DE9"/>
    <w:rsid w:val="009D4494"/>
    <w:rsid w:val="009D4E04"/>
    <w:rsid w:val="009D5405"/>
    <w:rsid w:val="009D5AE5"/>
    <w:rsid w:val="009D5DA5"/>
    <w:rsid w:val="009D693A"/>
    <w:rsid w:val="009D693E"/>
    <w:rsid w:val="009D6DCC"/>
    <w:rsid w:val="009D7023"/>
    <w:rsid w:val="009D7447"/>
    <w:rsid w:val="009D7723"/>
    <w:rsid w:val="009D7849"/>
    <w:rsid w:val="009D788C"/>
    <w:rsid w:val="009E0857"/>
    <w:rsid w:val="009E11D0"/>
    <w:rsid w:val="009E18A7"/>
    <w:rsid w:val="009E2369"/>
    <w:rsid w:val="009E2D72"/>
    <w:rsid w:val="009E3770"/>
    <w:rsid w:val="009E3872"/>
    <w:rsid w:val="009E3A00"/>
    <w:rsid w:val="009E3B29"/>
    <w:rsid w:val="009E3E73"/>
    <w:rsid w:val="009E44E0"/>
    <w:rsid w:val="009E455E"/>
    <w:rsid w:val="009E4A16"/>
    <w:rsid w:val="009E4E63"/>
    <w:rsid w:val="009E55E3"/>
    <w:rsid w:val="009E5C4C"/>
    <w:rsid w:val="009E6DD0"/>
    <w:rsid w:val="009E6F4D"/>
    <w:rsid w:val="009E6F74"/>
    <w:rsid w:val="009F022D"/>
    <w:rsid w:val="009F0374"/>
    <w:rsid w:val="009F0717"/>
    <w:rsid w:val="009F0B3D"/>
    <w:rsid w:val="009F157E"/>
    <w:rsid w:val="009F2003"/>
    <w:rsid w:val="009F26B6"/>
    <w:rsid w:val="009F3375"/>
    <w:rsid w:val="009F48D9"/>
    <w:rsid w:val="009F4D08"/>
    <w:rsid w:val="009F4F99"/>
    <w:rsid w:val="009F4F9E"/>
    <w:rsid w:val="009F65EE"/>
    <w:rsid w:val="009F67F9"/>
    <w:rsid w:val="009F7F72"/>
    <w:rsid w:val="00A00A69"/>
    <w:rsid w:val="00A0159D"/>
    <w:rsid w:val="00A0161A"/>
    <w:rsid w:val="00A02308"/>
    <w:rsid w:val="00A02560"/>
    <w:rsid w:val="00A0274D"/>
    <w:rsid w:val="00A033AF"/>
    <w:rsid w:val="00A0400F"/>
    <w:rsid w:val="00A043E8"/>
    <w:rsid w:val="00A044B2"/>
    <w:rsid w:val="00A046AD"/>
    <w:rsid w:val="00A04DCA"/>
    <w:rsid w:val="00A054BB"/>
    <w:rsid w:val="00A074EF"/>
    <w:rsid w:val="00A07734"/>
    <w:rsid w:val="00A07E3E"/>
    <w:rsid w:val="00A1189C"/>
    <w:rsid w:val="00A11AB2"/>
    <w:rsid w:val="00A12258"/>
    <w:rsid w:val="00A127DF"/>
    <w:rsid w:val="00A129D4"/>
    <w:rsid w:val="00A12F1D"/>
    <w:rsid w:val="00A13211"/>
    <w:rsid w:val="00A142BE"/>
    <w:rsid w:val="00A14E7A"/>
    <w:rsid w:val="00A15D02"/>
    <w:rsid w:val="00A15FCA"/>
    <w:rsid w:val="00A1612F"/>
    <w:rsid w:val="00A162B3"/>
    <w:rsid w:val="00A167E5"/>
    <w:rsid w:val="00A16F4C"/>
    <w:rsid w:val="00A17080"/>
    <w:rsid w:val="00A171BE"/>
    <w:rsid w:val="00A176B2"/>
    <w:rsid w:val="00A17821"/>
    <w:rsid w:val="00A203A7"/>
    <w:rsid w:val="00A2101C"/>
    <w:rsid w:val="00A21351"/>
    <w:rsid w:val="00A21495"/>
    <w:rsid w:val="00A21EFC"/>
    <w:rsid w:val="00A2205A"/>
    <w:rsid w:val="00A22645"/>
    <w:rsid w:val="00A22BEE"/>
    <w:rsid w:val="00A22D46"/>
    <w:rsid w:val="00A22D4F"/>
    <w:rsid w:val="00A22DAD"/>
    <w:rsid w:val="00A233ED"/>
    <w:rsid w:val="00A235A1"/>
    <w:rsid w:val="00A23BC0"/>
    <w:rsid w:val="00A240EE"/>
    <w:rsid w:val="00A265BF"/>
    <w:rsid w:val="00A26C3F"/>
    <w:rsid w:val="00A26D23"/>
    <w:rsid w:val="00A26F2A"/>
    <w:rsid w:val="00A2754F"/>
    <w:rsid w:val="00A27681"/>
    <w:rsid w:val="00A27EF0"/>
    <w:rsid w:val="00A308AA"/>
    <w:rsid w:val="00A30A4C"/>
    <w:rsid w:val="00A30C97"/>
    <w:rsid w:val="00A32456"/>
    <w:rsid w:val="00A3341A"/>
    <w:rsid w:val="00A339FB"/>
    <w:rsid w:val="00A33A71"/>
    <w:rsid w:val="00A345E1"/>
    <w:rsid w:val="00A34C71"/>
    <w:rsid w:val="00A35042"/>
    <w:rsid w:val="00A3523A"/>
    <w:rsid w:val="00A35593"/>
    <w:rsid w:val="00A364CC"/>
    <w:rsid w:val="00A36D8F"/>
    <w:rsid w:val="00A37792"/>
    <w:rsid w:val="00A37F87"/>
    <w:rsid w:val="00A40093"/>
    <w:rsid w:val="00A401A4"/>
    <w:rsid w:val="00A408FB"/>
    <w:rsid w:val="00A40F64"/>
    <w:rsid w:val="00A41425"/>
    <w:rsid w:val="00A41751"/>
    <w:rsid w:val="00A429D5"/>
    <w:rsid w:val="00A42E0D"/>
    <w:rsid w:val="00A431D5"/>
    <w:rsid w:val="00A43B9C"/>
    <w:rsid w:val="00A4489C"/>
    <w:rsid w:val="00A45674"/>
    <w:rsid w:val="00A456EB"/>
    <w:rsid w:val="00A45E83"/>
    <w:rsid w:val="00A4692B"/>
    <w:rsid w:val="00A46956"/>
    <w:rsid w:val="00A46BC2"/>
    <w:rsid w:val="00A46C1A"/>
    <w:rsid w:val="00A46DBC"/>
    <w:rsid w:val="00A4712C"/>
    <w:rsid w:val="00A47174"/>
    <w:rsid w:val="00A47C92"/>
    <w:rsid w:val="00A51560"/>
    <w:rsid w:val="00A52C49"/>
    <w:rsid w:val="00A53053"/>
    <w:rsid w:val="00A531CD"/>
    <w:rsid w:val="00A535D6"/>
    <w:rsid w:val="00A53625"/>
    <w:rsid w:val="00A541B3"/>
    <w:rsid w:val="00A54340"/>
    <w:rsid w:val="00A54358"/>
    <w:rsid w:val="00A54650"/>
    <w:rsid w:val="00A54827"/>
    <w:rsid w:val="00A54990"/>
    <w:rsid w:val="00A54A0B"/>
    <w:rsid w:val="00A5549A"/>
    <w:rsid w:val="00A558F0"/>
    <w:rsid w:val="00A567D5"/>
    <w:rsid w:val="00A569F0"/>
    <w:rsid w:val="00A56A29"/>
    <w:rsid w:val="00A57004"/>
    <w:rsid w:val="00A572D7"/>
    <w:rsid w:val="00A57861"/>
    <w:rsid w:val="00A57976"/>
    <w:rsid w:val="00A6017F"/>
    <w:rsid w:val="00A606B0"/>
    <w:rsid w:val="00A60EE9"/>
    <w:rsid w:val="00A61426"/>
    <w:rsid w:val="00A6165B"/>
    <w:rsid w:val="00A61E81"/>
    <w:rsid w:val="00A623F6"/>
    <w:rsid w:val="00A62ACE"/>
    <w:rsid w:val="00A63623"/>
    <w:rsid w:val="00A6396F"/>
    <w:rsid w:val="00A63C5B"/>
    <w:rsid w:val="00A646B1"/>
    <w:rsid w:val="00A647FF"/>
    <w:rsid w:val="00A64C0D"/>
    <w:rsid w:val="00A64C82"/>
    <w:rsid w:val="00A653FA"/>
    <w:rsid w:val="00A662C4"/>
    <w:rsid w:val="00A66B4D"/>
    <w:rsid w:val="00A66C15"/>
    <w:rsid w:val="00A675B1"/>
    <w:rsid w:val="00A67855"/>
    <w:rsid w:val="00A70056"/>
    <w:rsid w:val="00A70455"/>
    <w:rsid w:val="00A70933"/>
    <w:rsid w:val="00A70C20"/>
    <w:rsid w:val="00A70E0D"/>
    <w:rsid w:val="00A70EBA"/>
    <w:rsid w:val="00A71751"/>
    <w:rsid w:val="00A717A9"/>
    <w:rsid w:val="00A7187A"/>
    <w:rsid w:val="00A718E8"/>
    <w:rsid w:val="00A71BBB"/>
    <w:rsid w:val="00A71E9B"/>
    <w:rsid w:val="00A724F1"/>
    <w:rsid w:val="00A725FB"/>
    <w:rsid w:val="00A72A9C"/>
    <w:rsid w:val="00A73937"/>
    <w:rsid w:val="00A73C01"/>
    <w:rsid w:val="00A744C9"/>
    <w:rsid w:val="00A74929"/>
    <w:rsid w:val="00A74F7D"/>
    <w:rsid w:val="00A753A2"/>
    <w:rsid w:val="00A756F3"/>
    <w:rsid w:val="00A7588B"/>
    <w:rsid w:val="00A7670F"/>
    <w:rsid w:val="00A76C43"/>
    <w:rsid w:val="00A76CF0"/>
    <w:rsid w:val="00A76F67"/>
    <w:rsid w:val="00A77117"/>
    <w:rsid w:val="00A7774E"/>
    <w:rsid w:val="00A8042D"/>
    <w:rsid w:val="00A80A65"/>
    <w:rsid w:val="00A81623"/>
    <w:rsid w:val="00A81B23"/>
    <w:rsid w:val="00A82017"/>
    <w:rsid w:val="00A82A58"/>
    <w:rsid w:val="00A82DCC"/>
    <w:rsid w:val="00A840DC"/>
    <w:rsid w:val="00A84F27"/>
    <w:rsid w:val="00A84F60"/>
    <w:rsid w:val="00A8571E"/>
    <w:rsid w:val="00A857F4"/>
    <w:rsid w:val="00A86344"/>
    <w:rsid w:val="00A86A73"/>
    <w:rsid w:val="00A86CB3"/>
    <w:rsid w:val="00A87095"/>
    <w:rsid w:val="00A870F6"/>
    <w:rsid w:val="00A87CE0"/>
    <w:rsid w:val="00A9169D"/>
    <w:rsid w:val="00A91C57"/>
    <w:rsid w:val="00A921BE"/>
    <w:rsid w:val="00A93048"/>
    <w:rsid w:val="00A932B8"/>
    <w:rsid w:val="00A933B6"/>
    <w:rsid w:val="00A94265"/>
    <w:rsid w:val="00A94270"/>
    <w:rsid w:val="00A94FE4"/>
    <w:rsid w:val="00A950DA"/>
    <w:rsid w:val="00A95187"/>
    <w:rsid w:val="00A95409"/>
    <w:rsid w:val="00A96474"/>
    <w:rsid w:val="00A96AE1"/>
    <w:rsid w:val="00A97372"/>
    <w:rsid w:val="00A973BF"/>
    <w:rsid w:val="00AA031F"/>
    <w:rsid w:val="00AA053A"/>
    <w:rsid w:val="00AA0CDB"/>
    <w:rsid w:val="00AA0D4C"/>
    <w:rsid w:val="00AA0E0F"/>
    <w:rsid w:val="00AA1003"/>
    <w:rsid w:val="00AA1987"/>
    <w:rsid w:val="00AA1FBB"/>
    <w:rsid w:val="00AA24F1"/>
    <w:rsid w:val="00AA29D1"/>
    <w:rsid w:val="00AA2A0C"/>
    <w:rsid w:val="00AA2BDE"/>
    <w:rsid w:val="00AA30DE"/>
    <w:rsid w:val="00AA3117"/>
    <w:rsid w:val="00AA3434"/>
    <w:rsid w:val="00AA39A7"/>
    <w:rsid w:val="00AA3CD4"/>
    <w:rsid w:val="00AA4188"/>
    <w:rsid w:val="00AA44C6"/>
    <w:rsid w:val="00AA5240"/>
    <w:rsid w:val="00AA60DC"/>
    <w:rsid w:val="00AA6762"/>
    <w:rsid w:val="00AA68E9"/>
    <w:rsid w:val="00AA6A19"/>
    <w:rsid w:val="00AA6CF1"/>
    <w:rsid w:val="00AA72D2"/>
    <w:rsid w:val="00AB0CC0"/>
    <w:rsid w:val="00AB0FA6"/>
    <w:rsid w:val="00AB1FD3"/>
    <w:rsid w:val="00AB2326"/>
    <w:rsid w:val="00AB2966"/>
    <w:rsid w:val="00AB2EF7"/>
    <w:rsid w:val="00AB309F"/>
    <w:rsid w:val="00AB3CD8"/>
    <w:rsid w:val="00AB4315"/>
    <w:rsid w:val="00AB46CD"/>
    <w:rsid w:val="00AB496D"/>
    <w:rsid w:val="00AB4C6C"/>
    <w:rsid w:val="00AB4D09"/>
    <w:rsid w:val="00AB4FF5"/>
    <w:rsid w:val="00AB533C"/>
    <w:rsid w:val="00AB53C2"/>
    <w:rsid w:val="00AB54DA"/>
    <w:rsid w:val="00AB5C67"/>
    <w:rsid w:val="00AB5DE9"/>
    <w:rsid w:val="00AB623D"/>
    <w:rsid w:val="00AB6496"/>
    <w:rsid w:val="00AB6967"/>
    <w:rsid w:val="00AB6D95"/>
    <w:rsid w:val="00AB7228"/>
    <w:rsid w:val="00AC0504"/>
    <w:rsid w:val="00AC074B"/>
    <w:rsid w:val="00AC2689"/>
    <w:rsid w:val="00AC2C73"/>
    <w:rsid w:val="00AC3219"/>
    <w:rsid w:val="00AC368C"/>
    <w:rsid w:val="00AC3B6B"/>
    <w:rsid w:val="00AC403E"/>
    <w:rsid w:val="00AC40D3"/>
    <w:rsid w:val="00AC63A2"/>
    <w:rsid w:val="00AC6DAF"/>
    <w:rsid w:val="00AC7964"/>
    <w:rsid w:val="00AC7DE1"/>
    <w:rsid w:val="00AD02BC"/>
    <w:rsid w:val="00AD0453"/>
    <w:rsid w:val="00AD1846"/>
    <w:rsid w:val="00AD1BB7"/>
    <w:rsid w:val="00AD1CF3"/>
    <w:rsid w:val="00AD20C5"/>
    <w:rsid w:val="00AD21C8"/>
    <w:rsid w:val="00AD21D3"/>
    <w:rsid w:val="00AD305B"/>
    <w:rsid w:val="00AD3964"/>
    <w:rsid w:val="00AD3B20"/>
    <w:rsid w:val="00AD3B4E"/>
    <w:rsid w:val="00AD3EF5"/>
    <w:rsid w:val="00AD3F2E"/>
    <w:rsid w:val="00AD51FE"/>
    <w:rsid w:val="00AD5481"/>
    <w:rsid w:val="00AD5728"/>
    <w:rsid w:val="00AD5CF9"/>
    <w:rsid w:val="00AD6517"/>
    <w:rsid w:val="00AD662E"/>
    <w:rsid w:val="00AD6A6C"/>
    <w:rsid w:val="00AD6E64"/>
    <w:rsid w:val="00AE010B"/>
    <w:rsid w:val="00AE09DE"/>
    <w:rsid w:val="00AE0C9D"/>
    <w:rsid w:val="00AE174A"/>
    <w:rsid w:val="00AE2309"/>
    <w:rsid w:val="00AE27A9"/>
    <w:rsid w:val="00AE2B4C"/>
    <w:rsid w:val="00AE3275"/>
    <w:rsid w:val="00AE32B7"/>
    <w:rsid w:val="00AE39C8"/>
    <w:rsid w:val="00AE3CE4"/>
    <w:rsid w:val="00AE40EE"/>
    <w:rsid w:val="00AE43C7"/>
    <w:rsid w:val="00AE47C5"/>
    <w:rsid w:val="00AE68C6"/>
    <w:rsid w:val="00AE75DA"/>
    <w:rsid w:val="00AE79CF"/>
    <w:rsid w:val="00AE7C32"/>
    <w:rsid w:val="00AE7CEB"/>
    <w:rsid w:val="00AF0272"/>
    <w:rsid w:val="00AF0375"/>
    <w:rsid w:val="00AF0A0E"/>
    <w:rsid w:val="00AF0BC9"/>
    <w:rsid w:val="00AF129F"/>
    <w:rsid w:val="00AF16DF"/>
    <w:rsid w:val="00AF22B4"/>
    <w:rsid w:val="00AF2EFC"/>
    <w:rsid w:val="00AF3205"/>
    <w:rsid w:val="00AF3BA4"/>
    <w:rsid w:val="00AF44D2"/>
    <w:rsid w:val="00AF455C"/>
    <w:rsid w:val="00AF4672"/>
    <w:rsid w:val="00AF46D8"/>
    <w:rsid w:val="00AF4861"/>
    <w:rsid w:val="00AF4F28"/>
    <w:rsid w:val="00AF562C"/>
    <w:rsid w:val="00AF5754"/>
    <w:rsid w:val="00AF5AD3"/>
    <w:rsid w:val="00AF7235"/>
    <w:rsid w:val="00AF72F4"/>
    <w:rsid w:val="00AF7549"/>
    <w:rsid w:val="00AF7C41"/>
    <w:rsid w:val="00AF7CF8"/>
    <w:rsid w:val="00AF7CFB"/>
    <w:rsid w:val="00B00880"/>
    <w:rsid w:val="00B00B52"/>
    <w:rsid w:val="00B01797"/>
    <w:rsid w:val="00B01F20"/>
    <w:rsid w:val="00B02A93"/>
    <w:rsid w:val="00B03069"/>
    <w:rsid w:val="00B03978"/>
    <w:rsid w:val="00B039B5"/>
    <w:rsid w:val="00B03EC1"/>
    <w:rsid w:val="00B03FE0"/>
    <w:rsid w:val="00B03FFA"/>
    <w:rsid w:val="00B0598F"/>
    <w:rsid w:val="00B0650E"/>
    <w:rsid w:val="00B075E3"/>
    <w:rsid w:val="00B078E1"/>
    <w:rsid w:val="00B07B9C"/>
    <w:rsid w:val="00B07FB0"/>
    <w:rsid w:val="00B10DD6"/>
    <w:rsid w:val="00B10FE2"/>
    <w:rsid w:val="00B11228"/>
    <w:rsid w:val="00B112F5"/>
    <w:rsid w:val="00B113C8"/>
    <w:rsid w:val="00B1152C"/>
    <w:rsid w:val="00B11594"/>
    <w:rsid w:val="00B11B42"/>
    <w:rsid w:val="00B126E5"/>
    <w:rsid w:val="00B12866"/>
    <w:rsid w:val="00B12958"/>
    <w:rsid w:val="00B1295A"/>
    <w:rsid w:val="00B13440"/>
    <w:rsid w:val="00B13492"/>
    <w:rsid w:val="00B13F9F"/>
    <w:rsid w:val="00B143CE"/>
    <w:rsid w:val="00B14B93"/>
    <w:rsid w:val="00B14EC3"/>
    <w:rsid w:val="00B15315"/>
    <w:rsid w:val="00B15626"/>
    <w:rsid w:val="00B15832"/>
    <w:rsid w:val="00B158DE"/>
    <w:rsid w:val="00B16062"/>
    <w:rsid w:val="00B1609A"/>
    <w:rsid w:val="00B161E0"/>
    <w:rsid w:val="00B16351"/>
    <w:rsid w:val="00B16524"/>
    <w:rsid w:val="00B16F6D"/>
    <w:rsid w:val="00B178FE"/>
    <w:rsid w:val="00B17CF3"/>
    <w:rsid w:val="00B17D68"/>
    <w:rsid w:val="00B17ED3"/>
    <w:rsid w:val="00B203C4"/>
    <w:rsid w:val="00B2089B"/>
    <w:rsid w:val="00B20AD7"/>
    <w:rsid w:val="00B20B5D"/>
    <w:rsid w:val="00B219C8"/>
    <w:rsid w:val="00B21AF8"/>
    <w:rsid w:val="00B21D66"/>
    <w:rsid w:val="00B22398"/>
    <w:rsid w:val="00B223A2"/>
    <w:rsid w:val="00B223F8"/>
    <w:rsid w:val="00B2284F"/>
    <w:rsid w:val="00B229EF"/>
    <w:rsid w:val="00B23054"/>
    <w:rsid w:val="00B23249"/>
    <w:rsid w:val="00B236E5"/>
    <w:rsid w:val="00B2374B"/>
    <w:rsid w:val="00B239F1"/>
    <w:rsid w:val="00B23D80"/>
    <w:rsid w:val="00B240CB"/>
    <w:rsid w:val="00B248BB"/>
    <w:rsid w:val="00B24A6F"/>
    <w:rsid w:val="00B24B79"/>
    <w:rsid w:val="00B24F2B"/>
    <w:rsid w:val="00B2513A"/>
    <w:rsid w:val="00B25280"/>
    <w:rsid w:val="00B25491"/>
    <w:rsid w:val="00B25562"/>
    <w:rsid w:val="00B256BF"/>
    <w:rsid w:val="00B25761"/>
    <w:rsid w:val="00B2672E"/>
    <w:rsid w:val="00B26EAB"/>
    <w:rsid w:val="00B27113"/>
    <w:rsid w:val="00B2789C"/>
    <w:rsid w:val="00B304C6"/>
    <w:rsid w:val="00B30836"/>
    <w:rsid w:val="00B30F18"/>
    <w:rsid w:val="00B31025"/>
    <w:rsid w:val="00B3106F"/>
    <w:rsid w:val="00B312C3"/>
    <w:rsid w:val="00B3230C"/>
    <w:rsid w:val="00B32384"/>
    <w:rsid w:val="00B3246A"/>
    <w:rsid w:val="00B335F6"/>
    <w:rsid w:val="00B342FB"/>
    <w:rsid w:val="00B34FEF"/>
    <w:rsid w:val="00B354A5"/>
    <w:rsid w:val="00B354C8"/>
    <w:rsid w:val="00B35A15"/>
    <w:rsid w:val="00B36441"/>
    <w:rsid w:val="00B36751"/>
    <w:rsid w:val="00B3675A"/>
    <w:rsid w:val="00B36A45"/>
    <w:rsid w:val="00B37388"/>
    <w:rsid w:val="00B376EF"/>
    <w:rsid w:val="00B37B84"/>
    <w:rsid w:val="00B37D9D"/>
    <w:rsid w:val="00B40081"/>
    <w:rsid w:val="00B40308"/>
    <w:rsid w:val="00B40AA0"/>
    <w:rsid w:val="00B40D81"/>
    <w:rsid w:val="00B41157"/>
    <w:rsid w:val="00B4136F"/>
    <w:rsid w:val="00B414BB"/>
    <w:rsid w:val="00B41808"/>
    <w:rsid w:val="00B41935"/>
    <w:rsid w:val="00B42BDC"/>
    <w:rsid w:val="00B42F39"/>
    <w:rsid w:val="00B432F6"/>
    <w:rsid w:val="00B439FA"/>
    <w:rsid w:val="00B441BB"/>
    <w:rsid w:val="00B44576"/>
    <w:rsid w:val="00B45203"/>
    <w:rsid w:val="00B4521D"/>
    <w:rsid w:val="00B455C7"/>
    <w:rsid w:val="00B460EC"/>
    <w:rsid w:val="00B4628E"/>
    <w:rsid w:val="00B46736"/>
    <w:rsid w:val="00B47D8C"/>
    <w:rsid w:val="00B47EC5"/>
    <w:rsid w:val="00B47F48"/>
    <w:rsid w:val="00B47F81"/>
    <w:rsid w:val="00B513F0"/>
    <w:rsid w:val="00B51831"/>
    <w:rsid w:val="00B51926"/>
    <w:rsid w:val="00B5269A"/>
    <w:rsid w:val="00B52AE6"/>
    <w:rsid w:val="00B52CAA"/>
    <w:rsid w:val="00B53124"/>
    <w:rsid w:val="00B533A2"/>
    <w:rsid w:val="00B53ECF"/>
    <w:rsid w:val="00B54E48"/>
    <w:rsid w:val="00B550FB"/>
    <w:rsid w:val="00B55682"/>
    <w:rsid w:val="00B55C88"/>
    <w:rsid w:val="00B56263"/>
    <w:rsid w:val="00B57771"/>
    <w:rsid w:val="00B57888"/>
    <w:rsid w:val="00B606C9"/>
    <w:rsid w:val="00B61073"/>
    <w:rsid w:val="00B6145D"/>
    <w:rsid w:val="00B617A7"/>
    <w:rsid w:val="00B621AA"/>
    <w:rsid w:val="00B622A3"/>
    <w:rsid w:val="00B62AD2"/>
    <w:rsid w:val="00B62B31"/>
    <w:rsid w:val="00B631A4"/>
    <w:rsid w:val="00B636AE"/>
    <w:rsid w:val="00B639FE"/>
    <w:rsid w:val="00B6400F"/>
    <w:rsid w:val="00B647EA"/>
    <w:rsid w:val="00B655E2"/>
    <w:rsid w:val="00B65A35"/>
    <w:rsid w:val="00B6643D"/>
    <w:rsid w:val="00B66FFC"/>
    <w:rsid w:val="00B67440"/>
    <w:rsid w:val="00B67800"/>
    <w:rsid w:val="00B67BB8"/>
    <w:rsid w:val="00B67E79"/>
    <w:rsid w:val="00B70154"/>
    <w:rsid w:val="00B70463"/>
    <w:rsid w:val="00B706DF"/>
    <w:rsid w:val="00B70AFF"/>
    <w:rsid w:val="00B71137"/>
    <w:rsid w:val="00B715EC"/>
    <w:rsid w:val="00B71645"/>
    <w:rsid w:val="00B7310B"/>
    <w:rsid w:val="00B737B1"/>
    <w:rsid w:val="00B73BC0"/>
    <w:rsid w:val="00B73DA2"/>
    <w:rsid w:val="00B73E19"/>
    <w:rsid w:val="00B74253"/>
    <w:rsid w:val="00B74549"/>
    <w:rsid w:val="00B745F2"/>
    <w:rsid w:val="00B747CD"/>
    <w:rsid w:val="00B74DC9"/>
    <w:rsid w:val="00B750C7"/>
    <w:rsid w:val="00B75605"/>
    <w:rsid w:val="00B7625C"/>
    <w:rsid w:val="00B7685E"/>
    <w:rsid w:val="00B7773A"/>
    <w:rsid w:val="00B77DD2"/>
    <w:rsid w:val="00B77E8A"/>
    <w:rsid w:val="00B80488"/>
    <w:rsid w:val="00B80914"/>
    <w:rsid w:val="00B81DF6"/>
    <w:rsid w:val="00B823CD"/>
    <w:rsid w:val="00B8287E"/>
    <w:rsid w:val="00B82A2D"/>
    <w:rsid w:val="00B835F9"/>
    <w:rsid w:val="00B83ADE"/>
    <w:rsid w:val="00B84369"/>
    <w:rsid w:val="00B844A5"/>
    <w:rsid w:val="00B8455D"/>
    <w:rsid w:val="00B85629"/>
    <w:rsid w:val="00B85F2C"/>
    <w:rsid w:val="00B85F6B"/>
    <w:rsid w:val="00B85FCA"/>
    <w:rsid w:val="00B860C5"/>
    <w:rsid w:val="00B86567"/>
    <w:rsid w:val="00B869C1"/>
    <w:rsid w:val="00B87433"/>
    <w:rsid w:val="00B87848"/>
    <w:rsid w:val="00B878ED"/>
    <w:rsid w:val="00B87DDE"/>
    <w:rsid w:val="00B87EF4"/>
    <w:rsid w:val="00B9011D"/>
    <w:rsid w:val="00B905A7"/>
    <w:rsid w:val="00B90AD7"/>
    <w:rsid w:val="00B90D95"/>
    <w:rsid w:val="00B90DF0"/>
    <w:rsid w:val="00B90EE5"/>
    <w:rsid w:val="00B910F5"/>
    <w:rsid w:val="00B91410"/>
    <w:rsid w:val="00B92E72"/>
    <w:rsid w:val="00B9345E"/>
    <w:rsid w:val="00B943CA"/>
    <w:rsid w:val="00B957D9"/>
    <w:rsid w:val="00B959E6"/>
    <w:rsid w:val="00B9604F"/>
    <w:rsid w:val="00B96A22"/>
    <w:rsid w:val="00B97005"/>
    <w:rsid w:val="00B974CD"/>
    <w:rsid w:val="00B97A26"/>
    <w:rsid w:val="00B97CBE"/>
    <w:rsid w:val="00BA044A"/>
    <w:rsid w:val="00BA06A0"/>
    <w:rsid w:val="00BA0BA4"/>
    <w:rsid w:val="00BA142B"/>
    <w:rsid w:val="00BA18B8"/>
    <w:rsid w:val="00BA1DCE"/>
    <w:rsid w:val="00BA20DD"/>
    <w:rsid w:val="00BA2293"/>
    <w:rsid w:val="00BA290B"/>
    <w:rsid w:val="00BA2BD5"/>
    <w:rsid w:val="00BA2DB9"/>
    <w:rsid w:val="00BA384C"/>
    <w:rsid w:val="00BA3BE8"/>
    <w:rsid w:val="00BA3C8D"/>
    <w:rsid w:val="00BA409B"/>
    <w:rsid w:val="00BA4144"/>
    <w:rsid w:val="00BA44B7"/>
    <w:rsid w:val="00BA456D"/>
    <w:rsid w:val="00BA47F7"/>
    <w:rsid w:val="00BA4C54"/>
    <w:rsid w:val="00BA4E46"/>
    <w:rsid w:val="00BA5248"/>
    <w:rsid w:val="00BA598C"/>
    <w:rsid w:val="00BA6604"/>
    <w:rsid w:val="00BA68AC"/>
    <w:rsid w:val="00BA730D"/>
    <w:rsid w:val="00BA7A2D"/>
    <w:rsid w:val="00BA7B66"/>
    <w:rsid w:val="00BA7B9D"/>
    <w:rsid w:val="00BA7C03"/>
    <w:rsid w:val="00BB0A2B"/>
    <w:rsid w:val="00BB117D"/>
    <w:rsid w:val="00BB1967"/>
    <w:rsid w:val="00BB1A2D"/>
    <w:rsid w:val="00BB1A4F"/>
    <w:rsid w:val="00BB2BCB"/>
    <w:rsid w:val="00BB2EC2"/>
    <w:rsid w:val="00BB385E"/>
    <w:rsid w:val="00BB3A8C"/>
    <w:rsid w:val="00BB3D68"/>
    <w:rsid w:val="00BB3ED1"/>
    <w:rsid w:val="00BB3ED3"/>
    <w:rsid w:val="00BB454C"/>
    <w:rsid w:val="00BB4DF1"/>
    <w:rsid w:val="00BB5C9C"/>
    <w:rsid w:val="00BB6C6B"/>
    <w:rsid w:val="00BB6D62"/>
    <w:rsid w:val="00BB7298"/>
    <w:rsid w:val="00BB7C1F"/>
    <w:rsid w:val="00BB7D4B"/>
    <w:rsid w:val="00BC08BE"/>
    <w:rsid w:val="00BC225A"/>
    <w:rsid w:val="00BC23FD"/>
    <w:rsid w:val="00BC25B3"/>
    <w:rsid w:val="00BC2833"/>
    <w:rsid w:val="00BC2F1F"/>
    <w:rsid w:val="00BC3AEA"/>
    <w:rsid w:val="00BC3BE0"/>
    <w:rsid w:val="00BC3EC9"/>
    <w:rsid w:val="00BC3F42"/>
    <w:rsid w:val="00BC4192"/>
    <w:rsid w:val="00BC43E5"/>
    <w:rsid w:val="00BC4604"/>
    <w:rsid w:val="00BC4941"/>
    <w:rsid w:val="00BC4972"/>
    <w:rsid w:val="00BC4F7B"/>
    <w:rsid w:val="00BC4FCF"/>
    <w:rsid w:val="00BC5218"/>
    <w:rsid w:val="00BC56D7"/>
    <w:rsid w:val="00BC5BA8"/>
    <w:rsid w:val="00BC6349"/>
    <w:rsid w:val="00BC691C"/>
    <w:rsid w:val="00BC6ACE"/>
    <w:rsid w:val="00BC794F"/>
    <w:rsid w:val="00BC7C13"/>
    <w:rsid w:val="00BC7EE0"/>
    <w:rsid w:val="00BD26E1"/>
    <w:rsid w:val="00BD2B52"/>
    <w:rsid w:val="00BD37F9"/>
    <w:rsid w:val="00BD3B83"/>
    <w:rsid w:val="00BD3CDF"/>
    <w:rsid w:val="00BD483B"/>
    <w:rsid w:val="00BD497B"/>
    <w:rsid w:val="00BD52DD"/>
    <w:rsid w:val="00BD5AA2"/>
    <w:rsid w:val="00BD5BFD"/>
    <w:rsid w:val="00BD5D16"/>
    <w:rsid w:val="00BD5EAA"/>
    <w:rsid w:val="00BD628C"/>
    <w:rsid w:val="00BD65BC"/>
    <w:rsid w:val="00BD68CD"/>
    <w:rsid w:val="00BD6BF0"/>
    <w:rsid w:val="00BD6CA1"/>
    <w:rsid w:val="00BD700F"/>
    <w:rsid w:val="00BD707B"/>
    <w:rsid w:val="00BD728F"/>
    <w:rsid w:val="00BD7995"/>
    <w:rsid w:val="00BD7A5F"/>
    <w:rsid w:val="00BE0CAD"/>
    <w:rsid w:val="00BE0D40"/>
    <w:rsid w:val="00BE18F7"/>
    <w:rsid w:val="00BE2200"/>
    <w:rsid w:val="00BE2253"/>
    <w:rsid w:val="00BE2296"/>
    <w:rsid w:val="00BE2BE6"/>
    <w:rsid w:val="00BE3061"/>
    <w:rsid w:val="00BE33A1"/>
    <w:rsid w:val="00BE3986"/>
    <w:rsid w:val="00BE3E09"/>
    <w:rsid w:val="00BE43E9"/>
    <w:rsid w:val="00BE463C"/>
    <w:rsid w:val="00BE50E2"/>
    <w:rsid w:val="00BE5757"/>
    <w:rsid w:val="00BE5820"/>
    <w:rsid w:val="00BE58CF"/>
    <w:rsid w:val="00BE5EEC"/>
    <w:rsid w:val="00BE632A"/>
    <w:rsid w:val="00BE6A6C"/>
    <w:rsid w:val="00BE6ACD"/>
    <w:rsid w:val="00BE6D87"/>
    <w:rsid w:val="00BE6F9F"/>
    <w:rsid w:val="00BE7148"/>
    <w:rsid w:val="00BE76F0"/>
    <w:rsid w:val="00BE7D31"/>
    <w:rsid w:val="00BE7F46"/>
    <w:rsid w:val="00BF07F9"/>
    <w:rsid w:val="00BF1E35"/>
    <w:rsid w:val="00BF24FB"/>
    <w:rsid w:val="00BF2C2D"/>
    <w:rsid w:val="00BF2E32"/>
    <w:rsid w:val="00BF37A3"/>
    <w:rsid w:val="00BF3C6B"/>
    <w:rsid w:val="00BF3EB7"/>
    <w:rsid w:val="00BF41B5"/>
    <w:rsid w:val="00BF445A"/>
    <w:rsid w:val="00BF478D"/>
    <w:rsid w:val="00BF4880"/>
    <w:rsid w:val="00BF4C72"/>
    <w:rsid w:val="00BF5A21"/>
    <w:rsid w:val="00BF5F49"/>
    <w:rsid w:val="00BF64FD"/>
    <w:rsid w:val="00BF6D97"/>
    <w:rsid w:val="00C004C7"/>
    <w:rsid w:val="00C007C7"/>
    <w:rsid w:val="00C008C9"/>
    <w:rsid w:val="00C013EB"/>
    <w:rsid w:val="00C0223A"/>
    <w:rsid w:val="00C02436"/>
    <w:rsid w:val="00C024A4"/>
    <w:rsid w:val="00C02C4A"/>
    <w:rsid w:val="00C02DF6"/>
    <w:rsid w:val="00C02EFD"/>
    <w:rsid w:val="00C02F23"/>
    <w:rsid w:val="00C02F38"/>
    <w:rsid w:val="00C03A0C"/>
    <w:rsid w:val="00C03DF7"/>
    <w:rsid w:val="00C03EE2"/>
    <w:rsid w:val="00C03F61"/>
    <w:rsid w:val="00C04ECC"/>
    <w:rsid w:val="00C05594"/>
    <w:rsid w:val="00C05DFA"/>
    <w:rsid w:val="00C06B98"/>
    <w:rsid w:val="00C07601"/>
    <w:rsid w:val="00C07BFA"/>
    <w:rsid w:val="00C107E1"/>
    <w:rsid w:val="00C10875"/>
    <w:rsid w:val="00C10C7B"/>
    <w:rsid w:val="00C10F6C"/>
    <w:rsid w:val="00C116AF"/>
    <w:rsid w:val="00C1215D"/>
    <w:rsid w:val="00C121F9"/>
    <w:rsid w:val="00C12250"/>
    <w:rsid w:val="00C131A5"/>
    <w:rsid w:val="00C1475B"/>
    <w:rsid w:val="00C14C7D"/>
    <w:rsid w:val="00C15340"/>
    <w:rsid w:val="00C1555D"/>
    <w:rsid w:val="00C15B43"/>
    <w:rsid w:val="00C16066"/>
    <w:rsid w:val="00C16079"/>
    <w:rsid w:val="00C16159"/>
    <w:rsid w:val="00C16222"/>
    <w:rsid w:val="00C162F3"/>
    <w:rsid w:val="00C167D2"/>
    <w:rsid w:val="00C16EA7"/>
    <w:rsid w:val="00C223B5"/>
    <w:rsid w:val="00C2297A"/>
    <w:rsid w:val="00C22C60"/>
    <w:rsid w:val="00C23643"/>
    <w:rsid w:val="00C2388A"/>
    <w:rsid w:val="00C23BC0"/>
    <w:rsid w:val="00C23EEC"/>
    <w:rsid w:val="00C23FB7"/>
    <w:rsid w:val="00C240E4"/>
    <w:rsid w:val="00C24200"/>
    <w:rsid w:val="00C24424"/>
    <w:rsid w:val="00C246F9"/>
    <w:rsid w:val="00C24B6E"/>
    <w:rsid w:val="00C24E3A"/>
    <w:rsid w:val="00C24EEC"/>
    <w:rsid w:val="00C257D1"/>
    <w:rsid w:val="00C25851"/>
    <w:rsid w:val="00C25943"/>
    <w:rsid w:val="00C25AC5"/>
    <w:rsid w:val="00C25E13"/>
    <w:rsid w:val="00C26832"/>
    <w:rsid w:val="00C26BE5"/>
    <w:rsid w:val="00C26EB3"/>
    <w:rsid w:val="00C26F9E"/>
    <w:rsid w:val="00C26FCF"/>
    <w:rsid w:val="00C274E1"/>
    <w:rsid w:val="00C27827"/>
    <w:rsid w:val="00C278D4"/>
    <w:rsid w:val="00C27AFC"/>
    <w:rsid w:val="00C27CE8"/>
    <w:rsid w:val="00C30283"/>
    <w:rsid w:val="00C30995"/>
    <w:rsid w:val="00C30E1A"/>
    <w:rsid w:val="00C30FC4"/>
    <w:rsid w:val="00C3141A"/>
    <w:rsid w:val="00C31954"/>
    <w:rsid w:val="00C3195A"/>
    <w:rsid w:val="00C31F8F"/>
    <w:rsid w:val="00C321A4"/>
    <w:rsid w:val="00C32AAE"/>
    <w:rsid w:val="00C32E9D"/>
    <w:rsid w:val="00C33052"/>
    <w:rsid w:val="00C33208"/>
    <w:rsid w:val="00C332E3"/>
    <w:rsid w:val="00C33762"/>
    <w:rsid w:val="00C33A4A"/>
    <w:rsid w:val="00C3423E"/>
    <w:rsid w:val="00C343B3"/>
    <w:rsid w:val="00C34553"/>
    <w:rsid w:val="00C34CF4"/>
    <w:rsid w:val="00C35DEF"/>
    <w:rsid w:val="00C368FA"/>
    <w:rsid w:val="00C372E6"/>
    <w:rsid w:val="00C400AD"/>
    <w:rsid w:val="00C407C5"/>
    <w:rsid w:val="00C4097E"/>
    <w:rsid w:val="00C40C59"/>
    <w:rsid w:val="00C4194A"/>
    <w:rsid w:val="00C41C1E"/>
    <w:rsid w:val="00C42040"/>
    <w:rsid w:val="00C424B2"/>
    <w:rsid w:val="00C42797"/>
    <w:rsid w:val="00C43477"/>
    <w:rsid w:val="00C444F0"/>
    <w:rsid w:val="00C4464D"/>
    <w:rsid w:val="00C446DD"/>
    <w:rsid w:val="00C45005"/>
    <w:rsid w:val="00C467A5"/>
    <w:rsid w:val="00C46B02"/>
    <w:rsid w:val="00C50145"/>
    <w:rsid w:val="00C50319"/>
    <w:rsid w:val="00C50715"/>
    <w:rsid w:val="00C50BFF"/>
    <w:rsid w:val="00C510BD"/>
    <w:rsid w:val="00C52012"/>
    <w:rsid w:val="00C52EEA"/>
    <w:rsid w:val="00C53D07"/>
    <w:rsid w:val="00C5483A"/>
    <w:rsid w:val="00C54B33"/>
    <w:rsid w:val="00C54DA6"/>
    <w:rsid w:val="00C55143"/>
    <w:rsid w:val="00C557F1"/>
    <w:rsid w:val="00C55B9E"/>
    <w:rsid w:val="00C571CD"/>
    <w:rsid w:val="00C57929"/>
    <w:rsid w:val="00C57E68"/>
    <w:rsid w:val="00C60091"/>
    <w:rsid w:val="00C61D4B"/>
    <w:rsid w:val="00C6258F"/>
    <w:rsid w:val="00C62B3E"/>
    <w:rsid w:val="00C63216"/>
    <w:rsid w:val="00C63222"/>
    <w:rsid w:val="00C641CC"/>
    <w:rsid w:val="00C64A8C"/>
    <w:rsid w:val="00C65272"/>
    <w:rsid w:val="00C65A32"/>
    <w:rsid w:val="00C65FBB"/>
    <w:rsid w:val="00C66013"/>
    <w:rsid w:val="00C661C5"/>
    <w:rsid w:val="00C66607"/>
    <w:rsid w:val="00C6713F"/>
    <w:rsid w:val="00C676FA"/>
    <w:rsid w:val="00C70028"/>
    <w:rsid w:val="00C70434"/>
    <w:rsid w:val="00C706AD"/>
    <w:rsid w:val="00C70884"/>
    <w:rsid w:val="00C70926"/>
    <w:rsid w:val="00C70B18"/>
    <w:rsid w:val="00C71184"/>
    <w:rsid w:val="00C71626"/>
    <w:rsid w:val="00C71B05"/>
    <w:rsid w:val="00C71B66"/>
    <w:rsid w:val="00C71C0A"/>
    <w:rsid w:val="00C71F12"/>
    <w:rsid w:val="00C72796"/>
    <w:rsid w:val="00C7337E"/>
    <w:rsid w:val="00C733FD"/>
    <w:rsid w:val="00C7380C"/>
    <w:rsid w:val="00C73EEC"/>
    <w:rsid w:val="00C73F7B"/>
    <w:rsid w:val="00C74021"/>
    <w:rsid w:val="00C7480C"/>
    <w:rsid w:val="00C7595B"/>
    <w:rsid w:val="00C762B2"/>
    <w:rsid w:val="00C77133"/>
    <w:rsid w:val="00C77298"/>
    <w:rsid w:val="00C777E0"/>
    <w:rsid w:val="00C81A7A"/>
    <w:rsid w:val="00C8202F"/>
    <w:rsid w:val="00C8248A"/>
    <w:rsid w:val="00C82A80"/>
    <w:rsid w:val="00C82E64"/>
    <w:rsid w:val="00C83218"/>
    <w:rsid w:val="00C835AA"/>
    <w:rsid w:val="00C83757"/>
    <w:rsid w:val="00C8426F"/>
    <w:rsid w:val="00C843C8"/>
    <w:rsid w:val="00C85143"/>
    <w:rsid w:val="00C85158"/>
    <w:rsid w:val="00C85408"/>
    <w:rsid w:val="00C85D8E"/>
    <w:rsid w:val="00C85FF6"/>
    <w:rsid w:val="00C90854"/>
    <w:rsid w:val="00C91104"/>
    <w:rsid w:val="00C913B9"/>
    <w:rsid w:val="00C91D0F"/>
    <w:rsid w:val="00C9283B"/>
    <w:rsid w:val="00C92A58"/>
    <w:rsid w:val="00C93271"/>
    <w:rsid w:val="00C9452D"/>
    <w:rsid w:val="00C94BB7"/>
    <w:rsid w:val="00C94D23"/>
    <w:rsid w:val="00C95112"/>
    <w:rsid w:val="00C95AD8"/>
    <w:rsid w:val="00C962C0"/>
    <w:rsid w:val="00C9641D"/>
    <w:rsid w:val="00C9658C"/>
    <w:rsid w:val="00C969FD"/>
    <w:rsid w:val="00C96B4B"/>
    <w:rsid w:val="00C96D0E"/>
    <w:rsid w:val="00C97694"/>
    <w:rsid w:val="00C97773"/>
    <w:rsid w:val="00CA044A"/>
    <w:rsid w:val="00CA064E"/>
    <w:rsid w:val="00CA0CC4"/>
    <w:rsid w:val="00CA1510"/>
    <w:rsid w:val="00CA15C8"/>
    <w:rsid w:val="00CA1C5D"/>
    <w:rsid w:val="00CA2264"/>
    <w:rsid w:val="00CA25F5"/>
    <w:rsid w:val="00CA3576"/>
    <w:rsid w:val="00CA3744"/>
    <w:rsid w:val="00CA3955"/>
    <w:rsid w:val="00CA3B6B"/>
    <w:rsid w:val="00CA3B7E"/>
    <w:rsid w:val="00CA3EBF"/>
    <w:rsid w:val="00CA5157"/>
    <w:rsid w:val="00CA54DB"/>
    <w:rsid w:val="00CA5DD3"/>
    <w:rsid w:val="00CA618B"/>
    <w:rsid w:val="00CA62B4"/>
    <w:rsid w:val="00CA64C0"/>
    <w:rsid w:val="00CA665B"/>
    <w:rsid w:val="00CA675B"/>
    <w:rsid w:val="00CA6D01"/>
    <w:rsid w:val="00CA6E75"/>
    <w:rsid w:val="00CA6E8E"/>
    <w:rsid w:val="00CA7223"/>
    <w:rsid w:val="00CA78E7"/>
    <w:rsid w:val="00CA79F2"/>
    <w:rsid w:val="00CA7B0E"/>
    <w:rsid w:val="00CA7B4F"/>
    <w:rsid w:val="00CB0557"/>
    <w:rsid w:val="00CB06CF"/>
    <w:rsid w:val="00CB0D4F"/>
    <w:rsid w:val="00CB1972"/>
    <w:rsid w:val="00CB1D9E"/>
    <w:rsid w:val="00CB1F0F"/>
    <w:rsid w:val="00CB216D"/>
    <w:rsid w:val="00CB2835"/>
    <w:rsid w:val="00CB3B90"/>
    <w:rsid w:val="00CB3C2A"/>
    <w:rsid w:val="00CB557C"/>
    <w:rsid w:val="00CB5AEE"/>
    <w:rsid w:val="00CB5FF1"/>
    <w:rsid w:val="00CB62E1"/>
    <w:rsid w:val="00CB6A1C"/>
    <w:rsid w:val="00CB7E1B"/>
    <w:rsid w:val="00CC0113"/>
    <w:rsid w:val="00CC042C"/>
    <w:rsid w:val="00CC0669"/>
    <w:rsid w:val="00CC093A"/>
    <w:rsid w:val="00CC168E"/>
    <w:rsid w:val="00CC19DE"/>
    <w:rsid w:val="00CC1E4A"/>
    <w:rsid w:val="00CC2057"/>
    <w:rsid w:val="00CC20CE"/>
    <w:rsid w:val="00CC2456"/>
    <w:rsid w:val="00CC2BC3"/>
    <w:rsid w:val="00CC3313"/>
    <w:rsid w:val="00CC37AE"/>
    <w:rsid w:val="00CC41AE"/>
    <w:rsid w:val="00CC4748"/>
    <w:rsid w:val="00CC530F"/>
    <w:rsid w:val="00CC5D66"/>
    <w:rsid w:val="00CC5DE9"/>
    <w:rsid w:val="00CC6969"/>
    <w:rsid w:val="00CC69AC"/>
    <w:rsid w:val="00CC7543"/>
    <w:rsid w:val="00CC776F"/>
    <w:rsid w:val="00CC7E94"/>
    <w:rsid w:val="00CD069F"/>
    <w:rsid w:val="00CD0763"/>
    <w:rsid w:val="00CD07C3"/>
    <w:rsid w:val="00CD0DD1"/>
    <w:rsid w:val="00CD0F8B"/>
    <w:rsid w:val="00CD1453"/>
    <w:rsid w:val="00CD1480"/>
    <w:rsid w:val="00CD1F53"/>
    <w:rsid w:val="00CD1F78"/>
    <w:rsid w:val="00CD28D0"/>
    <w:rsid w:val="00CD3AA8"/>
    <w:rsid w:val="00CD3B58"/>
    <w:rsid w:val="00CD3DF5"/>
    <w:rsid w:val="00CD4440"/>
    <w:rsid w:val="00CD522E"/>
    <w:rsid w:val="00CD5ED3"/>
    <w:rsid w:val="00CD6571"/>
    <w:rsid w:val="00CD6839"/>
    <w:rsid w:val="00CD6974"/>
    <w:rsid w:val="00CD6C71"/>
    <w:rsid w:val="00CD6FDC"/>
    <w:rsid w:val="00CD6FE1"/>
    <w:rsid w:val="00CD7ABE"/>
    <w:rsid w:val="00CE0368"/>
    <w:rsid w:val="00CE0577"/>
    <w:rsid w:val="00CE0CCB"/>
    <w:rsid w:val="00CE1279"/>
    <w:rsid w:val="00CE1DAC"/>
    <w:rsid w:val="00CE21EB"/>
    <w:rsid w:val="00CE2C66"/>
    <w:rsid w:val="00CE300D"/>
    <w:rsid w:val="00CE327E"/>
    <w:rsid w:val="00CE354A"/>
    <w:rsid w:val="00CE397D"/>
    <w:rsid w:val="00CE4892"/>
    <w:rsid w:val="00CE50A9"/>
    <w:rsid w:val="00CE5747"/>
    <w:rsid w:val="00CE5B09"/>
    <w:rsid w:val="00CE6D51"/>
    <w:rsid w:val="00CE720A"/>
    <w:rsid w:val="00CE782F"/>
    <w:rsid w:val="00CF0435"/>
    <w:rsid w:val="00CF0600"/>
    <w:rsid w:val="00CF1A8E"/>
    <w:rsid w:val="00CF1E0B"/>
    <w:rsid w:val="00CF26EA"/>
    <w:rsid w:val="00CF271C"/>
    <w:rsid w:val="00CF34E5"/>
    <w:rsid w:val="00CF350D"/>
    <w:rsid w:val="00CF3680"/>
    <w:rsid w:val="00CF3993"/>
    <w:rsid w:val="00CF3ACB"/>
    <w:rsid w:val="00CF4294"/>
    <w:rsid w:val="00CF4CB6"/>
    <w:rsid w:val="00CF5236"/>
    <w:rsid w:val="00CF524B"/>
    <w:rsid w:val="00CF524D"/>
    <w:rsid w:val="00CF55A0"/>
    <w:rsid w:val="00CF5614"/>
    <w:rsid w:val="00CF5B16"/>
    <w:rsid w:val="00CF628C"/>
    <w:rsid w:val="00CF67C8"/>
    <w:rsid w:val="00CF74D3"/>
    <w:rsid w:val="00CF768C"/>
    <w:rsid w:val="00D0041D"/>
    <w:rsid w:val="00D00638"/>
    <w:rsid w:val="00D0069B"/>
    <w:rsid w:val="00D00AE5"/>
    <w:rsid w:val="00D00B3A"/>
    <w:rsid w:val="00D00BC9"/>
    <w:rsid w:val="00D02267"/>
    <w:rsid w:val="00D02375"/>
    <w:rsid w:val="00D02B5B"/>
    <w:rsid w:val="00D02B7E"/>
    <w:rsid w:val="00D03242"/>
    <w:rsid w:val="00D03466"/>
    <w:rsid w:val="00D039C1"/>
    <w:rsid w:val="00D03E99"/>
    <w:rsid w:val="00D04FB3"/>
    <w:rsid w:val="00D0554E"/>
    <w:rsid w:val="00D05C5C"/>
    <w:rsid w:val="00D06A44"/>
    <w:rsid w:val="00D06D3E"/>
    <w:rsid w:val="00D07DA6"/>
    <w:rsid w:val="00D10E9E"/>
    <w:rsid w:val="00D11294"/>
    <w:rsid w:val="00D113AB"/>
    <w:rsid w:val="00D11BD2"/>
    <w:rsid w:val="00D11C3A"/>
    <w:rsid w:val="00D12266"/>
    <w:rsid w:val="00D1245E"/>
    <w:rsid w:val="00D12460"/>
    <w:rsid w:val="00D126E9"/>
    <w:rsid w:val="00D12E71"/>
    <w:rsid w:val="00D12EE0"/>
    <w:rsid w:val="00D13283"/>
    <w:rsid w:val="00D134E5"/>
    <w:rsid w:val="00D137BB"/>
    <w:rsid w:val="00D13C50"/>
    <w:rsid w:val="00D1417F"/>
    <w:rsid w:val="00D14180"/>
    <w:rsid w:val="00D14425"/>
    <w:rsid w:val="00D14673"/>
    <w:rsid w:val="00D14BAC"/>
    <w:rsid w:val="00D14D40"/>
    <w:rsid w:val="00D15643"/>
    <w:rsid w:val="00D15AAF"/>
    <w:rsid w:val="00D16DF4"/>
    <w:rsid w:val="00D179DA"/>
    <w:rsid w:val="00D20F12"/>
    <w:rsid w:val="00D20FFD"/>
    <w:rsid w:val="00D21AF9"/>
    <w:rsid w:val="00D22098"/>
    <w:rsid w:val="00D225EF"/>
    <w:rsid w:val="00D22881"/>
    <w:rsid w:val="00D2308B"/>
    <w:rsid w:val="00D23674"/>
    <w:rsid w:val="00D23A62"/>
    <w:rsid w:val="00D24724"/>
    <w:rsid w:val="00D24D14"/>
    <w:rsid w:val="00D24F0B"/>
    <w:rsid w:val="00D25049"/>
    <w:rsid w:val="00D25366"/>
    <w:rsid w:val="00D25C3A"/>
    <w:rsid w:val="00D268EB"/>
    <w:rsid w:val="00D26B3E"/>
    <w:rsid w:val="00D27929"/>
    <w:rsid w:val="00D2792E"/>
    <w:rsid w:val="00D27CE2"/>
    <w:rsid w:val="00D27F80"/>
    <w:rsid w:val="00D300F4"/>
    <w:rsid w:val="00D30277"/>
    <w:rsid w:val="00D3048B"/>
    <w:rsid w:val="00D30A1D"/>
    <w:rsid w:val="00D30DC8"/>
    <w:rsid w:val="00D31E85"/>
    <w:rsid w:val="00D32378"/>
    <w:rsid w:val="00D33020"/>
    <w:rsid w:val="00D33CD9"/>
    <w:rsid w:val="00D33E1C"/>
    <w:rsid w:val="00D33F6B"/>
    <w:rsid w:val="00D34491"/>
    <w:rsid w:val="00D345E8"/>
    <w:rsid w:val="00D3485B"/>
    <w:rsid w:val="00D34AF8"/>
    <w:rsid w:val="00D352D2"/>
    <w:rsid w:val="00D35C02"/>
    <w:rsid w:val="00D35DC2"/>
    <w:rsid w:val="00D35EE9"/>
    <w:rsid w:val="00D35FF8"/>
    <w:rsid w:val="00D36ED8"/>
    <w:rsid w:val="00D37CAD"/>
    <w:rsid w:val="00D37E12"/>
    <w:rsid w:val="00D40A2C"/>
    <w:rsid w:val="00D41018"/>
    <w:rsid w:val="00D41250"/>
    <w:rsid w:val="00D420E6"/>
    <w:rsid w:val="00D431F7"/>
    <w:rsid w:val="00D435C4"/>
    <w:rsid w:val="00D44388"/>
    <w:rsid w:val="00D44A7E"/>
    <w:rsid w:val="00D45196"/>
    <w:rsid w:val="00D4528F"/>
    <w:rsid w:val="00D45527"/>
    <w:rsid w:val="00D4569C"/>
    <w:rsid w:val="00D460EF"/>
    <w:rsid w:val="00D463BA"/>
    <w:rsid w:val="00D46409"/>
    <w:rsid w:val="00D4657E"/>
    <w:rsid w:val="00D46E6F"/>
    <w:rsid w:val="00D47131"/>
    <w:rsid w:val="00D4720C"/>
    <w:rsid w:val="00D50060"/>
    <w:rsid w:val="00D51059"/>
    <w:rsid w:val="00D512BE"/>
    <w:rsid w:val="00D51315"/>
    <w:rsid w:val="00D51C7C"/>
    <w:rsid w:val="00D51FAA"/>
    <w:rsid w:val="00D522FE"/>
    <w:rsid w:val="00D525B5"/>
    <w:rsid w:val="00D53093"/>
    <w:rsid w:val="00D53AE7"/>
    <w:rsid w:val="00D53FBA"/>
    <w:rsid w:val="00D54117"/>
    <w:rsid w:val="00D541D4"/>
    <w:rsid w:val="00D54BDE"/>
    <w:rsid w:val="00D54F61"/>
    <w:rsid w:val="00D55E5B"/>
    <w:rsid w:val="00D55E83"/>
    <w:rsid w:val="00D55ED8"/>
    <w:rsid w:val="00D561EE"/>
    <w:rsid w:val="00D56271"/>
    <w:rsid w:val="00D5666B"/>
    <w:rsid w:val="00D5695E"/>
    <w:rsid w:val="00D56BF1"/>
    <w:rsid w:val="00D56C70"/>
    <w:rsid w:val="00D56FD6"/>
    <w:rsid w:val="00D5743E"/>
    <w:rsid w:val="00D60472"/>
    <w:rsid w:val="00D60B28"/>
    <w:rsid w:val="00D61D7E"/>
    <w:rsid w:val="00D6292F"/>
    <w:rsid w:val="00D62960"/>
    <w:rsid w:val="00D629F4"/>
    <w:rsid w:val="00D62ABD"/>
    <w:rsid w:val="00D62C30"/>
    <w:rsid w:val="00D62DCE"/>
    <w:rsid w:val="00D632E7"/>
    <w:rsid w:val="00D63980"/>
    <w:rsid w:val="00D641CA"/>
    <w:rsid w:val="00D64301"/>
    <w:rsid w:val="00D648C3"/>
    <w:rsid w:val="00D65A83"/>
    <w:rsid w:val="00D65BDE"/>
    <w:rsid w:val="00D65C48"/>
    <w:rsid w:val="00D66529"/>
    <w:rsid w:val="00D66C26"/>
    <w:rsid w:val="00D66E0B"/>
    <w:rsid w:val="00D67483"/>
    <w:rsid w:val="00D678CF"/>
    <w:rsid w:val="00D67E5A"/>
    <w:rsid w:val="00D7002F"/>
    <w:rsid w:val="00D70379"/>
    <w:rsid w:val="00D70848"/>
    <w:rsid w:val="00D70A3F"/>
    <w:rsid w:val="00D70AD6"/>
    <w:rsid w:val="00D71C03"/>
    <w:rsid w:val="00D71CDD"/>
    <w:rsid w:val="00D721C5"/>
    <w:rsid w:val="00D72EE9"/>
    <w:rsid w:val="00D73268"/>
    <w:rsid w:val="00D732F9"/>
    <w:rsid w:val="00D73A30"/>
    <w:rsid w:val="00D73AFA"/>
    <w:rsid w:val="00D73F9E"/>
    <w:rsid w:val="00D7420B"/>
    <w:rsid w:val="00D74DB4"/>
    <w:rsid w:val="00D756D6"/>
    <w:rsid w:val="00D756E1"/>
    <w:rsid w:val="00D7591C"/>
    <w:rsid w:val="00D75BED"/>
    <w:rsid w:val="00D76E2F"/>
    <w:rsid w:val="00D8010A"/>
    <w:rsid w:val="00D8094C"/>
    <w:rsid w:val="00D810EE"/>
    <w:rsid w:val="00D81170"/>
    <w:rsid w:val="00D812F4"/>
    <w:rsid w:val="00D82A57"/>
    <w:rsid w:val="00D82FB4"/>
    <w:rsid w:val="00D83052"/>
    <w:rsid w:val="00D831B5"/>
    <w:rsid w:val="00D83264"/>
    <w:rsid w:val="00D8358B"/>
    <w:rsid w:val="00D84FDF"/>
    <w:rsid w:val="00D8569F"/>
    <w:rsid w:val="00D8582F"/>
    <w:rsid w:val="00D85AF7"/>
    <w:rsid w:val="00D86BC5"/>
    <w:rsid w:val="00D86C4A"/>
    <w:rsid w:val="00D87126"/>
    <w:rsid w:val="00D87284"/>
    <w:rsid w:val="00D87370"/>
    <w:rsid w:val="00D8761E"/>
    <w:rsid w:val="00D87A0F"/>
    <w:rsid w:val="00D90BBA"/>
    <w:rsid w:val="00D90D39"/>
    <w:rsid w:val="00D90D7A"/>
    <w:rsid w:val="00D91276"/>
    <w:rsid w:val="00D91454"/>
    <w:rsid w:val="00D91806"/>
    <w:rsid w:val="00D91E82"/>
    <w:rsid w:val="00D92ACD"/>
    <w:rsid w:val="00D932C2"/>
    <w:rsid w:val="00D936A6"/>
    <w:rsid w:val="00D94545"/>
    <w:rsid w:val="00D94A3E"/>
    <w:rsid w:val="00D95ED9"/>
    <w:rsid w:val="00D9610A"/>
    <w:rsid w:val="00D96591"/>
    <w:rsid w:val="00D96814"/>
    <w:rsid w:val="00D96DA4"/>
    <w:rsid w:val="00D96EA3"/>
    <w:rsid w:val="00D971F6"/>
    <w:rsid w:val="00D97DC9"/>
    <w:rsid w:val="00DA00DE"/>
    <w:rsid w:val="00DA06E7"/>
    <w:rsid w:val="00DA1747"/>
    <w:rsid w:val="00DA1CF5"/>
    <w:rsid w:val="00DA2282"/>
    <w:rsid w:val="00DA2EAD"/>
    <w:rsid w:val="00DA3292"/>
    <w:rsid w:val="00DA3A5B"/>
    <w:rsid w:val="00DA3EB6"/>
    <w:rsid w:val="00DA4BEA"/>
    <w:rsid w:val="00DA5745"/>
    <w:rsid w:val="00DA5796"/>
    <w:rsid w:val="00DA5BD6"/>
    <w:rsid w:val="00DA5BE7"/>
    <w:rsid w:val="00DA6412"/>
    <w:rsid w:val="00DA674D"/>
    <w:rsid w:val="00DA6A9E"/>
    <w:rsid w:val="00DA713E"/>
    <w:rsid w:val="00DA75A0"/>
    <w:rsid w:val="00DA791C"/>
    <w:rsid w:val="00DA79CF"/>
    <w:rsid w:val="00DB060B"/>
    <w:rsid w:val="00DB0DB8"/>
    <w:rsid w:val="00DB10C6"/>
    <w:rsid w:val="00DB113E"/>
    <w:rsid w:val="00DB144D"/>
    <w:rsid w:val="00DB1D5F"/>
    <w:rsid w:val="00DB1F4F"/>
    <w:rsid w:val="00DB211B"/>
    <w:rsid w:val="00DB2B27"/>
    <w:rsid w:val="00DB38A1"/>
    <w:rsid w:val="00DB3F2C"/>
    <w:rsid w:val="00DB4616"/>
    <w:rsid w:val="00DB48B4"/>
    <w:rsid w:val="00DB52B0"/>
    <w:rsid w:val="00DB5769"/>
    <w:rsid w:val="00DB5F07"/>
    <w:rsid w:val="00DB61BE"/>
    <w:rsid w:val="00DB66DB"/>
    <w:rsid w:val="00DC0C98"/>
    <w:rsid w:val="00DC121C"/>
    <w:rsid w:val="00DC17C3"/>
    <w:rsid w:val="00DC17FE"/>
    <w:rsid w:val="00DC1CBA"/>
    <w:rsid w:val="00DC26AE"/>
    <w:rsid w:val="00DC277B"/>
    <w:rsid w:val="00DC284B"/>
    <w:rsid w:val="00DC28FF"/>
    <w:rsid w:val="00DC2AF4"/>
    <w:rsid w:val="00DC2D47"/>
    <w:rsid w:val="00DC3768"/>
    <w:rsid w:val="00DC3C92"/>
    <w:rsid w:val="00DC4E6F"/>
    <w:rsid w:val="00DC5C7C"/>
    <w:rsid w:val="00DC6950"/>
    <w:rsid w:val="00DC6B08"/>
    <w:rsid w:val="00DC6C98"/>
    <w:rsid w:val="00DC74E6"/>
    <w:rsid w:val="00DC756D"/>
    <w:rsid w:val="00DC767A"/>
    <w:rsid w:val="00DC7C54"/>
    <w:rsid w:val="00DC7DDA"/>
    <w:rsid w:val="00DD05D1"/>
    <w:rsid w:val="00DD063D"/>
    <w:rsid w:val="00DD0EA0"/>
    <w:rsid w:val="00DD1D58"/>
    <w:rsid w:val="00DD28E9"/>
    <w:rsid w:val="00DD2FE5"/>
    <w:rsid w:val="00DD3485"/>
    <w:rsid w:val="00DD3D47"/>
    <w:rsid w:val="00DD3E2F"/>
    <w:rsid w:val="00DD3E97"/>
    <w:rsid w:val="00DD4776"/>
    <w:rsid w:val="00DD4782"/>
    <w:rsid w:val="00DD512C"/>
    <w:rsid w:val="00DD6C9E"/>
    <w:rsid w:val="00DD7020"/>
    <w:rsid w:val="00DD7321"/>
    <w:rsid w:val="00DD7364"/>
    <w:rsid w:val="00DD76D3"/>
    <w:rsid w:val="00DD7763"/>
    <w:rsid w:val="00DD7830"/>
    <w:rsid w:val="00DD78AB"/>
    <w:rsid w:val="00DD79CA"/>
    <w:rsid w:val="00DD7A31"/>
    <w:rsid w:val="00DD7B42"/>
    <w:rsid w:val="00DE1B44"/>
    <w:rsid w:val="00DE1C40"/>
    <w:rsid w:val="00DE2555"/>
    <w:rsid w:val="00DE2D9D"/>
    <w:rsid w:val="00DE2ED0"/>
    <w:rsid w:val="00DE3193"/>
    <w:rsid w:val="00DE359B"/>
    <w:rsid w:val="00DE3B9D"/>
    <w:rsid w:val="00DE3D82"/>
    <w:rsid w:val="00DE3E58"/>
    <w:rsid w:val="00DE4266"/>
    <w:rsid w:val="00DE43CE"/>
    <w:rsid w:val="00DE4678"/>
    <w:rsid w:val="00DE486B"/>
    <w:rsid w:val="00DE4874"/>
    <w:rsid w:val="00DE4BFA"/>
    <w:rsid w:val="00DE5B1F"/>
    <w:rsid w:val="00DE5C2A"/>
    <w:rsid w:val="00DE5C56"/>
    <w:rsid w:val="00DE5C6D"/>
    <w:rsid w:val="00DE6997"/>
    <w:rsid w:val="00DE6D19"/>
    <w:rsid w:val="00DE6E71"/>
    <w:rsid w:val="00DE78F8"/>
    <w:rsid w:val="00DE79EB"/>
    <w:rsid w:val="00DE7FC7"/>
    <w:rsid w:val="00DF04F3"/>
    <w:rsid w:val="00DF21B8"/>
    <w:rsid w:val="00DF21E3"/>
    <w:rsid w:val="00DF231F"/>
    <w:rsid w:val="00DF252A"/>
    <w:rsid w:val="00DF2C07"/>
    <w:rsid w:val="00DF2DC6"/>
    <w:rsid w:val="00DF302E"/>
    <w:rsid w:val="00DF30AC"/>
    <w:rsid w:val="00DF4087"/>
    <w:rsid w:val="00DF4E8B"/>
    <w:rsid w:val="00DF516A"/>
    <w:rsid w:val="00DF54A4"/>
    <w:rsid w:val="00DF5844"/>
    <w:rsid w:val="00DF6075"/>
    <w:rsid w:val="00DF66C7"/>
    <w:rsid w:val="00DF66F7"/>
    <w:rsid w:val="00DF68D0"/>
    <w:rsid w:val="00DF6C0F"/>
    <w:rsid w:val="00E00B5E"/>
    <w:rsid w:val="00E00E3F"/>
    <w:rsid w:val="00E02543"/>
    <w:rsid w:val="00E02711"/>
    <w:rsid w:val="00E02D20"/>
    <w:rsid w:val="00E02EDF"/>
    <w:rsid w:val="00E03C08"/>
    <w:rsid w:val="00E04691"/>
    <w:rsid w:val="00E04B37"/>
    <w:rsid w:val="00E0513D"/>
    <w:rsid w:val="00E051CC"/>
    <w:rsid w:val="00E05517"/>
    <w:rsid w:val="00E05E11"/>
    <w:rsid w:val="00E074D6"/>
    <w:rsid w:val="00E102CE"/>
    <w:rsid w:val="00E107ED"/>
    <w:rsid w:val="00E10A19"/>
    <w:rsid w:val="00E11151"/>
    <w:rsid w:val="00E11F8A"/>
    <w:rsid w:val="00E128BE"/>
    <w:rsid w:val="00E129FC"/>
    <w:rsid w:val="00E143FB"/>
    <w:rsid w:val="00E15258"/>
    <w:rsid w:val="00E155E8"/>
    <w:rsid w:val="00E15BAB"/>
    <w:rsid w:val="00E15C52"/>
    <w:rsid w:val="00E15D31"/>
    <w:rsid w:val="00E15DCD"/>
    <w:rsid w:val="00E16194"/>
    <w:rsid w:val="00E1622E"/>
    <w:rsid w:val="00E162DB"/>
    <w:rsid w:val="00E16504"/>
    <w:rsid w:val="00E167CB"/>
    <w:rsid w:val="00E1790E"/>
    <w:rsid w:val="00E20D0A"/>
    <w:rsid w:val="00E20F1F"/>
    <w:rsid w:val="00E2103D"/>
    <w:rsid w:val="00E210D3"/>
    <w:rsid w:val="00E211AA"/>
    <w:rsid w:val="00E21BB1"/>
    <w:rsid w:val="00E21E1A"/>
    <w:rsid w:val="00E22862"/>
    <w:rsid w:val="00E2385A"/>
    <w:rsid w:val="00E2391F"/>
    <w:rsid w:val="00E241AE"/>
    <w:rsid w:val="00E2450B"/>
    <w:rsid w:val="00E248A7"/>
    <w:rsid w:val="00E24B63"/>
    <w:rsid w:val="00E25FFB"/>
    <w:rsid w:val="00E2610B"/>
    <w:rsid w:val="00E26836"/>
    <w:rsid w:val="00E272EE"/>
    <w:rsid w:val="00E302C3"/>
    <w:rsid w:val="00E30A7C"/>
    <w:rsid w:val="00E30AAE"/>
    <w:rsid w:val="00E31375"/>
    <w:rsid w:val="00E3144E"/>
    <w:rsid w:val="00E31B1F"/>
    <w:rsid w:val="00E32065"/>
    <w:rsid w:val="00E32432"/>
    <w:rsid w:val="00E325B2"/>
    <w:rsid w:val="00E32B2B"/>
    <w:rsid w:val="00E32D5B"/>
    <w:rsid w:val="00E34377"/>
    <w:rsid w:val="00E34D69"/>
    <w:rsid w:val="00E35BDE"/>
    <w:rsid w:val="00E36686"/>
    <w:rsid w:val="00E36DCB"/>
    <w:rsid w:val="00E36EBB"/>
    <w:rsid w:val="00E3705F"/>
    <w:rsid w:val="00E37276"/>
    <w:rsid w:val="00E3782A"/>
    <w:rsid w:val="00E37CBB"/>
    <w:rsid w:val="00E37F38"/>
    <w:rsid w:val="00E4003F"/>
    <w:rsid w:val="00E40811"/>
    <w:rsid w:val="00E40F4E"/>
    <w:rsid w:val="00E4163A"/>
    <w:rsid w:val="00E41928"/>
    <w:rsid w:val="00E41F3A"/>
    <w:rsid w:val="00E4258A"/>
    <w:rsid w:val="00E43252"/>
    <w:rsid w:val="00E4352E"/>
    <w:rsid w:val="00E436D8"/>
    <w:rsid w:val="00E43789"/>
    <w:rsid w:val="00E43B04"/>
    <w:rsid w:val="00E440F7"/>
    <w:rsid w:val="00E44339"/>
    <w:rsid w:val="00E44471"/>
    <w:rsid w:val="00E44B53"/>
    <w:rsid w:val="00E44EA5"/>
    <w:rsid w:val="00E45BFD"/>
    <w:rsid w:val="00E47C26"/>
    <w:rsid w:val="00E50335"/>
    <w:rsid w:val="00E50E1F"/>
    <w:rsid w:val="00E524BD"/>
    <w:rsid w:val="00E528A4"/>
    <w:rsid w:val="00E528C8"/>
    <w:rsid w:val="00E531F5"/>
    <w:rsid w:val="00E53934"/>
    <w:rsid w:val="00E53C56"/>
    <w:rsid w:val="00E540A4"/>
    <w:rsid w:val="00E541E1"/>
    <w:rsid w:val="00E54A78"/>
    <w:rsid w:val="00E5503F"/>
    <w:rsid w:val="00E5525F"/>
    <w:rsid w:val="00E55399"/>
    <w:rsid w:val="00E55511"/>
    <w:rsid w:val="00E555D1"/>
    <w:rsid w:val="00E5613E"/>
    <w:rsid w:val="00E56692"/>
    <w:rsid w:val="00E57B41"/>
    <w:rsid w:val="00E57B4E"/>
    <w:rsid w:val="00E57E30"/>
    <w:rsid w:val="00E601FA"/>
    <w:rsid w:val="00E60C08"/>
    <w:rsid w:val="00E619E0"/>
    <w:rsid w:val="00E61E9A"/>
    <w:rsid w:val="00E621B9"/>
    <w:rsid w:val="00E621E9"/>
    <w:rsid w:val="00E62508"/>
    <w:rsid w:val="00E62BF2"/>
    <w:rsid w:val="00E62E27"/>
    <w:rsid w:val="00E63DA9"/>
    <w:rsid w:val="00E64559"/>
    <w:rsid w:val="00E64713"/>
    <w:rsid w:val="00E648EF"/>
    <w:rsid w:val="00E64A2A"/>
    <w:rsid w:val="00E64A2E"/>
    <w:rsid w:val="00E64C18"/>
    <w:rsid w:val="00E65A13"/>
    <w:rsid w:val="00E65F7A"/>
    <w:rsid w:val="00E66385"/>
    <w:rsid w:val="00E66415"/>
    <w:rsid w:val="00E671FB"/>
    <w:rsid w:val="00E673E4"/>
    <w:rsid w:val="00E67AAA"/>
    <w:rsid w:val="00E71042"/>
    <w:rsid w:val="00E715A4"/>
    <w:rsid w:val="00E7193B"/>
    <w:rsid w:val="00E71D5E"/>
    <w:rsid w:val="00E724E6"/>
    <w:rsid w:val="00E729C8"/>
    <w:rsid w:val="00E7341B"/>
    <w:rsid w:val="00E73476"/>
    <w:rsid w:val="00E73DEF"/>
    <w:rsid w:val="00E74028"/>
    <w:rsid w:val="00E74626"/>
    <w:rsid w:val="00E74F74"/>
    <w:rsid w:val="00E755CB"/>
    <w:rsid w:val="00E758C9"/>
    <w:rsid w:val="00E76C8A"/>
    <w:rsid w:val="00E76E96"/>
    <w:rsid w:val="00E81B65"/>
    <w:rsid w:val="00E81CEE"/>
    <w:rsid w:val="00E82F17"/>
    <w:rsid w:val="00E83069"/>
    <w:rsid w:val="00E8326D"/>
    <w:rsid w:val="00E83918"/>
    <w:rsid w:val="00E839E7"/>
    <w:rsid w:val="00E83BA6"/>
    <w:rsid w:val="00E83C5E"/>
    <w:rsid w:val="00E83D91"/>
    <w:rsid w:val="00E845CA"/>
    <w:rsid w:val="00E84701"/>
    <w:rsid w:val="00E84748"/>
    <w:rsid w:val="00E85564"/>
    <w:rsid w:val="00E85744"/>
    <w:rsid w:val="00E857A5"/>
    <w:rsid w:val="00E858CB"/>
    <w:rsid w:val="00E86203"/>
    <w:rsid w:val="00E86D2F"/>
    <w:rsid w:val="00E8779D"/>
    <w:rsid w:val="00E87D33"/>
    <w:rsid w:val="00E90277"/>
    <w:rsid w:val="00E907DE"/>
    <w:rsid w:val="00E90828"/>
    <w:rsid w:val="00E90BA1"/>
    <w:rsid w:val="00E91078"/>
    <w:rsid w:val="00E91402"/>
    <w:rsid w:val="00E91723"/>
    <w:rsid w:val="00E9186E"/>
    <w:rsid w:val="00E91D9A"/>
    <w:rsid w:val="00E91E77"/>
    <w:rsid w:val="00E91E98"/>
    <w:rsid w:val="00E9455A"/>
    <w:rsid w:val="00E94CB9"/>
    <w:rsid w:val="00E94CDB"/>
    <w:rsid w:val="00E94FC5"/>
    <w:rsid w:val="00E96380"/>
    <w:rsid w:val="00E96BA3"/>
    <w:rsid w:val="00E97447"/>
    <w:rsid w:val="00E97528"/>
    <w:rsid w:val="00EA097F"/>
    <w:rsid w:val="00EA0B12"/>
    <w:rsid w:val="00EA0B9B"/>
    <w:rsid w:val="00EA0C38"/>
    <w:rsid w:val="00EA0FDE"/>
    <w:rsid w:val="00EA1737"/>
    <w:rsid w:val="00EA2C54"/>
    <w:rsid w:val="00EA2CBC"/>
    <w:rsid w:val="00EA2DC9"/>
    <w:rsid w:val="00EA34E2"/>
    <w:rsid w:val="00EA37AE"/>
    <w:rsid w:val="00EA3D10"/>
    <w:rsid w:val="00EA4DC0"/>
    <w:rsid w:val="00EA57F0"/>
    <w:rsid w:val="00EA5C67"/>
    <w:rsid w:val="00EA660B"/>
    <w:rsid w:val="00EA690B"/>
    <w:rsid w:val="00EA76E1"/>
    <w:rsid w:val="00EA7D30"/>
    <w:rsid w:val="00EB0386"/>
    <w:rsid w:val="00EB03C1"/>
    <w:rsid w:val="00EB16D6"/>
    <w:rsid w:val="00EB16EA"/>
    <w:rsid w:val="00EB1813"/>
    <w:rsid w:val="00EB184C"/>
    <w:rsid w:val="00EB1BB5"/>
    <w:rsid w:val="00EB1D96"/>
    <w:rsid w:val="00EB2ACA"/>
    <w:rsid w:val="00EB2CEC"/>
    <w:rsid w:val="00EB3ED0"/>
    <w:rsid w:val="00EB4439"/>
    <w:rsid w:val="00EB4A56"/>
    <w:rsid w:val="00EB4FEF"/>
    <w:rsid w:val="00EB5A45"/>
    <w:rsid w:val="00EB5DC5"/>
    <w:rsid w:val="00EB69F5"/>
    <w:rsid w:val="00EB6E8B"/>
    <w:rsid w:val="00EB700C"/>
    <w:rsid w:val="00EC0425"/>
    <w:rsid w:val="00EC08A5"/>
    <w:rsid w:val="00EC08C7"/>
    <w:rsid w:val="00EC0BD6"/>
    <w:rsid w:val="00EC1893"/>
    <w:rsid w:val="00EC1B8E"/>
    <w:rsid w:val="00EC1E38"/>
    <w:rsid w:val="00EC23FC"/>
    <w:rsid w:val="00EC2814"/>
    <w:rsid w:val="00EC29CF"/>
    <w:rsid w:val="00EC2A21"/>
    <w:rsid w:val="00EC3A72"/>
    <w:rsid w:val="00EC3AAC"/>
    <w:rsid w:val="00EC40EC"/>
    <w:rsid w:val="00EC4364"/>
    <w:rsid w:val="00EC4964"/>
    <w:rsid w:val="00EC5FDC"/>
    <w:rsid w:val="00EC61E1"/>
    <w:rsid w:val="00EC6CB8"/>
    <w:rsid w:val="00EC7356"/>
    <w:rsid w:val="00ED022C"/>
    <w:rsid w:val="00ED0379"/>
    <w:rsid w:val="00ED0531"/>
    <w:rsid w:val="00ED0990"/>
    <w:rsid w:val="00ED0A03"/>
    <w:rsid w:val="00ED0E2B"/>
    <w:rsid w:val="00ED2120"/>
    <w:rsid w:val="00ED232E"/>
    <w:rsid w:val="00ED318F"/>
    <w:rsid w:val="00ED354E"/>
    <w:rsid w:val="00ED361D"/>
    <w:rsid w:val="00ED4581"/>
    <w:rsid w:val="00ED4FB1"/>
    <w:rsid w:val="00ED538A"/>
    <w:rsid w:val="00ED547E"/>
    <w:rsid w:val="00ED5544"/>
    <w:rsid w:val="00ED5A4D"/>
    <w:rsid w:val="00ED6497"/>
    <w:rsid w:val="00ED656A"/>
    <w:rsid w:val="00ED6869"/>
    <w:rsid w:val="00ED73BD"/>
    <w:rsid w:val="00ED7665"/>
    <w:rsid w:val="00ED7B73"/>
    <w:rsid w:val="00EE0E86"/>
    <w:rsid w:val="00EE1188"/>
    <w:rsid w:val="00EE2466"/>
    <w:rsid w:val="00EE2F83"/>
    <w:rsid w:val="00EE33A4"/>
    <w:rsid w:val="00EE35E6"/>
    <w:rsid w:val="00EE3643"/>
    <w:rsid w:val="00EE42D7"/>
    <w:rsid w:val="00EE43E8"/>
    <w:rsid w:val="00EE4675"/>
    <w:rsid w:val="00EE4765"/>
    <w:rsid w:val="00EE54E1"/>
    <w:rsid w:val="00EE572B"/>
    <w:rsid w:val="00EE6B3E"/>
    <w:rsid w:val="00EE6F37"/>
    <w:rsid w:val="00EE708F"/>
    <w:rsid w:val="00EE7D99"/>
    <w:rsid w:val="00EE7EC5"/>
    <w:rsid w:val="00EF00EF"/>
    <w:rsid w:val="00EF093F"/>
    <w:rsid w:val="00EF150D"/>
    <w:rsid w:val="00EF17AA"/>
    <w:rsid w:val="00EF1CE3"/>
    <w:rsid w:val="00EF1E9C"/>
    <w:rsid w:val="00EF300F"/>
    <w:rsid w:val="00EF5B02"/>
    <w:rsid w:val="00EF6169"/>
    <w:rsid w:val="00EF6495"/>
    <w:rsid w:val="00EF6C6A"/>
    <w:rsid w:val="00EF6EF1"/>
    <w:rsid w:val="00EF7024"/>
    <w:rsid w:val="00EF7454"/>
    <w:rsid w:val="00EF7D42"/>
    <w:rsid w:val="00F00ACC"/>
    <w:rsid w:val="00F00CF2"/>
    <w:rsid w:val="00F0197B"/>
    <w:rsid w:val="00F019C0"/>
    <w:rsid w:val="00F01D2D"/>
    <w:rsid w:val="00F01E22"/>
    <w:rsid w:val="00F02060"/>
    <w:rsid w:val="00F020A5"/>
    <w:rsid w:val="00F025A8"/>
    <w:rsid w:val="00F0289A"/>
    <w:rsid w:val="00F02B1A"/>
    <w:rsid w:val="00F032DB"/>
    <w:rsid w:val="00F032DE"/>
    <w:rsid w:val="00F034CF"/>
    <w:rsid w:val="00F0389F"/>
    <w:rsid w:val="00F038F8"/>
    <w:rsid w:val="00F04BAF"/>
    <w:rsid w:val="00F04EC3"/>
    <w:rsid w:val="00F05731"/>
    <w:rsid w:val="00F058BD"/>
    <w:rsid w:val="00F05F7F"/>
    <w:rsid w:val="00F07564"/>
    <w:rsid w:val="00F0769D"/>
    <w:rsid w:val="00F07EBA"/>
    <w:rsid w:val="00F10035"/>
    <w:rsid w:val="00F10663"/>
    <w:rsid w:val="00F10697"/>
    <w:rsid w:val="00F108A5"/>
    <w:rsid w:val="00F1260D"/>
    <w:rsid w:val="00F12B76"/>
    <w:rsid w:val="00F134C1"/>
    <w:rsid w:val="00F13EB8"/>
    <w:rsid w:val="00F14CF7"/>
    <w:rsid w:val="00F15606"/>
    <w:rsid w:val="00F15A50"/>
    <w:rsid w:val="00F15BE7"/>
    <w:rsid w:val="00F1613C"/>
    <w:rsid w:val="00F16411"/>
    <w:rsid w:val="00F1648A"/>
    <w:rsid w:val="00F175BD"/>
    <w:rsid w:val="00F1796F"/>
    <w:rsid w:val="00F205FA"/>
    <w:rsid w:val="00F20F64"/>
    <w:rsid w:val="00F21515"/>
    <w:rsid w:val="00F219D8"/>
    <w:rsid w:val="00F21CE5"/>
    <w:rsid w:val="00F21F9C"/>
    <w:rsid w:val="00F22114"/>
    <w:rsid w:val="00F22354"/>
    <w:rsid w:val="00F22A10"/>
    <w:rsid w:val="00F231FB"/>
    <w:rsid w:val="00F2343A"/>
    <w:rsid w:val="00F234CC"/>
    <w:rsid w:val="00F23859"/>
    <w:rsid w:val="00F23CBF"/>
    <w:rsid w:val="00F24FF7"/>
    <w:rsid w:val="00F253EE"/>
    <w:rsid w:val="00F254B1"/>
    <w:rsid w:val="00F258C8"/>
    <w:rsid w:val="00F26240"/>
    <w:rsid w:val="00F2634E"/>
    <w:rsid w:val="00F26E60"/>
    <w:rsid w:val="00F274FA"/>
    <w:rsid w:val="00F276C5"/>
    <w:rsid w:val="00F27995"/>
    <w:rsid w:val="00F27CD2"/>
    <w:rsid w:val="00F30385"/>
    <w:rsid w:val="00F3047E"/>
    <w:rsid w:val="00F30894"/>
    <w:rsid w:val="00F31427"/>
    <w:rsid w:val="00F31DDF"/>
    <w:rsid w:val="00F32618"/>
    <w:rsid w:val="00F32BB5"/>
    <w:rsid w:val="00F338CB"/>
    <w:rsid w:val="00F33BAE"/>
    <w:rsid w:val="00F34655"/>
    <w:rsid w:val="00F34F46"/>
    <w:rsid w:val="00F353BE"/>
    <w:rsid w:val="00F35589"/>
    <w:rsid w:val="00F3580B"/>
    <w:rsid w:val="00F35FC5"/>
    <w:rsid w:val="00F36324"/>
    <w:rsid w:val="00F363DC"/>
    <w:rsid w:val="00F37D2C"/>
    <w:rsid w:val="00F40C7D"/>
    <w:rsid w:val="00F40C8B"/>
    <w:rsid w:val="00F40D05"/>
    <w:rsid w:val="00F40D22"/>
    <w:rsid w:val="00F41187"/>
    <w:rsid w:val="00F411F2"/>
    <w:rsid w:val="00F42213"/>
    <w:rsid w:val="00F42DFD"/>
    <w:rsid w:val="00F43353"/>
    <w:rsid w:val="00F43B53"/>
    <w:rsid w:val="00F449DF"/>
    <w:rsid w:val="00F452A5"/>
    <w:rsid w:val="00F46ED7"/>
    <w:rsid w:val="00F46FAA"/>
    <w:rsid w:val="00F50546"/>
    <w:rsid w:val="00F50D4C"/>
    <w:rsid w:val="00F51659"/>
    <w:rsid w:val="00F519B3"/>
    <w:rsid w:val="00F52FC1"/>
    <w:rsid w:val="00F5304E"/>
    <w:rsid w:val="00F53B8B"/>
    <w:rsid w:val="00F55023"/>
    <w:rsid w:val="00F55296"/>
    <w:rsid w:val="00F556FB"/>
    <w:rsid w:val="00F563E9"/>
    <w:rsid w:val="00F568DC"/>
    <w:rsid w:val="00F56902"/>
    <w:rsid w:val="00F57080"/>
    <w:rsid w:val="00F57225"/>
    <w:rsid w:val="00F57327"/>
    <w:rsid w:val="00F57398"/>
    <w:rsid w:val="00F57641"/>
    <w:rsid w:val="00F57773"/>
    <w:rsid w:val="00F57FB1"/>
    <w:rsid w:val="00F6070C"/>
    <w:rsid w:val="00F60C41"/>
    <w:rsid w:val="00F614A8"/>
    <w:rsid w:val="00F6196D"/>
    <w:rsid w:val="00F61DA0"/>
    <w:rsid w:val="00F61EA7"/>
    <w:rsid w:val="00F625E7"/>
    <w:rsid w:val="00F635C2"/>
    <w:rsid w:val="00F646BE"/>
    <w:rsid w:val="00F64AFA"/>
    <w:rsid w:val="00F6695B"/>
    <w:rsid w:val="00F66B0B"/>
    <w:rsid w:val="00F6703D"/>
    <w:rsid w:val="00F678F3"/>
    <w:rsid w:val="00F6798A"/>
    <w:rsid w:val="00F700B2"/>
    <w:rsid w:val="00F701CD"/>
    <w:rsid w:val="00F7139D"/>
    <w:rsid w:val="00F715E9"/>
    <w:rsid w:val="00F71799"/>
    <w:rsid w:val="00F71CF4"/>
    <w:rsid w:val="00F726E7"/>
    <w:rsid w:val="00F7275E"/>
    <w:rsid w:val="00F72851"/>
    <w:rsid w:val="00F72BB5"/>
    <w:rsid w:val="00F72E5D"/>
    <w:rsid w:val="00F74162"/>
    <w:rsid w:val="00F7436A"/>
    <w:rsid w:val="00F74FCF"/>
    <w:rsid w:val="00F753F6"/>
    <w:rsid w:val="00F756BB"/>
    <w:rsid w:val="00F75706"/>
    <w:rsid w:val="00F76209"/>
    <w:rsid w:val="00F76431"/>
    <w:rsid w:val="00F76AC0"/>
    <w:rsid w:val="00F76C12"/>
    <w:rsid w:val="00F779D3"/>
    <w:rsid w:val="00F77B5B"/>
    <w:rsid w:val="00F80CE9"/>
    <w:rsid w:val="00F81406"/>
    <w:rsid w:val="00F815F8"/>
    <w:rsid w:val="00F818ED"/>
    <w:rsid w:val="00F81D3C"/>
    <w:rsid w:val="00F82366"/>
    <w:rsid w:val="00F825B7"/>
    <w:rsid w:val="00F826D6"/>
    <w:rsid w:val="00F82C6A"/>
    <w:rsid w:val="00F82F07"/>
    <w:rsid w:val="00F83248"/>
    <w:rsid w:val="00F83B6F"/>
    <w:rsid w:val="00F83FB7"/>
    <w:rsid w:val="00F845EF"/>
    <w:rsid w:val="00F86507"/>
    <w:rsid w:val="00F878D6"/>
    <w:rsid w:val="00F878EA"/>
    <w:rsid w:val="00F87964"/>
    <w:rsid w:val="00F909FA"/>
    <w:rsid w:val="00F90B65"/>
    <w:rsid w:val="00F93141"/>
    <w:rsid w:val="00F939A5"/>
    <w:rsid w:val="00F93F43"/>
    <w:rsid w:val="00F948DC"/>
    <w:rsid w:val="00F9519A"/>
    <w:rsid w:val="00F96120"/>
    <w:rsid w:val="00F96203"/>
    <w:rsid w:val="00F96ACE"/>
    <w:rsid w:val="00FA174C"/>
    <w:rsid w:val="00FA2015"/>
    <w:rsid w:val="00FA219C"/>
    <w:rsid w:val="00FA2890"/>
    <w:rsid w:val="00FA2FD6"/>
    <w:rsid w:val="00FA2FE9"/>
    <w:rsid w:val="00FA334F"/>
    <w:rsid w:val="00FA337E"/>
    <w:rsid w:val="00FA4468"/>
    <w:rsid w:val="00FA47D0"/>
    <w:rsid w:val="00FA48B8"/>
    <w:rsid w:val="00FA4D81"/>
    <w:rsid w:val="00FA5D34"/>
    <w:rsid w:val="00FA60EF"/>
    <w:rsid w:val="00FA6E3D"/>
    <w:rsid w:val="00FA73A2"/>
    <w:rsid w:val="00FA7CFD"/>
    <w:rsid w:val="00FB0381"/>
    <w:rsid w:val="00FB0436"/>
    <w:rsid w:val="00FB0A93"/>
    <w:rsid w:val="00FB0B12"/>
    <w:rsid w:val="00FB0D5C"/>
    <w:rsid w:val="00FB1B63"/>
    <w:rsid w:val="00FB1C7F"/>
    <w:rsid w:val="00FB2075"/>
    <w:rsid w:val="00FB2196"/>
    <w:rsid w:val="00FB22D2"/>
    <w:rsid w:val="00FB2C54"/>
    <w:rsid w:val="00FB2D32"/>
    <w:rsid w:val="00FB2FA3"/>
    <w:rsid w:val="00FB32D0"/>
    <w:rsid w:val="00FB3736"/>
    <w:rsid w:val="00FB3C62"/>
    <w:rsid w:val="00FB3CC0"/>
    <w:rsid w:val="00FB406D"/>
    <w:rsid w:val="00FB4C3C"/>
    <w:rsid w:val="00FB5514"/>
    <w:rsid w:val="00FB62C7"/>
    <w:rsid w:val="00FB6846"/>
    <w:rsid w:val="00FB6A18"/>
    <w:rsid w:val="00FB7599"/>
    <w:rsid w:val="00FB75CD"/>
    <w:rsid w:val="00FB779A"/>
    <w:rsid w:val="00FB7BC9"/>
    <w:rsid w:val="00FC04B6"/>
    <w:rsid w:val="00FC0718"/>
    <w:rsid w:val="00FC0786"/>
    <w:rsid w:val="00FC09DB"/>
    <w:rsid w:val="00FC0D98"/>
    <w:rsid w:val="00FC1507"/>
    <w:rsid w:val="00FC1AFD"/>
    <w:rsid w:val="00FC1B0D"/>
    <w:rsid w:val="00FC25B1"/>
    <w:rsid w:val="00FC271F"/>
    <w:rsid w:val="00FC280F"/>
    <w:rsid w:val="00FC2DFB"/>
    <w:rsid w:val="00FC3227"/>
    <w:rsid w:val="00FC363C"/>
    <w:rsid w:val="00FC4595"/>
    <w:rsid w:val="00FC5B2B"/>
    <w:rsid w:val="00FC5BB9"/>
    <w:rsid w:val="00FC647E"/>
    <w:rsid w:val="00FC6D2F"/>
    <w:rsid w:val="00FD01C1"/>
    <w:rsid w:val="00FD023C"/>
    <w:rsid w:val="00FD095D"/>
    <w:rsid w:val="00FD0E4C"/>
    <w:rsid w:val="00FD1200"/>
    <w:rsid w:val="00FD241D"/>
    <w:rsid w:val="00FD2E77"/>
    <w:rsid w:val="00FD30B3"/>
    <w:rsid w:val="00FD3BE6"/>
    <w:rsid w:val="00FD42BD"/>
    <w:rsid w:val="00FD4602"/>
    <w:rsid w:val="00FD48F5"/>
    <w:rsid w:val="00FD4A05"/>
    <w:rsid w:val="00FD516D"/>
    <w:rsid w:val="00FD5512"/>
    <w:rsid w:val="00FD5CD4"/>
    <w:rsid w:val="00FD6434"/>
    <w:rsid w:val="00FD6E0C"/>
    <w:rsid w:val="00FD7264"/>
    <w:rsid w:val="00FD761A"/>
    <w:rsid w:val="00FE06E5"/>
    <w:rsid w:val="00FE06EA"/>
    <w:rsid w:val="00FE0D21"/>
    <w:rsid w:val="00FE1C6D"/>
    <w:rsid w:val="00FE23F3"/>
    <w:rsid w:val="00FE28C1"/>
    <w:rsid w:val="00FE2E42"/>
    <w:rsid w:val="00FE3582"/>
    <w:rsid w:val="00FE4031"/>
    <w:rsid w:val="00FE480C"/>
    <w:rsid w:val="00FE4B36"/>
    <w:rsid w:val="00FE5015"/>
    <w:rsid w:val="00FE57BD"/>
    <w:rsid w:val="00FE64DD"/>
    <w:rsid w:val="00FE6F94"/>
    <w:rsid w:val="00FE73CF"/>
    <w:rsid w:val="00FE76EC"/>
    <w:rsid w:val="00FE7719"/>
    <w:rsid w:val="00FF0008"/>
    <w:rsid w:val="00FF117E"/>
    <w:rsid w:val="00FF1B6A"/>
    <w:rsid w:val="00FF2440"/>
    <w:rsid w:val="00FF2705"/>
    <w:rsid w:val="00FF2A6F"/>
    <w:rsid w:val="00FF3050"/>
    <w:rsid w:val="00FF3719"/>
    <w:rsid w:val="00FF3821"/>
    <w:rsid w:val="00FF4603"/>
    <w:rsid w:val="00FF49C8"/>
    <w:rsid w:val="00FF5835"/>
    <w:rsid w:val="00FF61D1"/>
    <w:rsid w:val="00FF65D8"/>
    <w:rsid w:val="00FF6A1A"/>
    <w:rsid w:val="00FF77CF"/>
    <w:rsid w:val="00FF7C5B"/>
    <w:rsid w:val="3D2A6729"/>
    <w:rsid w:val="4A3212FB"/>
    <w:rsid w:val="73DB9628"/>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11FAF0"/>
  <w15:docId w15:val="{37C85967-AB2C-441E-9C05-431A734A5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SMePro" w:eastAsia="FSMePro" w:hAnsi="FSMePro" w:cs="Times New Roman"/>
        <w:lang w:val="en-AU" w:eastAsia="en-AU" w:bidi="ar-SA"/>
      </w:rPr>
    </w:rPrDefault>
    <w:pPrDefault>
      <w:pPr>
        <w:spacing w:before="120"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D7A"/>
    <w:pPr>
      <w:spacing w:before="0" w:after="200"/>
    </w:pPr>
    <w:rPr>
      <w:rFonts w:ascii="Arial" w:eastAsia="Times New Roman" w:hAnsi="Arial"/>
      <w:sz w:val="24"/>
      <w:szCs w:val="24"/>
      <w:lang w:eastAsia="ja-JP"/>
    </w:rPr>
  </w:style>
  <w:style w:type="paragraph" w:styleId="Heading1">
    <w:name w:val="heading 1"/>
    <w:aliases w:val="Report title"/>
    <w:basedOn w:val="Normal"/>
    <w:next w:val="Normal"/>
    <w:link w:val="Heading1Char"/>
    <w:uiPriority w:val="9"/>
    <w:qFormat/>
    <w:rsid w:val="00664E61"/>
    <w:pPr>
      <w:spacing w:before="3120" w:after="600"/>
      <w:outlineLvl w:val="0"/>
    </w:pPr>
    <w:rPr>
      <w:rFonts w:cs="Arial"/>
      <w:b/>
      <w:color w:val="FEFFFF"/>
      <w:sz w:val="80"/>
      <w:szCs w:val="80"/>
    </w:rPr>
  </w:style>
  <w:style w:type="paragraph" w:styleId="Heading2">
    <w:name w:val="heading 2"/>
    <w:aliases w:val="Heading 3 REVISED,Board Brief - Paragraph Heading 2"/>
    <w:basedOn w:val="Normal"/>
    <w:next w:val="Normal"/>
    <w:link w:val="Heading2Char"/>
    <w:uiPriority w:val="1"/>
    <w:unhideWhenUsed/>
    <w:qFormat/>
    <w:rsid w:val="00D44388"/>
    <w:pPr>
      <w:pageBreakBefore/>
      <w:numPr>
        <w:numId w:val="22"/>
      </w:numPr>
      <w:spacing w:before="600"/>
      <w:outlineLvl w:val="1"/>
    </w:pPr>
    <w:rPr>
      <w:b/>
      <w:bCs/>
      <w:color w:val="6B2976"/>
      <w:sz w:val="40"/>
      <w:szCs w:val="40"/>
      <w:shd w:val="clear" w:color="auto" w:fill="FFFFFF"/>
    </w:rPr>
  </w:style>
  <w:style w:type="paragraph" w:styleId="Heading3">
    <w:name w:val="heading 3"/>
    <w:basedOn w:val="Normal"/>
    <w:next w:val="Normal"/>
    <w:link w:val="Heading3Char"/>
    <w:uiPriority w:val="9"/>
    <w:unhideWhenUsed/>
    <w:qFormat/>
    <w:rsid w:val="0041432C"/>
    <w:pPr>
      <w:keepNext/>
      <w:numPr>
        <w:ilvl w:val="1"/>
        <w:numId w:val="22"/>
      </w:numPr>
      <w:spacing w:before="400" w:after="120"/>
      <w:outlineLvl w:val="2"/>
    </w:pPr>
    <w:rPr>
      <w:b/>
      <w:color w:val="6B2976"/>
      <w:sz w:val="30"/>
      <w:szCs w:val="30"/>
    </w:rPr>
  </w:style>
  <w:style w:type="paragraph" w:styleId="Heading4">
    <w:name w:val="heading 4"/>
    <w:basedOn w:val="Normal"/>
    <w:next w:val="Normal"/>
    <w:link w:val="Heading4Char"/>
    <w:uiPriority w:val="9"/>
    <w:unhideWhenUsed/>
    <w:qFormat/>
    <w:rsid w:val="0030156E"/>
    <w:pPr>
      <w:keepNext/>
      <w:numPr>
        <w:ilvl w:val="2"/>
        <w:numId w:val="22"/>
      </w:numPr>
      <w:spacing w:before="360"/>
      <w:outlineLvl w:val="3"/>
    </w:pPr>
    <w:rPr>
      <w:b/>
    </w:rPr>
  </w:style>
  <w:style w:type="paragraph" w:styleId="Heading5">
    <w:name w:val="heading 5"/>
    <w:basedOn w:val="Normal"/>
    <w:next w:val="Normal"/>
    <w:link w:val="Heading5Char"/>
    <w:uiPriority w:val="9"/>
    <w:unhideWhenUsed/>
    <w:qFormat/>
    <w:rsid w:val="005142A5"/>
    <w:pPr>
      <w:keepNext/>
      <w:spacing w:before="360"/>
      <w:outlineLvl w:val="4"/>
    </w:pPr>
    <w:rPr>
      <w:b/>
    </w:rPr>
  </w:style>
  <w:style w:type="paragraph" w:styleId="Heading6">
    <w:name w:val="heading 6"/>
    <w:basedOn w:val="Normal"/>
    <w:next w:val="Normal"/>
    <w:link w:val="Heading6Char"/>
    <w:uiPriority w:val="9"/>
    <w:unhideWhenUsed/>
    <w:qFormat/>
    <w:rsid w:val="00830A50"/>
    <w:pPr>
      <w:spacing w:before="36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Char"/>
    <w:link w:val="Heading1"/>
    <w:uiPriority w:val="9"/>
    <w:rsid w:val="00664E61"/>
    <w:rPr>
      <w:rFonts w:ascii="Arial" w:eastAsia="Times New Roman" w:hAnsi="Arial" w:cs="Arial"/>
      <w:b/>
      <w:color w:val="FEFFFF"/>
      <w:sz w:val="80"/>
      <w:szCs w:val="80"/>
      <w:lang w:eastAsia="ja-JP"/>
    </w:rPr>
  </w:style>
  <w:style w:type="character" w:customStyle="1" w:styleId="Heading2Char">
    <w:name w:val="Heading 2 Char"/>
    <w:aliases w:val="Heading 3 REVISED Char,Board Brief - Paragraph Heading 2 Char"/>
    <w:link w:val="Heading2"/>
    <w:uiPriority w:val="1"/>
    <w:rsid w:val="00D44388"/>
    <w:rPr>
      <w:rFonts w:ascii="Arial" w:eastAsia="Times New Roman" w:hAnsi="Arial"/>
      <w:b/>
      <w:bCs/>
      <w:color w:val="6B2976"/>
      <w:sz w:val="40"/>
      <w:szCs w:val="40"/>
      <w:lang w:eastAsia="ja-JP"/>
    </w:rPr>
  </w:style>
  <w:style w:type="paragraph" w:customStyle="1" w:styleId="Tablebullet">
    <w:name w:val="Table bullet"/>
    <w:qFormat/>
    <w:rsid w:val="000223C0"/>
    <w:pPr>
      <w:numPr>
        <w:numId w:val="3"/>
      </w:numPr>
    </w:pPr>
    <w:rPr>
      <w:rFonts w:ascii="Arial" w:eastAsia="Times New Roman" w:hAnsi="Arial"/>
      <w:sz w:val="24"/>
      <w:szCs w:val="24"/>
      <w:lang w:eastAsia="ja-JP"/>
    </w:rPr>
  </w:style>
  <w:style w:type="character" w:customStyle="1" w:styleId="Heading3Char">
    <w:name w:val="Heading 3 Char"/>
    <w:link w:val="Heading3"/>
    <w:uiPriority w:val="9"/>
    <w:rsid w:val="0041432C"/>
    <w:rPr>
      <w:rFonts w:ascii="Arial" w:eastAsia="Times New Roman" w:hAnsi="Arial"/>
      <w:b/>
      <w:color w:val="6B2976"/>
      <w:sz w:val="30"/>
      <w:szCs w:val="30"/>
      <w:lang w:eastAsia="ja-JP"/>
    </w:rPr>
  </w:style>
  <w:style w:type="character" w:customStyle="1" w:styleId="Heading4Char">
    <w:name w:val="Heading 4 Char"/>
    <w:link w:val="Heading4"/>
    <w:uiPriority w:val="9"/>
    <w:rsid w:val="0030156E"/>
    <w:rPr>
      <w:rFonts w:ascii="Arial" w:eastAsia="Times New Roman" w:hAnsi="Arial"/>
      <w:b/>
      <w:sz w:val="24"/>
      <w:szCs w:val="24"/>
      <w:lang w:eastAsia="ja-JP"/>
    </w:rPr>
  </w:style>
  <w:style w:type="character" w:customStyle="1" w:styleId="Heading5Char">
    <w:name w:val="Heading 5 Char"/>
    <w:link w:val="Heading5"/>
    <w:uiPriority w:val="9"/>
    <w:rsid w:val="005142A5"/>
    <w:rPr>
      <w:rFonts w:ascii="Arial" w:eastAsia="Times New Roman" w:hAnsi="Arial"/>
      <w:b/>
      <w:sz w:val="24"/>
      <w:szCs w:val="24"/>
      <w:lang w:eastAsia="ja-JP"/>
    </w:rPr>
  </w:style>
  <w:style w:type="character" w:customStyle="1" w:styleId="Heading6Char">
    <w:name w:val="Heading 6 Char"/>
    <w:link w:val="Heading6"/>
    <w:uiPriority w:val="9"/>
    <w:rsid w:val="00830A50"/>
    <w:rPr>
      <w:rFonts w:ascii="Arial" w:eastAsia="Times New Roman" w:hAnsi="Arial"/>
      <w:i/>
      <w:iCs/>
      <w:sz w:val="24"/>
      <w:szCs w:val="24"/>
      <w:lang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4"/>
      </w:numPr>
    </w:pPr>
  </w:style>
  <w:style w:type="numbering" w:customStyle="1" w:styleId="CurrentList2">
    <w:name w:val="Current List2"/>
    <w:uiPriority w:val="99"/>
    <w:rsid w:val="00940AC8"/>
    <w:pPr>
      <w:numPr>
        <w:numId w:val="5"/>
      </w:numPr>
    </w:pPr>
  </w:style>
  <w:style w:type="numbering" w:customStyle="1" w:styleId="CurrentList3">
    <w:name w:val="Current List3"/>
    <w:uiPriority w:val="99"/>
    <w:rsid w:val="00940AC8"/>
    <w:pPr>
      <w:numPr>
        <w:numId w:val="9"/>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aliases w:val="First level bullet point,List Paragraph1,List Paragraph11,Bullet point,L,Recommendation,Figure_name,Bullet- First level,Listenabsatz1,#List Paragraph,NFP GP Bulleted List,List Paragraph2,Bullet Point,Bullet points,Content descriptions,列出段"/>
    <w:basedOn w:val="Normal"/>
    <w:link w:val="ListParagraphChar"/>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qFormat/>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2"/>
      </w:numPr>
    </w:pPr>
  </w:style>
  <w:style w:type="table" w:styleId="LightShading-Accent4">
    <w:name w:val="Light Shading Accent 4"/>
    <w:aliases w:val="NDIS purple table"/>
    <w:basedOn w:val="TableNormal"/>
    <w:uiPriority w:val="60"/>
    <w:rsid w:val="004F0179"/>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B0650E"/>
    <w:pPr>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4E4B0F"/>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FD6E0C"/>
    <w:pPr>
      <w:tabs>
        <w:tab w:val="left" w:pos="1100"/>
        <w:tab w:val="right" w:pos="9016"/>
      </w:tabs>
      <w:spacing w:before="140" w:after="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7E6C06"/>
    <w:pPr>
      <w:spacing w:after="240"/>
      <w:ind w:right="96"/>
    </w:pPr>
    <w:rPr>
      <w:b/>
      <w:color w:val="F9F9F9" w:themeColor="background1"/>
      <w:sz w:val="28"/>
      <w:szCs w:val="28"/>
    </w:rPr>
  </w:style>
  <w:style w:type="table" w:styleId="TableGrid">
    <w:name w:val="Table Grid"/>
    <w:basedOn w:val="TableNormal"/>
    <w:uiPriority w:val="3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pPr>
    <w:rPr>
      <w:bCs/>
      <w:u w:val="single"/>
    </w:rPr>
  </w:style>
  <w:style w:type="character" w:customStyle="1" w:styleId="TableDescriptionChar">
    <w:name w:val="Table Description Char"/>
    <w:link w:val="TableDescription"/>
    <w:rsid w:val="00830A50"/>
    <w:rPr>
      <w:rFonts w:ascii="Arial" w:eastAsia="Times New Roman" w:hAnsi="Arial"/>
      <w:bCs/>
      <w:sz w:val="24"/>
      <w:szCs w:val="24"/>
      <w:u w:val="single"/>
      <w:lang w:eastAsia="ja-JP"/>
    </w:rPr>
  </w:style>
  <w:style w:type="character" w:customStyle="1" w:styleId="SecurityinformationChar">
    <w:name w:val="Security information Char"/>
    <w:link w:val="Securityinformation"/>
    <w:rsid w:val="007E6C06"/>
    <w:rPr>
      <w:rFonts w:ascii="Arial" w:eastAsia="Times New Roman" w:hAnsi="Arial"/>
      <w:b/>
      <w:color w:val="F9F9F9" w:themeColor="background1"/>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4F0179"/>
    <w:pPr>
      <w:tabs>
        <w:tab w:val="num" w:pos="360"/>
      </w:tabs>
      <w:spacing w:line="240" w:lineRule="auto"/>
    </w:pPr>
    <w:rPr>
      <w:rFonts w:eastAsia="MS Mincho" w:cs="FSMe-Bold"/>
      <w:spacing w:val="-2"/>
      <w:sz w:val="20"/>
      <w:szCs w:val="20"/>
      <w:lang w:eastAsia="en-US"/>
    </w:rPr>
  </w:style>
  <w:style w:type="table" w:styleId="GridTable4">
    <w:name w:val="Grid Table 4"/>
    <w:basedOn w:val="TableNormal"/>
    <w:uiPriority w:val="49"/>
    <w:rsid w:val="00F72BB5"/>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single" w:sz="4" w:space="0" w:color="F9F9F9" w:themeColor="background1"/>
          <w:right w:val="single" w:sz="4" w:space="0" w:color="6B2876" w:themeColor="text1"/>
          <w:insideH w:val="nil"/>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tcBorders>
      </w:tc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ListTable4">
    <w:name w:val="List Table 4"/>
    <w:basedOn w:val="TableNormal"/>
    <w:uiPriority w:val="49"/>
    <w:rsid w:val="00A73C01"/>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paragraph" w:customStyle="1" w:styleId="Normalrecommendationtext">
    <w:name w:val="Normal recommendation text"/>
    <w:basedOn w:val="Normal"/>
    <w:qFormat/>
    <w:rsid w:val="00414967"/>
    <w:pPr>
      <w:ind w:left="567"/>
    </w:pPr>
    <w:rPr>
      <w:color w:val="6B2876" w:themeColor="text1"/>
    </w:rPr>
  </w:style>
  <w:style w:type="paragraph" w:customStyle="1" w:styleId="Heading3small">
    <w:name w:val="Heading 3 small"/>
    <w:basedOn w:val="Heading3"/>
    <w:qFormat/>
    <w:rsid w:val="00C02EFD"/>
    <w:pPr>
      <w:numPr>
        <w:ilvl w:val="0"/>
        <w:numId w:val="0"/>
      </w:numPr>
      <w:spacing w:before="360" w:after="200"/>
    </w:pPr>
    <w:rPr>
      <w:color w:val="000000" w:themeColor="accent6"/>
      <w:sz w:val="24"/>
    </w:rPr>
  </w:style>
  <w:style w:type="character" w:styleId="CommentReference">
    <w:name w:val="annotation reference"/>
    <w:basedOn w:val="DefaultParagraphFont"/>
    <w:uiPriority w:val="99"/>
    <w:unhideWhenUsed/>
    <w:rsid w:val="007C4B09"/>
    <w:rPr>
      <w:sz w:val="16"/>
      <w:szCs w:val="16"/>
    </w:rPr>
  </w:style>
  <w:style w:type="paragraph" w:styleId="CommentText">
    <w:name w:val="annotation text"/>
    <w:basedOn w:val="Normal"/>
    <w:link w:val="CommentTextChar"/>
    <w:uiPriority w:val="99"/>
    <w:unhideWhenUsed/>
    <w:rsid w:val="007C4B09"/>
    <w:pPr>
      <w:spacing w:line="240" w:lineRule="auto"/>
    </w:pPr>
    <w:rPr>
      <w:sz w:val="20"/>
      <w:szCs w:val="20"/>
    </w:rPr>
  </w:style>
  <w:style w:type="character" w:customStyle="1" w:styleId="CommentTextChar">
    <w:name w:val="Comment Text Char"/>
    <w:basedOn w:val="DefaultParagraphFont"/>
    <w:link w:val="CommentText"/>
    <w:uiPriority w:val="99"/>
    <w:rsid w:val="007C4B09"/>
    <w:rPr>
      <w:rFonts w:ascii="Arial" w:eastAsia="Times New Roman" w:hAnsi="Arial"/>
      <w:lang w:eastAsia="ja-JP"/>
    </w:rPr>
  </w:style>
  <w:style w:type="paragraph" w:styleId="Quote">
    <w:name w:val="Quote"/>
    <w:basedOn w:val="Normal"/>
    <w:next w:val="Normal"/>
    <w:link w:val="QuoteChar"/>
    <w:uiPriority w:val="29"/>
    <w:qFormat/>
    <w:rsid w:val="007C4B09"/>
    <w:pPr>
      <w:spacing w:before="200" w:after="160" w:line="300" w:lineRule="atLeast"/>
      <w:ind w:left="864" w:right="864"/>
      <w:jc w:val="center"/>
    </w:pPr>
    <w:rPr>
      <w:rFonts w:eastAsiaTheme="minorEastAsia" w:cstheme="minorBidi"/>
      <w:i/>
      <w:iCs/>
      <w:color w:val="A63EB7" w:themeColor="text1" w:themeTint="BF"/>
      <w:sz w:val="22"/>
    </w:rPr>
  </w:style>
  <w:style w:type="character" w:customStyle="1" w:styleId="QuoteChar">
    <w:name w:val="Quote Char"/>
    <w:basedOn w:val="DefaultParagraphFont"/>
    <w:link w:val="Quote"/>
    <w:uiPriority w:val="29"/>
    <w:rsid w:val="007C4B09"/>
    <w:rPr>
      <w:rFonts w:ascii="Arial" w:eastAsiaTheme="minorEastAsia" w:hAnsi="Arial" w:cstheme="minorBidi"/>
      <w:i/>
      <w:iCs/>
      <w:color w:val="A63EB7" w:themeColor="text1" w:themeTint="BF"/>
      <w:sz w:val="22"/>
      <w:szCs w:val="24"/>
      <w:lang w:eastAsia="ja-JP"/>
    </w:rPr>
  </w:style>
  <w:style w:type="paragraph" w:styleId="FootnoteText">
    <w:name w:val="footnote text"/>
    <w:basedOn w:val="Normal"/>
    <w:link w:val="FootnoteTextChar"/>
    <w:uiPriority w:val="99"/>
    <w:unhideWhenUsed/>
    <w:qFormat/>
    <w:rsid w:val="002874A6"/>
    <w:pPr>
      <w:spacing w:before="120" w:after="0" w:line="240" w:lineRule="auto"/>
    </w:pPr>
    <w:rPr>
      <w:sz w:val="20"/>
      <w:szCs w:val="20"/>
    </w:rPr>
  </w:style>
  <w:style w:type="character" w:customStyle="1" w:styleId="FootnoteTextChar">
    <w:name w:val="Footnote Text Char"/>
    <w:basedOn w:val="DefaultParagraphFont"/>
    <w:link w:val="FootnoteText"/>
    <w:uiPriority w:val="99"/>
    <w:rsid w:val="002874A6"/>
    <w:rPr>
      <w:rFonts w:ascii="Arial" w:eastAsia="Times New Roman" w:hAnsi="Arial"/>
      <w:lang w:eastAsia="ja-JP"/>
    </w:rPr>
  </w:style>
  <w:style w:type="character" w:styleId="FootnoteReference">
    <w:name w:val="footnote reference"/>
    <w:basedOn w:val="DefaultParagraphFont"/>
    <w:uiPriority w:val="99"/>
    <w:unhideWhenUsed/>
    <w:rsid w:val="007C4B09"/>
    <w:rPr>
      <w:vertAlign w:val="superscript"/>
    </w:rPr>
  </w:style>
  <w:style w:type="paragraph" w:styleId="Caption">
    <w:name w:val="caption"/>
    <w:basedOn w:val="Normal"/>
    <w:next w:val="Normal"/>
    <w:link w:val="CaptionChar"/>
    <w:uiPriority w:val="35"/>
    <w:unhideWhenUsed/>
    <w:qFormat/>
    <w:rsid w:val="00DE6D19"/>
    <w:pPr>
      <w:keepNext/>
      <w:spacing w:before="360" w:after="180" w:line="240" w:lineRule="auto"/>
    </w:pPr>
    <w:rPr>
      <w:rFonts w:eastAsiaTheme="minorEastAsia" w:cstheme="minorBidi"/>
      <w:i/>
      <w:iCs/>
      <w:color w:val="6B2876" w:themeColor="text2"/>
      <w:szCs w:val="18"/>
    </w:rPr>
  </w:style>
  <w:style w:type="character" w:customStyle="1" w:styleId="normaltextrun">
    <w:name w:val="normaltextrun"/>
    <w:basedOn w:val="DefaultParagraphFont"/>
    <w:rsid w:val="00A429D5"/>
  </w:style>
  <w:style w:type="paragraph" w:styleId="CommentSubject">
    <w:name w:val="annotation subject"/>
    <w:basedOn w:val="CommentText"/>
    <w:next w:val="CommentText"/>
    <w:link w:val="CommentSubjectChar"/>
    <w:uiPriority w:val="99"/>
    <w:semiHidden/>
    <w:unhideWhenUsed/>
    <w:rsid w:val="00A429D5"/>
    <w:rPr>
      <w:b/>
      <w:bCs/>
    </w:rPr>
  </w:style>
  <w:style w:type="character" w:customStyle="1" w:styleId="CommentSubjectChar">
    <w:name w:val="Comment Subject Char"/>
    <w:basedOn w:val="CommentTextChar"/>
    <w:link w:val="CommentSubject"/>
    <w:uiPriority w:val="99"/>
    <w:semiHidden/>
    <w:rsid w:val="00A429D5"/>
    <w:rPr>
      <w:rFonts w:ascii="Arial" w:eastAsia="Times New Roman" w:hAnsi="Arial"/>
      <w:b/>
      <w:bCs/>
      <w:lang w:val="en-US" w:eastAsia="ja-JP"/>
    </w:rPr>
  </w:style>
  <w:style w:type="character" w:styleId="UnresolvedMention">
    <w:name w:val="Unresolved Mention"/>
    <w:basedOn w:val="DefaultParagraphFont"/>
    <w:uiPriority w:val="99"/>
    <w:semiHidden/>
    <w:unhideWhenUsed/>
    <w:rsid w:val="00A429D5"/>
    <w:rPr>
      <w:color w:val="605E5C"/>
      <w:shd w:val="clear" w:color="auto" w:fill="E1DFDD"/>
    </w:rPr>
  </w:style>
  <w:style w:type="paragraph" w:customStyle="1" w:styleId="StyleHeading3Left0cmHanging127cmBoxSinglesoli">
    <w:name w:val="Style Heading 3 + Left:  0 cm Hanging:  1.27 cm Box: (Single soli..."/>
    <w:basedOn w:val="Heading2"/>
    <w:rsid w:val="00A429D5"/>
    <w:pPr>
      <w:numPr>
        <w:numId w:val="0"/>
      </w:numPr>
      <w:pBdr>
        <w:top w:val="single" w:sz="4" w:space="1" w:color="auto"/>
        <w:left w:val="single" w:sz="4" w:space="4" w:color="auto"/>
        <w:bottom w:val="single" w:sz="4" w:space="1" w:color="auto"/>
        <w:right w:val="single" w:sz="4" w:space="4" w:color="auto"/>
      </w:pBdr>
      <w:shd w:val="clear" w:color="auto" w:fill="F7EEF7"/>
      <w:spacing w:before="0"/>
    </w:pPr>
    <w:rPr>
      <w:bCs w:val="0"/>
      <w:i/>
      <w:iCs/>
      <w:color w:val="auto"/>
      <w:sz w:val="24"/>
      <w:szCs w:val="20"/>
      <w:shd w:val="clear" w:color="auto" w:fill="auto"/>
    </w:rPr>
  </w:style>
  <w:style w:type="paragraph" w:customStyle="1" w:styleId="Figureheading">
    <w:name w:val="Figure heading"/>
    <w:basedOn w:val="Caption"/>
    <w:link w:val="FigureheadingChar"/>
    <w:qFormat/>
    <w:rsid w:val="00A429D5"/>
    <w:pPr>
      <w:spacing w:before="0" w:after="200"/>
    </w:pPr>
    <w:rPr>
      <w:b/>
      <w:i w:val="0"/>
      <w:caps/>
    </w:rPr>
  </w:style>
  <w:style w:type="character" w:customStyle="1" w:styleId="CaptionChar">
    <w:name w:val="Caption Char"/>
    <w:basedOn w:val="DefaultParagraphFont"/>
    <w:link w:val="Caption"/>
    <w:uiPriority w:val="35"/>
    <w:rsid w:val="00992EF8"/>
    <w:rPr>
      <w:rFonts w:ascii="Arial" w:eastAsiaTheme="minorEastAsia" w:hAnsi="Arial" w:cstheme="minorBidi"/>
      <w:i/>
      <w:iCs/>
      <w:color w:val="6B2876" w:themeColor="text2"/>
      <w:sz w:val="24"/>
      <w:szCs w:val="18"/>
      <w:lang w:eastAsia="ja-JP"/>
    </w:rPr>
  </w:style>
  <w:style w:type="character" w:customStyle="1" w:styleId="FigureheadingChar">
    <w:name w:val="Figure heading Char"/>
    <w:basedOn w:val="CaptionChar"/>
    <w:link w:val="Figureheading"/>
    <w:rsid w:val="00A429D5"/>
    <w:rPr>
      <w:rFonts w:ascii="Arial" w:eastAsia="Times New Roman" w:hAnsi="Arial" w:cstheme="minorBidi"/>
      <w:b/>
      <w:i w:val="0"/>
      <w:iCs/>
      <w:caps/>
      <w:color w:val="6B2876" w:themeColor="text2"/>
      <w:sz w:val="18"/>
      <w:szCs w:val="18"/>
      <w:lang w:val="en-US" w:eastAsia="ja-JP"/>
    </w:rPr>
  </w:style>
  <w:style w:type="paragraph" w:styleId="Revision">
    <w:name w:val="Revision"/>
    <w:hidden/>
    <w:uiPriority w:val="99"/>
    <w:semiHidden/>
    <w:rsid w:val="00A429D5"/>
    <w:rPr>
      <w:rFonts w:ascii="Arial" w:eastAsia="Times New Roman" w:hAnsi="Arial"/>
      <w:sz w:val="24"/>
      <w:szCs w:val="24"/>
      <w:lang w:val="en-US" w:eastAsia="ja-JP"/>
    </w:rPr>
  </w:style>
  <w:style w:type="paragraph" w:customStyle="1" w:styleId="Default">
    <w:name w:val="Default"/>
    <w:rsid w:val="00A429D5"/>
    <w:pPr>
      <w:autoSpaceDE w:val="0"/>
      <w:autoSpaceDN w:val="0"/>
      <w:adjustRightInd w:val="0"/>
    </w:pPr>
    <w:rPr>
      <w:rFonts w:ascii="Calibri" w:eastAsiaTheme="minorHAnsi" w:hAnsi="Calibri" w:cs="Calibri"/>
      <w:color w:val="000000"/>
      <w:sz w:val="24"/>
      <w:szCs w:val="24"/>
      <w:lang w:eastAsia="en-US"/>
      <w14:ligatures w14:val="standardContextual"/>
    </w:rPr>
  </w:style>
  <w:style w:type="paragraph" w:styleId="BodyText">
    <w:name w:val="Body Text"/>
    <w:basedOn w:val="Normal"/>
    <w:link w:val="BodyTextChar"/>
    <w:uiPriority w:val="1"/>
    <w:qFormat/>
    <w:rsid w:val="00A429D5"/>
    <w:pPr>
      <w:widowControl w:val="0"/>
      <w:autoSpaceDE w:val="0"/>
      <w:autoSpaceDN w:val="0"/>
      <w:spacing w:after="0" w:line="240" w:lineRule="auto"/>
    </w:pPr>
    <w:rPr>
      <w:rFonts w:ascii="Calibri" w:eastAsia="Calibri" w:hAnsi="Calibri" w:cs="Calibri"/>
      <w:lang w:eastAsia="en-US"/>
    </w:rPr>
  </w:style>
  <w:style w:type="character" w:customStyle="1" w:styleId="BodyTextChar">
    <w:name w:val="Body Text Char"/>
    <w:basedOn w:val="DefaultParagraphFont"/>
    <w:link w:val="BodyText"/>
    <w:uiPriority w:val="1"/>
    <w:rsid w:val="00A429D5"/>
    <w:rPr>
      <w:rFonts w:ascii="Calibri" w:eastAsia="Calibri" w:hAnsi="Calibri" w:cs="Calibri"/>
      <w:sz w:val="24"/>
      <w:szCs w:val="24"/>
      <w:lang w:val="en-US" w:eastAsia="en-US"/>
    </w:rPr>
  </w:style>
  <w:style w:type="character" w:styleId="Mention">
    <w:name w:val="Mention"/>
    <w:basedOn w:val="DefaultParagraphFont"/>
    <w:uiPriority w:val="99"/>
    <w:unhideWhenUsed/>
    <w:rsid w:val="00A429D5"/>
    <w:rPr>
      <w:color w:val="2B579A"/>
      <w:shd w:val="clear" w:color="auto" w:fill="E1DFDD"/>
    </w:rPr>
  </w:style>
  <w:style w:type="character" w:customStyle="1" w:styleId="cf01">
    <w:name w:val="cf01"/>
    <w:basedOn w:val="DefaultParagraphFont"/>
    <w:rsid w:val="00A429D5"/>
    <w:rPr>
      <w:rFonts w:ascii="Segoe UI" w:hAnsi="Segoe UI" w:cs="Segoe UI" w:hint="default"/>
      <w:i/>
      <w:iCs/>
      <w:color w:val="6B2876"/>
      <w:sz w:val="18"/>
      <w:szCs w:val="18"/>
    </w:rPr>
  </w:style>
  <w:style w:type="character" w:customStyle="1" w:styleId="cf11">
    <w:name w:val="cf11"/>
    <w:basedOn w:val="DefaultParagraphFont"/>
    <w:rsid w:val="00A429D5"/>
    <w:rPr>
      <w:rFonts w:ascii="Segoe UI" w:hAnsi="Segoe UI" w:cs="Segoe UI" w:hint="default"/>
      <w:i/>
      <w:iCs/>
      <w:color w:val="6B2876"/>
      <w:sz w:val="18"/>
      <w:szCs w:val="18"/>
    </w:rPr>
  </w:style>
  <w:style w:type="paragraph" w:customStyle="1" w:styleId="pf0">
    <w:name w:val="pf0"/>
    <w:basedOn w:val="Normal"/>
    <w:rsid w:val="00A429D5"/>
    <w:pPr>
      <w:spacing w:before="100" w:beforeAutospacing="1" w:after="100" w:afterAutospacing="1" w:line="240" w:lineRule="auto"/>
    </w:pPr>
    <w:rPr>
      <w:rFonts w:ascii="Times New Roman" w:hAnsi="Times New Roman"/>
      <w:lang w:eastAsia="en-AU"/>
    </w:rPr>
  </w:style>
  <w:style w:type="character" w:customStyle="1" w:styleId="ListParagraphChar">
    <w:name w:val="List Paragraph Char"/>
    <w:aliases w:val="First level bullet point Char,List Paragraph1 Char,List Paragraph11 Char,Bullet point Char,L Char,Recommendation Char,Figure_name Char,Bullet- First level Char,Listenabsatz1 Char,#List Paragraph Char,NFP GP Bulleted List Char"/>
    <w:basedOn w:val="DefaultParagraphFont"/>
    <w:link w:val="ListParagraph"/>
    <w:uiPriority w:val="34"/>
    <w:qFormat/>
    <w:rsid w:val="00844ABE"/>
    <w:rPr>
      <w:rFonts w:ascii="Arial" w:eastAsia="Times New Roman" w:hAnsi="Arial"/>
      <w:sz w:val="24"/>
      <w:szCs w:val="24"/>
      <w:lang w:val="en-US" w:eastAsia="ja-JP"/>
    </w:rPr>
  </w:style>
  <w:style w:type="character" w:customStyle="1" w:styleId="DotPointChar">
    <w:name w:val="Dot Point Char"/>
    <w:basedOn w:val="DefaultParagraphFont"/>
    <w:link w:val="DotPoint"/>
    <w:locked/>
    <w:rsid w:val="00844ABE"/>
    <w:rPr>
      <w:rFonts w:ascii="Arial" w:eastAsiaTheme="minorEastAsia" w:hAnsi="Arial" w:cs="Arial"/>
      <w:szCs w:val="24"/>
      <w:lang w:eastAsia="ja-JP"/>
    </w:rPr>
  </w:style>
  <w:style w:type="paragraph" w:customStyle="1" w:styleId="DotPoint">
    <w:name w:val="Dot Point"/>
    <w:basedOn w:val="Normal"/>
    <w:link w:val="DotPointChar"/>
    <w:qFormat/>
    <w:rsid w:val="00844ABE"/>
    <w:pPr>
      <w:numPr>
        <w:numId w:val="6"/>
      </w:numPr>
      <w:spacing w:before="100" w:after="100" w:line="300" w:lineRule="atLeast"/>
    </w:pPr>
    <w:rPr>
      <w:rFonts w:eastAsiaTheme="minorEastAsia" w:cs="Arial"/>
      <w:sz w:val="20"/>
    </w:rPr>
  </w:style>
  <w:style w:type="paragraph" w:customStyle="1" w:styleId="paragraph">
    <w:name w:val="paragraph"/>
    <w:basedOn w:val="Normal"/>
    <w:rsid w:val="00844ABE"/>
    <w:pPr>
      <w:spacing w:before="100" w:beforeAutospacing="1" w:after="100" w:afterAutospacing="1" w:line="240" w:lineRule="auto"/>
    </w:pPr>
    <w:rPr>
      <w:rFonts w:ascii="Times New Roman" w:hAnsi="Times New Roman"/>
      <w:lang w:eastAsia="en-AU"/>
    </w:rPr>
  </w:style>
  <w:style w:type="character" w:customStyle="1" w:styleId="spellingerror">
    <w:name w:val="spellingerror"/>
    <w:basedOn w:val="DefaultParagraphFont"/>
    <w:rsid w:val="00844ABE"/>
  </w:style>
  <w:style w:type="character" w:customStyle="1" w:styleId="eop">
    <w:name w:val="eop"/>
    <w:basedOn w:val="DefaultParagraphFont"/>
    <w:rsid w:val="00844ABE"/>
  </w:style>
  <w:style w:type="paragraph" w:customStyle="1" w:styleId="RecHeading">
    <w:name w:val="Rec Heading"/>
    <w:basedOn w:val="Normal"/>
    <w:link w:val="RecHeadingChar"/>
    <w:qFormat/>
    <w:rsid w:val="00844ABE"/>
    <w:pPr>
      <w:keepNext/>
      <w:spacing w:before="200" w:after="100" w:line="300" w:lineRule="atLeast"/>
      <w:ind w:left="284" w:right="284"/>
    </w:pPr>
    <w:rPr>
      <w:rFonts w:eastAsiaTheme="minorEastAsia" w:cstheme="minorBidi"/>
      <w:i/>
      <w:color w:val="6B2876" w:themeColor="text1"/>
      <w:sz w:val="22"/>
      <w:u w:val="single"/>
    </w:rPr>
  </w:style>
  <w:style w:type="character" w:customStyle="1" w:styleId="RecHeadingChar">
    <w:name w:val="Rec Heading Char"/>
    <w:basedOn w:val="DefaultParagraphFont"/>
    <w:link w:val="RecHeading"/>
    <w:rsid w:val="00844ABE"/>
    <w:rPr>
      <w:rFonts w:ascii="Arial" w:eastAsiaTheme="minorEastAsia" w:hAnsi="Arial" w:cstheme="minorBidi"/>
      <w:i/>
      <w:color w:val="6B2876" w:themeColor="text1"/>
      <w:sz w:val="22"/>
      <w:szCs w:val="24"/>
      <w:u w:val="single"/>
      <w:lang w:eastAsia="ja-JP"/>
    </w:rPr>
  </w:style>
  <w:style w:type="paragraph" w:styleId="EndnoteText">
    <w:name w:val="endnote text"/>
    <w:basedOn w:val="Normal"/>
    <w:link w:val="EndnoteTextChar"/>
    <w:uiPriority w:val="99"/>
    <w:unhideWhenUsed/>
    <w:qFormat/>
    <w:rsid w:val="00052A1B"/>
    <w:pPr>
      <w:spacing w:after="0" w:line="240" w:lineRule="auto"/>
    </w:pPr>
    <w:rPr>
      <w:rFonts w:asciiTheme="minorHAnsi" w:eastAsiaTheme="minorHAnsi" w:hAnsiTheme="minorHAnsi" w:cstheme="minorBidi"/>
      <w:sz w:val="20"/>
      <w:szCs w:val="20"/>
      <w:lang w:val="en-GB" w:eastAsia="en-US"/>
    </w:rPr>
  </w:style>
  <w:style w:type="character" w:customStyle="1" w:styleId="EndnoteTextChar">
    <w:name w:val="Endnote Text Char"/>
    <w:basedOn w:val="DefaultParagraphFont"/>
    <w:link w:val="EndnoteText"/>
    <w:uiPriority w:val="99"/>
    <w:rsid w:val="00052A1B"/>
    <w:rPr>
      <w:rFonts w:asciiTheme="minorHAnsi" w:eastAsiaTheme="minorHAnsi" w:hAnsiTheme="minorHAnsi" w:cstheme="minorBidi"/>
      <w:lang w:val="en-GB" w:eastAsia="en-US"/>
    </w:rPr>
  </w:style>
  <w:style w:type="table" w:customStyle="1" w:styleId="GridTable4-Accent12">
    <w:name w:val="Grid Table 4 - Accent 12"/>
    <w:basedOn w:val="TableNormal"/>
    <w:uiPriority w:val="49"/>
    <w:rsid w:val="001C1E83"/>
    <w:pPr>
      <w:spacing w:before="40" w:after="40"/>
    </w:pPr>
    <w:rPr>
      <w:rFonts w:asciiTheme="minorHAnsi" w:eastAsiaTheme="minorHAnsi" w:hAnsiTheme="minorHAnsi" w:cstheme="minorBidi"/>
      <w:sz w:val="16"/>
      <w:szCs w:val="22"/>
      <w:lang w:eastAsia="en-US"/>
    </w:rPr>
    <w:tblPr>
      <w:tblStyleRowBandSize w:val="1"/>
      <w:tblStyleColBandSize w:val="1"/>
      <w:tblInd w:w="0" w:type="nil"/>
      <w:tblBorders>
        <w:top w:val="single" w:sz="4" w:space="0" w:color="BA61C9" w:themeColor="accent1" w:themeTint="99"/>
        <w:left w:val="single" w:sz="4" w:space="0" w:color="BA61C9" w:themeColor="accent1" w:themeTint="99"/>
        <w:bottom w:val="single" w:sz="4" w:space="0" w:color="BA61C9" w:themeColor="accent1" w:themeTint="99"/>
        <w:right w:val="single" w:sz="4" w:space="0" w:color="BA61C9" w:themeColor="accent1" w:themeTint="99"/>
        <w:insideH w:val="single" w:sz="4" w:space="0" w:color="BA61C9" w:themeColor="accent1" w:themeTint="99"/>
        <w:insideV w:val="single" w:sz="4" w:space="0" w:color="BA61C9" w:themeColor="accent1" w:themeTint="99"/>
      </w:tblBorders>
    </w:tblPr>
    <w:tblStylePr w:type="firstRow">
      <w:rPr>
        <w:b/>
        <w:bCs/>
        <w:color w:val="F9F9F9" w:themeColor="background1"/>
      </w:rPr>
      <w:tblPr/>
      <w:tcPr>
        <w:tcBorders>
          <w:top w:val="single" w:sz="4" w:space="0" w:color="501E58" w:themeColor="text1" w:themeShade="BF"/>
          <w:left w:val="single" w:sz="4" w:space="0" w:color="501E58" w:themeColor="text1" w:themeShade="BF"/>
          <w:bottom w:val="single" w:sz="4" w:space="0" w:color="501E58" w:themeColor="text1" w:themeShade="BF"/>
          <w:right w:val="single" w:sz="4" w:space="0" w:color="501E58" w:themeColor="text1" w:themeShade="BF"/>
          <w:insideH w:val="single" w:sz="4" w:space="0" w:color="501E58" w:themeColor="text1" w:themeShade="BF"/>
          <w:insideV w:val="single" w:sz="4" w:space="0" w:color="501E58" w:themeColor="text1" w:themeShade="BF"/>
        </w:tcBorders>
        <w:shd w:val="clear" w:color="auto" w:fill="6B2876" w:themeFill="accent1"/>
      </w:tcPr>
    </w:tblStylePr>
    <w:tblStylePr w:type="lastRow">
      <w:rPr>
        <w:b/>
        <w:bCs/>
      </w:rPr>
      <w:tblPr/>
      <w:tcPr>
        <w:tcBorders>
          <w:top w:val="double" w:sz="4" w:space="0" w:color="6B2876" w:themeColor="accent1"/>
        </w:tcBorders>
      </w:tcPr>
    </w:tblStylePr>
    <w:tblStylePr w:type="firstCol">
      <w:rPr>
        <w:b w:val="0"/>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paragraph" w:customStyle="1" w:styleId="Footnote">
    <w:name w:val="Footnote"/>
    <w:basedOn w:val="Normal"/>
    <w:link w:val="FootnoteChar"/>
    <w:qFormat/>
    <w:rsid w:val="005C4487"/>
    <w:pPr>
      <w:spacing w:before="60" w:after="60" w:line="240" w:lineRule="atLeast"/>
      <w:ind w:left="284" w:hanging="284"/>
    </w:pPr>
    <w:rPr>
      <w:rFonts w:eastAsiaTheme="minorEastAsia" w:cstheme="minorBidi"/>
      <w:sz w:val="18"/>
    </w:rPr>
  </w:style>
  <w:style w:type="character" w:customStyle="1" w:styleId="FootnoteChar">
    <w:name w:val="Footnote Char"/>
    <w:basedOn w:val="DefaultParagraphFont"/>
    <w:link w:val="Footnote"/>
    <w:rsid w:val="005C4487"/>
    <w:rPr>
      <w:rFonts w:ascii="Arial" w:eastAsiaTheme="minorEastAsia" w:hAnsi="Arial" w:cstheme="minorBidi"/>
      <w:sz w:val="18"/>
      <w:szCs w:val="24"/>
      <w:lang w:eastAsia="ja-JP"/>
    </w:rPr>
  </w:style>
  <w:style w:type="paragraph" w:customStyle="1" w:styleId="Normal1">
    <w:name w:val="Normal 1"/>
    <w:basedOn w:val="Normal"/>
    <w:next w:val="Normal"/>
    <w:uiPriority w:val="9"/>
    <w:qFormat/>
    <w:rsid w:val="005C4487"/>
    <w:pPr>
      <w:spacing w:before="100" w:after="100" w:line="300" w:lineRule="atLeast"/>
      <w:outlineLvl w:val="1"/>
    </w:pPr>
    <w:rPr>
      <w:rFonts w:asciiTheme="minorHAnsi" w:eastAsiaTheme="minorEastAsia" w:hAnsiTheme="minorHAnsi" w:cstheme="minorBidi"/>
      <w:sz w:val="20"/>
      <w:szCs w:val="20"/>
    </w:rPr>
  </w:style>
  <w:style w:type="paragraph" w:styleId="TOC6">
    <w:name w:val="toc 6"/>
    <w:basedOn w:val="Normal"/>
    <w:next w:val="Normal"/>
    <w:autoRedefine/>
    <w:uiPriority w:val="39"/>
    <w:unhideWhenUsed/>
    <w:rsid w:val="00FF2A6F"/>
    <w:pPr>
      <w:spacing w:after="100" w:line="259" w:lineRule="auto"/>
      <w:ind w:left="1100"/>
    </w:pPr>
    <w:rPr>
      <w:rFonts w:asciiTheme="minorHAnsi" w:eastAsiaTheme="minorEastAsia" w:hAnsiTheme="minorHAnsi" w:cstheme="minorBidi"/>
      <w:kern w:val="2"/>
      <w:sz w:val="22"/>
      <w:szCs w:val="22"/>
      <w:lang w:eastAsia="en-AU"/>
      <w14:ligatures w14:val="standardContextual"/>
    </w:rPr>
  </w:style>
  <w:style w:type="paragraph" w:styleId="TOC7">
    <w:name w:val="toc 7"/>
    <w:basedOn w:val="Normal"/>
    <w:next w:val="Normal"/>
    <w:autoRedefine/>
    <w:uiPriority w:val="39"/>
    <w:unhideWhenUsed/>
    <w:rsid w:val="00FF2A6F"/>
    <w:pPr>
      <w:spacing w:after="100" w:line="259" w:lineRule="auto"/>
      <w:ind w:left="1320"/>
    </w:pPr>
    <w:rPr>
      <w:rFonts w:asciiTheme="minorHAnsi" w:eastAsiaTheme="minorEastAsia" w:hAnsiTheme="minorHAnsi" w:cstheme="minorBidi"/>
      <w:kern w:val="2"/>
      <w:sz w:val="22"/>
      <w:szCs w:val="22"/>
      <w:lang w:eastAsia="en-AU"/>
      <w14:ligatures w14:val="standardContextual"/>
    </w:rPr>
  </w:style>
  <w:style w:type="paragraph" w:styleId="TOC8">
    <w:name w:val="toc 8"/>
    <w:basedOn w:val="Normal"/>
    <w:next w:val="Normal"/>
    <w:autoRedefine/>
    <w:uiPriority w:val="39"/>
    <w:unhideWhenUsed/>
    <w:rsid w:val="00FF2A6F"/>
    <w:pPr>
      <w:spacing w:after="100" w:line="259" w:lineRule="auto"/>
      <w:ind w:left="1540"/>
    </w:pPr>
    <w:rPr>
      <w:rFonts w:asciiTheme="minorHAnsi" w:eastAsiaTheme="minorEastAsia" w:hAnsiTheme="minorHAnsi" w:cstheme="minorBidi"/>
      <w:kern w:val="2"/>
      <w:sz w:val="22"/>
      <w:szCs w:val="22"/>
      <w:lang w:eastAsia="en-AU"/>
      <w14:ligatures w14:val="standardContextual"/>
    </w:rPr>
  </w:style>
  <w:style w:type="paragraph" w:styleId="TOC9">
    <w:name w:val="toc 9"/>
    <w:basedOn w:val="Normal"/>
    <w:next w:val="Normal"/>
    <w:autoRedefine/>
    <w:uiPriority w:val="39"/>
    <w:unhideWhenUsed/>
    <w:rsid w:val="00FF2A6F"/>
    <w:pPr>
      <w:spacing w:after="100" w:line="259" w:lineRule="auto"/>
      <w:ind w:left="1760"/>
    </w:pPr>
    <w:rPr>
      <w:rFonts w:asciiTheme="minorHAnsi" w:eastAsiaTheme="minorEastAsia" w:hAnsiTheme="minorHAnsi" w:cstheme="minorBidi"/>
      <w:kern w:val="2"/>
      <w:sz w:val="22"/>
      <w:szCs w:val="22"/>
      <w:lang w:eastAsia="en-AU"/>
      <w14:ligatures w14:val="standardContextual"/>
    </w:rPr>
  </w:style>
  <w:style w:type="table" w:customStyle="1" w:styleId="GUIDEQUESTION">
    <w:name w:val="GUIDE QUESTION"/>
    <w:basedOn w:val="TableNormal"/>
    <w:uiPriority w:val="99"/>
    <w:rsid w:val="0007480F"/>
    <w:pPr>
      <w:spacing w:before="100" w:after="100" w:line="300" w:lineRule="atLeas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tblBorders>
    </w:tblPr>
    <w:tcPr>
      <w:shd w:val="clear" w:color="auto" w:fill="E8CAED" w:themeFill="text2" w:themeFillTint="33"/>
    </w:tcPr>
  </w:style>
  <w:style w:type="paragraph" w:customStyle="1" w:styleId="Footnotes">
    <w:name w:val="Footnotes"/>
    <w:basedOn w:val="Normal"/>
    <w:link w:val="FootnotesChar"/>
    <w:qFormat/>
    <w:rsid w:val="0007480F"/>
    <w:pPr>
      <w:keepLines/>
      <w:spacing w:before="60" w:after="60" w:line="240" w:lineRule="atLeast"/>
      <w:ind w:left="284" w:hanging="284"/>
    </w:pPr>
    <w:rPr>
      <w:rFonts w:ascii="Calibri" w:eastAsia="MS Mincho" w:hAnsi="Calibri" w:cs="FSMe-Bold"/>
      <w:spacing w:val="-2"/>
      <w:sz w:val="18"/>
      <w:szCs w:val="16"/>
      <w:lang w:eastAsia="en-US"/>
    </w:rPr>
  </w:style>
  <w:style w:type="character" w:customStyle="1" w:styleId="FootnotesChar">
    <w:name w:val="Footnotes Char"/>
    <w:basedOn w:val="DefaultParagraphFont"/>
    <w:link w:val="Footnotes"/>
    <w:rsid w:val="0007480F"/>
    <w:rPr>
      <w:rFonts w:ascii="Calibri" w:eastAsia="MS Mincho" w:hAnsi="Calibri" w:cs="FSMe-Bold"/>
      <w:spacing w:val="-2"/>
      <w:sz w:val="18"/>
      <w:szCs w:val="16"/>
      <w:lang w:eastAsia="en-US"/>
    </w:rPr>
  </w:style>
  <w:style w:type="paragraph" w:styleId="TOAHeading">
    <w:name w:val="toa heading"/>
    <w:basedOn w:val="Normal"/>
    <w:next w:val="Normal"/>
    <w:uiPriority w:val="99"/>
    <w:unhideWhenUsed/>
    <w:rsid w:val="0007480F"/>
    <w:pPr>
      <w:spacing w:after="160" w:line="320" w:lineRule="atLeast"/>
    </w:pPr>
    <w:rPr>
      <w:rFonts w:asciiTheme="majorHAnsi" w:eastAsiaTheme="majorEastAsia" w:hAnsiTheme="majorHAnsi" w:cstheme="majorBidi"/>
      <w:b/>
      <w:bCs/>
      <w:sz w:val="20"/>
      <w:lang w:eastAsia="en-US"/>
    </w:rPr>
  </w:style>
  <w:style w:type="paragraph" w:styleId="NoSpacing">
    <w:name w:val="No Spacing"/>
    <w:link w:val="NoSpacingChar"/>
    <w:uiPriority w:val="1"/>
    <w:unhideWhenUsed/>
    <w:qFormat/>
    <w:rsid w:val="0007480F"/>
    <w:pPr>
      <w:spacing w:before="160"/>
    </w:pPr>
    <w:rPr>
      <w:rFonts w:ascii="Times New Roman" w:eastAsia="Times New Roman" w:hAnsi="Times New Roman"/>
      <w:sz w:val="26"/>
      <w:lang w:val="en-US" w:eastAsia="en-US"/>
    </w:rPr>
  </w:style>
  <w:style w:type="character" w:customStyle="1" w:styleId="NoSpacingChar">
    <w:name w:val="No Spacing Char"/>
    <w:basedOn w:val="DefaultParagraphFont"/>
    <w:link w:val="NoSpacing"/>
    <w:uiPriority w:val="1"/>
    <w:rsid w:val="0007480F"/>
    <w:rPr>
      <w:rFonts w:ascii="Times New Roman" w:eastAsia="Times New Roman" w:hAnsi="Times New Roman"/>
      <w:sz w:val="26"/>
      <w:lang w:val="en-US" w:eastAsia="en-US"/>
    </w:rPr>
  </w:style>
  <w:style w:type="table" w:styleId="ListTable4-Accent2">
    <w:name w:val="List Table 4 Accent 2"/>
    <w:basedOn w:val="TableNormal"/>
    <w:uiPriority w:val="49"/>
    <w:rsid w:val="0007480F"/>
    <w:pPr>
      <w:spacing w:before="100"/>
    </w:pPr>
    <w:rPr>
      <w:rFonts w:asciiTheme="minorHAnsi" w:eastAsiaTheme="minorHAnsi" w:hAnsiTheme="minorHAnsi" w:cstheme="minorBidi"/>
      <w:sz w:val="22"/>
      <w:szCs w:val="22"/>
      <w:lang w:eastAsia="en-US"/>
    </w:rPr>
    <w:tblPr>
      <w:tblStyleRowBandSize w:val="1"/>
      <w:tblStyleColBandSize w:val="1"/>
      <w:tblBorders>
        <w:top w:val="single" w:sz="4" w:space="0" w:color="BA61C9" w:themeColor="accent2" w:themeTint="99"/>
        <w:left w:val="single" w:sz="4" w:space="0" w:color="BA61C9" w:themeColor="accent2" w:themeTint="99"/>
        <w:bottom w:val="single" w:sz="4" w:space="0" w:color="BA61C9" w:themeColor="accent2" w:themeTint="99"/>
        <w:right w:val="single" w:sz="4" w:space="0" w:color="BA61C9" w:themeColor="accent2" w:themeTint="99"/>
        <w:insideH w:val="single" w:sz="4" w:space="0" w:color="BA61C9" w:themeColor="accent2" w:themeTint="99"/>
      </w:tblBorders>
    </w:tblPr>
    <w:tblStylePr w:type="firstRow">
      <w:rPr>
        <w:b/>
        <w:bCs/>
        <w:color w:val="F9F9F9" w:themeColor="background1"/>
      </w:rPr>
      <w:tblPr/>
      <w:tcPr>
        <w:tcBorders>
          <w:top w:val="single" w:sz="4" w:space="0" w:color="6B2876" w:themeColor="accent2"/>
          <w:left w:val="single" w:sz="4" w:space="0" w:color="6B2876" w:themeColor="accent2"/>
          <w:bottom w:val="single" w:sz="4" w:space="0" w:color="6B2876" w:themeColor="accent2"/>
          <w:right w:val="single" w:sz="4" w:space="0" w:color="6B2876" w:themeColor="accent2"/>
          <w:insideH w:val="nil"/>
        </w:tcBorders>
        <w:shd w:val="clear" w:color="auto" w:fill="6B2876" w:themeFill="accent2"/>
      </w:tcPr>
    </w:tblStylePr>
    <w:tblStylePr w:type="lastRow">
      <w:rPr>
        <w:b/>
        <w:bCs/>
      </w:rPr>
      <w:tblPr/>
      <w:tcPr>
        <w:tcBorders>
          <w:top w:val="double" w:sz="4" w:space="0" w:color="BA61C9" w:themeColor="accent2" w:themeTint="99"/>
        </w:tcBorders>
      </w:tcPr>
    </w:tblStylePr>
    <w:tblStylePr w:type="firstCol">
      <w:rPr>
        <w:b/>
        <w:bCs/>
      </w:rPr>
    </w:tblStylePr>
    <w:tblStylePr w:type="lastCol">
      <w:rPr>
        <w:b/>
        <w:bCs/>
      </w:rPr>
    </w:tblStylePr>
    <w:tblStylePr w:type="band1Vert">
      <w:tblPr/>
      <w:tcPr>
        <w:shd w:val="clear" w:color="auto" w:fill="E8CAED" w:themeFill="accent2" w:themeFillTint="33"/>
      </w:tcPr>
    </w:tblStylePr>
    <w:tblStylePr w:type="band1Horz">
      <w:tblPr/>
      <w:tcPr>
        <w:shd w:val="clear" w:color="auto" w:fill="E8CAED" w:themeFill="accent2" w:themeFillTint="33"/>
      </w:tcPr>
    </w:tblStylePr>
  </w:style>
  <w:style w:type="table" w:styleId="ListTable2-Accent2">
    <w:name w:val="List Table 2 Accent 2"/>
    <w:basedOn w:val="TableNormal"/>
    <w:uiPriority w:val="47"/>
    <w:rsid w:val="0007480F"/>
    <w:pPr>
      <w:spacing w:before="100"/>
    </w:pPr>
    <w:rPr>
      <w:rFonts w:asciiTheme="minorHAnsi" w:eastAsiaTheme="minorHAnsi" w:hAnsiTheme="minorHAnsi" w:cstheme="minorBidi"/>
      <w:sz w:val="22"/>
      <w:szCs w:val="22"/>
      <w:lang w:eastAsia="en-US"/>
    </w:rPr>
    <w:tblPr>
      <w:tblStyleRowBandSize w:val="1"/>
      <w:tblStyleColBandSize w:val="1"/>
      <w:tblBorders>
        <w:top w:val="single" w:sz="4" w:space="0" w:color="BA61C9" w:themeColor="accent2" w:themeTint="99"/>
        <w:bottom w:val="single" w:sz="4" w:space="0" w:color="BA61C9" w:themeColor="accent2" w:themeTint="99"/>
        <w:insideH w:val="single" w:sz="4" w:space="0" w:color="BA61C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accent2" w:themeFillTint="33"/>
      </w:tcPr>
    </w:tblStylePr>
    <w:tblStylePr w:type="band1Horz">
      <w:tblPr/>
      <w:tcPr>
        <w:shd w:val="clear" w:color="auto" w:fill="E8CAED" w:themeFill="accent2" w:themeFillTint="33"/>
      </w:tcPr>
    </w:tblStylePr>
  </w:style>
  <w:style w:type="table" w:styleId="ListTable4-Accent1">
    <w:name w:val="List Table 4 Accent 1"/>
    <w:basedOn w:val="TableNormal"/>
    <w:uiPriority w:val="49"/>
    <w:rsid w:val="0007480F"/>
    <w:pPr>
      <w:spacing w:before="100"/>
    </w:pPr>
    <w:rPr>
      <w:rFonts w:asciiTheme="minorHAnsi" w:eastAsiaTheme="minorHAnsi" w:hAnsiTheme="minorHAnsi" w:cstheme="minorBidi"/>
      <w:sz w:val="22"/>
      <w:szCs w:val="22"/>
      <w:lang w:eastAsia="en-US"/>
    </w:rPr>
    <w:tblPr>
      <w:tblStyleRowBandSize w:val="1"/>
      <w:tblStyleColBandSize w:val="1"/>
      <w:tblBorders>
        <w:top w:val="single" w:sz="4" w:space="0" w:color="BA61C9" w:themeColor="accent1" w:themeTint="99"/>
        <w:left w:val="single" w:sz="4" w:space="0" w:color="BA61C9" w:themeColor="accent1" w:themeTint="99"/>
        <w:bottom w:val="single" w:sz="4" w:space="0" w:color="BA61C9" w:themeColor="accent1" w:themeTint="99"/>
        <w:right w:val="single" w:sz="4" w:space="0" w:color="BA61C9" w:themeColor="accent1" w:themeTint="99"/>
        <w:insideH w:val="single" w:sz="4" w:space="0" w:color="BA61C9" w:themeColor="accent1" w:themeTint="99"/>
      </w:tblBorders>
    </w:tblPr>
    <w:tblStylePr w:type="firstRow">
      <w:rPr>
        <w:b/>
        <w:bCs/>
        <w:color w:val="F9F9F9" w:themeColor="background1"/>
      </w:rPr>
      <w:tblPr/>
      <w:tcPr>
        <w:tcBorders>
          <w:top w:val="single" w:sz="4" w:space="0" w:color="6B2876" w:themeColor="accent1"/>
          <w:left w:val="single" w:sz="4" w:space="0" w:color="6B2876" w:themeColor="accent1"/>
          <w:bottom w:val="single" w:sz="4" w:space="0" w:color="6B2876" w:themeColor="accent1"/>
          <w:right w:val="single" w:sz="4" w:space="0" w:color="6B2876" w:themeColor="accent1"/>
          <w:insideH w:val="nil"/>
        </w:tcBorders>
        <w:shd w:val="clear" w:color="auto" w:fill="6B2876" w:themeFill="accent1"/>
      </w:tcPr>
    </w:tblStylePr>
    <w:tblStylePr w:type="lastRow">
      <w:rPr>
        <w:b/>
        <w:bCs/>
      </w:rPr>
      <w:tblPr/>
      <w:tcPr>
        <w:tcBorders>
          <w:top w:val="double" w:sz="4" w:space="0" w:color="BA61C9" w:themeColor="accent1" w:themeTint="99"/>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character" w:styleId="FollowedHyperlink">
    <w:name w:val="FollowedHyperlink"/>
    <w:basedOn w:val="DefaultParagraphFont"/>
    <w:uiPriority w:val="99"/>
    <w:semiHidden/>
    <w:unhideWhenUsed/>
    <w:rsid w:val="0007480F"/>
    <w:rPr>
      <w:color w:val="7F8285" w:themeColor="followedHyperlink"/>
      <w:u w:val="single"/>
    </w:rPr>
  </w:style>
  <w:style w:type="table" w:styleId="GridTable4-Accent1">
    <w:name w:val="Grid Table 4 Accent 1"/>
    <w:basedOn w:val="TableNormal"/>
    <w:uiPriority w:val="49"/>
    <w:rsid w:val="0007480F"/>
    <w:pPr>
      <w:spacing w:before="100"/>
    </w:pPr>
    <w:rPr>
      <w:rFonts w:asciiTheme="minorHAnsi" w:eastAsiaTheme="minorHAnsi" w:hAnsiTheme="minorHAnsi" w:cstheme="minorBidi"/>
      <w:sz w:val="22"/>
      <w:szCs w:val="22"/>
      <w:lang w:eastAsia="en-US"/>
    </w:rPr>
    <w:tblPr>
      <w:tblStyleRowBandSize w:val="1"/>
      <w:tblStyleColBandSize w:val="1"/>
      <w:tblBorders>
        <w:top w:val="single" w:sz="4" w:space="0" w:color="BA61C9" w:themeColor="accent1" w:themeTint="99"/>
        <w:left w:val="single" w:sz="4" w:space="0" w:color="BA61C9" w:themeColor="accent1" w:themeTint="99"/>
        <w:bottom w:val="single" w:sz="4" w:space="0" w:color="BA61C9" w:themeColor="accent1" w:themeTint="99"/>
        <w:right w:val="single" w:sz="4" w:space="0" w:color="BA61C9" w:themeColor="accent1" w:themeTint="99"/>
        <w:insideH w:val="single" w:sz="4" w:space="0" w:color="BA61C9" w:themeColor="accent1" w:themeTint="99"/>
        <w:insideV w:val="single" w:sz="4" w:space="0" w:color="BA61C9" w:themeColor="accent1" w:themeTint="99"/>
      </w:tblBorders>
    </w:tblPr>
    <w:tblStylePr w:type="firstRow">
      <w:rPr>
        <w:b/>
        <w:bCs/>
        <w:color w:val="F9F9F9" w:themeColor="background1"/>
      </w:rPr>
      <w:tblPr/>
      <w:tcPr>
        <w:tcBorders>
          <w:top w:val="single" w:sz="4" w:space="0" w:color="6B2876" w:themeColor="accent1"/>
          <w:left w:val="single" w:sz="4" w:space="0" w:color="6B2876" w:themeColor="accent1"/>
          <w:bottom w:val="single" w:sz="4" w:space="0" w:color="6B2876" w:themeColor="accent1"/>
          <w:right w:val="single" w:sz="4" w:space="0" w:color="6B2876" w:themeColor="accent1"/>
          <w:insideH w:val="nil"/>
          <w:insideV w:val="nil"/>
        </w:tcBorders>
        <w:shd w:val="clear" w:color="auto" w:fill="6B2876" w:themeFill="accent1"/>
      </w:tcPr>
    </w:tblStylePr>
    <w:tblStylePr w:type="lastRow">
      <w:rPr>
        <w:b/>
        <w:bCs/>
      </w:rPr>
      <w:tblPr/>
      <w:tcPr>
        <w:tcBorders>
          <w:top w:val="double" w:sz="4" w:space="0" w:color="6B2876" w:themeColor="accent1"/>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paragraph" w:customStyle="1" w:styleId="QUESTION">
    <w:name w:val="QUESTION"/>
    <w:basedOn w:val="Normal"/>
    <w:link w:val="QUESTIONChar"/>
    <w:qFormat/>
    <w:rsid w:val="0007480F"/>
    <w:pPr>
      <w:numPr>
        <w:numId w:val="8"/>
      </w:numPr>
      <w:tabs>
        <w:tab w:val="left" w:pos="851"/>
      </w:tabs>
      <w:spacing w:before="100" w:after="100" w:line="300" w:lineRule="atLeast"/>
      <w:ind w:left="851" w:right="284" w:hanging="567"/>
    </w:pPr>
    <w:rPr>
      <w:rFonts w:ascii="Calibri" w:eastAsiaTheme="minorEastAsia" w:hAnsi="Calibri" w:cstheme="minorBidi"/>
    </w:rPr>
  </w:style>
  <w:style w:type="paragraph" w:styleId="TableofFigures">
    <w:name w:val="table of figures"/>
    <w:basedOn w:val="Normal"/>
    <w:next w:val="Normal"/>
    <w:uiPriority w:val="99"/>
    <w:unhideWhenUsed/>
    <w:rsid w:val="0007480F"/>
    <w:pPr>
      <w:spacing w:before="100" w:after="0" w:line="300" w:lineRule="atLeast"/>
    </w:pPr>
    <w:rPr>
      <w:rFonts w:ascii="Calibri" w:eastAsiaTheme="minorEastAsia" w:hAnsi="Calibri" w:cstheme="minorBidi"/>
      <w:sz w:val="20"/>
    </w:rPr>
  </w:style>
  <w:style w:type="character" w:customStyle="1" w:styleId="QUESTIONChar">
    <w:name w:val="QUESTION Char"/>
    <w:basedOn w:val="ListParagraphChar"/>
    <w:link w:val="QUESTION"/>
    <w:rsid w:val="0007480F"/>
    <w:rPr>
      <w:rFonts w:ascii="Calibri" w:eastAsiaTheme="minorEastAsia" w:hAnsi="Calibri" w:cstheme="minorBidi"/>
      <w:sz w:val="24"/>
      <w:szCs w:val="24"/>
      <w:lang w:val="en-US" w:eastAsia="ja-JP"/>
    </w:rPr>
  </w:style>
  <w:style w:type="character" w:styleId="PlaceholderText">
    <w:name w:val="Placeholder Text"/>
    <w:basedOn w:val="DefaultParagraphFont"/>
    <w:uiPriority w:val="99"/>
    <w:semiHidden/>
    <w:rsid w:val="0007480F"/>
    <w:rPr>
      <w:color w:val="808080"/>
    </w:rPr>
  </w:style>
  <w:style w:type="paragraph" w:styleId="NormalWeb">
    <w:name w:val="Normal (Web)"/>
    <w:basedOn w:val="Normal"/>
    <w:uiPriority w:val="99"/>
    <w:unhideWhenUsed/>
    <w:rsid w:val="0007480F"/>
    <w:pPr>
      <w:spacing w:before="100" w:beforeAutospacing="1" w:after="100" w:afterAutospacing="1" w:line="240" w:lineRule="auto"/>
    </w:pPr>
    <w:rPr>
      <w:rFonts w:ascii="Times New Roman" w:hAnsi="Times New Roman"/>
      <w:lang w:eastAsia="en-AU"/>
    </w:rPr>
  </w:style>
  <w:style w:type="paragraph" w:customStyle="1" w:styleId="Labels">
    <w:name w:val="Labels"/>
    <w:basedOn w:val="Caption"/>
    <w:link w:val="LabelsChar"/>
    <w:qFormat/>
    <w:rsid w:val="0007480F"/>
    <w:pPr>
      <w:spacing w:before="300" w:after="100" w:line="300" w:lineRule="atLeast"/>
      <w:jc w:val="center"/>
    </w:pPr>
    <w:rPr>
      <w:rFonts w:ascii="Calibri" w:hAnsi="Calibri"/>
      <w:b/>
      <w:bCs/>
      <w:i w:val="0"/>
      <w:iCs w:val="0"/>
      <w:caps/>
      <w:color w:val="F9FAF9" w:themeColor="background2"/>
    </w:rPr>
  </w:style>
  <w:style w:type="character" w:customStyle="1" w:styleId="LabelsChar">
    <w:name w:val="Labels Char"/>
    <w:basedOn w:val="CaptionChar"/>
    <w:link w:val="Labels"/>
    <w:rsid w:val="0007480F"/>
    <w:rPr>
      <w:rFonts w:ascii="Calibri" w:eastAsiaTheme="minorEastAsia" w:hAnsi="Calibri" w:cstheme="minorBidi"/>
      <w:b/>
      <w:bCs/>
      <w:i w:val="0"/>
      <w:iCs w:val="0"/>
      <w:caps/>
      <w:color w:val="F9FAF9" w:themeColor="background2"/>
      <w:sz w:val="18"/>
      <w:szCs w:val="18"/>
      <w:lang w:val="en-US" w:eastAsia="ja-JP"/>
    </w:rPr>
  </w:style>
  <w:style w:type="paragraph" w:customStyle="1" w:styleId="CEOBrief-Paragraph2">
    <w:name w:val="CEO Brief - Paragraph 2"/>
    <w:basedOn w:val="Normal"/>
    <w:qFormat/>
    <w:rsid w:val="0007480F"/>
    <w:pPr>
      <w:spacing w:line="264" w:lineRule="auto"/>
      <w:ind w:left="1418" w:hanging="709"/>
    </w:pPr>
    <w:rPr>
      <w:rFonts w:ascii="Calibri" w:eastAsiaTheme="minorEastAsia" w:hAnsi="Calibri" w:cs="Arial"/>
      <w:sz w:val="21"/>
      <w:szCs w:val="21"/>
      <w:lang w:eastAsia="en-US"/>
    </w:rPr>
  </w:style>
  <w:style w:type="character" w:styleId="EndnoteReference">
    <w:name w:val="endnote reference"/>
    <w:basedOn w:val="DefaultParagraphFont"/>
    <w:uiPriority w:val="99"/>
    <w:unhideWhenUsed/>
    <w:rsid w:val="0007480F"/>
    <w:rPr>
      <w:vertAlign w:val="superscript"/>
    </w:rPr>
  </w:style>
  <w:style w:type="paragraph" w:styleId="TOCHeading">
    <w:name w:val="TOC Heading"/>
    <w:basedOn w:val="Heading1"/>
    <w:next w:val="Normal"/>
    <w:uiPriority w:val="39"/>
    <w:unhideWhenUsed/>
    <w:qFormat/>
    <w:rsid w:val="0007480F"/>
    <w:pPr>
      <w:keepNext/>
      <w:keepLines/>
      <w:spacing w:before="240" w:after="0" w:line="259" w:lineRule="auto"/>
      <w:outlineLvl w:val="9"/>
    </w:pPr>
    <w:rPr>
      <w:rFonts w:asciiTheme="majorHAnsi" w:eastAsiaTheme="majorEastAsia" w:hAnsiTheme="majorHAnsi" w:cstheme="majorBidi"/>
      <w:b w:val="0"/>
      <w:color w:val="501E58" w:themeColor="accent1" w:themeShade="BF"/>
      <w:sz w:val="32"/>
      <w:szCs w:val="32"/>
      <w:lang w:val="en-US" w:eastAsia="en-US"/>
    </w:rPr>
  </w:style>
  <w:style w:type="table" w:styleId="GridTable1Light">
    <w:name w:val="Grid Table 1 Light"/>
    <w:basedOn w:val="TableNormal"/>
    <w:uiPriority w:val="46"/>
    <w:rsid w:val="0007480F"/>
    <w:pPr>
      <w:spacing w:before="100"/>
    </w:pPr>
    <w:rPr>
      <w:rFonts w:asciiTheme="minorHAnsi" w:eastAsiaTheme="minorHAnsi" w:hAnsiTheme="minorHAnsi" w:cstheme="minorBidi"/>
      <w:sz w:val="22"/>
      <w:szCs w:val="22"/>
      <w:lang w:eastAsia="en-US"/>
    </w:rPr>
    <w:tblPr>
      <w:tblStyleRowBandSize w:val="1"/>
      <w:tblStyleColBandSize w:val="1"/>
      <w:tblBorders>
        <w:top w:val="single" w:sz="4" w:space="0" w:color="D195DB" w:themeColor="text1" w:themeTint="66"/>
        <w:left w:val="single" w:sz="4" w:space="0" w:color="D195DB" w:themeColor="text1" w:themeTint="66"/>
        <w:bottom w:val="single" w:sz="4" w:space="0" w:color="D195DB" w:themeColor="text1" w:themeTint="66"/>
        <w:right w:val="single" w:sz="4" w:space="0" w:color="D195DB" w:themeColor="text1" w:themeTint="66"/>
        <w:insideH w:val="single" w:sz="4" w:space="0" w:color="D195DB" w:themeColor="text1" w:themeTint="66"/>
        <w:insideV w:val="single" w:sz="4" w:space="0" w:color="D195DB" w:themeColor="text1" w:themeTint="66"/>
      </w:tblBorders>
    </w:tblPr>
    <w:tblStylePr w:type="firstRow">
      <w:rPr>
        <w:b/>
        <w:bCs/>
      </w:rPr>
      <w:tblPr/>
      <w:tcPr>
        <w:tcBorders>
          <w:bottom w:val="single" w:sz="12" w:space="0" w:color="BA61C9" w:themeColor="text1" w:themeTint="99"/>
        </w:tcBorders>
      </w:tcPr>
    </w:tblStylePr>
    <w:tblStylePr w:type="lastRow">
      <w:rPr>
        <w:b/>
        <w:bCs/>
      </w:rPr>
      <w:tblPr/>
      <w:tcPr>
        <w:tcBorders>
          <w:top w:val="double" w:sz="2" w:space="0" w:color="BA61C9" w:themeColor="text1" w:themeTint="99"/>
        </w:tcBorders>
      </w:tcPr>
    </w:tblStylePr>
    <w:tblStylePr w:type="firstCol">
      <w:rPr>
        <w:b/>
        <w:bCs/>
      </w:rPr>
    </w:tblStylePr>
    <w:tblStylePr w:type="lastCol">
      <w:rPr>
        <w:b/>
        <w:bCs/>
      </w:rPr>
    </w:tblStylePr>
  </w:style>
  <w:style w:type="table" w:styleId="GridTable4-Accent4">
    <w:name w:val="Grid Table 4 Accent 4"/>
    <w:basedOn w:val="TableNormal"/>
    <w:uiPriority w:val="49"/>
    <w:rsid w:val="0007480F"/>
    <w:pPr>
      <w:spacing w:before="100"/>
    </w:pPr>
    <w:rPr>
      <w:rFonts w:asciiTheme="minorHAnsi" w:eastAsiaTheme="minorHAnsi" w:hAnsiTheme="minorHAnsi" w:cstheme="minorBidi"/>
      <w:sz w:val="22"/>
      <w:szCs w:val="22"/>
      <w:lang w:eastAsia="en-US"/>
    </w:rPr>
    <w:tblPr>
      <w:tblStyleRowBandSize w:val="1"/>
      <w:tblStyleColBandSize w:val="1"/>
      <w:tbl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insideH w:val="single" w:sz="4" w:space="0" w:color="BA61C9" w:themeColor="accent4" w:themeTint="99"/>
        <w:insideV w:val="single" w:sz="4" w:space="0" w:color="BA61C9" w:themeColor="accent4" w:themeTint="99"/>
      </w:tblBorders>
    </w:tblPr>
    <w:tblStylePr w:type="firstRow">
      <w:rPr>
        <w:b/>
        <w:bCs/>
        <w:color w:val="F9F9F9" w:themeColor="background1"/>
      </w:rPr>
      <w:tblPr/>
      <w:tcPr>
        <w:tcBorders>
          <w:top w:val="single" w:sz="4" w:space="0" w:color="6B2876" w:themeColor="accent4"/>
          <w:left w:val="single" w:sz="4" w:space="0" w:color="6B2876" w:themeColor="accent4"/>
          <w:bottom w:val="single" w:sz="4" w:space="0" w:color="6B2876" w:themeColor="accent4"/>
          <w:right w:val="single" w:sz="4" w:space="0" w:color="6B2876" w:themeColor="accent4"/>
          <w:insideH w:val="nil"/>
          <w:insideV w:val="nil"/>
        </w:tcBorders>
        <w:shd w:val="clear" w:color="auto" w:fill="6B2876" w:themeFill="accent4"/>
      </w:tcPr>
    </w:tblStylePr>
    <w:tblStylePr w:type="lastRow">
      <w:rPr>
        <w:b/>
        <w:bCs/>
      </w:rPr>
      <w:tblPr/>
      <w:tcPr>
        <w:tcBorders>
          <w:top w:val="double" w:sz="4" w:space="0" w:color="6B28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table" w:styleId="ListTable3-Accent6">
    <w:name w:val="List Table 3 Accent 6"/>
    <w:basedOn w:val="TableNormal"/>
    <w:uiPriority w:val="48"/>
    <w:rsid w:val="0007480F"/>
    <w:rPr>
      <w:rFonts w:asciiTheme="minorHAnsi" w:eastAsiaTheme="minorHAnsi" w:hAnsiTheme="minorHAnsi" w:cstheme="minorBidi"/>
      <w:sz w:val="22"/>
      <w:szCs w:val="22"/>
      <w:lang w:val="en-GB" w:eastAsia="en-US"/>
    </w:rPr>
    <w:tblPr>
      <w:tblStyleRowBandSize w:val="1"/>
      <w:tblStyleColBandSize w:val="1"/>
      <w:tblBorders>
        <w:top w:val="single" w:sz="4" w:space="0" w:color="000000" w:themeColor="accent6"/>
        <w:left w:val="single" w:sz="4" w:space="0" w:color="000000" w:themeColor="accent6"/>
        <w:bottom w:val="single" w:sz="4" w:space="0" w:color="000000" w:themeColor="accent6"/>
        <w:right w:val="single" w:sz="4" w:space="0" w:color="000000" w:themeColor="accent6"/>
      </w:tblBorders>
    </w:tblPr>
    <w:tblStylePr w:type="firstRow">
      <w:rPr>
        <w:b/>
        <w:bCs/>
        <w:color w:val="F9F9F9" w:themeColor="background1"/>
      </w:rPr>
      <w:tblPr/>
      <w:tcPr>
        <w:shd w:val="clear" w:color="auto" w:fill="000000" w:themeFill="accent6"/>
      </w:tcPr>
    </w:tblStylePr>
    <w:tblStylePr w:type="lastRow">
      <w:rPr>
        <w:b/>
        <w:bCs/>
      </w:rPr>
      <w:tblPr/>
      <w:tcPr>
        <w:tcBorders>
          <w:top w:val="double" w:sz="4" w:space="0" w:color="000000" w:themeColor="accent6"/>
        </w:tcBorders>
        <w:shd w:val="clear" w:color="auto" w:fill="F9F9F9" w:themeFill="background1"/>
      </w:tcPr>
    </w:tblStylePr>
    <w:tblStylePr w:type="firstCol">
      <w:rPr>
        <w:b/>
        <w:bCs/>
      </w:rPr>
      <w:tblPr/>
      <w:tcPr>
        <w:tcBorders>
          <w:right w:val="nil"/>
        </w:tcBorders>
        <w:shd w:val="clear" w:color="auto" w:fill="F9F9F9" w:themeFill="background1"/>
      </w:tcPr>
    </w:tblStylePr>
    <w:tblStylePr w:type="lastCol">
      <w:rPr>
        <w:b/>
        <w:bCs/>
      </w:rPr>
      <w:tblPr/>
      <w:tcPr>
        <w:tcBorders>
          <w:left w:val="nil"/>
        </w:tcBorders>
        <w:shd w:val="clear" w:color="auto" w:fill="F9F9F9" w:themeFill="background1"/>
      </w:tcPr>
    </w:tblStylePr>
    <w:tblStylePr w:type="band1Vert">
      <w:tblPr/>
      <w:tcPr>
        <w:tcBorders>
          <w:left w:val="single" w:sz="4" w:space="0" w:color="000000" w:themeColor="accent6"/>
          <w:right w:val="single" w:sz="4" w:space="0" w:color="000000" w:themeColor="accent6"/>
        </w:tcBorders>
      </w:tcPr>
    </w:tblStylePr>
    <w:tblStylePr w:type="band1Horz">
      <w:tblPr/>
      <w:tcPr>
        <w:tcBorders>
          <w:top w:val="single" w:sz="4" w:space="0" w:color="000000" w:themeColor="accent6"/>
          <w:bottom w:val="single" w:sz="4" w:space="0" w:color="0000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6"/>
          <w:left w:val="nil"/>
        </w:tcBorders>
      </w:tcPr>
    </w:tblStylePr>
    <w:tblStylePr w:type="swCell">
      <w:tblPr/>
      <w:tcPr>
        <w:tcBorders>
          <w:top w:val="double" w:sz="4" w:space="0" w:color="000000" w:themeColor="accent6"/>
          <w:right w:val="nil"/>
        </w:tcBorders>
      </w:tcPr>
    </w:tblStylePr>
  </w:style>
  <w:style w:type="paragraph" w:customStyle="1" w:styleId="BoardBrief-Paragraph2">
    <w:name w:val="Board Brief - Paragraph 2"/>
    <w:basedOn w:val="Normal"/>
    <w:uiPriority w:val="2"/>
    <w:qFormat/>
    <w:rsid w:val="0007480F"/>
    <w:pPr>
      <w:tabs>
        <w:tab w:val="num" w:pos="360"/>
      </w:tabs>
      <w:spacing w:line="264" w:lineRule="auto"/>
    </w:pPr>
    <w:rPr>
      <w:rFonts w:ascii="Calibri" w:eastAsiaTheme="minorEastAsia" w:hAnsi="Calibri" w:cs="Arial"/>
      <w:sz w:val="21"/>
      <w:szCs w:val="21"/>
      <w:lang w:eastAsia="en-US"/>
    </w:rPr>
  </w:style>
  <w:style w:type="paragraph" w:styleId="HTMLPreformatted">
    <w:name w:val="HTML Preformatted"/>
    <w:basedOn w:val="Normal"/>
    <w:link w:val="HTMLPreformattedChar"/>
    <w:uiPriority w:val="99"/>
    <w:unhideWhenUsed/>
    <w:rsid w:val="000748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en-AU"/>
    </w:rPr>
  </w:style>
  <w:style w:type="character" w:customStyle="1" w:styleId="HTMLPreformattedChar">
    <w:name w:val="HTML Preformatted Char"/>
    <w:basedOn w:val="DefaultParagraphFont"/>
    <w:link w:val="HTMLPreformatted"/>
    <w:uiPriority w:val="99"/>
    <w:rsid w:val="0007480F"/>
    <w:rPr>
      <w:rFonts w:ascii="Courier New" w:eastAsia="Times New Roman" w:hAnsi="Courier New" w:cs="Courier New"/>
    </w:rPr>
  </w:style>
  <w:style w:type="paragraph" w:customStyle="1" w:styleId="RecText">
    <w:name w:val="Rec Text"/>
    <w:basedOn w:val="Normal"/>
    <w:link w:val="RecTextChar"/>
    <w:qFormat/>
    <w:rsid w:val="0007480F"/>
    <w:pPr>
      <w:spacing w:before="100" w:after="100" w:line="300" w:lineRule="atLeast"/>
      <w:ind w:left="284" w:right="284"/>
    </w:pPr>
    <w:rPr>
      <w:rFonts w:ascii="Calibri" w:eastAsiaTheme="minorEastAsia" w:hAnsi="Calibri" w:cstheme="minorBidi"/>
      <w:i/>
      <w:color w:val="6B2876" w:themeColor="text1"/>
      <w:sz w:val="20"/>
    </w:rPr>
  </w:style>
  <w:style w:type="paragraph" w:customStyle="1" w:styleId="RecDotPoint">
    <w:name w:val="Rec Dot Point"/>
    <w:basedOn w:val="DotPoint"/>
    <w:link w:val="RecDotPointChar"/>
    <w:qFormat/>
    <w:rsid w:val="0007480F"/>
    <w:pPr>
      <w:numPr>
        <w:numId w:val="7"/>
      </w:numPr>
    </w:pPr>
    <w:rPr>
      <w:rFonts w:ascii="Calibri" w:hAnsi="Calibri"/>
      <w:i/>
      <w:color w:val="6B2876" w:themeColor="text1"/>
    </w:rPr>
  </w:style>
  <w:style w:type="character" w:customStyle="1" w:styleId="RecTextChar">
    <w:name w:val="Rec Text Char"/>
    <w:basedOn w:val="DefaultParagraphFont"/>
    <w:link w:val="RecText"/>
    <w:rsid w:val="0007480F"/>
    <w:rPr>
      <w:rFonts w:ascii="Calibri" w:eastAsiaTheme="minorEastAsia" w:hAnsi="Calibri" w:cstheme="minorBidi"/>
      <w:i/>
      <w:color w:val="6B2876" w:themeColor="text1"/>
      <w:szCs w:val="24"/>
      <w:lang w:eastAsia="ja-JP"/>
    </w:rPr>
  </w:style>
  <w:style w:type="character" w:customStyle="1" w:styleId="RecDotPointChar">
    <w:name w:val="Rec Dot Point Char"/>
    <w:basedOn w:val="DotPointChar"/>
    <w:link w:val="RecDotPoint"/>
    <w:rsid w:val="0007480F"/>
    <w:rPr>
      <w:rFonts w:ascii="Calibri" w:eastAsiaTheme="minorEastAsia" w:hAnsi="Calibri" w:cs="Arial"/>
      <w:i/>
      <w:color w:val="6B2876" w:themeColor="text1"/>
      <w:szCs w:val="24"/>
      <w:lang w:eastAsia="ja-JP"/>
    </w:rPr>
  </w:style>
  <w:style w:type="character" w:customStyle="1" w:styleId="ui-provider">
    <w:name w:val="ui-provider"/>
    <w:basedOn w:val="DefaultParagraphFont"/>
    <w:rsid w:val="0007480F"/>
  </w:style>
  <w:style w:type="character" w:styleId="Emphasis">
    <w:name w:val="Emphasis"/>
    <w:basedOn w:val="DefaultParagraphFont"/>
    <w:uiPriority w:val="20"/>
    <w:qFormat/>
    <w:rsid w:val="0007480F"/>
    <w:rPr>
      <w:i/>
      <w:iCs/>
    </w:rPr>
  </w:style>
  <w:style w:type="character" w:customStyle="1" w:styleId="findhit">
    <w:name w:val="findhit"/>
    <w:basedOn w:val="DefaultParagraphFont"/>
    <w:rsid w:val="0007480F"/>
  </w:style>
  <w:style w:type="paragraph" w:customStyle="1" w:styleId="StyleHeading2">
    <w:name w:val="Style Heading 2"/>
    <w:basedOn w:val="Heading2"/>
    <w:next w:val="Heading2"/>
    <w:link w:val="StyleHeading2Char"/>
    <w:qFormat/>
    <w:rsid w:val="0007480F"/>
    <w:pPr>
      <w:spacing w:before="360" w:after="60" w:line="300" w:lineRule="atLeast"/>
      <w:ind w:left="360" w:hanging="360"/>
    </w:pPr>
    <w:rPr>
      <w:rFonts w:ascii="Calibri" w:eastAsiaTheme="minorEastAsia" w:hAnsi="Calibri" w:cstheme="minorBidi"/>
      <w:bCs w:val="0"/>
      <w:color w:val="F9FAF9" w:themeColor="background2"/>
      <w:sz w:val="36"/>
      <w:szCs w:val="36"/>
      <w:shd w:val="clear" w:color="auto" w:fill="auto"/>
    </w:rPr>
  </w:style>
  <w:style w:type="character" w:customStyle="1" w:styleId="StyleHeading2Char">
    <w:name w:val="Style Heading 2 Char"/>
    <w:basedOn w:val="Heading2Char"/>
    <w:link w:val="StyleHeading2"/>
    <w:rsid w:val="0007480F"/>
    <w:rPr>
      <w:rFonts w:ascii="Calibri" w:eastAsiaTheme="minorEastAsia" w:hAnsi="Calibri" w:cstheme="minorBidi"/>
      <w:b/>
      <w:bCs w:val="0"/>
      <w:color w:val="F9FAF9" w:themeColor="background2"/>
      <w:sz w:val="36"/>
      <w:szCs w:val="36"/>
      <w:lang w:eastAsia="ja-JP"/>
    </w:rPr>
  </w:style>
  <w:style w:type="paragraph" w:customStyle="1" w:styleId="Heading41">
    <w:name w:val="Heading 4 1"/>
    <w:basedOn w:val="Heading4"/>
    <w:link w:val="Heading41Char"/>
    <w:qFormat/>
    <w:rsid w:val="0007480F"/>
    <w:pPr>
      <w:numPr>
        <w:ilvl w:val="0"/>
        <w:numId w:val="0"/>
      </w:numPr>
      <w:spacing w:before="300" w:after="100" w:line="300" w:lineRule="atLeast"/>
      <w:ind w:left="864" w:hanging="864"/>
    </w:pPr>
    <w:rPr>
      <w:rFonts w:ascii="Calibri" w:eastAsiaTheme="minorEastAsia" w:hAnsi="Calibri" w:cstheme="minorBidi"/>
      <w:i/>
      <w:iCs/>
      <w:color w:val="F9FAF9" w:themeColor="background2"/>
      <w:szCs w:val="22"/>
    </w:rPr>
  </w:style>
  <w:style w:type="character" w:customStyle="1" w:styleId="Heading41Char">
    <w:name w:val="Heading 4 1 Char"/>
    <w:basedOn w:val="Heading4Char"/>
    <w:link w:val="Heading41"/>
    <w:rsid w:val="0007480F"/>
    <w:rPr>
      <w:rFonts w:ascii="Calibri" w:eastAsiaTheme="minorEastAsia" w:hAnsi="Calibri" w:cstheme="minorBidi"/>
      <w:b/>
      <w:i/>
      <w:iCs/>
      <w:color w:val="F9FAF9" w:themeColor="background2"/>
      <w:sz w:val="24"/>
      <w:szCs w:val="22"/>
      <w:lang w:val="en-US" w:eastAsia="ja-JP"/>
    </w:rPr>
  </w:style>
  <w:style w:type="paragraph" w:customStyle="1" w:styleId="Style1">
    <w:name w:val="Style1"/>
    <w:basedOn w:val="StyleHeading2"/>
    <w:next w:val="Heading2"/>
    <w:link w:val="Style1Char"/>
    <w:qFormat/>
    <w:rsid w:val="0007480F"/>
  </w:style>
  <w:style w:type="character" w:customStyle="1" w:styleId="Style1Char">
    <w:name w:val="Style1 Char"/>
    <w:basedOn w:val="StyleHeading2Char"/>
    <w:link w:val="Style1"/>
    <w:rsid w:val="0007480F"/>
    <w:rPr>
      <w:rFonts w:ascii="Calibri" w:eastAsiaTheme="minorEastAsia" w:hAnsi="Calibri" w:cstheme="minorBidi"/>
      <w:b/>
      <w:bCs w:val="0"/>
      <w:color w:val="F9FAF9" w:themeColor="background2"/>
      <w:sz w:val="36"/>
      <w:szCs w:val="36"/>
      <w:lang w:eastAsia="ja-JP"/>
    </w:rPr>
  </w:style>
  <w:style w:type="paragraph" w:customStyle="1" w:styleId="Style2">
    <w:name w:val="Style2"/>
    <w:basedOn w:val="Heading1"/>
    <w:next w:val="Heading1"/>
    <w:link w:val="Style2Char"/>
    <w:qFormat/>
    <w:rsid w:val="0007480F"/>
    <w:pPr>
      <w:spacing w:before="100" w:after="100" w:line="300" w:lineRule="atLeast"/>
    </w:pPr>
    <w:rPr>
      <w:rFonts w:ascii="Calibri" w:eastAsiaTheme="minorEastAsia" w:hAnsi="Calibri" w:cstheme="minorBidi"/>
      <w:color w:val="6B2876" w:themeColor="text1"/>
      <w:sz w:val="48"/>
      <w:szCs w:val="48"/>
    </w:rPr>
  </w:style>
  <w:style w:type="character" w:customStyle="1" w:styleId="Style2Char">
    <w:name w:val="Style2 Char"/>
    <w:basedOn w:val="Heading1Char"/>
    <w:link w:val="Style2"/>
    <w:rsid w:val="0007480F"/>
    <w:rPr>
      <w:rFonts w:ascii="Calibri" w:eastAsiaTheme="minorEastAsia" w:hAnsi="Calibri" w:cstheme="minorBidi"/>
      <w:b/>
      <w:color w:val="6B2876" w:themeColor="text1"/>
      <w:sz w:val="48"/>
      <w:szCs w:val="48"/>
      <w:lang w:eastAsia="ja-JP"/>
    </w:rPr>
  </w:style>
  <w:style w:type="character" w:customStyle="1" w:styleId="wacimagecontainer">
    <w:name w:val="wacimagecontainer"/>
    <w:basedOn w:val="DefaultParagraphFont"/>
    <w:rsid w:val="0007480F"/>
  </w:style>
  <w:style w:type="character" w:customStyle="1" w:styleId="superscript">
    <w:name w:val="superscript"/>
    <w:basedOn w:val="DefaultParagraphFont"/>
    <w:rsid w:val="0007480F"/>
  </w:style>
  <w:style w:type="character" w:customStyle="1" w:styleId="contextualspellingandgrammarerror">
    <w:name w:val="contextualspellingandgrammarerror"/>
    <w:basedOn w:val="DefaultParagraphFont"/>
    <w:rsid w:val="0007480F"/>
  </w:style>
  <w:style w:type="paragraph" w:customStyle="1" w:styleId="BoardBrief-Paragraph1">
    <w:name w:val="Board Brief - Paragraph 1"/>
    <w:basedOn w:val="ListParagraph"/>
    <w:link w:val="BoardBrief-Paragraph1Char"/>
    <w:uiPriority w:val="2"/>
    <w:qFormat/>
    <w:rsid w:val="0007480F"/>
    <w:pPr>
      <w:spacing w:line="264" w:lineRule="auto"/>
      <w:ind w:left="792" w:hanging="432"/>
      <w:contextualSpacing w:val="0"/>
    </w:pPr>
    <w:rPr>
      <w:rFonts w:ascii="Calibri" w:eastAsiaTheme="minorEastAsia" w:hAnsi="Calibri" w:cs="Arial"/>
      <w:sz w:val="21"/>
      <w:szCs w:val="21"/>
      <w:lang w:eastAsia="en-US"/>
    </w:rPr>
  </w:style>
  <w:style w:type="character" w:customStyle="1" w:styleId="BoardBrief-Paragraph1Char">
    <w:name w:val="Board Brief - Paragraph 1 Char"/>
    <w:basedOn w:val="DefaultParagraphFont"/>
    <w:link w:val="BoardBrief-Paragraph1"/>
    <w:uiPriority w:val="2"/>
    <w:rsid w:val="0007480F"/>
    <w:rPr>
      <w:rFonts w:ascii="Calibri" w:eastAsiaTheme="minorEastAsia" w:hAnsi="Calibri" w:cs="Arial"/>
      <w:sz w:val="21"/>
      <w:szCs w:val="21"/>
      <w:lang w:eastAsia="en-US"/>
    </w:rPr>
  </w:style>
  <w:style w:type="character" w:customStyle="1" w:styleId="Heading2Char1">
    <w:name w:val="Heading 2 Char1"/>
    <w:basedOn w:val="DefaultParagraphFont"/>
    <w:uiPriority w:val="9"/>
    <w:rsid w:val="00315F50"/>
    <w:rPr>
      <w:rFonts w:asciiTheme="majorHAnsi" w:eastAsiaTheme="majorEastAsia" w:hAnsiTheme="majorHAnsi" w:cstheme="majorBidi"/>
      <w:b/>
      <w:color w:val="6B2876" w:themeColor="text1"/>
      <w:sz w:val="36"/>
      <w:szCs w:val="26"/>
      <w:lang w:eastAsia="ja-JP"/>
    </w:rPr>
  </w:style>
  <w:style w:type="paragraph" w:customStyle="1" w:styleId="21minor">
    <w:name w:val="21 minor"/>
    <w:basedOn w:val="Normal"/>
    <w:next w:val="Normal"/>
    <w:uiPriority w:val="2"/>
    <w:qFormat/>
    <w:rsid w:val="00315F50"/>
    <w:pPr>
      <w:spacing w:before="240" w:line="264" w:lineRule="auto"/>
    </w:pPr>
    <w:rPr>
      <w:b/>
      <w:color w:val="6B2876" w:themeColor="text1"/>
      <w:sz w:val="22"/>
      <w:lang w:eastAsia="en-US"/>
    </w:rPr>
  </w:style>
  <w:style w:type="character" w:customStyle="1" w:styleId="CEOBrief-Paragraph1Char">
    <w:name w:val="CEO Brief - Paragraph 1 Char"/>
    <w:basedOn w:val="DefaultParagraphFont"/>
    <w:link w:val="CEOBrief-Paragraph1"/>
    <w:locked/>
    <w:rsid w:val="00B01F20"/>
    <w:rPr>
      <w:rFonts w:ascii="Arial" w:hAnsi="Arial" w:cs="Arial"/>
    </w:rPr>
  </w:style>
  <w:style w:type="paragraph" w:customStyle="1" w:styleId="CEOBrief-Paragraph1">
    <w:name w:val="CEO Brief - Paragraph 1"/>
    <w:basedOn w:val="ListParagraph"/>
    <w:link w:val="CEOBrief-Paragraph1Char"/>
    <w:qFormat/>
    <w:rsid w:val="006B0D56"/>
    <w:pPr>
      <w:spacing w:line="264" w:lineRule="auto"/>
      <w:ind w:left="792" w:hanging="432"/>
      <w:contextualSpacing w:val="0"/>
    </w:pPr>
    <w:rPr>
      <w:rFonts w:eastAsia="FSMePro" w:cs="Arial"/>
      <w:sz w:val="20"/>
      <w:szCs w:val="20"/>
      <w:lang w:eastAsia="en-AU"/>
    </w:rPr>
  </w:style>
  <w:style w:type="paragraph" w:customStyle="1" w:styleId="Recommendationheading">
    <w:name w:val="Recommendation heading"/>
    <w:basedOn w:val="Normal"/>
    <w:qFormat/>
    <w:rsid w:val="007B31E1"/>
    <w:pPr>
      <w:keepNext/>
      <w:spacing w:line="300" w:lineRule="atLeast"/>
      <w:ind w:left="567"/>
    </w:pPr>
    <w:rPr>
      <w:rFonts w:eastAsiaTheme="minorEastAsia" w:cstheme="minorBidi"/>
      <w:b/>
      <w:color w:val="6B2876" w:themeColor="text1"/>
      <w:u w:val="single"/>
    </w:rPr>
  </w:style>
  <w:style w:type="paragraph" w:customStyle="1" w:styleId="Sourcefortableorfigure">
    <w:name w:val="Source for table or figure"/>
    <w:basedOn w:val="Normal"/>
    <w:qFormat/>
    <w:rsid w:val="009D4494"/>
    <w:pPr>
      <w:spacing w:before="60" w:after="60" w:line="240" w:lineRule="atLeast"/>
    </w:pPr>
    <w:rPr>
      <w:rFonts w:cs="Calibri"/>
      <w:b/>
      <w:sz w:val="20"/>
      <w:szCs w:val="18"/>
      <w:lang w:eastAsia="en-AU"/>
    </w:rPr>
  </w:style>
  <w:style w:type="paragraph" w:customStyle="1" w:styleId="Notefortableorfigure">
    <w:name w:val="Note for table or figure"/>
    <w:basedOn w:val="Footnote"/>
    <w:qFormat/>
    <w:rsid w:val="009D4494"/>
    <w:pPr>
      <w:ind w:left="0" w:firstLine="0"/>
    </w:pPr>
    <w:rPr>
      <w:rFonts w:cs="Calibri"/>
      <w:sz w:val="20"/>
      <w:szCs w:val="18"/>
    </w:rPr>
  </w:style>
  <w:style w:type="paragraph" w:customStyle="1" w:styleId="Pullquote">
    <w:name w:val="Pull quote"/>
    <w:basedOn w:val="Normal"/>
    <w:qFormat/>
    <w:rsid w:val="00DE6D19"/>
    <w:pPr>
      <w:spacing w:before="100" w:after="180" w:line="300" w:lineRule="atLeast"/>
      <w:jc w:val="center"/>
    </w:pPr>
    <w:rPr>
      <w:rFonts w:eastAsiaTheme="minorEastAsia" w:cstheme="minorBidi"/>
      <w:i/>
      <w:color w:val="6B2876" w:themeColor="text1"/>
      <w:lang w:eastAsia="en-AU"/>
    </w:rPr>
  </w:style>
  <w:style w:type="paragraph" w:customStyle="1" w:styleId="Image">
    <w:name w:val="Image"/>
    <w:basedOn w:val="Normal"/>
    <w:qFormat/>
    <w:rsid w:val="0043207E"/>
    <w:pPr>
      <w:jc w:val="center"/>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93101">
      <w:bodyDiv w:val="1"/>
      <w:marLeft w:val="0"/>
      <w:marRight w:val="0"/>
      <w:marTop w:val="0"/>
      <w:marBottom w:val="0"/>
      <w:divBdr>
        <w:top w:val="none" w:sz="0" w:space="0" w:color="auto"/>
        <w:left w:val="none" w:sz="0" w:space="0" w:color="auto"/>
        <w:bottom w:val="none" w:sz="0" w:space="0" w:color="auto"/>
        <w:right w:val="none" w:sz="0" w:space="0" w:color="auto"/>
      </w:divBdr>
    </w:div>
    <w:div w:id="34696746">
      <w:bodyDiv w:val="1"/>
      <w:marLeft w:val="0"/>
      <w:marRight w:val="0"/>
      <w:marTop w:val="0"/>
      <w:marBottom w:val="0"/>
      <w:divBdr>
        <w:top w:val="none" w:sz="0" w:space="0" w:color="auto"/>
        <w:left w:val="none" w:sz="0" w:space="0" w:color="auto"/>
        <w:bottom w:val="none" w:sz="0" w:space="0" w:color="auto"/>
        <w:right w:val="none" w:sz="0" w:space="0" w:color="auto"/>
      </w:divBdr>
    </w:div>
    <w:div w:id="68237625">
      <w:bodyDiv w:val="1"/>
      <w:marLeft w:val="0"/>
      <w:marRight w:val="0"/>
      <w:marTop w:val="0"/>
      <w:marBottom w:val="0"/>
      <w:divBdr>
        <w:top w:val="none" w:sz="0" w:space="0" w:color="auto"/>
        <w:left w:val="none" w:sz="0" w:space="0" w:color="auto"/>
        <w:bottom w:val="none" w:sz="0" w:space="0" w:color="auto"/>
        <w:right w:val="none" w:sz="0" w:space="0" w:color="auto"/>
      </w:divBdr>
    </w:div>
    <w:div w:id="311256749">
      <w:bodyDiv w:val="1"/>
      <w:marLeft w:val="0"/>
      <w:marRight w:val="0"/>
      <w:marTop w:val="0"/>
      <w:marBottom w:val="0"/>
      <w:divBdr>
        <w:top w:val="none" w:sz="0" w:space="0" w:color="auto"/>
        <w:left w:val="none" w:sz="0" w:space="0" w:color="auto"/>
        <w:bottom w:val="none" w:sz="0" w:space="0" w:color="auto"/>
        <w:right w:val="none" w:sz="0" w:space="0" w:color="auto"/>
      </w:divBdr>
    </w:div>
    <w:div w:id="334193164">
      <w:bodyDiv w:val="1"/>
      <w:marLeft w:val="0"/>
      <w:marRight w:val="0"/>
      <w:marTop w:val="0"/>
      <w:marBottom w:val="0"/>
      <w:divBdr>
        <w:top w:val="none" w:sz="0" w:space="0" w:color="auto"/>
        <w:left w:val="none" w:sz="0" w:space="0" w:color="auto"/>
        <w:bottom w:val="none" w:sz="0" w:space="0" w:color="auto"/>
        <w:right w:val="none" w:sz="0" w:space="0" w:color="auto"/>
      </w:divBdr>
    </w:div>
    <w:div w:id="351303594">
      <w:bodyDiv w:val="1"/>
      <w:marLeft w:val="0"/>
      <w:marRight w:val="0"/>
      <w:marTop w:val="0"/>
      <w:marBottom w:val="0"/>
      <w:divBdr>
        <w:top w:val="none" w:sz="0" w:space="0" w:color="auto"/>
        <w:left w:val="none" w:sz="0" w:space="0" w:color="auto"/>
        <w:bottom w:val="none" w:sz="0" w:space="0" w:color="auto"/>
        <w:right w:val="none" w:sz="0" w:space="0" w:color="auto"/>
      </w:divBdr>
    </w:div>
    <w:div w:id="611477182">
      <w:bodyDiv w:val="1"/>
      <w:marLeft w:val="0"/>
      <w:marRight w:val="0"/>
      <w:marTop w:val="0"/>
      <w:marBottom w:val="0"/>
      <w:divBdr>
        <w:top w:val="none" w:sz="0" w:space="0" w:color="auto"/>
        <w:left w:val="none" w:sz="0" w:space="0" w:color="auto"/>
        <w:bottom w:val="none" w:sz="0" w:space="0" w:color="auto"/>
        <w:right w:val="none" w:sz="0" w:space="0" w:color="auto"/>
      </w:divBdr>
    </w:div>
    <w:div w:id="620495835">
      <w:bodyDiv w:val="1"/>
      <w:marLeft w:val="0"/>
      <w:marRight w:val="0"/>
      <w:marTop w:val="0"/>
      <w:marBottom w:val="0"/>
      <w:divBdr>
        <w:top w:val="none" w:sz="0" w:space="0" w:color="auto"/>
        <w:left w:val="none" w:sz="0" w:space="0" w:color="auto"/>
        <w:bottom w:val="none" w:sz="0" w:space="0" w:color="auto"/>
        <w:right w:val="none" w:sz="0" w:space="0" w:color="auto"/>
      </w:divBdr>
    </w:div>
    <w:div w:id="647247299">
      <w:bodyDiv w:val="1"/>
      <w:marLeft w:val="0"/>
      <w:marRight w:val="0"/>
      <w:marTop w:val="0"/>
      <w:marBottom w:val="0"/>
      <w:divBdr>
        <w:top w:val="none" w:sz="0" w:space="0" w:color="auto"/>
        <w:left w:val="none" w:sz="0" w:space="0" w:color="auto"/>
        <w:bottom w:val="none" w:sz="0" w:space="0" w:color="auto"/>
        <w:right w:val="none" w:sz="0" w:space="0" w:color="auto"/>
      </w:divBdr>
    </w:div>
    <w:div w:id="653686506">
      <w:bodyDiv w:val="1"/>
      <w:marLeft w:val="0"/>
      <w:marRight w:val="0"/>
      <w:marTop w:val="0"/>
      <w:marBottom w:val="0"/>
      <w:divBdr>
        <w:top w:val="none" w:sz="0" w:space="0" w:color="auto"/>
        <w:left w:val="none" w:sz="0" w:space="0" w:color="auto"/>
        <w:bottom w:val="none" w:sz="0" w:space="0" w:color="auto"/>
        <w:right w:val="none" w:sz="0" w:space="0" w:color="auto"/>
      </w:divBdr>
      <w:divsChild>
        <w:div w:id="875120090">
          <w:marLeft w:val="0"/>
          <w:marRight w:val="0"/>
          <w:marTop w:val="0"/>
          <w:marBottom w:val="0"/>
          <w:divBdr>
            <w:top w:val="none" w:sz="0" w:space="0" w:color="auto"/>
            <w:left w:val="none" w:sz="0" w:space="0" w:color="auto"/>
            <w:bottom w:val="none" w:sz="0" w:space="0" w:color="auto"/>
            <w:right w:val="none" w:sz="0" w:space="0" w:color="auto"/>
          </w:divBdr>
        </w:div>
        <w:div w:id="1385830392">
          <w:marLeft w:val="0"/>
          <w:marRight w:val="0"/>
          <w:marTop w:val="0"/>
          <w:marBottom w:val="0"/>
          <w:divBdr>
            <w:top w:val="none" w:sz="0" w:space="0" w:color="auto"/>
            <w:left w:val="none" w:sz="0" w:space="0" w:color="auto"/>
            <w:bottom w:val="none" w:sz="0" w:space="0" w:color="auto"/>
            <w:right w:val="none" w:sz="0" w:space="0" w:color="auto"/>
          </w:divBdr>
        </w:div>
      </w:divsChild>
    </w:div>
    <w:div w:id="707147813">
      <w:bodyDiv w:val="1"/>
      <w:marLeft w:val="0"/>
      <w:marRight w:val="0"/>
      <w:marTop w:val="0"/>
      <w:marBottom w:val="0"/>
      <w:divBdr>
        <w:top w:val="none" w:sz="0" w:space="0" w:color="auto"/>
        <w:left w:val="none" w:sz="0" w:space="0" w:color="auto"/>
        <w:bottom w:val="none" w:sz="0" w:space="0" w:color="auto"/>
        <w:right w:val="none" w:sz="0" w:space="0" w:color="auto"/>
      </w:divBdr>
    </w:div>
    <w:div w:id="736586994">
      <w:bodyDiv w:val="1"/>
      <w:marLeft w:val="0"/>
      <w:marRight w:val="0"/>
      <w:marTop w:val="0"/>
      <w:marBottom w:val="0"/>
      <w:divBdr>
        <w:top w:val="none" w:sz="0" w:space="0" w:color="auto"/>
        <w:left w:val="none" w:sz="0" w:space="0" w:color="auto"/>
        <w:bottom w:val="none" w:sz="0" w:space="0" w:color="auto"/>
        <w:right w:val="none" w:sz="0" w:space="0" w:color="auto"/>
      </w:divBdr>
    </w:div>
    <w:div w:id="755789230">
      <w:bodyDiv w:val="1"/>
      <w:marLeft w:val="0"/>
      <w:marRight w:val="0"/>
      <w:marTop w:val="0"/>
      <w:marBottom w:val="0"/>
      <w:divBdr>
        <w:top w:val="none" w:sz="0" w:space="0" w:color="auto"/>
        <w:left w:val="none" w:sz="0" w:space="0" w:color="auto"/>
        <w:bottom w:val="none" w:sz="0" w:space="0" w:color="auto"/>
        <w:right w:val="none" w:sz="0" w:space="0" w:color="auto"/>
      </w:divBdr>
    </w:div>
    <w:div w:id="854346467">
      <w:bodyDiv w:val="1"/>
      <w:marLeft w:val="0"/>
      <w:marRight w:val="0"/>
      <w:marTop w:val="0"/>
      <w:marBottom w:val="0"/>
      <w:divBdr>
        <w:top w:val="none" w:sz="0" w:space="0" w:color="auto"/>
        <w:left w:val="none" w:sz="0" w:space="0" w:color="auto"/>
        <w:bottom w:val="none" w:sz="0" w:space="0" w:color="auto"/>
        <w:right w:val="none" w:sz="0" w:space="0" w:color="auto"/>
      </w:divBdr>
    </w:div>
    <w:div w:id="1020812266">
      <w:bodyDiv w:val="1"/>
      <w:marLeft w:val="0"/>
      <w:marRight w:val="0"/>
      <w:marTop w:val="0"/>
      <w:marBottom w:val="0"/>
      <w:divBdr>
        <w:top w:val="none" w:sz="0" w:space="0" w:color="auto"/>
        <w:left w:val="none" w:sz="0" w:space="0" w:color="auto"/>
        <w:bottom w:val="none" w:sz="0" w:space="0" w:color="auto"/>
        <w:right w:val="none" w:sz="0" w:space="0" w:color="auto"/>
      </w:divBdr>
      <w:divsChild>
        <w:div w:id="892496848">
          <w:marLeft w:val="0"/>
          <w:marRight w:val="0"/>
          <w:marTop w:val="0"/>
          <w:marBottom w:val="0"/>
          <w:divBdr>
            <w:top w:val="none" w:sz="0" w:space="0" w:color="auto"/>
            <w:left w:val="none" w:sz="0" w:space="0" w:color="auto"/>
            <w:bottom w:val="none" w:sz="0" w:space="0" w:color="auto"/>
            <w:right w:val="none" w:sz="0" w:space="0" w:color="auto"/>
          </w:divBdr>
        </w:div>
        <w:div w:id="1736590420">
          <w:marLeft w:val="0"/>
          <w:marRight w:val="0"/>
          <w:marTop w:val="0"/>
          <w:marBottom w:val="0"/>
          <w:divBdr>
            <w:top w:val="none" w:sz="0" w:space="0" w:color="auto"/>
            <w:left w:val="none" w:sz="0" w:space="0" w:color="auto"/>
            <w:bottom w:val="none" w:sz="0" w:space="0" w:color="auto"/>
            <w:right w:val="none" w:sz="0" w:space="0" w:color="auto"/>
          </w:divBdr>
        </w:div>
        <w:div w:id="1827629301">
          <w:marLeft w:val="0"/>
          <w:marRight w:val="0"/>
          <w:marTop w:val="0"/>
          <w:marBottom w:val="0"/>
          <w:divBdr>
            <w:top w:val="none" w:sz="0" w:space="0" w:color="auto"/>
            <w:left w:val="none" w:sz="0" w:space="0" w:color="auto"/>
            <w:bottom w:val="none" w:sz="0" w:space="0" w:color="auto"/>
            <w:right w:val="none" w:sz="0" w:space="0" w:color="auto"/>
          </w:divBdr>
        </w:div>
      </w:divsChild>
    </w:div>
    <w:div w:id="1031607922">
      <w:bodyDiv w:val="1"/>
      <w:marLeft w:val="0"/>
      <w:marRight w:val="0"/>
      <w:marTop w:val="0"/>
      <w:marBottom w:val="0"/>
      <w:divBdr>
        <w:top w:val="none" w:sz="0" w:space="0" w:color="auto"/>
        <w:left w:val="none" w:sz="0" w:space="0" w:color="auto"/>
        <w:bottom w:val="none" w:sz="0" w:space="0" w:color="auto"/>
        <w:right w:val="none" w:sz="0" w:space="0" w:color="auto"/>
      </w:divBdr>
    </w:div>
    <w:div w:id="1102842348">
      <w:bodyDiv w:val="1"/>
      <w:marLeft w:val="0"/>
      <w:marRight w:val="0"/>
      <w:marTop w:val="0"/>
      <w:marBottom w:val="0"/>
      <w:divBdr>
        <w:top w:val="none" w:sz="0" w:space="0" w:color="auto"/>
        <w:left w:val="none" w:sz="0" w:space="0" w:color="auto"/>
        <w:bottom w:val="none" w:sz="0" w:space="0" w:color="auto"/>
        <w:right w:val="none" w:sz="0" w:space="0" w:color="auto"/>
      </w:divBdr>
    </w:div>
    <w:div w:id="1309700811">
      <w:bodyDiv w:val="1"/>
      <w:marLeft w:val="0"/>
      <w:marRight w:val="0"/>
      <w:marTop w:val="0"/>
      <w:marBottom w:val="0"/>
      <w:divBdr>
        <w:top w:val="none" w:sz="0" w:space="0" w:color="auto"/>
        <w:left w:val="none" w:sz="0" w:space="0" w:color="auto"/>
        <w:bottom w:val="none" w:sz="0" w:space="0" w:color="auto"/>
        <w:right w:val="none" w:sz="0" w:space="0" w:color="auto"/>
      </w:divBdr>
    </w:div>
    <w:div w:id="1355305361">
      <w:bodyDiv w:val="1"/>
      <w:marLeft w:val="0"/>
      <w:marRight w:val="0"/>
      <w:marTop w:val="0"/>
      <w:marBottom w:val="0"/>
      <w:divBdr>
        <w:top w:val="none" w:sz="0" w:space="0" w:color="auto"/>
        <w:left w:val="none" w:sz="0" w:space="0" w:color="auto"/>
        <w:bottom w:val="none" w:sz="0" w:space="0" w:color="auto"/>
        <w:right w:val="none" w:sz="0" w:space="0" w:color="auto"/>
      </w:divBdr>
    </w:div>
    <w:div w:id="1392999230">
      <w:bodyDiv w:val="1"/>
      <w:marLeft w:val="0"/>
      <w:marRight w:val="0"/>
      <w:marTop w:val="0"/>
      <w:marBottom w:val="0"/>
      <w:divBdr>
        <w:top w:val="none" w:sz="0" w:space="0" w:color="auto"/>
        <w:left w:val="none" w:sz="0" w:space="0" w:color="auto"/>
        <w:bottom w:val="none" w:sz="0" w:space="0" w:color="auto"/>
        <w:right w:val="none" w:sz="0" w:space="0" w:color="auto"/>
      </w:divBdr>
    </w:div>
    <w:div w:id="1448506354">
      <w:bodyDiv w:val="1"/>
      <w:marLeft w:val="0"/>
      <w:marRight w:val="0"/>
      <w:marTop w:val="0"/>
      <w:marBottom w:val="0"/>
      <w:divBdr>
        <w:top w:val="none" w:sz="0" w:space="0" w:color="auto"/>
        <w:left w:val="none" w:sz="0" w:space="0" w:color="auto"/>
        <w:bottom w:val="none" w:sz="0" w:space="0" w:color="auto"/>
        <w:right w:val="none" w:sz="0" w:space="0" w:color="auto"/>
      </w:divBdr>
    </w:div>
    <w:div w:id="1530921574">
      <w:bodyDiv w:val="1"/>
      <w:marLeft w:val="0"/>
      <w:marRight w:val="0"/>
      <w:marTop w:val="0"/>
      <w:marBottom w:val="0"/>
      <w:divBdr>
        <w:top w:val="none" w:sz="0" w:space="0" w:color="auto"/>
        <w:left w:val="none" w:sz="0" w:space="0" w:color="auto"/>
        <w:bottom w:val="none" w:sz="0" w:space="0" w:color="auto"/>
        <w:right w:val="none" w:sz="0" w:space="0" w:color="auto"/>
      </w:divBdr>
    </w:div>
    <w:div w:id="1560096527">
      <w:bodyDiv w:val="1"/>
      <w:marLeft w:val="0"/>
      <w:marRight w:val="0"/>
      <w:marTop w:val="0"/>
      <w:marBottom w:val="0"/>
      <w:divBdr>
        <w:top w:val="none" w:sz="0" w:space="0" w:color="auto"/>
        <w:left w:val="none" w:sz="0" w:space="0" w:color="auto"/>
        <w:bottom w:val="none" w:sz="0" w:space="0" w:color="auto"/>
        <w:right w:val="none" w:sz="0" w:space="0" w:color="auto"/>
      </w:divBdr>
    </w:div>
    <w:div w:id="1603103310">
      <w:bodyDiv w:val="1"/>
      <w:marLeft w:val="0"/>
      <w:marRight w:val="0"/>
      <w:marTop w:val="0"/>
      <w:marBottom w:val="0"/>
      <w:divBdr>
        <w:top w:val="none" w:sz="0" w:space="0" w:color="auto"/>
        <w:left w:val="none" w:sz="0" w:space="0" w:color="auto"/>
        <w:bottom w:val="none" w:sz="0" w:space="0" w:color="auto"/>
        <w:right w:val="none" w:sz="0" w:space="0" w:color="auto"/>
      </w:divBdr>
      <w:divsChild>
        <w:div w:id="82073716">
          <w:marLeft w:val="0"/>
          <w:marRight w:val="0"/>
          <w:marTop w:val="0"/>
          <w:marBottom w:val="0"/>
          <w:divBdr>
            <w:top w:val="none" w:sz="0" w:space="0" w:color="auto"/>
            <w:left w:val="none" w:sz="0" w:space="0" w:color="auto"/>
            <w:bottom w:val="none" w:sz="0" w:space="0" w:color="auto"/>
            <w:right w:val="none" w:sz="0" w:space="0" w:color="auto"/>
          </w:divBdr>
        </w:div>
        <w:div w:id="607006569">
          <w:marLeft w:val="0"/>
          <w:marRight w:val="0"/>
          <w:marTop w:val="0"/>
          <w:marBottom w:val="0"/>
          <w:divBdr>
            <w:top w:val="none" w:sz="0" w:space="0" w:color="auto"/>
            <w:left w:val="none" w:sz="0" w:space="0" w:color="auto"/>
            <w:bottom w:val="none" w:sz="0" w:space="0" w:color="auto"/>
            <w:right w:val="none" w:sz="0" w:space="0" w:color="auto"/>
          </w:divBdr>
        </w:div>
        <w:div w:id="635725603">
          <w:marLeft w:val="0"/>
          <w:marRight w:val="0"/>
          <w:marTop w:val="0"/>
          <w:marBottom w:val="0"/>
          <w:divBdr>
            <w:top w:val="none" w:sz="0" w:space="0" w:color="auto"/>
            <w:left w:val="none" w:sz="0" w:space="0" w:color="auto"/>
            <w:bottom w:val="none" w:sz="0" w:space="0" w:color="auto"/>
            <w:right w:val="none" w:sz="0" w:space="0" w:color="auto"/>
          </w:divBdr>
        </w:div>
        <w:div w:id="926110723">
          <w:marLeft w:val="0"/>
          <w:marRight w:val="0"/>
          <w:marTop w:val="0"/>
          <w:marBottom w:val="0"/>
          <w:divBdr>
            <w:top w:val="none" w:sz="0" w:space="0" w:color="auto"/>
            <w:left w:val="none" w:sz="0" w:space="0" w:color="auto"/>
            <w:bottom w:val="none" w:sz="0" w:space="0" w:color="auto"/>
            <w:right w:val="none" w:sz="0" w:space="0" w:color="auto"/>
          </w:divBdr>
        </w:div>
        <w:div w:id="1208103614">
          <w:marLeft w:val="0"/>
          <w:marRight w:val="0"/>
          <w:marTop w:val="0"/>
          <w:marBottom w:val="0"/>
          <w:divBdr>
            <w:top w:val="none" w:sz="0" w:space="0" w:color="auto"/>
            <w:left w:val="none" w:sz="0" w:space="0" w:color="auto"/>
            <w:bottom w:val="none" w:sz="0" w:space="0" w:color="auto"/>
            <w:right w:val="none" w:sz="0" w:space="0" w:color="auto"/>
          </w:divBdr>
        </w:div>
        <w:div w:id="1503818850">
          <w:marLeft w:val="0"/>
          <w:marRight w:val="0"/>
          <w:marTop w:val="0"/>
          <w:marBottom w:val="0"/>
          <w:divBdr>
            <w:top w:val="none" w:sz="0" w:space="0" w:color="auto"/>
            <w:left w:val="none" w:sz="0" w:space="0" w:color="auto"/>
            <w:bottom w:val="none" w:sz="0" w:space="0" w:color="auto"/>
            <w:right w:val="none" w:sz="0" w:space="0" w:color="auto"/>
          </w:divBdr>
        </w:div>
        <w:div w:id="1899321759">
          <w:marLeft w:val="0"/>
          <w:marRight w:val="0"/>
          <w:marTop w:val="0"/>
          <w:marBottom w:val="0"/>
          <w:divBdr>
            <w:top w:val="none" w:sz="0" w:space="0" w:color="auto"/>
            <w:left w:val="none" w:sz="0" w:space="0" w:color="auto"/>
            <w:bottom w:val="none" w:sz="0" w:space="0" w:color="auto"/>
            <w:right w:val="none" w:sz="0" w:space="0" w:color="auto"/>
          </w:divBdr>
        </w:div>
      </w:divsChild>
    </w:div>
    <w:div w:id="1710449927">
      <w:bodyDiv w:val="1"/>
      <w:marLeft w:val="0"/>
      <w:marRight w:val="0"/>
      <w:marTop w:val="0"/>
      <w:marBottom w:val="0"/>
      <w:divBdr>
        <w:top w:val="none" w:sz="0" w:space="0" w:color="auto"/>
        <w:left w:val="none" w:sz="0" w:space="0" w:color="auto"/>
        <w:bottom w:val="none" w:sz="0" w:space="0" w:color="auto"/>
        <w:right w:val="none" w:sz="0" w:space="0" w:color="auto"/>
      </w:divBdr>
    </w:div>
    <w:div w:id="1716655673">
      <w:bodyDiv w:val="1"/>
      <w:marLeft w:val="0"/>
      <w:marRight w:val="0"/>
      <w:marTop w:val="0"/>
      <w:marBottom w:val="0"/>
      <w:divBdr>
        <w:top w:val="none" w:sz="0" w:space="0" w:color="auto"/>
        <w:left w:val="none" w:sz="0" w:space="0" w:color="auto"/>
        <w:bottom w:val="none" w:sz="0" w:space="0" w:color="auto"/>
        <w:right w:val="none" w:sz="0" w:space="0" w:color="auto"/>
      </w:divBdr>
    </w:div>
    <w:div w:id="1906404323">
      <w:bodyDiv w:val="1"/>
      <w:marLeft w:val="0"/>
      <w:marRight w:val="0"/>
      <w:marTop w:val="0"/>
      <w:marBottom w:val="0"/>
      <w:divBdr>
        <w:top w:val="none" w:sz="0" w:space="0" w:color="auto"/>
        <w:left w:val="none" w:sz="0" w:space="0" w:color="auto"/>
        <w:bottom w:val="none" w:sz="0" w:space="0" w:color="auto"/>
        <w:right w:val="none" w:sz="0" w:space="0" w:color="auto"/>
      </w:divBdr>
    </w:div>
    <w:div w:id="1926918497">
      <w:bodyDiv w:val="1"/>
      <w:marLeft w:val="0"/>
      <w:marRight w:val="0"/>
      <w:marTop w:val="0"/>
      <w:marBottom w:val="0"/>
      <w:divBdr>
        <w:top w:val="none" w:sz="0" w:space="0" w:color="auto"/>
        <w:left w:val="none" w:sz="0" w:space="0" w:color="auto"/>
        <w:bottom w:val="none" w:sz="0" w:space="0" w:color="auto"/>
        <w:right w:val="none" w:sz="0" w:space="0" w:color="auto"/>
      </w:divBdr>
    </w:div>
    <w:div w:id="2026055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8.png"/><Relationship Id="rId42" Type="http://schemas.openxmlformats.org/officeDocument/2006/relationships/image" Target="media/image27.png"/><Relationship Id="rId47" Type="http://schemas.openxmlformats.org/officeDocument/2006/relationships/image" Target="media/image32.png"/><Relationship Id="rId63" Type="http://schemas.openxmlformats.org/officeDocument/2006/relationships/image" Target="media/image48.png"/><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fwc.gov.au/hearings-decisions/major-cases/gender-undervaluation-priority-awards-review" TargetMode="External"/><Relationship Id="rId29" Type="http://schemas.openxmlformats.org/officeDocument/2006/relationships/image" Target="media/image15.png"/><Relationship Id="rId11" Type="http://schemas.openxmlformats.org/officeDocument/2006/relationships/image" Target="media/image1.jpg"/><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hyperlink" Target="https://www.ndis.gov.au/providers/pricing-arrangements/making-pricing-decisions/pricing-review-archive" TargetMode="External"/><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image" Target="media/image38.png"/><Relationship Id="rId58" Type="http://schemas.openxmlformats.org/officeDocument/2006/relationships/image" Target="media/image43.png"/><Relationship Id="rId66"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image" Target="media/image46.png"/><Relationship Id="rId19" Type="http://schemas.openxmlformats.org/officeDocument/2006/relationships/image" Target="media/image6.png"/><Relationship Id="rId14" Type="http://schemas.openxmlformats.org/officeDocument/2006/relationships/image" Target="media/image3.png"/><Relationship Id="rId22" Type="http://schemas.openxmlformats.org/officeDocument/2006/relationships/hyperlink" Target="https://www.ndis.gov.au/providers/pricing-arrangements" TargetMode="External"/><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41.png"/><Relationship Id="rId64" Type="http://schemas.openxmlformats.org/officeDocument/2006/relationships/header" Target="header1.xm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36.png"/><Relationship Id="rId3" Type="http://schemas.openxmlformats.org/officeDocument/2006/relationships/customXml" Target="../customXml/item3.xml"/><Relationship Id="rId12" Type="http://schemas.openxmlformats.org/officeDocument/2006/relationships/hyperlink" Target="https://www.ndis.gov.au/about-us/reference-group-updates/pricing-arrangement-reference-group" TargetMode="External"/><Relationship Id="rId17" Type="http://schemas.openxmlformats.org/officeDocument/2006/relationships/hyperlink" Target="https://www.ndis.gov.au/providers/pricing-arrangements" TargetMode="External"/><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image" Target="media/image44.png"/><Relationship Id="rId67" Type="http://schemas.openxmlformats.org/officeDocument/2006/relationships/footer" Target="footer3.xml"/><Relationship Id="rId20" Type="http://schemas.openxmlformats.org/officeDocument/2006/relationships/image" Target="media/image7.png"/><Relationship Id="rId41" Type="http://schemas.openxmlformats.org/officeDocument/2006/relationships/image" Target="media/image26.png"/><Relationship Id="rId54" Type="http://schemas.openxmlformats.org/officeDocument/2006/relationships/image" Target="media/image39.png"/><Relationship Id="rId62"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4.png"/><Relationship Id="rId57" Type="http://schemas.openxmlformats.org/officeDocument/2006/relationships/image" Target="media/image42.png"/><Relationship Id="rId10" Type="http://schemas.openxmlformats.org/officeDocument/2006/relationships/endnotes" Target="endnotes.xml"/><Relationship Id="rId31" Type="http://schemas.openxmlformats.org/officeDocument/2006/relationships/image" Target="media/image17.pn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5.png"/><Relationship Id="rId39" Type="http://schemas.openxmlformats.org/officeDocument/2006/relationships/image" Target="media/image24.png"/><Relationship Id="rId34" Type="http://schemas.openxmlformats.org/officeDocument/2006/relationships/image" Target="media/image20.png"/><Relationship Id="rId50" Type="http://schemas.openxmlformats.org/officeDocument/2006/relationships/image" Target="media/image35.png"/><Relationship Id="rId55" Type="http://schemas.openxmlformats.org/officeDocument/2006/relationships/image" Target="media/image40.png"/></Relationships>
</file>

<file path=word/_rels/footnotes.xml.rels><?xml version="1.0" encoding="UTF-8" standalone="yes"?>
<Relationships xmlns="http://schemas.openxmlformats.org/package/2006/relationships"><Relationship Id="rId8" Type="http://schemas.openxmlformats.org/officeDocument/2006/relationships/hyperlink" Target="https://budget.gov.au/content/bp1/download/bp1_2025-26.pdf" TargetMode="External"/><Relationship Id="rId13" Type="http://schemas.openxmlformats.org/officeDocument/2006/relationships/hyperlink" Target="https://www.jobsandskills.gov.au/data/employment-projections" TargetMode="External"/><Relationship Id="rId18" Type="http://schemas.openxmlformats.org/officeDocument/2006/relationships/hyperlink" Target="https://www.fwc.gov.au/hearings-decisions/major-cases/work-value-case-nurses-and-midwives" TargetMode="External"/><Relationship Id="rId3" Type="http://schemas.openxmlformats.org/officeDocument/2006/relationships/hyperlink" Target="https://budget.gov.au/content/bp1/download/bp1_2025-26.pdf" TargetMode="External"/><Relationship Id="rId7" Type="http://schemas.openxmlformats.org/officeDocument/2006/relationships/hyperlink" Target="https://www.abs.gov.au/statistics/labour/employment-and-unemployment/labour-force-australia/apr-2025" TargetMode="External"/><Relationship Id="rId12" Type="http://schemas.openxmlformats.org/officeDocument/2006/relationships/hyperlink" Target="https://www.jobsandskills.gov.au/jobs-and-skills-atlas" TargetMode="External"/><Relationship Id="rId17" Type="http://schemas.openxmlformats.org/officeDocument/2006/relationships/hyperlink" Target="https://www.fwc.gov.au/hearings-decisions/major-cases/work-value-case-nurses-and-midwives" TargetMode="External"/><Relationship Id="rId2" Type="http://schemas.openxmlformats.org/officeDocument/2006/relationships/hyperlink" Target="https://www.abs.gov.au/statistics/economy/national-accounts/australian-national-accounts-national-income-expenditure-and-product/dec-2024" TargetMode="External"/><Relationship Id="rId16" Type="http://schemas.openxmlformats.org/officeDocument/2006/relationships/hyperlink" Target="https://www.abs.gov.au/statistics/economy/price-indexes-and-inflation/wage-price-index-australia/mar-2025" TargetMode="External"/><Relationship Id="rId1" Type="http://schemas.openxmlformats.org/officeDocument/2006/relationships/hyperlink" Target="https://budget.gov.au/content/bp1/download/bp1_2025-26.pdf" TargetMode="External"/><Relationship Id="rId6" Type="http://schemas.openxmlformats.org/officeDocument/2006/relationships/hyperlink" Target="https://www.abs.gov.au/statistics/economy/price-indexes-and-inflation/consumer-price-index-australia/mar-quarter-2025" TargetMode="External"/><Relationship Id="rId11" Type="http://schemas.openxmlformats.org/officeDocument/2006/relationships/hyperlink" Target="https://www.jobsandskills.gov.au/data/internet-vacancy-index" TargetMode="External"/><Relationship Id="rId5" Type="http://schemas.openxmlformats.org/officeDocument/2006/relationships/hyperlink" Target="https://www.rba.gov.au/publications/smp/2025/may/" TargetMode="External"/><Relationship Id="rId15" Type="http://schemas.openxmlformats.org/officeDocument/2006/relationships/hyperlink" Target="https://budget.gov.au/content/bp1/download/bp1_2025-26.pdf" TargetMode="External"/><Relationship Id="rId10" Type="http://schemas.openxmlformats.org/officeDocument/2006/relationships/hyperlink" Target="https://www.abs.gov.au/statistics/labour/jobs/job-vacancies-australia/feb-2025" TargetMode="External"/><Relationship Id="rId19" Type="http://schemas.openxmlformats.org/officeDocument/2006/relationships/hyperlink" Target="https://aged-care-nurses-wages-guidance-document_0.docx/" TargetMode="External"/><Relationship Id="rId4" Type="http://schemas.openxmlformats.org/officeDocument/2006/relationships/hyperlink" Target="https://www.abs.gov.au/statistics/economy/price-indexes-and-inflation/consumer-price-index-australia/mar-quarter-2025" TargetMode="External"/><Relationship Id="rId9" Type="http://schemas.openxmlformats.org/officeDocument/2006/relationships/hyperlink" Target="https://www.abs.gov.au/statistics/labour/employment-and-unemployment/labour-force-australia-detailed/feb-2025" TargetMode="External"/><Relationship Id="rId14" Type="http://schemas.openxmlformats.org/officeDocument/2006/relationships/hyperlink" Target="https://www.abs.gov.au/statistics/economy/price-indexes-and-inflation/wage-price-index-australia/mar-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report%20templates\NDIS%20report%20template%20-%20branded%20purple.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b83fc4ecf3ae5279e1962205148e242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911af31a883af4e88fb21892499224b2"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3008f86-ec38-484e-8e3a-bde2ea90810a}"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2598ba4-4db0-4ba6-86e6-e93586821996" xsi:nil="true"/>
    <lcf76f155ced4ddcb4097134ff3c332f xmlns="62e6d7e0-8f69-4736-9de7-41af03e42ea2">
      <Terms xmlns="http://schemas.microsoft.com/office/infopath/2007/PartnerControls"/>
    </lcf76f155ced4ddcb4097134ff3c332f>
    <SharedWithUsers xmlns="a2598ba4-4db0-4ba6-86e6-e93586821996">
      <UserInfo>
        <DisplayName>Hampton, Mary</DisplayName>
        <AccountId>426</AccountId>
        <AccountType/>
      </UserInfo>
      <UserInfo>
        <DisplayName>Barry, Courtney</DisplayName>
        <AccountId>1089</AccountId>
        <AccountType/>
      </UserInfo>
      <UserInfo>
        <DisplayName>Binny, Dominic</DisplayName>
        <AccountId>15</AccountId>
        <AccountType/>
      </UserInfo>
      <UserInfo>
        <DisplayName>Hiaujoo, Kee</DisplayName>
        <AccountId>245</AccountId>
        <AccountType/>
      </UserInfo>
      <UserInfo>
        <DisplayName>Borojevic, Davor</DisplayName>
        <AccountId>394</AccountId>
        <AccountType/>
      </UserInfo>
      <UserInfo>
        <DisplayName>Conroy, Scott</DisplayName>
        <AccountId>739</AccountId>
        <AccountType/>
      </UserInfo>
      <UserInfo>
        <DisplayName>Warren, Elisha</DisplayName>
        <AccountId>741</AccountId>
        <AccountType/>
      </UserInfo>
      <UserInfo>
        <DisplayName>Danaskos, Helen</DisplayName>
        <AccountId>429</AccountId>
        <AccountType/>
      </UserInfo>
      <UserInfo>
        <DisplayName>Virnik, Oliver</DisplayName>
        <AccountId>904</AccountId>
        <AccountType/>
      </UserInfo>
      <UserInfo>
        <DisplayName>Gorrepati, Sri</DisplayName>
        <AccountId>902</AccountId>
        <AccountType/>
      </UserInfo>
      <UserInfo>
        <DisplayName>DeMayo, Andrew</DisplayName>
        <AccountId>21</AccountId>
        <AccountType/>
      </UserInfo>
      <UserInfo>
        <DisplayName>Wilkens, Jaimee</DisplayName>
        <AccountId>1313</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0F1B79-92D4-4ACA-9197-B1EA7F956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689B0D-D11F-46D6-8965-1D744A93D2D1}">
  <ds:schemaRefs>
    <ds:schemaRef ds:uri="http://schemas.microsoft.com/office/infopath/2007/PartnerControls"/>
    <ds:schemaRef ds:uri="62e6d7e0-8f69-4736-9de7-41af03e42ea2"/>
    <ds:schemaRef ds:uri="http://purl.org/dc/terms/"/>
    <ds:schemaRef ds:uri="http://purl.org/dc/elements/1.1/"/>
    <ds:schemaRef ds:uri="http://schemas.microsoft.com/office/2006/metadata/properties"/>
    <ds:schemaRef ds:uri="http://purl.org/dc/dcmitype/"/>
    <ds:schemaRef ds:uri="http://schemas.microsoft.com/office/2006/documentManagement/types"/>
    <ds:schemaRef ds:uri="http://www.w3.org/XML/1998/namespace"/>
    <ds:schemaRef ds:uri="http://schemas.openxmlformats.org/package/2006/metadata/core-properties"/>
    <ds:schemaRef ds:uri="a2598ba4-4db0-4ba6-86e6-e93586821996"/>
  </ds:schemaRefs>
</ds:datastoreItem>
</file>

<file path=customXml/itemProps3.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4.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NDIS report template - branded purple.dotx</Template>
  <TotalTime>2</TotalTime>
  <Pages>134</Pages>
  <Words>34591</Words>
  <Characters>197173</Characters>
  <Application>Microsoft Office Word</Application>
  <DocSecurity>0</DocSecurity>
  <Lines>1643</Lines>
  <Paragraphs>462</Paragraphs>
  <ScaleCrop>false</ScaleCrop>
  <HeadingPairs>
    <vt:vector size="2" baseType="variant">
      <vt:variant>
        <vt:lpstr>Title</vt:lpstr>
      </vt:variant>
      <vt:variant>
        <vt:i4>1</vt:i4>
      </vt:variant>
    </vt:vector>
  </HeadingPairs>
  <TitlesOfParts>
    <vt:vector size="1" baseType="lpstr">
      <vt:lpstr>2024-25 Annual Pricing Review</vt:lpstr>
    </vt:vector>
  </TitlesOfParts>
  <Company>FaHCSIA</Company>
  <LinksUpToDate>false</LinksUpToDate>
  <CharactersWithSpaces>231302</CharactersWithSpaces>
  <SharedDoc>false</SharedDoc>
  <HLinks>
    <vt:vector size="234" baseType="variant">
      <vt:variant>
        <vt:i4>2490480</vt:i4>
      </vt:variant>
      <vt:variant>
        <vt:i4>597</vt:i4>
      </vt:variant>
      <vt:variant>
        <vt:i4>0</vt:i4>
      </vt:variant>
      <vt:variant>
        <vt:i4>5</vt:i4>
      </vt:variant>
      <vt:variant>
        <vt:lpwstr>http://relayservice.gov.au/</vt:lpwstr>
      </vt:variant>
      <vt:variant>
        <vt:lpwstr/>
      </vt:variant>
      <vt:variant>
        <vt:i4>1310729</vt:i4>
      </vt:variant>
      <vt:variant>
        <vt:i4>594</vt:i4>
      </vt:variant>
      <vt:variant>
        <vt:i4>0</vt:i4>
      </vt:variant>
      <vt:variant>
        <vt:i4>5</vt:i4>
      </vt:variant>
      <vt:variant>
        <vt:lpwstr>https://www.linkedin.com/company/national-disability-insurance-agency</vt:lpwstr>
      </vt:variant>
      <vt:variant>
        <vt:lpwstr/>
      </vt:variant>
      <vt:variant>
        <vt:i4>2228349</vt:i4>
      </vt:variant>
      <vt:variant>
        <vt:i4>591</vt:i4>
      </vt:variant>
      <vt:variant>
        <vt:i4>0</vt:i4>
      </vt:variant>
      <vt:variant>
        <vt:i4>5</vt:i4>
      </vt:variant>
      <vt:variant>
        <vt:lpwstr>https://www.youtube.com/user/DisabilityCare</vt:lpwstr>
      </vt:variant>
      <vt:variant>
        <vt:lpwstr/>
      </vt:variant>
      <vt:variant>
        <vt:i4>4194427</vt:i4>
      </vt:variant>
      <vt:variant>
        <vt:i4>588</vt:i4>
      </vt:variant>
      <vt:variant>
        <vt:i4>0</vt:i4>
      </vt:variant>
      <vt:variant>
        <vt:i4>5</vt:i4>
      </vt:variant>
      <vt:variant>
        <vt:lpwstr>https://www.instagram.com/ndis_australia/</vt:lpwstr>
      </vt:variant>
      <vt:variant>
        <vt:lpwstr/>
      </vt:variant>
      <vt:variant>
        <vt:i4>917586</vt:i4>
      </vt:variant>
      <vt:variant>
        <vt:i4>585</vt:i4>
      </vt:variant>
      <vt:variant>
        <vt:i4>0</vt:i4>
      </vt:variant>
      <vt:variant>
        <vt:i4>5</vt:i4>
      </vt:variant>
      <vt:variant>
        <vt:lpwstr>https://twitter.com/NDIS</vt:lpwstr>
      </vt:variant>
      <vt:variant>
        <vt:lpwstr/>
      </vt:variant>
      <vt:variant>
        <vt:i4>5439556</vt:i4>
      </vt:variant>
      <vt:variant>
        <vt:i4>582</vt:i4>
      </vt:variant>
      <vt:variant>
        <vt:i4>0</vt:i4>
      </vt:variant>
      <vt:variant>
        <vt:i4>5</vt:i4>
      </vt:variant>
      <vt:variant>
        <vt:lpwstr>https://www.facebook.com/NDISAus</vt:lpwstr>
      </vt:variant>
      <vt:variant>
        <vt:lpwstr/>
      </vt:variant>
      <vt:variant>
        <vt:i4>3539054</vt:i4>
      </vt:variant>
      <vt:variant>
        <vt:i4>579</vt:i4>
      </vt:variant>
      <vt:variant>
        <vt:i4>0</vt:i4>
      </vt:variant>
      <vt:variant>
        <vt:i4>5</vt:i4>
      </vt:variant>
      <vt:variant>
        <vt:lpwstr>http://ndis.gov.au/</vt:lpwstr>
      </vt:variant>
      <vt:variant>
        <vt:lpwstr/>
      </vt:variant>
      <vt:variant>
        <vt:i4>3539054</vt:i4>
      </vt:variant>
      <vt:variant>
        <vt:i4>576</vt:i4>
      </vt:variant>
      <vt:variant>
        <vt:i4>0</vt:i4>
      </vt:variant>
      <vt:variant>
        <vt:i4>5</vt:i4>
      </vt:variant>
      <vt:variant>
        <vt:lpwstr>http://ndis.gov.au/</vt:lpwstr>
      </vt:variant>
      <vt:variant>
        <vt:lpwstr/>
      </vt:variant>
      <vt:variant>
        <vt:i4>6291557</vt:i4>
      </vt:variant>
      <vt:variant>
        <vt:i4>567</vt:i4>
      </vt:variant>
      <vt:variant>
        <vt:i4>0</vt:i4>
      </vt:variant>
      <vt:variant>
        <vt:i4>5</vt:i4>
      </vt:variant>
      <vt:variant>
        <vt:lpwstr>https://www.ndis.gov.au/media/6668/download?attachment</vt:lpwstr>
      </vt:variant>
      <vt:variant>
        <vt:lpwstr/>
      </vt:variant>
      <vt:variant>
        <vt:i4>5832705</vt:i4>
      </vt:variant>
      <vt:variant>
        <vt:i4>423</vt:i4>
      </vt:variant>
      <vt:variant>
        <vt:i4>0</vt:i4>
      </vt:variant>
      <vt:variant>
        <vt:i4>5</vt:i4>
      </vt:variant>
      <vt:variant>
        <vt:lpwstr>https://www.ndis.gov.au/providers/pricing-arrangements/making-pricing-decisions/annual-pricing-review</vt:lpwstr>
      </vt:variant>
      <vt:variant>
        <vt:lpwstr/>
      </vt:variant>
      <vt:variant>
        <vt:i4>5832705</vt:i4>
      </vt:variant>
      <vt:variant>
        <vt:i4>261</vt:i4>
      </vt:variant>
      <vt:variant>
        <vt:i4>0</vt:i4>
      </vt:variant>
      <vt:variant>
        <vt:i4>5</vt:i4>
      </vt:variant>
      <vt:variant>
        <vt:lpwstr>https://www.ndis.gov.au/providers/pricing-arrangements/making-pricing-decisions/annual-pricing-review</vt:lpwstr>
      </vt:variant>
      <vt:variant>
        <vt:lpwstr/>
      </vt:variant>
      <vt:variant>
        <vt:i4>589908</vt:i4>
      </vt:variant>
      <vt:variant>
        <vt:i4>237</vt:i4>
      </vt:variant>
      <vt:variant>
        <vt:i4>0</vt:i4>
      </vt:variant>
      <vt:variant>
        <vt:i4>5</vt:i4>
      </vt:variant>
      <vt:variant>
        <vt:lpwstr>https://www.stewartbrown.com.au/images/documents/StewartBrown_-_FY23_Disability_Services_Financial_Benchmark_Report_final.pdf</vt:lpwstr>
      </vt:variant>
      <vt:variant>
        <vt:lpwstr/>
      </vt:variant>
      <vt:variant>
        <vt:i4>3080226</vt:i4>
      </vt:variant>
      <vt:variant>
        <vt:i4>228</vt:i4>
      </vt:variant>
      <vt:variant>
        <vt:i4>0</vt:i4>
      </vt:variant>
      <vt:variant>
        <vt:i4>5</vt:i4>
      </vt:variant>
      <vt:variant>
        <vt:lpwstr>https://www.abilityroundtable.org/</vt:lpwstr>
      </vt:variant>
      <vt:variant>
        <vt:lpwstr/>
      </vt:variant>
      <vt:variant>
        <vt:i4>1900593</vt:i4>
      </vt:variant>
      <vt:variant>
        <vt:i4>56</vt:i4>
      </vt:variant>
      <vt:variant>
        <vt:i4>0</vt:i4>
      </vt:variant>
      <vt:variant>
        <vt:i4>5</vt:i4>
      </vt:variant>
      <vt:variant>
        <vt:lpwstr/>
      </vt:variant>
      <vt:variant>
        <vt:lpwstr>_Toc164970353</vt:lpwstr>
      </vt:variant>
      <vt:variant>
        <vt:i4>1835057</vt:i4>
      </vt:variant>
      <vt:variant>
        <vt:i4>50</vt:i4>
      </vt:variant>
      <vt:variant>
        <vt:i4>0</vt:i4>
      </vt:variant>
      <vt:variant>
        <vt:i4>5</vt:i4>
      </vt:variant>
      <vt:variant>
        <vt:lpwstr/>
      </vt:variant>
      <vt:variant>
        <vt:lpwstr>_Toc164970341</vt:lpwstr>
      </vt:variant>
      <vt:variant>
        <vt:i4>1638449</vt:i4>
      </vt:variant>
      <vt:variant>
        <vt:i4>44</vt:i4>
      </vt:variant>
      <vt:variant>
        <vt:i4>0</vt:i4>
      </vt:variant>
      <vt:variant>
        <vt:i4>5</vt:i4>
      </vt:variant>
      <vt:variant>
        <vt:lpwstr/>
      </vt:variant>
      <vt:variant>
        <vt:lpwstr>_Toc164970316</vt:lpwstr>
      </vt:variant>
      <vt:variant>
        <vt:i4>1048624</vt:i4>
      </vt:variant>
      <vt:variant>
        <vt:i4>38</vt:i4>
      </vt:variant>
      <vt:variant>
        <vt:i4>0</vt:i4>
      </vt:variant>
      <vt:variant>
        <vt:i4>5</vt:i4>
      </vt:variant>
      <vt:variant>
        <vt:lpwstr/>
      </vt:variant>
      <vt:variant>
        <vt:lpwstr>_Toc164970286</vt:lpwstr>
      </vt:variant>
      <vt:variant>
        <vt:i4>1966128</vt:i4>
      </vt:variant>
      <vt:variant>
        <vt:i4>32</vt:i4>
      </vt:variant>
      <vt:variant>
        <vt:i4>0</vt:i4>
      </vt:variant>
      <vt:variant>
        <vt:i4>5</vt:i4>
      </vt:variant>
      <vt:variant>
        <vt:lpwstr/>
      </vt:variant>
      <vt:variant>
        <vt:lpwstr>_Toc164970260</vt:lpwstr>
      </vt:variant>
      <vt:variant>
        <vt:i4>1769520</vt:i4>
      </vt:variant>
      <vt:variant>
        <vt:i4>26</vt:i4>
      </vt:variant>
      <vt:variant>
        <vt:i4>0</vt:i4>
      </vt:variant>
      <vt:variant>
        <vt:i4>5</vt:i4>
      </vt:variant>
      <vt:variant>
        <vt:lpwstr/>
      </vt:variant>
      <vt:variant>
        <vt:lpwstr>_Toc164970238</vt:lpwstr>
      </vt:variant>
      <vt:variant>
        <vt:i4>1703984</vt:i4>
      </vt:variant>
      <vt:variant>
        <vt:i4>20</vt:i4>
      </vt:variant>
      <vt:variant>
        <vt:i4>0</vt:i4>
      </vt:variant>
      <vt:variant>
        <vt:i4>5</vt:i4>
      </vt:variant>
      <vt:variant>
        <vt:lpwstr/>
      </vt:variant>
      <vt:variant>
        <vt:lpwstr>_Toc164970229</vt:lpwstr>
      </vt:variant>
      <vt:variant>
        <vt:i4>1638448</vt:i4>
      </vt:variant>
      <vt:variant>
        <vt:i4>14</vt:i4>
      </vt:variant>
      <vt:variant>
        <vt:i4>0</vt:i4>
      </vt:variant>
      <vt:variant>
        <vt:i4>5</vt:i4>
      </vt:variant>
      <vt:variant>
        <vt:lpwstr/>
      </vt:variant>
      <vt:variant>
        <vt:lpwstr>_Toc164970216</vt:lpwstr>
      </vt:variant>
      <vt:variant>
        <vt:i4>1048627</vt:i4>
      </vt:variant>
      <vt:variant>
        <vt:i4>8</vt:i4>
      </vt:variant>
      <vt:variant>
        <vt:i4>0</vt:i4>
      </vt:variant>
      <vt:variant>
        <vt:i4>5</vt:i4>
      </vt:variant>
      <vt:variant>
        <vt:lpwstr/>
      </vt:variant>
      <vt:variant>
        <vt:lpwstr>_Toc164970181</vt:lpwstr>
      </vt:variant>
      <vt:variant>
        <vt:i4>2031667</vt:i4>
      </vt:variant>
      <vt:variant>
        <vt:i4>2</vt:i4>
      </vt:variant>
      <vt:variant>
        <vt:i4>0</vt:i4>
      </vt:variant>
      <vt:variant>
        <vt:i4>5</vt:i4>
      </vt:variant>
      <vt:variant>
        <vt:lpwstr/>
      </vt:variant>
      <vt:variant>
        <vt:lpwstr>_Toc164970178</vt:lpwstr>
      </vt:variant>
      <vt:variant>
        <vt:i4>7209061</vt:i4>
      </vt:variant>
      <vt:variant>
        <vt:i4>45</vt:i4>
      </vt:variant>
      <vt:variant>
        <vt:i4>0</vt:i4>
      </vt:variant>
      <vt:variant>
        <vt:i4>5</vt:i4>
      </vt:variant>
      <vt:variant>
        <vt:lpwstr>https://www.ndis.gov.au/media/3636/download?attachment</vt:lpwstr>
      </vt:variant>
      <vt:variant>
        <vt:lpwstr/>
      </vt:variant>
      <vt:variant>
        <vt:i4>7733294</vt:i4>
      </vt:variant>
      <vt:variant>
        <vt:i4>42</vt:i4>
      </vt:variant>
      <vt:variant>
        <vt:i4>0</vt:i4>
      </vt:variant>
      <vt:variant>
        <vt:i4>5</vt:i4>
      </vt:variant>
      <vt:variant>
        <vt:lpwstr>https://ministers.dss.gov.au/media-releases/14236</vt:lpwstr>
      </vt:variant>
      <vt:variant>
        <vt:lpwstr>:~:text=The%20NDIS%20Commission%20will%20tackle,while%20supporting%20the%20taskforce's%20work.</vt:lpwstr>
      </vt:variant>
      <vt:variant>
        <vt:i4>6422640</vt:i4>
      </vt:variant>
      <vt:variant>
        <vt:i4>39</vt:i4>
      </vt:variant>
      <vt:variant>
        <vt:i4>0</vt:i4>
      </vt:variant>
      <vt:variant>
        <vt:i4>5</vt:i4>
      </vt:variant>
      <vt:variant>
        <vt:lpwstr>https://www.ndis.gov.au/news/9819-new-taskforce-help-improve-ndis-registration</vt:lpwstr>
      </vt:variant>
      <vt:variant>
        <vt:lpwstr/>
      </vt:variant>
      <vt:variant>
        <vt:i4>5111833</vt:i4>
      </vt:variant>
      <vt:variant>
        <vt:i4>36</vt:i4>
      </vt:variant>
      <vt:variant>
        <vt:i4>0</vt:i4>
      </vt:variant>
      <vt:variant>
        <vt:i4>5</vt:i4>
      </vt:variant>
      <vt:variant>
        <vt:lpwstr>https://www.ndis.gov.au/about-us/fraud-and-non-compliance/fraud-fusion-taskforce</vt:lpwstr>
      </vt:variant>
      <vt:variant>
        <vt:lpwstr/>
      </vt:variant>
      <vt:variant>
        <vt:i4>7077991</vt:i4>
      </vt:variant>
      <vt:variant>
        <vt:i4>33</vt:i4>
      </vt:variant>
      <vt:variant>
        <vt:i4>0</vt:i4>
      </vt:variant>
      <vt:variant>
        <vt:i4>5</vt:i4>
      </vt:variant>
      <vt:variant>
        <vt:lpwstr>https://www.ndis.gov.au/media/6341/download?attachment</vt:lpwstr>
      </vt:variant>
      <vt:variant>
        <vt:lpwstr/>
      </vt:variant>
      <vt:variant>
        <vt:i4>7209056</vt:i4>
      </vt:variant>
      <vt:variant>
        <vt:i4>30</vt:i4>
      </vt:variant>
      <vt:variant>
        <vt:i4>0</vt:i4>
      </vt:variant>
      <vt:variant>
        <vt:i4>5</vt:i4>
      </vt:variant>
      <vt:variant>
        <vt:lpwstr>https://www.ndis.gov.au/media/6636/download?attachment</vt:lpwstr>
      </vt:variant>
      <vt:variant>
        <vt:lpwstr/>
      </vt:variant>
      <vt:variant>
        <vt:i4>4063355</vt:i4>
      </vt:variant>
      <vt:variant>
        <vt:i4>27</vt:i4>
      </vt:variant>
      <vt:variant>
        <vt:i4>0</vt:i4>
      </vt:variant>
      <vt:variant>
        <vt:i4>5</vt:i4>
      </vt:variant>
      <vt:variant>
        <vt:lpwstr>https://www.agedcarequality.gov.au/resource-library/provider-guidance-home-services-pricing-and-agreements</vt:lpwstr>
      </vt:variant>
      <vt:variant>
        <vt:lpwstr/>
      </vt:variant>
      <vt:variant>
        <vt:i4>3670053</vt:i4>
      </vt:variant>
      <vt:variant>
        <vt:i4>24</vt:i4>
      </vt:variant>
      <vt:variant>
        <vt:i4>0</vt:i4>
      </vt:variant>
      <vt:variant>
        <vt:i4>5</vt:i4>
      </vt:variant>
      <vt:variant>
        <vt:lpwstr>https://www.agedcarequality.gov.au/</vt:lpwstr>
      </vt:variant>
      <vt:variant>
        <vt:lpwstr/>
      </vt:variant>
      <vt:variant>
        <vt:i4>7798835</vt:i4>
      </vt:variant>
      <vt:variant>
        <vt:i4>21</vt:i4>
      </vt:variant>
      <vt:variant>
        <vt:i4>0</vt:i4>
      </vt:variant>
      <vt:variant>
        <vt:i4>5</vt:i4>
      </vt:variant>
      <vt:variant>
        <vt:lpwstr>https://www.ato.gov.au/tax-rates-and-codes/key-superannuation-rates-and-thresholds/super-guarantee</vt:lpwstr>
      </vt:variant>
      <vt:variant>
        <vt:lpwstr/>
      </vt:variant>
      <vt:variant>
        <vt:i4>7929879</vt:i4>
      </vt:variant>
      <vt:variant>
        <vt:i4>18</vt:i4>
      </vt:variant>
      <vt:variant>
        <vt:i4>0</vt:i4>
      </vt:variant>
      <vt:variant>
        <vt:i4>5</vt:i4>
      </vt:variant>
      <vt:variant>
        <vt:lpwstr>https://budget.gov.au/content/bp2/download/bp2_2024-25.pdf</vt:lpwstr>
      </vt:variant>
      <vt:variant>
        <vt:lpwstr/>
      </vt:variant>
      <vt:variant>
        <vt:i4>1048661</vt:i4>
      </vt:variant>
      <vt:variant>
        <vt:i4>15</vt:i4>
      </vt:variant>
      <vt:variant>
        <vt:i4>0</vt:i4>
      </vt:variant>
      <vt:variant>
        <vt:i4>5</vt:i4>
      </vt:variant>
      <vt:variant>
        <vt:lpwstr>https://www.nds.org.au/resources/all-resources/key-financial-ratios-tool</vt:lpwstr>
      </vt:variant>
      <vt:variant>
        <vt:lpwstr/>
      </vt:variant>
      <vt:variant>
        <vt:i4>7274550</vt:i4>
      </vt:variant>
      <vt:variant>
        <vt:i4>12</vt:i4>
      </vt:variant>
      <vt:variant>
        <vt:i4>0</vt:i4>
      </vt:variant>
      <vt:variant>
        <vt:i4>5</vt:i4>
      </vt:variant>
      <vt:variant>
        <vt:lpwstr>https://www.fwc.gov.au/documents/awards/variations/2021/am202099-63-65-draftdet-aged-150324.pdf</vt:lpwstr>
      </vt:variant>
      <vt:variant>
        <vt:lpwstr/>
      </vt:variant>
      <vt:variant>
        <vt:i4>7929917</vt:i4>
      </vt:variant>
      <vt:variant>
        <vt:i4>9</vt:i4>
      </vt:variant>
      <vt:variant>
        <vt:i4>0</vt:i4>
      </vt:variant>
      <vt:variant>
        <vt:i4>5</vt:i4>
      </vt:variant>
      <vt:variant>
        <vt:lpwstr>https://www.fairwork.gov.au/pay-and-wages/minimum-wages/pay-guides</vt:lpwstr>
      </vt:variant>
      <vt:variant>
        <vt:lpwstr/>
      </vt:variant>
      <vt:variant>
        <vt:i4>7929917</vt:i4>
      </vt:variant>
      <vt:variant>
        <vt:i4>6</vt:i4>
      </vt:variant>
      <vt:variant>
        <vt:i4>0</vt:i4>
      </vt:variant>
      <vt:variant>
        <vt:i4>5</vt:i4>
      </vt:variant>
      <vt:variant>
        <vt:lpwstr>https://www.fairwork.gov.au/pay-and-wages/minimum-wages/pay-guides</vt:lpwstr>
      </vt:variant>
      <vt:variant>
        <vt:lpwstr/>
      </vt:variant>
      <vt:variant>
        <vt:i4>7274550</vt:i4>
      </vt:variant>
      <vt:variant>
        <vt:i4>3</vt:i4>
      </vt:variant>
      <vt:variant>
        <vt:i4>0</vt:i4>
      </vt:variant>
      <vt:variant>
        <vt:i4>5</vt:i4>
      </vt:variant>
      <vt:variant>
        <vt:lpwstr>https://www.fwc.gov.au/documents/awards/variations/2021/am202099-63-65-draftdet-aged-150324.pdf</vt:lpwstr>
      </vt:variant>
      <vt:variant>
        <vt:lpwstr/>
      </vt:variant>
      <vt:variant>
        <vt:i4>7995412</vt:i4>
      </vt:variant>
      <vt:variant>
        <vt:i4>0</vt:i4>
      </vt:variant>
      <vt:variant>
        <vt:i4>0</vt:i4>
      </vt:variant>
      <vt:variant>
        <vt:i4>5</vt:i4>
      </vt:variant>
      <vt:variant>
        <vt:lpwstr>https://budget.gov.au/content/bp1/download/bp1_2024-25.pdf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2024-25 Annual Pricing Review</dc:title>
  <dc:subject/>
  <dc:creator>National Disability Insurance Agency</dc:creator>
  <cp:keywords/>
  <dc:description/>
  <cp:lastModifiedBy>Hampton, Mary</cp:lastModifiedBy>
  <cp:revision>3</cp:revision>
  <cp:lastPrinted>2025-06-08T07:44:00Z</cp:lastPrinted>
  <dcterms:created xsi:type="dcterms:W3CDTF">2025-06-11T11:10:00Z</dcterms:created>
  <dcterms:modified xsi:type="dcterms:W3CDTF">2025-06-11T11:13:00Z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TaxCatchAll">
    <vt:lpwstr>20;#;#12;#;#2;#;#1;#</vt:lpwstr>
  </property>
  <property fmtid="{D5CDD505-2E9C-101B-9397-08002B2CF9AE}" pid="13" name="DocumentType_1">
    <vt:lpwstr>Template|134e8c49-a2b9-47ae-b156-db0bee5ca248</vt:lpwstr>
  </property>
  <property fmtid="{D5CDD505-2E9C-101B-9397-08002B2CF9AE}" pid="14" name="ApprovedDate">
    <vt:lpwstr/>
  </property>
  <property fmtid="{D5CDD505-2E9C-101B-9397-08002B2CF9AE}" pid="15" name="ReviewDate">
    <vt:lpwstr/>
  </property>
  <property fmtid="{D5CDD505-2E9C-101B-9397-08002B2CF9AE}" pid="16" name="EffectiveDate">
    <vt:lpwstr/>
  </property>
  <property fmtid="{D5CDD505-2E9C-101B-9397-08002B2CF9AE}" pid="17" name="ResponsibleTeam">
    <vt:lpwstr/>
  </property>
  <property fmtid="{D5CDD505-2E9C-101B-9397-08002B2CF9AE}" pid="18" name="DocumentID">
    <vt:lpwstr/>
  </property>
  <property fmtid="{D5CDD505-2E9C-101B-9397-08002B2CF9AE}" pid="19" name="Subject matter">
    <vt:lpwstr/>
  </property>
  <property fmtid="{D5CDD505-2E9C-101B-9397-08002B2CF9AE}" pid="20" name="MSIP_Label_2b83f8d7-e91f-4eee-a336-52a8061c0503_Enabled">
    <vt:lpwstr>true</vt:lpwstr>
  </property>
  <property fmtid="{D5CDD505-2E9C-101B-9397-08002B2CF9AE}" pid="21" name="MSIP_Label_2b83f8d7-e91f-4eee-a336-52a8061c0503_SetDate">
    <vt:lpwstr>2023-02-13T04:53:41Z</vt:lpwstr>
  </property>
  <property fmtid="{D5CDD505-2E9C-101B-9397-08002B2CF9AE}" pid="22" name="MSIP_Label_2b83f8d7-e91f-4eee-a336-52a8061c0503_Method">
    <vt:lpwstr>Privileged</vt:lpwstr>
  </property>
  <property fmtid="{D5CDD505-2E9C-101B-9397-08002B2CF9AE}" pid="23" name="MSIP_Label_2b83f8d7-e91f-4eee-a336-52a8061c0503_Name">
    <vt:lpwstr>OFFICIAL</vt:lpwstr>
  </property>
  <property fmtid="{D5CDD505-2E9C-101B-9397-08002B2CF9AE}" pid="24" name="MSIP_Label_2b83f8d7-e91f-4eee-a336-52a8061c0503_SiteId">
    <vt:lpwstr>cd778b65-752d-454a-87cf-b9990fe58993</vt:lpwstr>
  </property>
  <property fmtid="{D5CDD505-2E9C-101B-9397-08002B2CF9AE}" pid="25" name="MSIP_Label_2b83f8d7-e91f-4eee-a336-52a8061c0503_ActionId">
    <vt:lpwstr>9b9d9541-d3b1-4b4c-9833-1ea6362b69d8</vt:lpwstr>
  </property>
  <property fmtid="{D5CDD505-2E9C-101B-9397-08002B2CF9AE}" pid="26" name="MSIP_Label_2b83f8d7-e91f-4eee-a336-52a8061c0503_ContentBits">
    <vt:lpwstr>0</vt:lpwstr>
  </property>
  <property fmtid="{D5CDD505-2E9C-101B-9397-08002B2CF9AE}" pid="27" name="MediaServiceImageTags">
    <vt:lpwstr/>
  </property>
</Properties>
</file>