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2.xml" ContentType="application/vnd.openxmlformats-officedocument.wordprocessingml.foot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2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7.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45BF5D" w14:textId="2971031D" w:rsidR="00821A87" w:rsidRPr="00A33264" w:rsidRDefault="005921BC" w:rsidP="00F67217">
      <w:pPr>
        <w:pStyle w:val="Heading1"/>
        <w:spacing w:before="2800"/>
        <w:rPr>
          <w:lang w:val="en-GB"/>
        </w:rPr>
      </w:pPr>
      <w:bookmarkStart w:id="0" w:name="_Toc169592950"/>
      <w:bookmarkStart w:id="1" w:name="_Toc174354172"/>
      <w:bookmarkStart w:id="2" w:name="_Toc174354226"/>
      <w:bookmarkStart w:id="3" w:name="_Toc180488027"/>
      <w:bookmarkStart w:id="4" w:name="_Toc180505649"/>
      <w:r w:rsidRPr="00A33264">
        <w:rPr>
          <w:lang w:val="en-GB"/>
        </w:rPr>
        <w:t>Annual Report</w:t>
      </w:r>
      <w:r w:rsidR="00F67217">
        <w:rPr>
          <w:lang w:val="en-GB"/>
        </w:rPr>
        <w:br/>
      </w:r>
      <w:r w:rsidRPr="00A33264">
        <w:rPr>
          <w:lang w:val="en-GB"/>
        </w:rPr>
        <w:t>2023–24</w:t>
      </w:r>
      <w:bookmarkStart w:id="5" w:name="_Toc157528057"/>
      <w:bookmarkStart w:id="6" w:name="_Toc157528252"/>
      <w:bookmarkStart w:id="7" w:name="_Toc157529519"/>
      <w:bookmarkStart w:id="8" w:name="_Toc157529657"/>
      <w:bookmarkStart w:id="9" w:name="_Toc157679812"/>
      <w:bookmarkStart w:id="10" w:name="_Toc157682116"/>
      <w:bookmarkStart w:id="11" w:name="_Toc169592951"/>
      <w:bookmarkEnd w:id="0"/>
      <w:bookmarkEnd w:id="1"/>
      <w:bookmarkEnd w:id="2"/>
      <w:bookmarkEnd w:id="3"/>
      <w:bookmarkEnd w:id="4"/>
    </w:p>
    <w:p w14:paraId="0D1746E9" w14:textId="77777777" w:rsidR="00F67217" w:rsidRDefault="00F67217">
      <w:pPr>
        <w:spacing w:after="0" w:line="240" w:lineRule="auto"/>
        <w:rPr>
          <w:lang w:val="en-GB"/>
        </w:rPr>
        <w:sectPr w:rsidR="00F67217" w:rsidSect="00BF265E">
          <w:headerReference w:type="default" r:id="rId11"/>
          <w:footerReference w:type="default" r:id="rId12"/>
          <w:headerReference w:type="first" r:id="rId13"/>
          <w:footerReference w:type="first" r:id="rId14"/>
          <w:pgSz w:w="11906" w:h="16838" w:code="9"/>
          <w:pgMar w:top="1701" w:right="1440" w:bottom="1440" w:left="1440" w:header="561" w:footer="374" w:gutter="0"/>
          <w:cols w:space="708"/>
          <w:titlePg/>
          <w:docGrid w:linePitch="360"/>
        </w:sectPr>
      </w:pPr>
    </w:p>
    <w:p w14:paraId="7D5841EB" w14:textId="77777777" w:rsidR="00821A87" w:rsidRDefault="00BE3421" w:rsidP="009E1CB5">
      <w:pPr>
        <w:pStyle w:val="TOCHeading"/>
        <w:spacing w:after="240"/>
      </w:pPr>
      <w:r w:rsidRPr="00BE3421">
        <w:lastRenderedPageBreak/>
        <w:t>Miracle child Mia is living a happy, fulfilling life</w:t>
      </w:r>
    </w:p>
    <w:p w14:paraId="51922BA3" w14:textId="77777777" w:rsidR="00BE3421" w:rsidRPr="00BE3421" w:rsidRDefault="00BE3421" w:rsidP="00BE3421">
      <w:pPr>
        <w:rPr>
          <w:lang w:val="en-US" w:eastAsia="en-US"/>
        </w:rPr>
      </w:pPr>
      <w:r w:rsidRPr="00BE3421">
        <w:rPr>
          <w:lang w:val="en-US" w:eastAsia="en-US"/>
        </w:rPr>
        <w:t xml:space="preserve">Margie Mutambara </w:t>
      </w:r>
      <w:proofErr w:type="gramStart"/>
      <w:r w:rsidRPr="00BE3421">
        <w:rPr>
          <w:lang w:val="en-US" w:eastAsia="en-US"/>
        </w:rPr>
        <w:t>can’t</w:t>
      </w:r>
      <w:proofErr w:type="gramEnd"/>
      <w:r w:rsidRPr="00BE3421">
        <w:rPr>
          <w:lang w:val="en-US" w:eastAsia="en-US"/>
        </w:rPr>
        <w:t xml:space="preserve"> believe her daughter, Mia, is 12.</w:t>
      </w:r>
    </w:p>
    <w:p w14:paraId="6FA0DBDC" w14:textId="77777777" w:rsidR="00BE3421" w:rsidRPr="00BE3421" w:rsidRDefault="00BE3421" w:rsidP="00BE3421">
      <w:pPr>
        <w:rPr>
          <w:lang w:val="en-US" w:eastAsia="en-US"/>
        </w:rPr>
      </w:pPr>
      <w:r w:rsidRPr="00BE3421">
        <w:rPr>
          <w:lang w:val="en-US" w:eastAsia="en-US"/>
        </w:rPr>
        <w:t>‘When Mia was born, doctors didn’t think she would make it to her first birthday,’ Margie said.</w:t>
      </w:r>
    </w:p>
    <w:p w14:paraId="091F8A5A" w14:textId="77777777" w:rsidR="00BE3421" w:rsidRPr="00BE3421" w:rsidRDefault="00BE3421" w:rsidP="00BE3421">
      <w:pPr>
        <w:rPr>
          <w:lang w:val="en-US" w:eastAsia="en-US"/>
        </w:rPr>
      </w:pPr>
      <w:r w:rsidRPr="00BE3421">
        <w:rPr>
          <w:lang w:val="en-US" w:eastAsia="en-US"/>
        </w:rPr>
        <w:t xml:space="preserve">‘Since then, every birthday has been so special. </w:t>
      </w:r>
      <w:proofErr w:type="gramStart"/>
      <w:r w:rsidRPr="00BE3421">
        <w:rPr>
          <w:lang w:val="en-US" w:eastAsia="en-US"/>
        </w:rPr>
        <w:t>It’s</w:t>
      </w:r>
      <w:proofErr w:type="gramEnd"/>
      <w:r w:rsidRPr="00BE3421">
        <w:rPr>
          <w:lang w:val="en-US" w:eastAsia="en-US"/>
        </w:rPr>
        <w:t xml:space="preserve"> been a remarkable journey – I call it my miracle story!’ she added.</w:t>
      </w:r>
    </w:p>
    <w:p w14:paraId="1A0B42E3" w14:textId="77777777" w:rsidR="00BE3421" w:rsidRPr="00BE3421" w:rsidRDefault="00BE3421" w:rsidP="00BE3421">
      <w:pPr>
        <w:rPr>
          <w:lang w:val="en-US" w:eastAsia="en-US"/>
        </w:rPr>
      </w:pPr>
      <w:r w:rsidRPr="00BE3421">
        <w:rPr>
          <w:lang w:val="en-US" w:eastAsia="en-US"/>
        </w:rPr>
        <w:t>Mia is defying the odds. She was born with lobar holoprosencephaly, a rare disability that affects her ability to sit up, walk and speak.</w:t>
      </w:r>
    </w:p>
    <w:p w14:paraId="3D11CE0A" w14:textId="77777777" w:rsidR="00BE3421" w:rsidRPr="00BE3421" w:rsidRDefault="00BE3421" w:rsidP="00BE3421">
      <w:pPr>
        <w:rPr>
          <w:lang w:val="en-US" w:eastAsia="en-US"/>
        </w:rPr>
      </w:pPr>
      <w:r w:rsidRPr="00BE3421">
        <w:rPr>
          <w:lang w:val="en-US" w:eastAsia="en-US"/>
        </w:rPr>
        <w:t>‘Mia loves going to school and enjoys regular occupational, physio and hydro therapies.</w:t>
      </w:r>
    </w:p>
    <w:p w14:paraId="6F1A2BB9" w14:textId="77777777" w:rsidR="00BE3421" w:rsidRPr="00BE3421" w:rsidRDefault="00BE3421" w:rsidP="00BE3421">
      <w:pPr>
        <w:rPr>
          <w:lang w:val="en-US" w:eastAsia="en-US"/>
        </w:rPr>
      </w:pPr>
      <w:proofErr w:type="gramStart"/>
      <w:r w:rsidRPr="00BE3421">
        <w:rPr>
          <w:lang w:val="en-US" w:eastAsia="en-US"/>
        </w:rPr>
        <w:t>They’re</w:t>
      </w:r>
      <w:proofErr w:type="gramEnd"/>
      <w:r w:rsidRPr="00BE3421">
        <w:rPr>
          <w:lang w:val="en-US" w:eastAsia="en-US"/>
        </w:rPr>
        <w:t xml:space="preserve"> really helping her develop physically and mentally,’ Margie said.</w:t>
      </w:r>
    </w:p>
    <w:p w14:paraId="5A0C4D18" w14:textId="77777777" w:rsidR="00BE3421" w:rsidRPr="00BE3421" w:rsidRDefault="00BE3421" w:rsidP="00BE3421">
      <w:pPr>
        <w:rPr>
          <w:lang w:val="en-US" w:eastAsia="en-US"/>
        </w:rPr>
      </w:pPr>
      <w:r w:rsidRPr="00BE3421">
        <w:rPr>
          <w:lang w:val="en-US" w:eastAsia="en-US"/>
        </w:rPr>
        <w:t xml:space="preserve">‘Mia loves being around people. She understands </w:t>
      </w:r>
      <w:proofErr w:type="gramStart"/>
      <w:r w:rsidRPr="00BE3421">
        <w:rPr>
          <w:lang w:val="en-US" w:eastAsia="en-US"/>
        </w:rPr>
        <w:t>what’s</w:t>
      </w:r>
      <w:proofErr w:type="gramEnd"/>
      <w:r w:rsidRPr="00BE3421">
        <w:rPr>
          <w:lang w:val="en-US" w:eastAsia="en-US"/>
        </w:rPr>
        <w:t xml:space="preserve"> going on around her and joins in. We love it.’</w:t>
      </w:r>
    </w:p>
    <w:p w14:paraId="24F67959" w14:textId="77777777" w:rsidR="00BE3421" w:rsidRPr="00BE3421" w:rsidRDefault="00BE3421" w:rsidP="00BE3421">
      <w:pPr>
        <w:rPr>
          <w:lang w:val="en-US" w:eastAsia="en-US"/>
        </w:rPr>
      </w:pPr>
      <w:r w:rsidRPr="00BE3421">
        <w:rPr>
          <w:lang w:val="en-US" w:eastAsia="en-US"/>
        </w:rPr>
        <w:t>Mia uses eye gaze technology to communicate.</w:t>
      </w:r>
    </w:p>
    <w:p w14:paraId="1604AF09" w14:textId="77777777" w:rsidR="00BE3421" w:rsidRPr="00BE3421" w:rsidRDefault="00BE3421" w:rsidP="00BE3421">
      <w:pPr>
        <w:rPr>
          <w:lang w:val="en-US" w:eastAsia="en-US"/>
        </w:rPr>
      </w:pPr>
      <w:r w:rsidRPr="00BE3421">
        <w:rPr>
          <w:lang w:val="en-US" w:eastAsia="en-US"/>
        </w:rPr>
        <w:t>‘It’s revolutionary really,’ Margie explained. ‘</w:t>
      </w:r>
      <w:proofErr w:type="gramStart"/>
      <w:r w:rsidRPr="00BE3421">
        <w:rPr>
          <w:lang w:val="en-US" w:eastAsia="en-US"/>
        </w:rPr>
        <w:t>It’s</w:t>
      </w:r>
      <w:proofErr w:type="gramEnd"/>
      <w:r w:rsidRPr="00BE3421">
        <w:rPr>
          <w:lang w:val="en-US" w:eastAsia="en-US"/>
        </w:rPr>
        <w:t xml:space="preserve"> an app on her computer. It has </w:t>
      </w:r>
      <w:proofErr w:type="gramStart"/>
      <w:r w:rsidRPr="00BE3421">
        <w:rPr>
          <w:lang w:val="en-US" w:eastAsia="en-US"/>
        </w:rPr>
        <w:t>16</w:t>
      </w:r>
      <w:proofErr w:type="gramEnd"/>
      <w:r w:rsidRPr="00BE3421">
        <w:rPr>
          <w:lang w:val="en-US" w:eastAsia="en-US"/>
        </w:rPr>
        <w:t xml:space="preserve"> cells, and each cell has a picture.</w:t>
      </w:r>
    </w:p>
    <w:p w14:paraId="4CBBB2B4" w14:textId="77777777" w:rsidR="00BE3421" w:rsidRPr="00BE3421" w:rsidRDefault="00BE3421" w:rsidP="00BE3421">
      <w:pPr>
        <w:rPr>
          <w:lang w:val="en-US" w:eastAsia="en-US"/>
        </w:rPr>
      </w:pPr>
      <w:r w:rsidRPr="00BE3421">
        <w:rPr>
          <w:lang w:val="en-US" w:eastAsia="en-US"/>
        </w:rPr>
        <w:t xml:space="preserve">‘If Mia wants to say something, like </w:t>
      </w:r>
      <w:proofErr w:type="gramStart"/>
      <w:r w:rsidRPr="00BE3421">
        <w:rPr>
          <w:lang w:val="en-US" w:eastAsia="en-US"/>
        </w:rPr>
        <w:t>she’s</w:t>
      </w:r>
      <w:proofErr w:type="gramEnd"/>
      <w:r w:rsidRPr="00BE3421">
        <w:rPr>
          <w:lang w:val="en-US" w:eastAsia="en-US"/>
        </w:rPr>
        <w:t xml:space="preserve"> feeling sad, she gazes at the sad face picture for a few seconds, then it will vocalise she’s sad. It helps us understand her feelings and meet her needs.</w:t>
      </w:r>
    </w:p>
    <w:p w14:paraId="57C37357" w14:textId="77777777" w:rsidR="00BE3421" w:rsidRPr="00BE3421" w:rsidRDefault="00BE3421" w:rsidP="00BE3421">
      <w:pPr>
        <w:rPr>
          <w:lang w:val="en-US" w:eastAsia="en-US"/>
        </w:rPr>
      </w:pPr>
      <w:r w:rsidRPr="00BE3421">
        <w:rPr>
          <w:lang w:val="en-US" w:eastAsia="en-US"/>
        </w:rPr>
        <w:t xml:space="preserve">‘Mia is quite a character. </w:t>
      </w:r>
      <w:proofErr w:type="gramStart"/>
      <w:r w:rsidRPr="00BE3421">
        <w:rPr>
          <w:lang w:val="en-US" w:eastAsia="en-US"/>
        </w:rPr>
        <w:t>She’s</w:t>
      </w:r>
      <w:proofErr w:type="gramEnd"/>
      <w:r w:rsidRPr="00BE3421">
        <w:rPr>
          <w:lang w:val="en-US" w:eastAsia="en-US"/>
        </w:rPr>
        <w:t xml:space="preserve"> sassy. She uses her eye gaze app to say </w:t>
      </w:r>
      <w:proofErr w:type="gramStart"/>
      <w:r w:rsidRPr="00BE3421">
        <w:rPr>
          <w:lang w:val="en-US" w:eastAsia="en-US"/>
        </w:rPr>
        <w:t>she’s</w:t>
      </w:r>
      <w:proofErr w:type="gramEnd"/>
      <w:r w:rsidRPr="00BE3421">
        <w:rPr>
          <w:lang w:val="en-US" w:eastAsia="en-US"/>
        </w:rPr>
        <w:t xml:space="preserve"> bored, ask what you’re doing, or tell you to stop making too much noise!’ Margie laughed.</w:t>
      </w:r>
    </w:p>
    <w:p w14:paraId="002CA32E" w14:textId="77777777" w:rsidR="00BE3421" w:rsidRPr="00BE3421" w:rsidRDefault="00BE3421" w:rsidP="00BE3421">
      <w:pPr>
        <w:rPr>
          <w:lang w:val="en-US" w:eastAsia="en-US"/>
        </w:rPr>
      </w:pPr>
      <w:r w:rsidRPr="00BE3421">
        <w:rPr>
          <w:lang w:val="en-US" w:eastAsia="en-US"/>
        </w:rPr>
        <w:t xml:space="preserve">Margie works as a teacher 4 days a </w:t>
      </w:r>
      <w:proofErr w:type="gramStart"/>
      <w:r w:rsidRPr="00BE3421">
        <w:rPr>
          <w:lang w:val="en-US" w:eastAsia="en-US"/>
        </w:rPr>
        <w:t>week, and</w:t>
      </w:r>
      <w:proofErr w:type="gramEnd"/>
      <w:r w:rsidRPr="00BE3421">
        <w:rPr>
          <w:lang w:val="en-US" w:eastAsia="en-US"/>
        </w:rPr>
        <w:t xml:space="preserve"> says she’s grateful to the NDIS for the supports and equipment Mia has received.</w:t>
      </w:r>
    </w:p>
    <w:p w14:paraId="35695987" w14:textId="4B7CD5A1" w:rsidR="00BE3421" w:rsidRPr="00BE3421" w:rsidRDefault="00BE3421" w:rsidP="00BE3421">
      <w:pPr>
        <w:rPr>
          <w:lang w:val="en-US" w:eastAsia="en-US"/>
        </w:rPr>
      </w:pPr>
      <w:r w:rsidRPr="00BE3421">
        <w:rPr>
          <w:lang w:val="en-US" w:eastAsia="en-US"/>
        </w:rPr>
        <w:t xml:space="preserve">‘Mia is living a happy and fulfilling life. </w:t>
      </w:r>
      <w:proofErr w:type="gramStart"/>
      <w:r w:rsidRPr="00BE3421">
        <w:rPr>
          <w:lang w:val="en-US" w:eastAsia="en-US"/>
        </w:rPr>
        <w:t>It’s</w:t>
      </w:r>
      <w:proofErr w:type="gramEnd"/>
      <w:r w:rsidRPr="00BE3421">
        <w:rPr>
          <w:lang w:val="en-US" w:eastAsia="en-US"/>
        </w:rPr>
        <w:t xml:space="preserve"> beautiful to see.’</w:t>
      </w:r>
    </w:p>
    <w:p w14:paraId="135D87E8" w14:textId="1B894A65" w:rsidR="00BE3421" w:rsidRPr="00BE3421" w:rsidRDefault="00BE3421" w:rsidP="00BE3421">
      <w:pPr>
        <w:rPr>
          <w:lang w:val="en-US" w:eastAsia="en-US"/>
        </w:rPr>
        <w:sectPr w:rsidR="00BE3421" w:rsidRPr="00BE3421" w:rsidSect="007D1B8F">
          <w:headerReference w:type="first" r:id="rId15"/>
          <w:footerReference w:type="first" r:id="rId16"/>
          <w:pgSz w:w="11906" w:h="16838" w:code="9"/>
          <w:pgMar w:top="1361" w:right="1361" w:bottom="1361" w:left="1361" w:header="561" w:footer="374" w:gutter="0"/>
          <w:cols w:space="708"/>
          <w:titlePg/>
          <w:docGrid w:linePitch="360"/>
        </w:sectPr>
      </w:pPr>
    </w:p>
    <w:p w14:paraId="51245187" w14:textId="2F5EBCAD" w:rsidR="00C4270E" w:rsidRPr="00A33264" w:rsidRDefault="005F5CE9" w:rsidP="00D000EA">
      <w:pPr>
        <w:pStyle w:val="TOCHeading"/>
        <w:rPr>
          <w:lang w:val="en-GB"/>
        </w:rPr>
      </w:pPr>
      <w:bookmarkStart w:id="12" w:name="_Toc174354173"/>
      <w:bookmarkStart w:id="13" w:name="_Toc174354227"/>
      <w:r w:rsidRPr="00A33264">
        <w:rPr>
          <w:lang w:val="en-GB"/>
        </w:rPr>
        <w:lastRenderedPageBreak/>
        <w:t>Contents</w:t>
      </w:r>
      <w:bookmarkEnd w:id="5"/>
      <w:bookmarkEnd w:id="6"/>
      <w:bookmarkEnd w:id="7"/>
      <w:bookmarkEnd w:id="8"/>
      <w:bookmarkEnd w:id="9"/>
      <w:bookmarkEnd w:id="10"/>
      <w:bookmarkEnd w:id="11"/>
      <w:bookmarkEnd w:id="12"/>
      <w:bookmarkEnd w:id="13"/>
    </w:p>
    <w:p w14:paraId="5E6E49E4" w14:textId="60E69D04" w:rsidR="004466FC" w:rsidRPr="004466FC" w:rsidRDefault="00BE3421" w:rsidP="004466FC">
      <w:pPr>
        <w:pStyle w:val="TOC1"/>
        <w:spacing w:before="120" w:line="264" w:lineRule="auto"/>
        <w:rPr>
          <w:rFonts w:eastAsiaTheme="minorEastAsia"/>
          <w:color w:val="auto"/>
          <w:kern w:val="2"/>
          <w:lang w:val="en-AU" w:eastAsia="en-AU"/>
          <w14:ligatures w14:val="standardContextual"/>
        </w:rPr>
      </w:pPr>
      <w:r w:rsidRPr="004466FC">
        <w:rPr>
          <w:color w:val="auto"/>
        </w:rPr>
        <w:fldChar w:fldCharType="begin"/>
      </w:r>
      <w:r w:rsidRPr="004466FC">
        <w:rPr>
          <w:color w:val="auto"/>
        </w:rPr>
        <w:instrText xml:space="preserve"> TOC \t "Heading 1,1,Heading 2,1,Heading 3,2,Intro paragraph,1,Heading 3a,3" </w:instrText>
      </w:r>
      <w:r w:rsidRPr="004466FC">
        <w:rPr>
          <w:color w:val="auto"/>
        </w:rPr>
        <w:fldChar w:fldCharType="separate"/>
      </w:r>
      <w:r w:rsidR="004466FC" w:rsidRPr="004466FC">
        <w:rPr>
          <w:color w:val="auto"/>
        </w:rPr>
        <w:t>Letter of transmittal</w:t>
      </w:r>
      <w:r w:rsidR="004466FC" w:rsidRPr="004466FC">
        <w:rPr>
          <w:color w:val="auto"/>
        </w:rPr>
        <w:tab/>
      </w:r>
      <w:r w:rsidR="004466FC" w:rsidRPr="004466FC">
        <w:rPr>
          <w:color w:val="auto"/>
        </w:rPr>
        <w:fldChar w:fldCharType="begin"/>
      </w:r>
      <w:r w:rsidR="004466FC" w:rsidRPr="004466FC">
        <w:rPr>
          <w:color w:val="auto"/>
        </w:rPr>
        <w:instrText xml:space="preserve"> PAGEREF _Toc180505650 \h </w:instrText>
      </w:r>
      <w:r w:rsidR="004466FC" w:rsidRPr="004466FC">
        <w:rPr>
          <w:color w:val="auto"/>
        </w:rPr>
      </w:r>
      <w:r w:rsidR="004466FC" w:rsidRPr="004466FC">
        <w:rPr>
          <w:color w:val="auto"/>
        </w:rPr>
        <w:fldChar w:fldCharType="separate"/>
      </w:r>
      <w:r w:rsidR="00460680">
        <w:rPr>
          <w:color w:val="auto"/>
        </w:rPr>
        <w:t>5</w:t>
      </w:r>
      <w:r w:rsidR="004466FC" w:rsidRPr="004466FC">
        <w:rPr>
          <w:color w:val="auto"/>
        </w:rPr>
        <w:fldChar w:fldCharType="end"/>
      </w:r>
    </w:p>
    <w:p w14:paraId="481594D5" w14:textId="67F5DBB1" w:rsidR="004466FC" w:rsidRPr="004466FC" w:rsidRDefault="004466FC" w:rsidP="004466FC">
      <w:pPr>
        <w:pStyle w:val="TOC1"/>
        <w:spacing w:before="120" w:line="264" w:lineRule="auto"/>
        <w:rPr>
          <w:rFonts w:eastAsiaTheme="minorEastAsia"/>
          <w:color w:val="auto"/>
          <w:kern w:val="2"/>
          <w:lang w:val="en-AU" w:eastAsia="en-AU"/>
          <w14:ligatures w14:val="standardContextual"/>
        </w:rPr>
      </w:pPr>
      <w:r w:rsidRPr="004466FC">
        <w:rPr>
          <w:color w:val="auto"/>
        </w:rPr>
        <w:t>1.</w:t>
      </w:r>
      <w:r w:rsidRPr="004466FC">
        <w:rPr>
          <w:rFonts w:eastAsiaTheme="minorEastAsia"/>
          <w:color w:val="auto"/>
          <w:kern w:val="2"/>
          <w:lang w:val="en-AU" w:eastAsia="en-AU"/>
          <w14:ligatures w14:val="standardContextual"/>
        </w:rPr>
        <w:tab/>
      </w:r>
      <w:r w:rsidRPr="004466FC">
        <w:rPr>
          <w:color w:val="auto"/>
        </w:rPr>
        <w:t>Introduction</w:t>
      </w:r>
      <w:r w:rsidRPr="004466FC">
        <w:rPr>
          <w:color w:val="auto"/>
        </w:rPr>
        <w:tab/>
      </w:r>
      <w:r w:rsidRPr="004466FC">
        <w:rPr>
          <w:color w:val="auto"/>
        </w:rPr>
        <w:fldChar w:fldCharType="begin"/>
      </w:r>
      <w:r w:rsidRPr="004466FC">
        <w:rPr>
          <w:color w:val="auto"/>
        </w:rPr>
        <w:instrText xml:space="preserve"> PAGEREF _Toc180505651 \h </w:instrText>
      </w:r>
      <w:r w:rsidRPr="004466FC">
        <w:rPr>
          <w:color w:val="auto"/>
        </w:rPr>
      </w:r>
      <w:r w:rsidRPr="004466FC">
        <w:rPr>
          <w:color w:val="auto"/>
        </w:rPr>
        <w:fldChar w:fldCharType="separate"/>
      </w:r>
      <w:r w:rsidR="00460680">
        <w:rPr>
          <w:color w:val="auto"/>
        </w:rPr>
        <w:t>6</w:t>
      </w:r>
      <w:r w:rsidRPr="004466FC">
        <w:rPr>
          <w:color w:val="auto"/>
        </w:rPr>
        <w:fldChar w:fldCharType="end"/>
      </w:r>
    </w:p>
    <w:p w14:paraId="7EFB8385" w14:textId="5BFB5FD9" w:rsidR="004466FC" w:rsidRPr="004466FC" w:rsidRDefault="004466FC" w:rsidP="004466FC">
      <w:pPr>
        <w:pStyle w:val="TOC1"/>
        <w:spacing w:before="120" w:line="264" w:lineRule="auto"/>
        <w:ind w:left="1276" w:firstLine="0"/>
        <w:rPr>
          <w:rFonts w:eastAsiaTheme="minorEastAsia"/>
          <w:b w:val="0"/>
          <w:bCs w:val="0"/>
          <w:color w:val="auto"/>
          <w:kern w:val="2"/>
          <w:lang w:val="en-AU" w:eastAsia="en-AU"/>
          <w14:ligatures w14:val="standardContextual"/>
        </w:rPr>
      </w:pPr>
      <w:r w:rsidRPr="004466FC">
        <w:rPr>
          <w:b w:val="0"/>
          <w:bCs w:val="0"/>
          <w:color w:val="auto"/>
        </w:rPr>
        <w:t>About this report</w:t>
      </w:r>
      <w:r w:rsidRPr="004466FC">
        <w:rPr>
          <w:b w:val="0"/>
          <w:bCs w:val="0"/>
          <w:color w:val="auto"/>
        </w:rPr>
        <w:tab/>
      </w:r>
      <w:r w:rsidRPr="004466FC">
        <w:rPr>
          <w:b w:val="0"/>
          <w:bCs w:val="0"/>
          <w:color w:val="auto"/>
        </w:rPr>
        <w:fldChar w:fldCharType="begin"/>
      </w:r>
      <w:r w:rsidRPr="004466FC">
        <w:rPr>
          <w:b w:val="0"/>
          <w:bCs w:val="0"/>
          <w:color w:val="auto"/>
        </w:rPr>
        <w:instrText xml:space="preserve"> PAGEREF _Toc180505652 \h </w:instrText>
      </w:r>
      <w:r w:rsidRPr="004466FC">
        <w:rPr>
          <w:b w:val="0"/>
          <w:bCs w:val="0"/>
          <w:color w:val="auto"/>
        </w:rPr>
      </w:r>
      <w:r w:rsidRPr="004466FC">
        <w:rPr>
          <w:b w:val="0"/>
          <w:bCs w:val="0"/>
          <w:color w:val="auto"/>
        </w:rPr>
        <w:fldChar w:fldCharType="separate"/>
      </w:r>
      <w:r w:rsidR="00460680">
        <w:rPr>
          <w:b w:val="0"/>
          <w:bCs w:val="0"/>
          <w:color w:val="auto"/>
        </w:rPr>
        <w:t>6</w:t>
      </w:r>
      <w:r w:rsidRPr="004466FC">
        <w:rPr>
          <w:b w:val="0"/>
          <w:bCs w:val="0"/>
          <w:color w:val="auto"/>
        </w:rPr>
        <w:fldChar w:fldCharType="end"/>
      </w:r>
    </w:p>
    <w:p w14:paraId="7982324D" w14:textId="662488FF" w:rsidR="004466FC" w:rsidRPr="004466FC" w:rsidRDefault="004466FC" w:rsidP="004466FC">
      <w:pPr>
        <w:pStyle w:val="TOC2"/>
        <w:tabs>
          <w:tab w:val="left" w:pos="1276"/>
          <w:tab w:val="right" w:pos="9174"/>
        </w:tabs>
        <w:spacing w:after="120" w:line="264" w:lineRule="auto"/>
        <w:ind w:left="1276" w:hanging="794"/>
        <w:rPr>
          <w:rFonts w:ascii="Arial" w:eastAsiaTheme="minorEastAsia" w:hAnsi="Arial" w:cs="Arial"/>
          <w:i w:val="0"/>
          <w:iCs w:val="0"/>
          <w:noProof/>
          <w:kern w:val="2"/>
          <w:sz w:val="24"/>
          <w:szCs w:val="24"/>
          <w:lang w:eastAsia="en-AU"/>
          <w14:ligatures w14:val="standardContextual"/>
        </w:rPr>
      </w:pPr>
      <w:r w:rsidRPr="004466FC">
        <w:rPr>
          <w:rFonts w:ascii="Arial" w:hAnsi="Arial" w:cs="Arial"/>
          <w:i w:val="0"/>
          <w:iCs w:val="0"/>
          <w:noProof/>
          <w:sz w:val="24"/>
          <w:szCs w:val="24"/>
          <w:lang w:val="en-GB"/>
        </w:rPr>
        <w:t>1.1</w:t>
      </w:r>
      <w:r w:rsidRPr="004466FC">
        <w:rPr>
          <w:rFonts w:ascii="Arial" w:eastAsiaTheme="minorEastAsia" w:hAnsi="Arial" w:cs="Arial"/>
          <w:i w:val="0"/>
          <w:iCs w:val="0"/>
          <w:noProof/>
          <w:kern w:val="2"/>
          <w:sz w:val="24"/>
          <w:szCs w:val="24"/>
          <w:lang w:eastAsia="en-AU"/>
          <w14:ligatures w14:val="standardContextual"/>
        </w:rPr>
        <w:tab/>
      </w:r>
      <w:r w:rsidRPr="004466FC">
        <w:rPr>
          <w:rFonts w:ascii="Arial" w:hAnsi="Arial" w:cs="Arial"/>
          <w:i w:val="0"/>
          <w:iCs w:val="0"/>
          <w:noProof/>
          <w:sz w:val="24"/>
          <w:szCs w:val="24"/>
          <w:lang w:val="en-GB"/>
        </w:rPr>
        <w:t>Chair’s foreword</w:t>
      </w:r>
      <w:r w:rsidRPr="004466FC">
        <w:rPr>
          <w:rFonts w:ascii="Arial" w:hAnsi="Arial" w:cs="Arial"/>
          <w:i w:val="0"/>
          <w:iCs w:val="0"/>
          <w:noProof/>
          <w:sz w:val="24"/>
          <w:szCs w:val="24"/>
        </w:rPr>
        <w:tab/>
      </w:r>
      <w:r w:rsidRPr="004466FC">
        <w:rPr>
          <w:rFonts w:ascii="Arial" w:hAnsi="Arial" w:cs="Arial"/>
          <w:i w:val="0"/>
          <w:iCs w:val="0"/>
          <w:noProof/>
          <w:sz w:val="24"/>
          <w:szCs w:val="24"/>
        </w:rPr>
        <w:fldChar w:fldCharType="begin"/>
      </w:r>
      <w:r w:rsidRPr="004466FC">
        <w:rPr>
          <w:rFonts w:ascii="Arial" w:hAnsi="Arial" w:cs="Arial"/>
          <w:i w:val="0"/>
          <w:iCs w:val="0"/>
          <w:noProof/>
          <w:sz w:val="24"/>
          <w:szCs w:val="24"/>
        </w:rPr>
        <w:instrText xml:space="preserve"> PAGEREF _Toc180505654 \h </w:instrText>
      </w:r>
      <w:r w:rsidRPr="004466FC">
        <w:rPr>
          <w:rFonts w:ascii="Arial" w:hAnsi="Arial" w:cs="Arial"/>
          <w:i w:val="0"/>
          <w:iCs w:val="0"/>
          <w:noProof/>
          <w:sz w:val="24"/>
          <w:szCs w:val="24"/>
        </w:rPr>
      </w:r>
      <w:r w:rsidRPr="004466FC">
        <w:rPr>
          <w:rFonts w:ascii="Arial" w:hAnsi="Arial" w:cs="Arial"/>
          <w:i w:val="0"/>
          <w:iCs w:val="0"/>
          <w:noProof/>
          <w:sz w:val="24"/>
          <w:szCs w:val="24"/>
        </w:rPr>
        <w:fldChar w:fldCharType="separate"/>
      </w:r>
      <w:r w:rsidR="00460680">
        <w:rPr>
          <w:rFonts w:ascii="Arial" w:hAnsi="Arial" w:cs="Arial"/>
          <w:i w:val="0"/>
          <w:iCs w:val="0"/>
          <w:noProof/>
          <w:sz w:val="24"/>
          <w:szCs w:val="24"/>
        </w:rPr>
        <w:t>6</w:t>
      </w:r>
      <w:r w:rsidRPr="004466FC">
        <w:rPr>
          <w:rFonts w:ascii="Arial" w:hAnsi="Arial" w:cs="Arial"/>
          <w:i w:val="0"/>
          <w:iCs w:val="0"/>
          <w:noProof/>
          <w:sz w:val="24"/>
          <w:szCs w:val="24"/>
        </w:rPr>
        <w:fldChar w:fldCharType="end"/>
      </w:r>
    </w:p>
    <w:p w14:paraId="12D09A07" w14:textId="39417705" w:rsidR="004466FC" w:rsidRPr="004466FC" w:rsidRDefault="004466FC" w:rsidP="004466FC">
      <w:pPr>
        <w:pStyle w:val="TOC2"/>
        <w:tabs>
          <w:tab w:val="left" w:pos="1276"/>
          <w:tab w:val="right" w:pos="9174"/>
        </w:tabs>
        <w:spacing w:after="120" w:line="264" w:lineRule="auto"/>
        <w:ind w:left="1276" w:hanging="794"/>
        <w:rPr>
          <w:rFonts w:ascii="Arial" w:eastAsiaTheme="minorEastAsia" w:hAnsi="Arial" w:cs="Arial"/>
          <w:i w:val="0"/>
          <w:iCs w:val="0"/>
          <w:noProof/>
          <w:kern w:val="2"/>
          <w:sz w:val="24"/>
          <w:szCs w:val="24"/>
          <w:lang w:eastAsia="en-AU"/>
          <w14:ligatures w14:val="standardContextual"/>
        </w:rPr>
      </w:pPr>
      <w:r w:rsidRPr="004466FC">
        <w:rPr>
          <w:rFonts w:ascii="Arial" w:hAnsi="Arial" w:cs="Arial"/>
          <w:i w:val="0"/>
          <w:iCs w:val="0"/>
          <w:noProof/>
          <w:sz w:val="24"/>
          <w:szCs w:val="24"/>
          <w:lang w:val="en-GB"/>
        </w:rPr>
        <w:t>1.2</w:t>
      </w:r>
      <w:r w:rsidRPr="004466FC">
        <w:rPr>
          <w:rFonts w:ascii="Arial" w:eastAsiaTheme="minorEastAsia" w:hAnsi="Arial" w:cs="Arial"/>
          <w:i w:val="0"/>
          <w:iCs w:val="0"/>
          <w:noProof/>
          <w:kern w:val="2"/>
          <w:sz w:val="24"/>
          <w:szCs w:val="24"/>
          <w:lang w:eastAsia="en-AU"/>
          <w14:ligatures w14:val="standardContextual"/>
        </w:rPr>
        <w:tab/>
      </w:r>
      <w:r w:rsidRPr="004466FC">
        <w:rPr>
          <w:rFonts w:ascii="Arial" w:hAnsi="Arial" w:cs="Arial"/>
          <w:i w:val="0"/>
          <w:iCs w:val="0"/>
          <w:noProof/>
          <w:sz w:val="24"/>
          <w:szCs w:val="24"/>
          <w:lang w:val="en-GB"/>
        </w:rPr>
        <w:t>Chief Executive Officer’s foreword</w:t>
      </w:r>
      <w:r w:rsidRPr="004466FC">
        <w:rPr>
          <w:rFonts w:ascii="Arial" w:hAnsi="Arial" w:cs="Arial"/>
          <w:i w:val="0"/>
          <w:iCs w:val="0"/>
          <w:noProof/>
          <w:sz w:val="24"/>
          <w:szCs w:val="24"/>
        </w:rPr>
        <w:tab/>
      </w:r>
      <w:r w:rsidRPr="004466FC">
        <w:rPr>
          <w:rFonts w:ascii="Arial" w:hAnsi="Arial" w:cs="Arial"/>
          <w:i w:val="0"/>
          <w:iCs w:val="0"/>
          <w:noProof/>
          <w:sz w:val="24"/>
          <w:szCs w:val="24"/>
        </w:rPr>
        <w:fldChar w:fldCharType="begin"/>
      </w:r>
      <w:r w:rsidRPr="004466FC">
        <w:rPr>
          <w:rFonts w:ascii="Arial" w:hAnsi="Arial" w:cs="Arial"/>
          <w:i w:val="0"/>
          <w:iCs w:val="0"/>
          <w:noProof/>
          <w:sz w:val="24"/>
          <w:szCs w:val="24"/>
        </w:rPr>
        <w:instrText xml:space="preserve"> PAGEREF _Toc180505655 \h </w:instrText>
      </w:r>
      <w:r w:rsidRPr="004466FC">
        <w:rPr>
          <w:rFonts w:ascii="Arial" w:hAnsi="Arial" w:cs="Arial"/>
          <w:i w:val="0"/>
          <w:iCs w:val="0"/>
          <w:noProof/>
          <w:sz w:val="24"/>
          <w:szCs w:val="24"/>
        </w:rPr>
      </w:r>
      <w:r w:rsidRPr="004466FC">
        <w:rPr>
          <w:rFonts w:ascii="Arial" w:hAnsi="Arial" w:cs="Arial"/>
          <w:i w:val="0"/>
          <w:iCs w:val="0"/>
          <w:noProof/>
          <w:sz w:val="24"/>
          <w:szCs w:val="24"/>
        </w:rPr>
        <w:fldChar w:fldCharType="separate"/>
      </w:r>
      <w:r w:rsidR="00460680">
        <w:rPr>
          <w:rFonts w:ascii="Arial" w:hAnsi="Arial" w:cs="Arial"/>
          <w:i w:val="0"/>
          <w:iCs w:val="0"/>
          <w:noProof/>
          <w:sz w:val="24"/>
          <w:szCs w:val="24"/>
        </w:rPr>
        <w:t>7</w:t>
      </w:r>
      <w:r w:rsidRPr="004466FC">
        <w:rPr>
          <w:rFonts w:ascii="Arial" w:hAnsi="Arial" w:cs="Arial"/>
          <w:i w:val="0"/>
          <w:iCs w:val="0"/>
          <w:noProof/>
          <w:sz w:val="24"/>
          <w:szCs w:val="24"/>
        </w:rPr>
        <w:fldChar w:fldCharType="end"/>
      </w:r>
    </w:p>
    <w:p w14:paraId="67B1C14D" w14:textId="0613C273" w:rsidR="004466FC" w:rsidRPr="004466FC" w:rsidRDefault="004466FC" w:rsidP="004466FC">
      <w:pPr>
        <w:pStyle w:val="TOC2"/>
        <w:tabs>
          <w:tab w:val="left" w:pos="1276"/>
          <w:tab w:val="right" w:pos="9174"/>
        </w:tabs>
        <w:spacing w:after="120" w:line="264" w:lineRule="auto"/>
        <w:ind w:left="1276" w:hanging="794"/>
        <w:rPr>
          <w:rFonts w:ascii="Arial" w:eastAsiaTheme="minorEastAsia" w:hAnsi="Arial" w:cs="Arial"/>
          <w:i w:val="0"/>
          <w:iCs w:val="0"/>
          <w:noProof/>
          <w:kern w:val="2"/>
          <w:sz w:val="24"/>
          <w:szCs w:val="24"/>
          <w:lang w:eastAsia="en-AU"/>
          <w14:ligatures w14:val="standardContextual"/>
        </w:rPr>
      </w:pPr>
      <w:r w:rsidRPr="004466FC">
        <w:rPr>
          <w:rFonts w:ascii="Arial" w:hAnsi="Arial" w:cs="Arial"/>
          <w:i w:val="0"/>
          <w:iCs w:val="0"/>
          <w:noProof/>
          <w:sz w:val="24"/>
          <w:szCs w:val="24"/>
          <w:lang w:val="en-GB"/>
        </w:rPr>
        <w:t>1.3</w:t>
      </w:r>
      <w:r w:rsidRPr="004466FC">
        <w:rPr>
          <w:rFonts w:ascii="Arial" w:eastAsiaTheme="minorEastAsia" w:hAnsi="Arial" w:cs="Arial"/>
          <w:i w:val="0"/>
          <w:iCs w:val="0"/>
          <w:noProof/>
          <w:kern w:val="2"/>
          <w:sz w:val="24"/>
          <w:szCs w:val="24"/>
          <w:lang w:eastAsia="en-AU"/>
          <w14:ligatures w14:val="standardContextual"/>
        </w:rPr>
        <w:tab/>
      </w:r>
      <w:r w:rsidRPr="004466FC">
        <w:rPr>
          <w:rFonts w:ascii="Arial" w:hAnsi="Arial" w:cs="Arial"/>
          <w:i w:val="0"/>
          <w:iCs w:val="0"/>
          <w:noProof/>
          <w:sz w:val="24"/>
          <w:szCs w:val="24"/>
          <w:lang w:val="en-GB"/>
        </w:rPr>
        <w:t>The National Disability Insurance Scheme</w:t>
      </w:r>
      <w:r w:rsidRPr="004466FC">
        <w:rPr>
          <w:rFonts w:ascii="Arial" w:hAnsi="Arial" w:cs="Arial"/>
          <w:i w:val="0"/>
          <w:iCs w:val="0"/>
          <w:noProof/>
          <w:sz w:val="24"/>
          <w:szCs w:val="24"/>
        </w:rPr>
        <w:tab/>
      </w:r>
      <w:r w:rsidRPr="004466FC">
        <w:rPr>
          <w:rFonts w:ascii="Arial" w:hAnsi="Arial" w:cs="Arial"/>
          <w:i w:val="0"/>
          <w:iCs w:val="0"/>
          <w:noProof/>
          <w:sz w:val="24"/>
          <w:szCs w:val="24"/>
        </w:rPr>
        <w:fldChar w:fldCharType="begin"/>
      </w:r>
      <w:r w:rsidRPr="004466FC">
        <w:rPr>
          <w:rFonts w:ascii="Arial" w:hAnsi="Arial" w:cs="Arial"/>
          <w:i w:val="0"/>
          <w:iCs w:val="0"/>
          <w:noProof/>
          <w:sz w:val="24"/>
          <w:szCs w:val="24"/>
        </w:rPr>
        <w:instrText xml:space="preserve"> PAGEREF _Toc180505656 \h </w:instrText>
      </w:r>
      <w:r w:rsidRPr="004466FC">
        <w:rPr>
          <w:rFonts w:ascii="Arial" w:hAnsi="Arial" w:cs="Arial"/>
          <w:i w:val="0"/>
          <w:iCs w:val="0"/>
          <w:noProof/>
          <w:sz w:val="24"/>
          <w:szCs w:val="24"/>
        </w:rPr>
      </w:r>
      <w:r w:rsidRPr="004466FC">
        <w:rPr>
          <w:rFonts w:ascii="Arial" w:hAnsi="Arial" w:cs="Arial"/>
          <w:i w:val="0"/>
          <w:iCs w:val="0"/>
          <w:noProof/>
          <w:sz w:val="24"/>
          <w:szCs w:val="24"/>
        </w:rPr>
        <w:fldChar w:fldCharType="separate"/>
      </w:r>
      <w:r w:rsidR="00460680">
        <w:rPr>
          <w:rFonts w:ascii="Arial" w:hAnsi="Arial" w:cs="Arial"/>
          <w:i w:val="0"/>
          <w:iCs w:val="0"/>
          <w:noProof/>
          <w:sz w:val="24"/>
          <w:szCs w:val="24"/>
        </w:rPr>
        <w:t>9</w:t>
      </w:r>
      <w:r w:rsidRPr="004466FC">
        <w:rPr>
          <w:rFonts w:ascii="Arial" w:hAnsi="Arial" w:cs="Arial"/>
          <w:i w:val="0"/>
          <w:iCs w:val="0"/>
          <w:noProof/>
          <w:sz w:val="24"/>
          <w:szCs w:val="24"/>
        </w:rPr>
        <w:fldChar w:fldCharType="end"/>
      </w:r>
    </w:p>
    <w:p w14:paraId="2951A11C" w14:textId="7EE04349" w:rsidR="004466FC" w:rsidRPr="004466FC" w:rsidRDefault="004466FC" w:rsidP="004466FC">
      <w:pPr>
        <w:pStyle w:val="TOC2"/>
        <w:tabs>
          <w:tab w:val="left" w:pos="1276"/>
          <w:tab w:val="right" w:pos="9174"/>
        </w:tabs>
        <w:spacing w:after="120" w:line="264" w:lineRule="auto"/>
        <w:ind w:left="1276" w:hanging="794"/>
        <w:rPr>
          <w:rFonts w:ascii="Arial" w:eastAsiaTheme="minorEastAsia" w:hAnsi="Arial" w:cs="Arial"/>
          <w:i w:val="0"/>
          <w:iCs w:val="0"/>
          <w:noProof/>
          <w:kern w:val="2"/>
          <w:sz w:val="24"/>
          <w:szCs w:val="24"/>
          <w:lang w:eastAsia="en-AU"/>
          <w14:ligatures w14:val="standardContextual"/>
        </w:rPr>
      </w:pPr>
      <w:r w:rsidRPr="004466FC">
        <w:rPr>
          <w:rFonts w:ascii="Arial" w:hAnsi="Arial" w:cs="Arial"/>
          <w:i w:val="0"/>
          <w:iCs w:val="0"/>
          <w:noProof/>
          <w:sz w:val="24"/>
          <w:szCs w:val="24"/>
          <w:lang w:val="en-GB"/>
        </w:rPr>
        <w:t>1.4</w:t>
      </w:r>
      <w:r w:rsidRPr="004466FC">
        <w:rPr>
          <w:rFonts w:ascii="Arial" w:eastAsiaTheme="minorEastAsia" w:hAnsi="Arial" w:cs="Arial"/>
          <w:i w:val="0"/>
          <w:iCs w:val="0"/>
          <w:noProof/>
          <w:kern w:val="2"/>
          <w:sz w:val="24"/>
          <w:szCs w:val="24"/>
          <w:lang w:eastAsia="en-AU"/>
          <w14:ligatures w14:val="standardContextual"/>
        </w:rPr>
        <w:tab/>
      </w:r>
      <w:r w:rsidRPr="004466FC">
        <w:rPr>
          <w:rFonts w:ascii="Arial" w:hAnsi="Arial" w:cs="Arial"/>
          <w:i w:val="0"/>
          <w:iCs w:val="0"/>
          <w:noProof/>
          <w:sz w:val="24"/>
          <w:szCs w:val="24"/>
          <w:lang w:val="en-GB"/>
        </w:rPr>
        <w:t>The National Disability Insurance Agency</w:t>
      </w:r>
      <w:r w:rsidRPr="004466FC">
        <w:rPr>
          <w:rFonts w:ascii="Arial" w:hAnsi="Arial" w:cs="Arial"/>
          <w:i w:val="0"/>
          <w:iCs w:val="0"/>
          <w:noProof/>
          <w:sz w:val="24"/>
          <w:szCs w:val="24"/>
        </w:rPr>
        <w:tab/>
      </w:r>
      <w:r w:rsidRPr="004466FC">
        <w:rPr>
          <w:rFonts w:ascii="Arial" w:hAnsi="Arial" w:cs="Arial"/>
          <w:i w:val="0"/>
          <w:iCs w:val="0"/>
          <w:noProof/>
          <w:sz w:val="24"/>
          <w:szCs w:val="24"/>
        </w:rPr>
        <w:fldChar w:fldCharType="begin"/>
      </w:r>
      <w:r w:rsidRPr="004466FC">
        <w:rPr>
          <w:rFonts w:ascii="Arial" w:hAnsi="Arial" w:cs="Arial"/>
          <w:i w:val="0"/>
          <w:iCs w:val="0"/>
          <w:noProof/>
          <w:sz w:val="24"/>
          <w:szCs w:val="24"/>
        </w:rPr>
        <w:instrText xml:space="preserve"> PAGEREF _Toc180505657 \h </w:instrText>
      </w:r>
      <w:r w:rsidRPr="004466FC">
        <w:rPr>
          <w:rFonts w:ascii="Arial" w:hAnsi="Arial" w:cs="Arial"/>
          <w:i w:val="0"/>
          <w:iCs w:val="0"/>
          <w:noProof/>
          <w:sz w:val="24"/>
          <w:szCs w:val="24"/>
        </w:rPr>
      </w:r>
      <w:r w:rsidRPr="004466FC">
        <w:rPr>
          <w:rFonts w:ascii="Arial" w:hAnsi="Arial" w:cs="Arial"/>
          <w:i w:val="0"/>
          <w:iCs w:val="0"/>
          <w:noProof/>
          <w:sz w:val="24"/>
          <w:szCs w:val="24"/>
        </w:rPr>
        <w:fldChar w:fldCharType="separate"/>
      </w:r>
      <w:r w:rsidR="00460680">
        <w:rPr>
          <w:rFonts w:ascii="Arial" w:hAnsi="Arial" w:cs="Arial"/>
          <w:i w:val="0"/>
          <w:iCs w:val="0"/>
          <w:noProof/>
          <w:sz w:val="24"/>
          <w:szCs w:val="24"/>
        </w:rPr>
        <w:t>9</w:t>
      </w:r>
      <w:r w:rsidRPr="004466FC">
        <w:rPr>
          <w:rFonts w:ascii="Arial" w:hAnsi="Arial" w:cs="Arial"/>
          <w:i w:val="0"/>
          <w:iCs w:val="0"/>
          <w:noProof/>
          <w:sz w:val="24"/>
          <w:szCs w:val="24"/>
        </w:rPr>
        <w:fldChar w:fldCharType="end"/>
      </w:r>
    </w:p>
    <w:p w14:paraId="3B9E657F" w14:textId="29DBBA6D" w:rsidR="004466FC" w:rsidRPr="004466FC" w:rsidRDefault="004466FC" w:rsidP="004466FC">
      <w:pPr>
        <w:pStyle w:val="TOC2"/>
        <w:tabs>
          <w:tab w:val="left" w:pos="1276"/>
          <w:tab w:val="right" w:pos="9174"/>
        </w:tabs>
        <w:spacing w:after="120" w:line="264" w:lineRule="auto"/>
        <w:ind w:left="1276" w:hanging="794"/>
        <w:rPr>
          <w:rFonts w:ascii="Arial" w:eastAsiaTheme="minorEastAsia" w:hAnsi="Arial" w:cs="Arial"/>
          <w:i w:val="0"/>
          <w:iCs w:val="0"/>
          <w:noProof/>
          <w:kern w:val="2"/>
          <w:sz w:val="24"/>
          <w:szCs w:val="24"/>
          <w:lang w:eastAsia="en-AU"/>
          <w14:ligatures w14:val="standardContextual"/>
        </w:rPr>
      </w:pPr>
      <w:r w:rsidRPr="004466FC">
        <w:rPr>
          <w:rFonts w:ascii="Arial" w:hAnsi="Arial" w:cs="Arial"/>
          <w:i w:val="0"/>
          <w:iCs w:val="0"/>
          <w:noProof/>
          <w:sz w:val="24"/>
          <w:szCs w:val="24"/>
          <w:lang w:val="en-GB"/>
        </w:rPr>
        <w:t>1.5</w:t>
      </w:r>
      <w:r w:rsidRPr="004466FC">
        <w:rPr>
          <w:rFonts w:ascii="Arial" w:eastAsiaTheme="minorEastAsia" w:hAnsi="Arial" w:cs="Arial"/>
          <w:i w:val="0"/>
          <w:iCs w:val="0"/>
          <w:noProof/>
          <w:kern w:val="2"/>
          <w:sz w:val="24"/>
          <w:szCs w:val="24"/>
          <w:lang w:eastAsia="en-AU"/>
          <w14:ligatures w14:val="standardContextual"/>
        </w:rPr>
        <w:tab/>
      </w:r>
      <w:r w:rsidRPr="004466FC">
        <w:rPr>
          <w:rFonts w:ascii="Arial" w:hAnsi="Arial" w:cs="Arial"/>
          <w:i w:val="0"/>
          <w:iCs w:val="0"/>
          <w:noProof/>
          <w:sz w:val="24"/>
          <w:szCs w:val="24"/>
          <w:lang w:val="en-GB"/>
        </w:rPr>
        <w:t>Our outcome</w:t>
      </w:r>
      <w:r w:rsidRPr="004466FC">
        <w:rPr>
          <w:rFonts w:ascii="Arial" w:hAnsi="Arial" w:cs="Arial"/>
          <w:i w:val="0"/>
          <w:iCs w:val="0"/>
          <w:noProof/>
          <w:sz w:val="24"/>
          <w:szCs w:val="24"/>
        </w:rPr>
        <w:tab/>
      </w:r>
      <w:r w:rsidRPr="004466FC">
        <w:rPr>
          <w:rFonts w:ascii="Arial" w:hAnsi="Arial" w:cs="Arial"/>
          <w:i w:val="0"/>
          <w:iCs w:val="0"/>
          <w:noProof/>
          <w:sz w:val="24"/>
          <w:szCs w:val="24"/>
        </w:rPr>
        <w:fldChar w:fldCharType="begin"/>
      </w:r>
      <w:r w:rsidRPr="004466FC">
        <w:rPr>
          <w:rFonts w:ascii="Arial" w:hAnsi="Arial" w:cs="Arial"/>
          <w:i w:val="0"/>
          <w:iCs w:val="0"/>
          <w:noProof/>
          <w:sz w:val="24"/>
          <w:szCs w:val="24"/>
        </w:rPr>
        <w:instrText xml:space="preserve"> PAGEREF _Toc180505658 \h </w:instrText>
      </w:r>
      <w:r w:rsidRPr="004466FC">
        <w:rPr>
          <w:rFonts w:ascii="Arial" w:hAnsi="Arial" w:cs="Arial"/>
          <w:i w:val="0"/>
          <w:iCs w:val="0"/>
          <w:noProof/>
          <w:sz w:val="24"/>
          <w:szCs w:val="24"/>
        </w:rPr>
      </w:r>
      <w:r w:rsidRPr="004466FC">
        <w:rPr>
          <w:rFonts w:ascii="Arial" w:hAnsi="Arial" w:cs="Arial"/>
          <w:i w:val="0"/>
          <w:iCs w:val="0"/>
          <w:noProof/>
          <w:sz w:val="24"/>
          <w:szCs w:val="24"/>
        </w:rPr>
        <w:fldChar w:fldCharType="separate"/>
      </w:r>
      <w:r w:rsidR="00460680">
        <w:rPr>
          <w:rFonts w:ascii="Arial" w:hAnsi="Arial" w:cs="Arial"/>
          <w:i w:val="0"/>
          <w:iCs w:val="0"/>
          <w:noProof/>
          <w:sz w:val="24"/>
          <w:szCs w:val="24"/>
        </w:rPr>
        <w:t>10</w:t>
      </w:r>
      <w:r w:rsidRPr="004466FC">
        <w:rPr>
          <w:rFonts w:ascii="Arial" w:hAnsi="Arial" w:cs="Arial"/>
          <w:i w:val="0"/>
          <w:iCs w:val="0"/>
          <w:noProof/>
          <w:sz w:val="24"/>
          <w:szCs w:val="24"/>
        </w:rPr>
        <w:fldChar w:fldCharType="end"/>
      </w:r>
    </w:p>
    <w:p w14:paraId="46A88710" w14:textId="22751ACC" w:rsidR="004466FC" w:rsidRPr="004466FC" w:rsidRDefault="004466FC" w:rsidP="004466FC">
      <w:pPr>
        <w:pStyle w:val="TOC2"/>
        <w:tabs>
          <w:tab w:val="left" w:pos="1276"/>
          <w:tab w:val="right" w:pos="9174"/>
        </w:tabs>
        <w:spacing w:after="120" w:line="264" w:lineRule="auto"/>
        <w:ind w:left="1276" w:hanging="794"/>
        <w:rPr>
          <w:rFonts w:ascii="Arial" w:eastAsiaTheme="minorEastAsia" w:hAnsi="Arial" w:cs="Arial"/>
          <w:i w:val="0"/>
          <w:iCs w:val="0"/>
          <w:noProof/>
          <w:kern w:val="2"/>
          <w:sz w:val="24"/>
          <w:szCs w:val="24"/>
          <w:lang w:eastAsia="en-AU"/>
          <w14:ligatures w14:val="standardContextual"/>
        </w:rPr>
      </w:pPr>
      <w:r w:rsidRPr="004466FC">
        <w:rPr>
          <w:rFonts w:ascii="Arial" w:hAnsi="Arial" w:cs="Arial"/>
          <w:i w:val="0"/>
          <w:iCs w:val="0"/>
          <w:noProof/>
          <w:sz w:val="24"/>
          <w:szCs w:val="24"/>
          <w:lang w:val="en-GB"/>
        </w:rPr>
        <w:t>1.6</w:t>
      </w:r>
      <w:r w:rsidRPr="004466FC">
        <w:rPr>
          <w:rFonts w:ascii="Arial" w:eastAsiaTheme="minorEastAsia" w:hAnsi="Arial" w:cs="Arial"/>
          <w:i w:val="0"/>
          <w:iCs w:val="0"/>
          <w:noProof/>
          <w:kern w:val="2"/>
          <w:sz w:val="24"/>
          <w:szCs w:val="24"/>
          <w:lang w:eastAsia="en-AU"/>
          <w14:ligatures w14:val="standardContextual"/>
        </w:rPr>
        <w:tab/>
      </w:r>
      <w:r w:rsidRPr="004466FC">
        <w:rPr>
          <w:rFonts w:ascii="Arial" w:hAnsi="Arial" w:cs="Arial"/>
          <w:i w:val="0"/>
          <w:iCs w:val="0"/>
          <w:noProof/>
          <w:sz w:val="24"/>
          <w:szCs w:val="24"/>
          <w:lang w:val="en-GB"/>
        </w:rPr>
        <w:t>Our programs</w:t>
      </w:r>
      <w:r w:rsidRPr="004466FC">
        <w:rPr>
          <w:rFonts w:ascii="Arial" w:hAnsi="Arial" w:cs="Arial"/>
          <w:i w:val="0"/>
          <w:iCs w:val="0"/>
          <w:noProof/>
          <w:sz w:val="24"/>
          <w:szCs w:val="24"/>
        </w:rPr>
        <w:tab/>
      </w:r>
      <w:r w:rsidRPr="004466FC">
        <w:rPr>
          <w:rFonts w:ascii="Arial" w:hAnsi="Arial" w:cs="Arial"/>
          <w:i w:val="0"/>
          <w:iCs w:val="0"/>
          <w:noProof/>
          <w:sz w:val="24"/>
          <w:szCs w:val="24"/>
        </w:rPr>
        <w:fldChar w:fldCharType="begin"/>
      </w:r>
      <w:r w:rsidRPr="004466FC">
        <w:rPr>
          <w:rFonts w:ascii="Arial" w:hAnsi="Arial" w:cs="Arial"/>
          <w:i w:val="0"/>
          <w:iCs w:val="0"/>
          <w:noProof/>
          <w:sz w:val="24"/>
          <w:szCs w:val="24"/>
        </w:rPr>
        <w:instrText xml:space="preserve"> PAGEREF _Toc180505659 \h </w:instrText>
      </w:r>
      <w:r w:rsidRPr="004466FC">
        <w:rPr>
          <w:rFonts w:ascii="Arial" w:hAnsi="Arial" w:cs="Arial"/>
          <w:i w:val="0"/>
          <w:iCs w:val="0"/>
          <w:noProof/>
          <w:sz w:val="24"/>
          <w:szCs w:val="24"/>
        </w:rPr>
      </w:r>
      <w:r w:rsidRPr="004466FC">
        <w:rPr>
          <w:rFonts w:ascii="Arial" w:hAnsi="Arial" w:cs="Arial"/>
          <w:i w:val="0"/>
          <w:iCs w:val="0"/>
          <w:noProof/>
          <w:sz w:val="24"/>
          <w:szCs w:val="24"/>
        </w:rPr>
        <w:fldChar w:fldCharType="separate"/>
      </w:r>
      <w:r w:rsidR="00460680">
        <w:rPr>
          <w:rFonts w:ascii="Arial" w:hAnsi="Arial" w:cs="Arial"/>
          <w:i w:val="0"/>
          <w:iCs w:val="0"/>
          <w:noProof/>
          <w:sz w:val="24"/>
          <w:szCs w:val="24"/>
        </w:rPr>
        <w:t>10</w:t>
      </w:r>
      <w:r w:rsidRPr="004466FC">
        <w:rPr>
          <w:rFonts w:ascii="Arial" w:hAnsi="Arial" w:cs="Arial"/>
          <w:i w:val="0"/>
          <w:iCs w:val="0"/>
          <w:noProof/>
          <w:sz w:val="24"/>
          <w:szCs w:val="24"/>
        </w:rPr>
        <w:fldChar w:fldCharType="end"/>
      </w:r>
    </w:p>
    <w:p w14:paraId="4A52470E" w14:textId="50A9AB3B" w:rsidR="004466FC" w:rsidRPr="004466FC" w:rsidRDefault="004466FC" w:rsidP="004466FC">
      <w:pPr>
        <w:pStyle w:val="TOC2"/>
        <w:tabs>
          <w:tab w:val="left" w:pos="1276"/>
          <w:tab w:val="right" w:pos="9174"/>
        </w:tabs>
        <w:spacing w:after="120" w:line="264" w:lineRule="auto"/>
        <w:ind w:left="1276" w:hanging="794"/>
        <w:rPr>
          <w:rFonts w:ascii="Arial" w:eastAsiaTheme="minorEastAsia" w:hAnsi="Arial" w:cs="Arial"/>
          <w:i w:val="0"/>
          <w:iCs w:val="0"/>
          <w:noProof/>
          <w:kern w:val="2"/>
          <w:sz w:val="24"/>
          <w:szCs w:val="24"/>
          <w:lang w:eastAsia="en-AU"/>
          <w14:ligatures w14:val="standardContextual"/>
        </w:rPr>
      </w:pPr>
      <w:r w:rsidRPr="004466FC">
        <w:rPr>
          <w:rFonts w:ascii="Arial" w:hAnsi="Arial" w:cs="Arial"/>
          <w:i w:val="0"/>
          <w:iCs w:val="0"/>
          <w:noProof/>
          <w:sz w:val="24"/>
          <w:szCs w:val="24"/>
          <w:lang w:val="en-GB"/>
        </w:rPr>
        <w:t>1.7</w:t>
      </w:r>
      <w:r w:rsidRPr="004466FC">
        <w:rPr>
          <w:rFonts w:ascii="Arial" w:eastAsiaTheme="minorEastAsia" w:hAnsi="Arial" w:cs="Arial"/>
          <w:i w:val="0"/>
          <w:iCs w:val="0"/>
          <w:noProof/>
          <w:kern w:val="2"/>
          <w:sz w:val="24"/>
          <w:szCs w:val="24"/>
          <w:lang w:eastAsia="en-AU"/>
          <w14:ligatures w14:val="standardContextual"/>
        </w:rPr>
        <w:tab/>
      </w:r>
      <w:r w:rsidRPr="004466FC">
        <w:rPr>
          <w:rFonts w:ascii="Arial" w:hAnsi="Arial" w:cs="Arial"/>
          <w:i w:val="0"/>
          <w:iCs w:val="0"/>
          <w:noProof/>
          <w:sz w:val="24"/>
          <w:szCs w:val="24"/>
          <w:lang w:val="en-GB"/>
        </w:rPr>
        <w:t>Context for this report</w:t>
      </w:r>
      <w:r w:rsidRPr="004466FC">
        <w:rPr>
          <w:rFonts w:ascii="Arial" w:hAnsi="Arial" w:cs="Arial"/>
          <w:i w:val="0"/>
          <w:iCs w:val="0"/>
          <w:noProof/>
          <w:sz w:val="24"/>
          <w:szCs w:val="24"/>
        </w:rPr>
        <w:tab/>
      </w:r>
      <w:r w:rsidRPr="004466FC">
        <w:rPr>
          <w:rFonts w:ascii="Arial" w:hAnsi="Arial" w:cs="Arial"/>
          <w:i w:val="0"/>
          <w:iCs w:val="0"/>
          <w:noProof/>
          <w:sz w:val="24"/>
          <w:szCs w:val="24"/>
        </w:rPr>
        <w:fldChar w:fldCharType="begin"/>
      </w:r>
      <w:r w:rsidRPr="004466FC">
        <w:rPr>
          <w:rFonts w:ascii="Arial" w:hAnsi="Arial" w:cs="Arial"/>
          <w:i w:val="0"/>
          <w:iCs w:val="0"/>
          <w:noProof/>
          <w:sz w:val="24"/>
          <w:szCs w:val="24"/>
        </w:rPr>
        <w:instrText xml:space="preserve"> PAGEREF _Toc180505660 \h </w:instrText>
      </w:r>
      <w:r w:rsidRPr="004466FC">
        <w:rPr>
          <w:rFonts w:ascii="Arial" w:hAnsi="Arial" w:cs="Arial"/>
          <w:i w:val="0"/>
          <w:iCs w:val="0"/>
          <w:noProof/>
          <w:sz w:val="24"/>
          <w:szCs w:val="24"/>
        </w:rPr>
      </w:r>
      <w:r w:rsidRPr="004466FC">
        <w:rPr>
          <w:rFonts w:ascii="Arial" w:hAnsi="Arial" w:cs="Arial"/>
          <w:i w:val="0"/>
          <w:iCs w:val="0"/>
          <w:noProof/>
          <w:sz w:val="24"/>
          <w:szCs w:val="24"/>
        </w:rPr>
        <w:fldChar w:fldCharType="separate"/>
      </w:r>
      <w:r w:rsidR="00460680">
        <w:rPr>
          <w:rFonts w:ascii="Arial" w:hAnsi="Arial" w:cs="Arial"/>
          <w:i w:val="0"/>
          <w:iCs w:val="0"/>
          <w:noProof/>
          <w:sz w:val="24"/>
          <w:szCs w:val="24"/>
        </w:rPr>
        <w:t>11</w:t>
      </w:r>
      <w:r w:rsidRPr="004466FC">
        <w:rPr>
          <w:rFonts w:ascii="Arial" w:hAnsi="Arial" w:cs="Arial"/>
          <w:i w:val="0"/>
          <w:iCs w:val="0"/>
          <w:noProof/>
          <w:sz w:val="24"/>
          <w:szCs w:val="24"/>
        </w:rPr>
        <w:fldChar w:fldCharType="end"/>
      </w:r>
    </w:p>
    <w:p w14:paraId="517CC08C" w14:textId="5678B8CA" w:rsidR="004466FC" w:rsidRPr="004466FC" w:rsidRDefault="004466FC" w:rsidP="004466FC">
      <w:pPr>
        <w:pStyle w:val="TOC1"/>
        <w:spacing w:before="120" w:line="264" w:lineRule="auto"/>
        <w:rPr>
          <w:rFonts w:eastAsiaTheme="minorEastAsia"/>
          <w:color w:val="auto"/>
          <w:kern w:val="2"/>
          <w:lang w:val="en-AU" w:eastAsia="en-AU"/>
          <w14:ligatures w14:val="standardContextual"/>
        </w:rPr>
      </w:pPr>
      <w:r w:rsidRPr="004466FC">
        <w:rPr>
          <w:color w:val="auto"/>
        </w:rPr>
        <w:t>2.</w:t>
      </w:r>
      <w:r w:rsidRPr="004466FC">
        <w:rPr>
          <w:rFonts w:eastAsiaTheme="minorEastAsia"/>
          <w:color w:val="auto"/>
          <w:kern w:val="2"/>
          <w:lang w:val="en-AU" w:eastAsia="en-AU"/>
          <w14:ligatures w14:val="standardContextual"/>
        </w:rPr>
        <w:tab/>
      </w:r>
      <w:r w:rsidRPr="004466FC">
        <w:rPr>
          <w:color w:val="auto"/>
        </w:rPr>
        <w:t>NDIA annual performance statements</w:t>
      </w:r>
      <w:r w:rsidRPr="004466FC">
        <w:rPr>
          <w:color w:val="auto"/>
        </w:rPr>
        <w:tab/>
      </w:r>
      <w:r w:rsidRPr="004466FC">
        <w:rPr>
          <w:color w:val="auto"/>
        </w:rPr>
        <w:fldChar w:fldCharType="begin"/>
      </w:r>
      <w:r w:rsidRPr="004466FC">
        <w:rPr>
          <w:color w:val="auto"/>
        </w:rPr>
        <w:instrText xml:space="preserve"> PAGEREF _Toc180505661 \h </w:instrText>
      </w:r>
      <w:r w:rsidRPr="004466FC">
        <w:rPr>
          <w:color w:val="auto"/>
        </w:rPr>
      </w:r>
      <w:r w:rsidRPr="004466FC">
        <w:rPr>
          <w:color w:val="auto"/>
        </w:rPr>
        <w:fldChar w:fldCharType="separate"/>
      </w:r>
      <w:r w:rsidR="00460680">
        <w:rPr>
          <w:color w:val="auto"/>
        </w:rPr>
        <w:t>12</w:t>
      </w:r>
      <w:r w:rsidRPr="004466FC">
        <w:rPr>
          <w:color w:val="auto"/>
        </w:rPr>
        <w:fldChar w:fldCharType="end"/>
      </w:r>
    </w:p>
    <w:p w14:paraId="39F39A3E" w14:textId="3066CFF0" w:rsidR="004466FC" w:rsidRPr="004466FC" w:rsidRDefault="004466FC" w:rsidP="004466FC">
      <w:pPr>
        <w:pStyle w:val="TOC2"/>
        <w:tabs>
          <w:tab w:val="left" w:pos="1276"/>
          <w:tab w:val="right" w:pos="9174"/>
        </w:tabs>
        <w:spacing w:after="120" w:line="264" w:lineRule="auto"/>
        <w:ind w:left="1276" w:hanging="794"/>
        <w:rPr>
          <w:rFonts w:ascii="Arial" w:hAnsi="Arial" w:cs="Arial"/>
          <w:i w:val="0"/>
          <w:iCs w:val="0"/>
          <w:noProof/>
          <w:sz w:val="24"/>
          <w:szCs w:val="24"/>
          <w:lang w:val="en-GB"/>
        </w:rPr>
      </w:pPr>
      <w:r w:rsidRPr="004466FC">
        <w:rPr>
          <w:rFonts w:ascii="Arial" w:hAnsi="Arial" w:cs="Arial"/>
          <w:i w:val="0"/>
          <w:iCs w:val="0"/>
          <w:noProof/>
          <w:sz w:val="24"/>
          <w:szCs w:val="24"/>
          <w:lang w:val="en-GB"/>
        </w:rPr>
        <w:t>2.1</w:t>
      </w:r>
      <w:r w:rsidRPr="004466FC">
        <w:rPr>
          <w:rFonts w:ascii="Arial" w:hAnsi="Arial" w:cs="Arial"/>
          <w:i w:val="0"/>
          <w:iCs w:val="0"/>
          <w:noProof/>
          <w:sz w:val="24"/>
          <w:szCs w:val="24"/>
          <w:lang w:val="en-GB"/>
        </w:rPr>
        <w:tab/>
        <w:t>Statement of preparation</w:t>
      </w:r>
      <w:r w:rsidRPr="004466FC">
        <w:rPr>
          <w:rFonts w:ascii="Arial" w:hAnsi="Arial" w:cs="Arial"/>
          <w:i w:val="0"/>
          <w:iCs w:val="0"/>
          <w:noProof/>
          <w:sz w:val="24"/>
          <w:szCs w:val="24"/>
          <w:lang w:val="en-GB"/>
        </w:rPr>
        <w:tab/>
      </w:r>
      <w:r w:rsidRPr="004466FC">
        <w:rPr>
          <w:rFonts w:ascii="Arial" w:hAnsi="Arial" w:cs="Arial"/>
          <w:i w:val="0"/>
          <w:iCs w:val="0"/>
          <w:noProof/>
          <w:sz w:val="24"/>
          <w:szCs w:val="24"/>
          <w:lang w:val="en-GB"/>
        </w:rPr>
        <w:fldChar w:fldCharType="begin"/>
      </w:r>
      <w:r w:rsidRPr="004466FC">
        <w:rPr>
          <w:rFonts w:ascii="Arial" w:hAnsi="Arial" w:cs="Arial"/>
          <w:i w:val="0"/>
          <w:iCs w:val="0"/>
          <w:noProof/>
          <w:sz w:val="24"/>
          <w:szCs w:val="24"/>
          <w:lang w:val="en-GB"/>
        </w:rPr>
        <w:instrText xml:space="preserve"> PAGEREF _Toc180505662 \h </w:instrText>
      </w:r>
      <w:r w:rsidRPr="004466FC">
        <w:rPr>
          <w:rFonts w:ascii="Arial" w:hAnsi="Arial" w:cs="Arial"/>
          <w:i w:val="0"/>
          <w:iCs w:val="0"/>
          <w:noProof/>
          <w:sz w:val="24"/>
          <w:szCs w:val="24"/>
          <w:lang w:val="en-GB"/>
        </w:rPr>
      </w:r>
      <w:r w:rsidRPr="004466FC">
        <w:rPr>
          <w:rFonts w:ascii="Arial" w:hAnsi="Arial" w:cs="Arial"/>
          <w:i w:val="0"/>
          <w:iCs w:val="0"/>
          <w:noProof/>
          <w:sz w:val="24"/>
          <w:szCs w:val="24"/>
          <w:lang w:val="en-GB"/>
        </w:rPr>
        <w:fldChar w:fldCharType="separate"/>
      </w:r>
      <w:r w:rsidR="00460680">
        <w:rPr>
          <w:rFonts w:ascii="Arial" w:hAnsi="Arial" w:cs="Arial"/>
          <w:i w:val="0"/>
          <w:iCs w:val="0"/>
          <w:noProof/>
          <w:sz w:val="24"/>
          <w:szCs w:val="24"/>
          <w:lang w:val="en-GB"/>
        </w:rPr>
        <w:t>12</w:t>
      </w:r>
      <w:r w:rsidRPr="004466FC">
        <w:rPr>
          <w:rFonts w:ascii="Arial" w:hAnsi="Arial" w:cs="Arial"/>
          <w:i w:val="0"/>
          <w:iCs w:val="0"/>
          <w:noProof/>
          <w:sz w:val="24"/>
          <w:szCs w:val="24"/>
          <w:lang w:val="en-GB"/>
        </w:rPr>
        <w:fldChar w:fldCharType="end"/>
      </w:r>
    </w:p>
    <w:p w14:paraId="51711F21" w14:textId="0EE9056E" w:rsidR="004466FC" w:rsidRPr="004466FC" w:rsidRDefault="004466FC" w:rsidP="004466FC">
      <w:pPr>
        <w:pStyle w:val="TOC2"/>
        <w:tabs>
          <w:tab w:val="left" w:pos="1276"/>
          <w:tab w:val="right" w:pos="9174"/>
        </w:tabs>
        <w:spacing w:after="120" w:line="264" w:lineRule="auto"/>
        <w:ind w:left="1276" w:hanging="794"/>
        <w:rPr>
          <w:rFonts w:ascii="Arial" w:hAnsi="Arial" w:cs="Arial"/>
          <w:i w:val="0"/>
          <w:iCs w:val="0"/>
          <w:noProof/>
          <w:sz w:val="24"/>
          <w:szCs w:val="24"/>
          <w:lang w:val="en-GB"/>
        </w:rPr>
      </w:pPr>
      <w:r w:rsidRPr="004466FC">
        <w:rPr>
          <w:rFonts w:ascii="Arial" w:hAnsi="Arial" w:cs="Arial"/>
          <w:i w:val="0"/>
          <w:iCs w:val="0"/>
          <w:noProof/>
          <w:sz w:val="24"/>
          <w:szCs w:val="24"/>
          <w:lang w:val="en-GB"/>
        </w:rPr>
        <w:t>2.2</w:t>
      </w:r>
      <w:r w:rsidRPr="004466FC">
        <w:rPr>
          <w:rFonts w:ascii="Arial" w:hAnsi="Arial" w:cs="Arial"/>
          <w:i w:val="0"/>
          <w:iCs w:val="0"/>
          <w:noProof/>
          <w:sz w:val="24"/>
          <w:szCs w:val="24"/>
          <w:lang w:val="en-GB"/>
        </w:rPr>
        <w:tab/>
        <w:t>Introduction</w:t>
      </w:r>
      <w:r w:rsidRPr="004466FC">
        <w:rPr>
          <w:rFonts w:ascii="Arial" w:hAnsi="Arial" w:cs="Arial"/>
          <w:i w:val="0"/>
          <w:iCs w:val="0"/>
          <w:noProof/>
          <w:sz w:val="24"/>
          <w:szCs w:val="24"/>
          <w:lang w:val="en-GB"/>
        </w:rPr>
        <w:tab/>
      </w:r>
      <w:r w:rsidRPr="004466FC">
        <w:rPr>
          <w:rFonts w:ascii="Arial" w:hAnsi="Arial" w:cs="Arial"/>
          <w:i w:val="0"/>
          <w:iCs w:val="0"/>
          <w:noProof/>
          <w:sz w:val="24"/>
          <w:szCs w:val="24"/>
          <w:lang w:val="en-GB"/>
        </w:rPr>
        <w:fldChar w:fldCharType="begin"/>
      </w:r>
      <w:r w:rsidRPr="004466FC">
        <w:rPr>
          <w:rFonts w:ascii="Arial" w:hAnsi="Arial" w:cs="Arial"/>
          <w:i w:val="0"/>
          <w:iCs w:val="0"/>
          <w:noProof/>
          <w:sz w:val="24"/>
          <w:szCs w:val="24"/>
          <w:lang w:val="en-GB"/>
        </w:rPr>
        <w:instrText xml:space="preserve"> PAGEREF _Toc180505663 \h </w:instrText>
      </w:r>
      <w:r w:rsidRPr="004466FC">
        <w:rPr>
          <w:rFonts w:ascii="Arial" w:hAnsi="Arial" w:cs="Arial"/>
          <w:i w:val="0"/>
          <w:iCs w:val="0"/>
          <w:noProof/>
          <w:sz w:val="24"/>
          <w:szCs w:val="24"/>
          <w:lang w:val="en-GB"/>
        </w:rPr>
      </w:r>
      <w:r w:rsidRPr="004466FC">
        <w:rPr>
          <w:rFonts w:ascii="Arial" w:hAnsi="Arial" w:cs="Arial"/>
          <w:i w:val="0"/>
          <w:iCs w:val="0"/>
          <w:noProof/>
          <w:sz w:val="24"/>
          <w:szCs w:val="24"/>
          <w:lang w:val="en-GB"/>
        </w:rPr>
        <w:fldChar w:fldCharType="separate"/>
      </w:r>
      <w:r w:rsidR="00460680">
        <w:rPr>
          <w:rFonts w:ascii="Arial" w:hAnsi="Arial" w:cs="Arial"/>
          <w:i w:val="0"/>
          <w:iCs w:val="0"/>
          <w:noProof/>
          <w:sz w:val="24"/>
          <w:szCs w:val="24"/>
          <w:lang w:val="en-GB"/>
        </w:rPr>
        <w:t>13</w:t>
      </w:r>
      <w:r w:rsidRPr="004466FC">
        <w:rPr>
          <w:rFonts w:ascii="Arial" w:hAnsi="Arial" w:cs="Arial"/>
          <w:i w:val="0"/>
          <w:iCs w:val="0"/>
          <w:noProof/>
          <w:sz w:val="24"/>
          <w:szCs w:val="24"/>
          <w:lang w:val="en-GB"/>
        </w:rPr>
        <w:fldChar w:fldCharType="end"/>
      </w:r>
    </w:p>
    <w:p w14:paraId="7BC41053" w14:textId="4565772F" w:rsidR="004466FC" w:rsidRPr="004466FC" w:rsidRDefault="004466FC" w:rsidP="004466FC">
      <w:pPr>
        <w:pStyle w:val="TOC2"/>
        <w:tabs>
          <w:tab w:val="left" w:pos="1276"/>
          <w:tab w:val="right" w:pos="9174"/>
        </w:tabs>
        <w:spacing w:after="120" w:line="264" w:lineRule="auto"/>
        <w:ind w:left="1276" w:hanging="794"/>
        <w:rPr>
          <w:rFonts w:ascii="Arial" w:hAnsi="Arial" w:cs="Arial"/>
          <w:i w:val="0"/>
          <w:iCs w:val="0"/>
          <w:noProof/>
          <w:sz w:val="24"/>
          <w:szCs w:val="24"/>
          <w:lang w:val="en-GB"/>
        </w:rPr>
      </w:pPr>
      <w:r w:rsidRPr="004466FC">
        <w:rPr>
          <w:rFonts w:ascii="Arial" w:hAnsi="Arial" w:cs="Arial"/>
          <w:i w:val="0"/>
          <w:iCs w:val="0"/>
          <w:noProof/>
          <w:sz w:val="24"/>
          <w:szCs w:val="24"/>
          <w:lang w:val="en-GB"/>
        </w:rPr>
        <w:t>2.3</w:t>
      </w:r>
      <w:r w:rsidRPr="004466FC">
        <w:rPr>
          <w:rFonts w:ascii="Arial" w:hAnsi="Arial" w:cs="Arial"/>
          <w:i w:val="0"/>
          <w:iCs w:val="0"/>
          <w:noProof/>
          <w:sz w:val="24"/>
          <w:szCs w:val="24"/>
          <w:lang w:val="en-GB"/>
        </w:rPr>
        <w:tab/>
        <w:t>NDIA performance 2023</w:t>
      </w:r>
      <w:r w:rsidRPr="004466FC">
        <w:rPr>
          <w:rFonts w:ascii="Arial" w:hAnsi="Arial" w:cs="Arial"/>
          <w:i w:val="0"/>
          <w:iCs w:val="0"/>
          <w:noProof/>
          <w:sz w:val="24"/>
          <w:szCs w:val="24"/>
          <w:lang w:val="en-GB"/>
        </w:rPr>
        <w:sym w:font="Symbol" w:char="F02D"/>
      </w:r>
      <w:r w:rsidRPr="004466FC">
        <w:rPr>
          <w:rFonts w:ascii="Arial" w:hAnsi="Arial" w:cs="Arial"/>
          <w:i w:val="0"/>
          <w:iCs w:val="0"/>
          <w:noProof/>
          <w:sz w:val="24"/>
          <w:szCs w:val="24"/>
          <w:lang w:val="en-GB"/>
        </w:rPr>
        <w:t>24</w:t>
      </w:r>
      <w:r w:rsidRPr="004466FC">
        <w:rPr>
          <w:rFonts w:ascii="Arial" w:hAnsi="Arial" w:cs="Arial"/>
          <w:i w:val="0"/>
          <w:iCs w:val="0"/>
          <w:noProof/>
          <w:sz w:val="24"/>
          <w:szCs w:val="24"/>
          <w:lang w:val="en-GB"/>
        </w:rPr>
        <w:tab/>
      </w:r>
      <w:r w:rsidRPr="004466FC">
        <w:rPr>
          <w:rFonts w:ascii="Arial" w:hAnsi="Arial" w:cs="Arial"/>
          <w:i w:val="0"/>
          <w:iCs w:val="0"/>
          <w:noProof/>
          <w:sz w:val="24"/>
          <w:szCs w:val="24"/>
          <w:lang w:val="en-GB"/>
        </w:rPr>
        <w:fldChar w:fldCharType="begin"/>
      </w:r>
      <w:r w:rsidRPr="004466FC">
        <w:rPr>
          <w:rFonts w:ascii="Arial" w:hAnsi="Arial" w:cs="Arial"/>
          <w:i w:val="0"/>
          <w:iCs w:val="0"/>
          <w:noProof/>
          <w:sz w:val="24"/>
          <w:szCs w:val="24"/>
          <w:lang w:val="en-GB"/>
        </w:rPr>
        <w:instrText xml:space="preserve"> PAGEREF _Toc180505664 \h </w:instrText>
      </w:r>
      <w:r w:rsidRPr="004466FC">
        <w:rPr>
          <w:rFonts w:ascii="Arial" w:hAnsi="Arial" w:cs="Arial"/>
          <w:i w:val="0"/>
          <w:iCs w:val="0"/>
          <w:noProof/>
          <w:sz w:val="24"/>
          <w:szCs w:val="24"/>
          <w:lang w:val="en-GB"/>
        </w:rPr>
      </w:r>
      <w:r w:rsidRPr="004466FC">
        <w:rPr>
          <w:rFonts w:ascii="Arial" w:hAnsi="Arial" w:cs="Arial"/>
          <w:i w:val="0"/>
          <w:iCs w:val="0"/>
          <w:noProof/>
          <w:sz w:val="24"/>
          <w:szCs w:val="24"/>
          <w:lang w:val="en-GB"/>
        </w:rPr>
        <w:fldChar w:fldCharType="separate"/>
      </w:r>
      <w:r w:rsidR="00460680">
        <w:rPr>
          <w:rFonts w:ascii="Arial" w:hAnsi="Arial" w:cs="Arial"/>
          <w:i w:val="0"/>
          <w:iCs w:val="0"/>
          <w:noProof/>
          <w:sz w:val="24"/>
          <w:szCs w:val="24"/>
          <w:lang w:val="en-GB"/>
        </w:rPr>
        <w:t>15</w:t>
      </w:r>
      <w:r w:rsidRPr="004466FC">
        <w:rPr>
          <w:rFonts w:ascii="Arial" w:hAnsi="Arial" w:cs="Arial"/>
          <w:i w:val="0"/>
          <w:iCs w:val="0"/>
          <w:noProof/>
          <w:sz w:val="24"/>
          <w:szCs w:val="24"/>
          <w:lang w:val="en-GB"/>
        </w:rPr>
        <w:fldChar w:fldCharType="end"/>
      </w:r>
    </w:p>
    <w:p w14:paraId="2BB32A1A" w14:textId="1273F4F1" w:rsidR="004466FC" w:rsidRPr="004466FC" w:rsidRDefault="004466FC" w:rsidP="004466FC">
      <w:pPr>
        <w:pStyle w:val="TOC1"/>
        <w:spacing w:before="120" w:line="264" w:lineRule="auto"/>
        <w:rPr>
          <w:rFonts w:eastAsiaTheme="minorEastAsia"/>
          <w:color w:val="auto"/>
          <w:kern w:val="2"/>
          <w:lang w:val="en-AU" w:eastAsia="en-AU"/>
          <w14:ligatures w14:val="standardContextual"/>
        </w:rPr>
      </w:pPr>
      <w:r w:rsidRPr="004466FC">
        <w:rPr>
          <w:color w:val="auto"/>
        </w:rPr>
        <w:t>3.</w:t>
      </w:r>
      <w:r w:rsidRPr="004466FC">
        <w:rPr>
          <w:rFonts w:eastAsiaTheme="minorEastAsia"/>
          <w:color w:val="auto"/>
          <w:kern w:val="2"/>
          <w:lang w:val="en-AU" w:eastAsia="en-AU"/>
          <w14:ligatures w14:val="standardContextual"/>
        </w:rPr>
        <w:tab/>
      </w:r>
      <w:r w:rsidRPr="004466FC">
        <w:rPr>
          <w:color w:val="auto"/>
        </w:rPr>
        <w:t>Financial statements</w:t>
      </w:r>
      <w:r w:rsidRPr="004466FC">
        <w:rPr>
          <w:color w:val="auto"/>
        </w:rPr>
        <w:tab/>
      </w:r>
      <w:r w:rsidRPr="004466FC">
        <w:rPr>
          <w:color w:val="auto"/>
        </w:rPr>
        <w:fldChar w:fldCharType="begin"/>
      </w:r>
      <w:r w:rsidRPr="004466FC">
        <w:rPr>
          <w:color w:val="auto"/>
        </w:rPr>
        <w:instrText xml:space="preserve"> PAGEREF _Toc180505665 \h </w:instrText>
      </w:r>
      <w:r w:rsidRPr="004466FC">
        <w:rPr>
          <w:color w:val="auto"/>
        </w:rPr>
      </w:r>
      <w:r w:rsidRPr="004466FC">
        <w:rPr>
          <w:color w:val="auto"/>
        </w:rPr>
        <w:fldChar w:fldCharType="separate"/>
      </w:r>
      <w:r w:rsidR="00460680">
        <w:rPr>
          <w:color w:val="auto"/>
        </w:rPr>
        <w:t>36</w:t>
      </w:r>
      <w:r w:rsidRPr="004466FC">
        <w:rPr>
          <w:color w:val="auto"/>
        </w:rPr>
        <w:fldChar w:fldCharType="end"/>
      </w:r>
    </w:p>
    <w:p w14:paraId="1362FB4B" w14:textId="62CFB33E" w:rsidR="004466FC" w:rsidRPr="004466FC" w:rsidRDefault="004466FC" w:rsidP="004466FC">
      <w:pPr>
        <w:pStyle w:val="TOC2"/>
        <w:tabs>
          <w:tab w:val="left" w:pos="1276"/>
          <w:tab w:val="right" w:pos="9174"/>
        </w:tabs>
        <w:spacing w:after="120" w:line="264" w:lineRule="auto"/>
        <w:ind w:left="1276" w:hanging="794"/>
        <w:rPr>
          <w:rFonts w:ascii="Arial" w:hAnsi="Arial" w:cs="Arial"/>
          <w:i w:val="0"/>
          <w:iCs w:val="0"/>
          <w:noProof/>
          <w:sz w:val="24"/>
          <w:szCs w:val="24"/>
          <w:lang w:val="en-GB"/>
        </w:rPr>
      </w:pPr>
      <w:r w:rsidRPr="004466FC">
        <w:rPr>
          <w:rFonts w:ascii="Arial" w:hAnsi="Arial" w:cs="Arial"/>
          <w:i w:val="0"/>
          <w:iCs w:val="0"/>
          <w:noProof/>
          <w:sz w:val="24"/>
          <w:szCs w:val="24"/>
          <w:lang w:val="en-GB"/>
        </w:rPr>
        <w:t>3.1</w:t>
      </w:r>
      <w:r w:rsidRPr="004466FC">
        <w:rPr>
          <w:rFonts w:ascii="Arial" w:hAnsi="Arial" w:cs="Arial"/>
          <w:i w:val="0"/>
          <w:iCs w:val="0"/>
          <w:noProof/>
          <w:sz w:val="24"/>
          <w:szCs w:val="24"/>
          <w:lang w:val="en-GB"/>
        </w:rPr>
        <w:tab/>
        <w:t>Independent audit report</w:t>
      </w:r>
      <w:r w:rsidRPr="004466FC">
        <w:rPr>
          <w:rFonts w:ascii="Arial" w:hAnsi="Arial" w:cs="Arial"/>
          <w:i w:val="0"/>
          <w:iCs w:val="0"/>
          <w:noProof/>
          <w:sz w:val="24"/>
          <w:szCs w:val="24"/>
          <w:lang w:val="en-GB"/>
        </w:rPr>
        <w:tab/>
      </w:r>
      <w:r w:rsidRPr="004466FC">
        <w:rPr>
          <w:rFonts w:ascii="Arial" w:hAnsi="Arial" w:cs="Arial"/>
          <w:i w:val="0"/>
          <w:iCs w:val="0"/>
          <w:noProof/>
          <w:sz w:val="24"/>
          <w:szCs w:val="24"/>
          <w:lang w:val="en-GB"/>
        </w:rPr>
        <w:fldChar w:fldCharType="begin"/>
      </w:r>
      <w:r w:rsidRPr="004466FC">
        <w:rPr>
          <w:rFonts w:ascii="Arial" w:hAnsi="Arial" w:cs="Arial"/>
          <w:i w:val="0"/>
          <w:iCs w:val="0"/>
          <w:noProof/>
          <w:sz w:val="24"/>
          <w:szCs w:val="24"/>
          <w:lang w:val="en-GB"/>
        </w:rPr>
        <w:instrText xml:space="preserve"> PAGEREF _Toc180505666 \h </w:instrText>
      </w:r>
      <w:r w:rsidRPr="004466FC">
        <w:rPr>
          <w:rFonts w:ascii="Arial" w:hAnsi="Arial" w:cs="Arial"/>
          <w:i w:val="0"/>
          <w:iCs w:val="0"/>
          <w:noProof/>
          <w:sz w:val="24"/>
          <w:szCs w:val="24"/>
          <w:lang w:val="en-GB"/>
        </w:rPr>
      </w:r>
      <w:r w:rsidRPr="004466FC">
        <w:rPr>
          <w:rFonts w:ascii="Arial" w:hAnsi="Arial" w:cs="Arial"/>
          <w:i w:val="0"/>
          <w:iCs w:val="0"/>
          <w:noProof/>
          <w:sz w:val="24"/>
          <w:szCs w:val="24"/>
          <w:lang w:val="en-GB"/>
        </w:rPr>
        <w:fldChar w:fldCharType="separate"/>
      </w:r>
      <w:r w:rsidR="00460680">
        <w:rPr>
          <w:rFonts w:ascii="Arial" w:hAnsi="Arial" w:cs="Arial"/>
          <w:i w:val="0"/>
          <w:iCs w:val="0"/>
          <w:noProof/>
          <w:sz w:val="24"/>
          <w:szCs w:val="24"/>
          <w:lang w:val="en-GB"/>
        </w:rPr>
        <w:t>36</w:t>
      </w:r>
      <w:r w:rsidRPr="004466FC">
        <w:rPr>
          <w:rFonts w:ascii="Arial" w:hAnsi="Arial" w:cs="Arial"/>
          <w:i w:val="0"/>
          <w:iCs w:val="0"/>
          <w:noProof/>
          <w:sz w:val="24"/>
          <w:szCs w:val="24"/>
          <w:lang w:val="en-GB"/>
        </w:rPr>
        <w:fldChar w:fldCharType="end"/>
      </w:r>
    </w:p>
    <w:p w14:paraId="574F2989" w14:textId="376481AE" w:rsidR="004466FC" w:rsidRPr="004466FC" w:rsidRDefault="004466FC" w:rsidP="004466FC">
      <w:pPr>
        <w:pStyle w:val="TOC2"/>
        <w:tabs>
          <w:tab w:val="left" w:pos="1276"/>
          <w:tab w:val="right" w:pos="9174"/>
        </w:tabs>
        <w:spacing w:after="120" w:line="264" w:lineRule="auto"/>
        <w:ind w:left="1276" w:hanging="794"/>
        <w:rPr>
          <w:rFonts w:ascii="Arial" w:hAnsi="Arial" w:cs="Arial"/>
          <w:i w:val="0"/>
          <w:iCs w:val="0"/>
          <w:noProof/>
          <w:sz w:val="24"/>
          <w:szCs w:val="24"/>
          <w:lang w:val="en-GB"/>
        </w:rPr>
      </w:pPr>
      <w:r w:rsidRPr="004466FC">
        <w:rPr>
          <w:rFonts w:ascii="Arial" w:hAnsi="Arial" w:cs="Arial"/>
          <w:i w:val="0"/>
          <w:iCs w:val="0"/>
          <w:noProof/>
          <w:sz w:val="24"/>
          <w:szCs w:val="24"/>
          <w:lang w:val="en-GB"/>
        </w:rPr>
        <w:t>3.2</w:t>
      </w:r>
      <w:r w:rsidRPr="004466FC">
        <w:rPr>
          <w:rFonts w:ascii="Arial" w:hAnsi="Arial" w:cs="Arial"/>
          <w:i w:val="0"/>
          <w:iCs w:val="0"/>
          <w:noProof/>
          <w:sz w:val="24"/>
          <w:szCs w:val="24"/>
          <w:lang w:val="en-GB"/>
        </w:rPr>
        <w:tab/>
        <w:t>Financial statements</w:t>
      </w:r>
      <w:r w:rsidRPr="004466FC">
        <w:rPr>
          <w:rFonts w:ascii="Arial" w:hAnsi="Arial" w:cs="Arial"/>
          <w:i w:val="0"/>
          <w:iCs w:val="0"/>
          <w:noProof/>
          <w:sz w:val="24"/>
          <w:szCs w:val="24"/>
          <w:lang w:val="en-GB"/>
        </w:rPr>
        <w:tab/>
      </w:r>
      <w:r w:rsidRPr="004466FC">
        <w:rPr>
          <w:rFonts w:ascii="Arial" w:hAnsi="Arial" w:cs="Arial"/>
          <w:i w:val="0"/>
          <w:iCs w:val="0"/>
          <w:noProof/>
          <w:sz w:val="24"/>
          <w:szCs w:val="24"/>
          <w:lang w:val="en-GB"/>
        </w:rPr>
        <w:fldChar w:fldCharType="begin"/>
      </w:r>
      <w:r w:rsidRPr="004466FC">
        <w:rPr>
          <w:rFonts w:ascii="Arial" w:hAnsi="Arial" w:cs="Arial"/>
          <w:i w:val="0"/>
          <w:iCs w:val="0"/>
          <w:noProof/>
          <w:sz w:val="24"/>
          <w:szCs w:val="24"/>
          <w:lang w:val="en-GB"/>
        </w:rPr>
        <w:instrText xml:space="preserve"> PAGEREF _Toc180505667 \h </w:instrText>
      </w:r>
      <w:r w:rsidRPr="004466FC">
        <w:rPr>
          <w:rFonts w:ascii="Arial" w:hAnsi="Arial" w:cs="Arial"/>
          <w:i w:val="0"/>
          <w:iCs w:val="0"/>
          <w:noProof/>
          <w:sz w:val="24"/>
          <w:szCs w:val="24"/>
          <w:lang w:val="en-GB"/>
        </w:rPr>
      </w:r>
      <w:r w:rsidRPr="004466FC">
        <w:rPr>
          <w:rFonts w:ascii="Arial" w:hAnsi="Arial" w:cs="Arial"/>
          <w:i w:val="0"/>
          <w:iCs w:val="0"/>
          <w:noProof/>
          <w:sz w:val="24"/>
          <w:szCs w:val="24"/>
          <w:lang w:val="en-GB"/>
        </w:rPr>
        <w:fldChar w:fldCharType="separate"/>
      </w:r>
      <w:r w:rsidR="00460680">
        <w:rPr>
          <w:rFonts w:ascii="Arial" w:hAnsi="Arial" w:cs="Arial"/>
          <w:i w:val="0"/>
          <w:iCs w:val="0"/>
          <w:noProof/>
          <w:sz w:val="24"/>
          <w:szCs w:val="24"/>
          <w:lang w:val="en-GB"/>
        </w:rPr>
        <w:t>40</w:t>
      </w:r>
      <w:r w:rsidRPr="004466FC">
        <w:rPr>
          <w:rFonts w:ascii="Arial" w:hAnsi="Arial" w:cs="Arial"/>
          <w:i w:val="0"/>
          <w:iCs w:val="0"/>
          <w:noProof/>
          <w:sz w:val="24"/>
          <w:szCs w:val="24"/>
          <w:lang w:val="en-GB"/>
        </w:rPr>
        <w:fldChar w:fldCharType="end"/>
      </w:r>
    </w:p>
    <w:p w14:paraId="12F95CF1" w14:textId="2C344CAD" w:rsidR="004466FC" w:rsidRPr="004466FC" w:rsidRDefault="004466FC" w:rsidP="004466FC">
      <w:pPr>
        <w:pStyle w:val="TOC1"/>
        <w:spacing w:before="120" w:line="264" w:lineRule="auto"/>
        <w:rPr>
          <w:rFonts w:eastAsiaTheme="minorEastAsia"/>
          <w:color w:val="auto"/>
          <w:kern w:val="2"/>
          <w:lang w:val="en-AU" w:eastAsia="en-AU"/>
          <w14:ligatures w14:val="standardContextual"/>
        </w:rPr>
      </w:pPr>
      <w:r w:rsidRPr="004466FC">
        <w:rPr>
          <w:color w:val="auto"/>
        </w:rPr>
        <w:t>4.</w:t>
      </w:r>
      <w:r w:rsidRPr="004466FC">
        <w:rPr>
          <w:rFonts w:eastAsiaTheme="minorEastAsia"/>
          <w:color w:val="auto"/>
          <w:kern w:val="2"/>
          <w:lang w:val="en-AU" w:eastAsia="en-AU"/>
          <w14:ligatures w14:val="standardContextual"/>
        </w:rPr>
        <w:tab/>
      </w:r>
      <w:r w:rsidRPr="004466FC">
        <w:rPr>
          <w:color w:val="auto"/>
        </w:rPr>
        <w:t>Financial sustainability</w:t>
      </w:r>
      <w:r w:rsidRPr="004466FC">
        <w:rPr>
          <w:color w:val="auto"/>
        </w:rPr>
        <w:tab/>
      </w:r>
      <w:r w:rsidRPr="004466FC">
        <w:rPr>
          <w:color w:val="auto"/>
        </w:rPr>
        <w:fldChar w:fldCharType="begin"/>
      </w:r>
      <w:r w:rsidRPr="004466FC">
        <w:rPr>
          <w:color w:val="auto"/>
        </w:rPr>
        <w:instrText xml:space="preserve"> PAGEREF _Toc180505668 \h </w:instrText>
      </w:r>
      <w:r w:rsidRPr="004466FC">
        <w:rPr>
          <w:color w:val="auto"/>
        </w:rPr>
      </w:r>
      <w:r w:rsidRPr="004466FC">
        <w:rPr>
          <w:color w:val="auto"/>
        </w:rPr>
        <w:fldChar w:fldCharType="separate"/>
      </w:r>
      <w:r w:rsidR="00460680">
        <w:rPr>
          <w:color w:val="auto"/>
        </w:rPr>
        <w:t>71</w:t>
      </w:r>
      <w:r w:rsidRPr="004466FC">
        <w:rPr>
          <w:color w:val="auto"/>
        </w:rPr>
        <w:fldChar w:fldCharType="end"/>
      </w:r>
    </w:p>
    <w:p w14:paraId="036F39CF" w14:textId="3D9099D6" w:rsidR="004466FC" w:rsidRPr="004466FC" w:rsidRDefault="004466FC" w:rsidP="004466FC">
      <w:pPr>
        <w:pStyle w:val="TOC2"/>
        <w:tabs>
          <w:tab w:val="left" w:pos="1276"/>
          <w:tab w:val="right" w:pos="9174"/>
        </w:tabs>
        <w:spacing w:after="120" w:line="264" w:lineRule="auto"/>
        <w:ind w:left="1276" w:hanging="794"/>
        <w:rPr>
          <w:rFonts w:ascii="Arial" w:hAnsi="Arial" w:cs="Arial"/>
          <w:i w:val="0"/>
          <w:iCs w:val="0"/>
          <w:noProof/>
          <w:sz w:val="24"/>
          <w:szCs w:val="24"/>
          <w:lang w:val="en-GB"/>
        </w:rPr>
      </w:pPr>
      <w:r w:rsidRPr="004466FC">
        <w:rPr>
          <w:rFonts w:ascii="Arial" w:hAnsi="Arial" w:cs="Arial"/>
          <w:i w:val="0"/>
          <w:iCs w:val="0"/>
          <w:noProof/>
          <w:sz w:val="24"/>
          <w:szCs w:val="24"/>
          <w:lang w:val="en-GB"/>
        </w:rPr>
        <w:t>4.1</w:t>
      </w:r>
      <w:r w:rsidRPr="004466FC">
        <w:rPr>
          <w:rFonts w:ascii="Arial" w:hAnsi="Arial" w:cs="Arial"/>
          <w:i w:val="0"/>
          <w:iCs w:val="0"/>
          <w:noProof/>
          <w:sz w:val="24"/>
          <w:szCs w:val="24"/>
          <w:lang w:val="en-GB"/>
        </w:rPr>
        <w:tab/>
        <w:t>Executive summary</w:t>
      </w:r>
      <w:r w:rsidRPr="004466FC">
        <w:rPr>
          <w:rFonts w:ascii="Arial" w:hAnsi="Arial" w:cs="Arial"/>
          <w:i w:val="0"/>
          <w:iCs w:val="0"/>
          <w:noProof/>
          <w:sz w:val="24"/>
          <w:szCs w:val="24"/>
          <w:lang w:val="en-GB"/>
        </w:rPr>
        <w:tab/>
      </w:r>
      <w:r w:rsidRPr="004466FC">
        <w:rPr>
          <w:rFonts w:ascii="Arial" w:hAnsi="Arial" w:cs="Arial"/>
          <w:i w:val="0"/>
          <w:iCs w:val="0"/>
          <w:noProof/>
          <w:sz w:val="24"/>
          <w:szCs w:val="24"/>
          <w:lang w:val="en-GB"/>
        </w:rPr>
        <w:fldChar w:fldCharType="begin"/>
      </w:r>
      <w:r w:rsidRPr="004466FC">
        <w:rPr>
          <w:rFonts w:ascii="Arial" w:hAnsi="Arial" w:cs="Arial"/>
          <w:i w:val="0"/>
          <w:iCs w:val="0"/>
          <w:noProof/>
          <w:sz w:val="24"/>
          <w:szCs w:val="24"/>
          <w:lang w:val="en-GB"/>
        </w:rPr>
        <w:instrText xml:space="preserve"> PAGEREF _Toc180505669 \h </w:instrText>
      </w:r>
      <w:r w:rsidRPr="004466FC">
        <w:rPr>
          <w:rFonts w:ascii="Arial" w:hAnsi="Arial" w:cs="Arial"/>
          <w:i w:val="0"/>
          <w:iCs w:val="0"/>
          <w:noProof/>
          <w:sz w:val="24"/>
          <w:szCs w:val="24"/>
          <w:lang w:val="en-GB"/>
        </w:rPr>
      </w:r>
      <w:r w:rsidRPr="004466FC">
        <w:rPr>
          <w:rFonts w:ascii="Arial" w:hAnsi="Arial" w:cs="Arial"/>
          <w:i w:val="0"/>
          <w:iCs w:val="0"/>
          <w:noProof/>
          <w:sz w:val="24"/>
          <w:szCs w:val="24"/>
          <w:lang w:val="en-GB"/>
        </w:rPr>
        <w:fldChar w:fldCharType="separate"/>
      </w:r>
      <w:r w:rsidR="00460680">
        <w:rPr>
          <w:rFonts w:ascii="Arial" w:hAnsi="Arial" w:cs="Arial"/>
          <w:i w:val="0"/>
          <w:iCs w:val="0"/>
          <w:noProof/>
          <w:sz w:val="24"/>
          <w:szCs w:val="24"/>
          <w:lang w:val="en-GB"/>
        </w:rPr>
        <w:t>71</w:t>
      </w:r>
      <w:r w:rsidRPr="004466FC">
        <w:rPr>
          <w:rFonts w:ascii="Arial" w:hAnsi="Arial" w:cs="Arial"/>
          <w:i w:val="0"/>
          <w:iCs w:val="0"/>
          <w:noProof/>
          <w:sz w:val="24"/>
          <w:szCs w:val="24"/>
          <w:lang w:val="en-GB"/>
        </w:rPr>
        <w:fldChar w:fldCharType="end"/>
      </w:r>
    </w:p>
    <w:p w14:paraId="5D096CC6" w14:textId="62B432BB" w:rsidR="004466FC" w:rsidRPr="004466FC" w:rsidRDefault="004466FC" w:rsidP="004466FC">
      <w:pPr>
        <w:pStyle w:val="TOC2"/>
        <w:tabs>
          <w:tab w:val="left" w:pos="1276"/>
          <w:tab w:val="right" w:pos="9174"/>
        </w:tabs>
        <w:spacing w:after="120" w:line="264" w:lineRule="auto"/>
        <w:ind w:left="1276" w:hanging="794"/>
        <w:rPr>
          <w:rFonts w:ascii="Arial" w:hAnsi="Arial" w:cs="Arial"/>
          <w:i w:val="0"/>
          <w:iCs w:val="0"/>
          <w:noProof/>
          <w:sz w:val="24"/>
          <w:szCs w:val="24"/>
          <w:lang w:val="en-GB"/>
        </w:rPr>
      </w:pPr>
      <w:r w:rsidRPr="004466FC">
        <w:rPr>
          <w:rFonts w:ascii="Arial" w:hAnsi="Arial" w:cs="Arial"/>
          <w:i w:val="0"/>
          <w:iCs w:val="0"/>
          <w:noProof/>
          <w:sz w:val="24"/>
          <w:szCs w:val="24"/>
          <w:lang w:val="en-GB"/>
        </w:rPr>
        <w:t>4.2</w:t>
      </w:r>
      <w:r w:rsidRPr="004466FC">
        <w:rPr>
          <w:rFonts w:ascii="Arial" w:hAnsi="Arial" w:cs="Arial"/>
          <w:i w:val="0"/>
          <w:iCs w:val="0"/>
          <w:noProof/>
          <w:sz w:val="24"/>
          <w:szCs w:val="24"/>
          <w:lang w:val="en-GB"/>
        </w:rPr>
        <w:tab/>
        <w:t>NDIS reforms</w:t>
      </w:r>
      <w:r w:rsidRPr="004466FC">
        <w:rPr>
          <w:rFonts w:ascii="Arial" w:hAnsi="Arial" w:cs="Arial"/>
          <w:i w:val="0"/>
          <w:iCs w:val="0"/>
          <w:noProof/>
          <w:sz w:val="24"/>
          <w:szCs w:val="24"/>
          <w:lang w:val="en-GB"/>
        </w:rPr>
        <w:tab/>
      </w:r>
      <w:r w:rsidRPr="004466FC">
        <w:rPr>
          <w:rFonts w:ascii="Arial" w:hAnsi="Arial" w:cs="Arial"/>
          <w:i w:val="0"/>
          <w:iCs w:val="0"/>
          <w:noProof/>
          <w:sz w:val="24"/>
          <w:szCs w:val="24"/>
          <w:lang w:val="en-GB"/>
        </w:rPr>
        <w:fldChar w:fldCharType="begin"/>
      </w:r>
      <w:r w:rsidRPr="004466FC">
        <w:rPr>
          <w:rFonts w:ascii="Arial" w:hAnsi="Arial" w:cs="Arial"/>
          <w:i w:val="0"/>
          <w:iCs w:val="0"/>
          <w:noProof/>
          <w:sz w:val="24"/>
          <w:szCs w:val="24"/>
          <w:lang w:val="en-GB"/>
        </w:rPr>
        <w:instrText xml:space="preserve"> PAGEREF _Toc180505670 \h </w:instrText>
      </w:r>
      <w:r w:rsidRPr="004466FC">
        <w:rPr>
          <w:rFonts w:ascii="Arial" w:hAnsi="Arial" w:cs="Arial"/>
          <w:i w:val="0"/>
          <w:iCs w:val="0"/>
          <w:noProof/>
          <w:sz w:val="24"/>
          <w:szCs w:val="24"/>
          <w:lang w:val="en-GB"/>
        </w:rPr>
      </w:r>
      <w:r w:rsidRPr="004466FC">
        <w:rPr>
          <w:rFonts w:ascii="Arial" w:hAnsi="Arial" w:cs="Arial"/>
          <w:i w:val="0"/>
          <w:iCs w:val="0"/>
          <w:noProof/>
          <w:sz w:val="24"/>
          <w:szCs w:val="24"/>
          <w:lang w:val="en-GB"/>
        </w:rPr>
        <w:fldChar w:fldCharType="separate"/>
      </w:r>
      <w:r w:rsidR="00460680">
        <w:rPr>
          <w:rFonts w:ascii="Arial" w:hAnsi="Arial" w:cs="Arial"/>
          <w:i w:val="0"/>
          <w:iCs w:val="0"/>
          <w:noProof/>
          <w:sz w:val="24"/>
          <w:szCs w:val="24"/>
          <w:lang w:val="en-GB"/>
        </w:rPr>
        <w:t>71</w:t>
      </w:r>
      <w:r w:rsidRPr="004466FC">
        <w:rPr>
          <w:rFonts w:ascii="Arial" w:hAnsi="Arial" w:cs="Arial"/>
          <w:i w:val="0"/>
          <w:iCs w:val="0"/>
          <w:noProof/>
          <w:sz w:val="24"/>
          <w:szCs w:val="24"/>
          <w:lang w:val="en-GB"/>
        </w:rPr>
        <w:fldChar w:fldCharType="end"/>
      </w:r>
    </w:p>
    <w:p w14:paraId="4D9ED912" w14:textId="64BB91F9" w:rsidR="004466FC" w:rsidRPr="004466FC" w:rsidRDefault="004466FC" w:rsidP="004466FC">
      <w:pPr>
        <w:pStyle w:val="TOC2"/>
        <w:tabs>
          <w:tab w:val="left" w:pos="1276"/>
          <w:tab w:val="right" w:pos="9174"/>
        </w:tabs>
        <w:spacing w:after="120" w:line="264" w:lineRule="auto"/>
        <w:ind w:left="1276" w:hanging="794"/>
        <w:rPr>
          <w:rFonts w:ascii="Arial" w:hAnsi="Arial" w:cs="Arial"/>
          <w:i w:val="0"/>
          <w:iCs w:val="0"/>
          <w:noProof/>
          <w:sz w:val="24"/>
          <w:szCs w:val="24"/>
          <w:lang w:val="en-GB"/>
        </w:rPr>
      </w:pPr>
      <w:r w:rsidRPr="004466FC">
        <w:rPr>
          <w:rFonts w:ascii="Arial" w:hAnsi="Arial" w:cs="Arial"/>
          <w:i w:val="0"/>
          <w:iCs w:val="0"/>
          <w:noProof/>
          <w:sz w:val="24"/>
          <w:szCs w:val="24"/>
          <w:lang w:val="en-GB"/>
        </w:rPr>
        <w:t>4.3</w:t>
      </w:r>
      <w:r w:rsidRPr="004466FC">
        <w:rPr>
          <w:rFonts w:ascii="Arial" w:hAnsi="Arial" w:cs="Arial"/>
          <w:i w:val="0"/>
          <w:iCs w:val="0"/>
          <w:noProof/>
          <w:sz w:val="24"/>
          <w:szCs w:val="24"/>
          <w:lang w:val="en-GB"/>
        </w:rPr>
        <w:tab/>
        <w:t>June 2024 projection of Scheme expenses</w:t>
      </w:r>
      <w:r w:rsidRPr="004466FC">
        <w:rPr>
          <w:rFonts w:ascii="Arial" w:hAnsi="Arial" w:cs="Arial"/>
          <w:i w:val="0"/>
          <w:iCs w:val="0"/>
          <w:noProof/>
          <w:sz w:val="24"/>
          <w:szCs w:val="24"/>
          <w:lang w:val="en-GB"/>
        </w:rPr>
        <w:tab/>
      </w:r>
      <w:r w:rsidRPr="004466FC">
        <w:rPr>
          <w:rFonts w:ascii="Arial" w:hAnsi="Arial" w:cs="Arial"/>
          <w:i w:val="0"/>
          <w:iCs w:val="0"/>
          <w:noProof/>
          <w:sz w:val="24"/>
          <w:szCs w:val="24"/>
          <w:lang w:val="en-GB"/>
        </w:rPr>
        <w:fldChar w:fldCharType="begin"/>
      </w:r>
      <w:r w:rsidRPr="004466FC">
        <w:rPr>
          <w:rFonts w:ascii="Arial" w:hAnsi="Arial" w:cs="Arial"/>
          <w:i w:val="0"/>
          <w:iCs w:val="0"/>
          <w:noProof/>
          <w:sz w:val="24"/>
          <w:szCs w:val="24"/>
          <w:lang w:val="en-GB"/>
        </w:rPr>
        <w:instrText xml:space="preserve"> PAGEREF _Toc180505671 \h </w:instrText>
      </w:r>
      <w:r w:rsidRPr="004466FC">
        <w:rPr>
          <w:rFonts w:ascii="Arial" w:hAnsi="Arial" w:cs="Arial"/>
          <w:i w:val="0"/>
          <w:iCs w:val="0"/>
          <w:noProof/>
          <w:sz w:val="24"/>
          <w:szCs w:val="24"/>
          <w:lang w:val="en-GB"/>
        </w:rPr>
      </w:r>
      <w:r w:rsidRPr="004466FC">
        <w:rPr>
          <w:rFonts w:ascii="Arial" w:hAnsi="Arial" w:cs="Arial"/>
          <w:i w:val="0"/>
          <w:iCs w:val="0"/>
          <w:noProof/>
          <w:sz w:val="24"/>
          <w:szCs w:val="24"/>
          <w:lang w:val="en-GB"/>
        </w:rPr>
        <w:fldChar w:fldCharType="separate"/>
      </w:r>
      <w:r w:rsidR="00460680">
        <w:rPr>
          <w:rFonts w:ascii="Arial" w:hAnsi="Arial" w:cs="Arial"/>
          <w:i w:val="0"/>
          <w:iCs w:val="0"/>
          <w:noProof/>
          <w:sz w:val="24"/>
          <w:szCs w:val="24"/>
          <w:lang w:val="en-GB"/>
        </w:rPr>
        <w:t>73</w:t>
      </w:r>
      <w:r w:rsidRPr="004466FC">
        <w:rPr>
          <w:rFonts w:ascii="Arial" w:hAnsi="Arial" w:cs="Arial"/>
          <w:i w:val="0"/>
          <w:iCs w:val="0"/>
          <w:noProof/>
          <w:sz w:val="24"/>
          <w:szCs w:val="24"/>
          <w:lang w:val="en-GB"/>
        </w:rPr>
        <w:fldChar w:fldCharType="end"/>
      </w:r>
    </w:p>
    <w:p w14:paraId="61FA6C04" w14:textId="324EE8B5" w:rsidR="004466FC" w:rsidRPr="004466FC" w:rsidRDefault="004466FC" w:rsidP="004466FC">
      <w:pPr>
        <w:pStyle w:val="TOC2"/>
        <w:tabs>
          <w:tab w:val="left" w:pos="1276"/>
          <w:tab w:val="right" w:pos="9174"/>
        </w:tabs>
        <w:spacing w:after="120" w:line="264" w:lineRule="auto"/>
        <w:ind w:left="1276" w:hanging="794"/>
        <w:rPr>
          <w:rFonts w:ascii="Arial" w:hAnsi="Arial" w:cs="Arial"/>
          <w:i w:val="0"/>
          <w:iCs w:val="0"/>
          <w:noProof/>
          <w:sz w:val="24"/>
          <w:szCs w:val="24"/>
          <w:lang w:val="en-GB"/>
        </w:rPr>
      </w:pPr>
      <w:r w:rsidRPr="004466FC">
        <w:rPr>
          <w:rFonts w:ascii="Arial" w:hAnsi="Arial" w:cs="Arial"/>
          <w:i w:val="0"/>
          <w:iCs w:val="0"/>
          <w:noProof/>
          <w:sz w:val="24"/>
          <w:szCs w:val="24"/>
          <w:lang w:val="en-GB"/>
        </w:rPr>
        <w:t>4.4</w:t>
      </w:r>
      <w:r w:rsidRPr="004466FC">
        <w:rPr>
          <w:rFonts w:ascii="Arial" w:hAnsi="Arial" w:cs="Arial"/>
          <w:i w:val="0"/>
          <w:iCs w:val="0"/>
          <w:noProof/>
          <w:sz w:val="24"/>
          <w:szCs w:val="24"/>
          <w:lang w:val="en-GB"/>
        </w:rPr>
        <w:tab/>
        <w:t>Letter from Independent Actuary</w:t>
      </w:r>
      <w:r w:rsidRPr="004466FC">
        <w:rPr>
          <w:rFonts w:ascii="Arial" w:hAnsi="Arial" w:cs="Arial"/>
          <w:i w:val="0"/>
          <w:iCs w:val="0"/>
          <w:noProof/>
          <w:sz w:val="24"/>
          <w:szCs w:val="24"/>
          <w:lang w:val="en-GB"/>
        </w:rPr>
        <w:tab/>
      </w:r>
      <w:r w:rsidRPr="004466FC">
        <w:rPr>
          <w:rFonts w:ascii="Arial" w:hAnsi="Arial" w:cs="Arial"/>
          <w:i w:val="0"/>
          <w:iCs w:val="0"/>
          <w:noProof/>
          <w:sz w:val="24"/>
          <w:szCs w:val="24"/>
          <w:lang w:val="en-GB"/>
        </w:rPr>
        <w:fldChar w:fldCharType="begin"/>
      </w:r>
      <w:r w:rsidRPr="004466FC">
        <w:rPr>
          <w:rFonts w:ascii="Arial" w:hAnsi="Arial" w:cs="Arial"/>
          <w:i w:val="0"/>
          <w:iCs w:val="0"/>
          <w:noProof/>
          <w:sz w:val="24"/>
          <w:szCs w:val="24"/>
          <w:lang w:val="en-GB"/>
        </w:rPr>
        <w:instrText xml:space="preserve"> PAGEREF _Toc180505672 \h </w:instrText>
      </w:r>
      <w:r w:rsidRPr="004466FC">
        <w:rPr>
          <w:rFonts w:ascii="Arial" w:hAnsi="Arial" w:cs="Arial"/>
          <w:i w:val="0"/>
          <w:iCs w:val="0"/>
          <w:noProof/>
          <w:sz w:val="24"/>
          <w:szCs w:val="24"/>
          <w:lang w:val="en-GB"/>
        </w:rPr>
      </w:r>
      <w:r w:rsidRPr="004466FC">
        <w:rPr>
          <w:rFonts w:ascii="Arial" w:hAnsi="Arial" w:cs="Arial"/>
          <w:i w:val="0"/>
          <w:iCs w:val="0"/>
          <w:noProof/>
          <w:sz w:val="24"/>
          <w:szCs w:val="24"/>
          <w:lang w:val="en-GB"/>
        </w:rPr>
        <w:fldChar w:fldCharType="separate"/>
      </w:r>
      <w:r w:rsidR="00460680">
        <w:rPr>
          <w:rFonts w:ascii="Arial" w:hAnsi="Arial" w:cs="Arial"/>
          <w:i w:val="0"/>
          <w:iCs w:val="0"/>
          <w:noProof/>
          <w:sz w:val="24"/>
          <w:szCs w:val="24"/>
          <w:lang w:val="en-GB"/>
        </w:rPr>
        <w:t>76</w:t>
      </w:r>
      <w:r w:rsidRPr="004466FC">
        <w:rPr>
          <w:rFonts w:ascii="Arial" w:hAnsi="Arial" w:cs="Arial"/>
          <w:i w:val="0"/>
          <w:iCs w:val="0"/>
          <w:noProof/>
          <w:sz w:val="24"/>
          <w:szCs w:val="24"/>
          <w:lang w:val="en-GB"/>
        </w:rPr>
        <w:fldChar w:fldCharType="end"/>
      </w:r>
    </w:p>
    <w:p w14:paraId="5F0EC58B" w14:textId="4187AE22" w:rsidR="004466FC" w:rsidRPr="004466FC" w:rsidRDefault="004466FC" w:rsidP="004466FC">
      <w:pPr>
        <w:pStyle w:val="TOC1"/>
        <w:spacing w:before="120" w:line="264" w:lineRule="auto"/>
        <w:rPr>
          <w:rFonts w:eastAsiaTheme="minorEastAsia"/>
          <w:color w:val="auto"/>
          <w:kern w:val="2"/>
          <w:lang w:val="en-AU" w:eastAsia="en-AU"/>
          <w14:ligatures w14:val="standardContextual"/>
        </w:rPr>
      </w:pPr>
      <w:r w:rsidRPr="004466FC">
        <w:rPr>
          <w:color w:val="auto"/>
        </w:rPr>
        <w:t>5.</w:t>
      </w:r>
      <w:r w:rsidRPr="004466FC">
        <w:rPr>
          <w:rFonts w:eastAsiaTheme="minorEastAsia"/>
          <w:color w:val="auto"/>
          <w:kern w:val="2"/>
          <w:lang w:val="en-AU" w:eastAsia="en-AU"/>
          <w14:ligatures w14:val="standardContextual"/>
        </w:rPr>
        <w:tab/>
      </w:r>
      <w:r w:rsidRPr="004466FC">
        <w:rPr>
          <w:color w:val="auto"/>
        </w:rPr>
        <w:t>Management and accountability</w:t>
      </w:r>
      <w:r w:rsidRPr="004466FC">
        <w:rPr>
          <w:color w:val="auto"/>
        </w:rPr>
        <w:tab/>
      </w:r>
      <w:r w:rsidRPr="004466FC">
        <w:rPr>
          <w:color w:val="auto"/>
        </w:rPr>
        <w:fldChar w:fldCharType="begin"/>
      </w:r>
      <w:r w:rsidRPr="004466FC">
        <w:rPr>
          <w:color w:val="auto"/>
        </w:rPr>
        <w:instrText xml:space="preserve"> PAGEREF _Toc180505673 \h </w:instrText>
      </w:r>
      <w:r w:rsidRPr="004466FC">
        <w:rPr>
          <w:color w:val="auto"/>
        </w:rPr>
      </w:r>
      <w:r w:rsidRPr="004466FC">
        <w:rPr>
          <w:color w:val="auto"/>
        </w:rPr>
        <w:fldChar w:fldCharType="separate"/>
      </w:r>
      <w:r w:rsidR="00460680">
        <w:rPr>
          <w:color w:val="auto"/>
        </w:rPr>
        <w:t>77</w:t>
      </w:r>
      <w:r w:rsidRPr="004466FC">
        <w:rPr>
          <w:color w:val="auto"/>
        </w:rPr>
        <w:fldChar w:fldCharType="end"/>
      </w:r>
    </w:p>
    <w:p w14:paraId="54BD5B82" w14:textId="08E20FBD" w:rsidR="004466FC" w:rsidRPr="004466FC" w:rsidRDefault="004466FC" w:rsidP="004466FC">
      <w:pPr>
        <w:pStyle w:val="TOC2"/>
        <w:tabs>
          <w:tab w:val="left" w:pos="1276"/>
          <w:tab w:val="right" w:pos="9174"/>
        </w:tabs>
        <w:spacing w:after="120" w:line="264" w:lineRule="auto"/>
        <w:ind w:left="1276" w:hanging="794"/>
        <w:rPr>
          <w:rFonts w:ascii="Arial" w:hAnsi="Arial" w:cs="Arial"/>
          <w:i w:val="0"/>
          <w:iCs w:val="0"/>
          <w:noProof/>
          <w:sz w:val="24"/>
          <w:szCs w:val="24"/>
          <w:lang w:val="en-GB"/>
        </w:rPr>
      </w:pPr>
      <w:r w:rsidRPr="004466FC">
        <w:rPr>
          <w:rFonts w:ascii="Arial" w:hAnsi="Arial" w:cs="Arial"/>
          <w:i w:val="0"/>
          <w:iCs w:val="0"/>
          <w:noProof/>
          <w:sz w:val="24"/>
          <w:szCs w:val="24"/>
          <w:lang w:val="en-GB"/>
        </w:rPr>
        <w:t>5.1</w:t>
      </w:r>
      <w:r w:rsidRPr="004466FC">
        <w:rPr>
          <w:rFonts w:ascii="Arial" w:hAnsi="Arial" w:cs="Arial"/>
          <w:i w:val="0"/>
          <w:iCs w:val="0"/>
          <w:noProof/>
          <w:sz w:val="24"/>
          <w:szCs w:val="24"/>
          <w:lang w:val="en-GB"/>
        </w:rPr>
        <w:tab/>
        <w:t>Governance</w:t>
      </w:r>
      <w:r w:rsidRPr="004466FC">
        <w:rPr>
          <w:rFonts w:ascii="Arial" w:hAnsi="Arial" w:cs="Arial"/>
          <w:i w:val="0"/>
          <w:iCs w:val="0"/>
          <w:noProof/>
          <w:sz w:val="24"/>
          <w:szCs w:val="24"/>
          <w:lang w:val="en-GB"/>
        </w:rPr>
        <w:tab/>
      </w:r>
      <w:r w:rsidRPr="004466FC">
        <w:rPr>
          <w:rFonts w:ascii="Arial" w:hAnsi="Arial" w:cs="Arial"/>
          <w:i w:val="0"/>
          <w:iCs w:val="0"/>
          <w:noProof/>
          <w:sz w:val="24"/>
          <w:szCs w:val="24"/>
          <w:lang w:val="en-GB"/>
        </w:rPr>
        <w:fldChar w:fldCharType="begin"/>
      </w:r>
      <w:r w:rsidRPr="004466FC">
        <w:rPr>
          <w:rFonts w:ascii="Arial" w:hAnsi="Arial" w:cs="Arial"/>
          <w:i w:val="0"/>
          <w:iCs w:val="0"/>
          <w:noProof/>
          <w:sz w:val="24"/>
          <w:szCs w:val="24"/>
          <w:lang w:val="en-GB"/>
        </w:rPr>
        <w:instrText xml:space="preserve"> PAGEREF _Toc180505674 \h </w:instrText>
      </w:r>
      <w:r w:rsidRPr="004466FC">
        <w:rPr>
          <w:rFonts w:ascii="Arial" w:hAnsi="Arial" w:cs="Arial"/>
          <w:i w:val="0"/>
          <w:iCs w:val="0"/>
          <w:noProof/>
          <w:sz w:val="24"/>
          <w:szCs w:val="24"/>
          <w:lang w:val="en-GB"/>
        </w:rPr>
      </w:r>
      <w:r w:rsidRPr="004466FC">
        <w:rPr>
          <w:rFonts w:ascii="Arial" w:hAnsi="Arial" w:cs="Arial"/>
          <w:i w:val="0"/>
          <w:iCs w:val="0"/>
          <w:noProof/>
          <w:sz w:val="24"/>
          <w:szCs w:val="24"/>
          <w:lang w:val="en-GB"/>
        </w:rPr>
        <w:fldChar w:fldCharType="separate"/>
      </w:r>
      <w:r w:rsidR="00460680">
        <w:rPr>
          <w:rFonts w:ascii="Arial" w:hAnsi="Arial" w:cs="Arial"/>
          <w:i w:val="0"/>
          <w:iCs w:val="0"/>
          <w:noProof/>
          <w:sz w:val="24"/>
          <w:szCs w:val="24"/>
          <w:lang w:val="en-GB"/>
        </w:rPr>
        <w:t>77</w:t>
      </w:r>
      <w:r w:rsidRPr="004466FC">
        <w:rPr>
          <w:rFonts w:ascii="Arial" w:hAnsi="Arial" w:cs="Arial"/>
          <w:i w:val="0"/>
          <w:iCs w:val="0"/>
          <w:noProof/>
          <w:sz w:val="24"/>
          <w:szCs w:val="24"/>
          <w:lang w:val="en-GB"/>
        </w:rPr>
        <w:fldChar w:fldCharType="end"/>
      </w:r>
    </w:p>
    <w:p w14:paraId="7F6C6749" w14:textId="2025FD1D" w:rsidR="004466FC" w:rsidRPr="004466FC" w:rsidRDefault="004466FC" w:rsidP="004466FC">
      <w:pPr>
        <w:pStyle w:val="TOC2"/>
        <w:tabs>
          <w:tab w:val="left" w:pos="1276"/>
          <w:tab w:val="right" w:pos="9174"/>
        </w:tabs>
        <w:spacing w:after="120" w:line="264" w:lineRule="auto"/>
        <w:ind w:left="1276" w:hanging="794"/>
        <w:rPr>
          <w:rFonts w:ascii="Arial" w:hAnsi="Arial" w:cs="Arial"/>
          <w:i w:val="0"/>
          <w:iCs w:val="0"/>
          <w:noProof/>
          <w:sz w:val="24"/>
          <w:szCs w:val="24"/>
          <w:lang w:val="en-GB"/>
        </w:rPr>
      </w:pPr>
      <w:r w:rsidRPr="004466FC">
        <w:rPr>
          <w:rFonts w:ascii="Arial" w:hAnsi="Arial" w:cs="Arial"/>
          <w:i w:val="0"/>
          <w:iCs w:val="0"/>
          <w:noProof/>
          <w:sz w:val="24"/>
          <w:szCs w:val="24"/>
          <w:lang w:val="en-GB"/>
        </w:rPr>
        <w:t>5.2</w:t>
      </w:r>
      <w:r w:rsidRPr="004466FC">
        <w:rPr>
          <w:rFonts w:ascii="Arial" w:hAnsi="Arial" w:cs="Arial"/>
          <w:i w:val="0"/>
          <w:iCs w:val="0"/>
          <w:noProof/>
          <w:sz w:val="24"/>
          <w:szCs w:val="24"/>
          <w:lang w:val="en-GB"/>
        </w:rPr>
        <w:tab/>
        <w:t>NDIA Board</w:t>
      </w:r>
      <w:r w:rsidRPr="004466FC">
        <w:rPr>
          <w:rFonts w:ascii="Arial" w:hAnsi="Arial" w:cs="Arial"/>
          <w:i w:val="0"/>
          <w:iCs w:val="0"/>
          <w:noProof/>
          <w:sz w:val="24"/>
          <w:szCs w:val="24"/>
          <w:lang w:val="en-GB"/>
        </w:rPr>
        <w:tab/>
      </w:r>
      <w:r w:rsidRPr="004466FC">
        <w:rPr>
          <w:rFonts w:ascii="Arial" w:hAnsi="Arial" w:cs="Arial"/>
          <w:i w:val="0"/>
          <w:iCs w:val="0"/>
          <w:noProof/>
          <w:sz w:val="24"/>
          <w:szCs w:val="24"/>
          <w:lang w:val="en-GB"/>
        </w:rPr>
        <w:fldChar w:fldCharType="begin"/>
      </w:r>
      <w:r w:rsidRPr="004466FC">
        <w:rPr>
          <w:rFonts w:ascii="Arial" w:hAnsi="Arial" w:cs="Arial"/>
          <w:i w:val="0"/>
          <w:iCs w:val="0"/>
          <w:noProof/>
          <w:sz w:val="24"/>
          <w:szCs w:val="24"/>
          <w:lang w:val="en-GB"/>
        </w:rPr>
        <w:instrText xml:space="preserve"> PAGEREF _Toc180505675 \h </w:instrText>
      </w:r>
      <w:r w:rsidRPr="004466FC">
        <w:rPr>
          <w:rFonts w:ascii="Arial" w:hAnsi="Arial" w:cs="Arial"/>
          <w:i w:val="0"/>
          <w:iCs w:val="0"/>
          <w:noProof/>
          <w:sz w:val="24"/>
          <w:szCs w:val="24"/>
          <w:lang w:val="en-GB"/>
        </w:rPr>
      </w:r>
      <w:r w:rsidRPr="004466FC">
        <w:rPr>
          <w:rFonts w:ascii="Arial" w:hAnsi="Arial" w:cs="Arial"/>
          <w:i w:val="0"/>
          <w:iCs w:val="0"/>
          <w:noProof/>
          <w:sz w:val="24"/>
          <w:szCs w:val="24"/>
          <w:lang w:val="en-GB"/>
        </w:rPr>
        <w:fldChar w:fldCharType="separate"/>
      </w:r>
      <w:r w:rsidR="00460680">
        <w:rPr>
          <w:rFonts w:ascii="Arial" w:hAnsi="Arial" w:cs="Arial"/>
          <w:i w:val="0"/>
          <w:iCs w:val="0"/>
          <w:noProof/>
          <w:sz w:val="24"/>
          <w:szCs w:val="24"/>
          <w:lang w:val="en-GB"/>
        </w:rPr>
        <w:t>77</w:t>
      </w:r>
      <w:r w:rsidRPr="004466FC">
        <w:rPr>
          <w:rFonts w:ascii="Arial" w:hAnsi="Arial" w:cs="Arial"/>
          <w:i w:val="0"/>
          <w:iCs w:val="0"/>
          <w:noProof/>
          <w:sz w:val="24"/>
          <w:szCs w:val="24"/>
          <w:lang w:val="en-GB"/>
        </w:rPr>
        <w:fldChar w:fldCharType="end"/>
      </w:r>
    </w:p>
    <w:p w14:paraId="7CC34C49" w14:textId="0549FE44" w:rsidR="004466FC" w:rsidRPr="004466FC" w:rsidRDefault="004466FC" w:rsidP="004466FC">
      <w:pPr>
        <w:pStyle w:val="TOC2"/>
        <w:tabs>
          <w:tab w:val="left" w:pos="1276"/>
          <w:tab w:val="right" w:pos="9174"/>
        </w:tabs>
        <w:spacing w:after="120" w:line="264" w:lineRule="auto"/>
        <w:ind w:left="1276" w:hanging="794"/>
        <w:rPr>
          <w:rFonts w:ascii="Arial" w:hAnsi="Arial" w:cs="Arial"/>
          <w:i w:val="0"/>
          <w:iCs w:val="0"/>
          <w:noProof/>
          <w:sz w:val="24"/>
          <w:szCs w:val="24"/>
          <w:lang w:val="en-GB"/>
        </w:rPr>
      </w:pPr>
      <w:r w:rsidRPr="004466FC">
        <w:rPr>
          <w:rFonts w:ascii="Arial" w:hAnsi="Arial" w:cs="Arial"/>
          <w:i w:val="0"/>
          <w:iCs w:val="0"/>
          <w:noProof/>
          <w:sz w:val="24"/>
          <w:szCs w:val="24"/>
          <w:lang w:val="en-GB"/>
        </w:rPr>
        <w:t>5.3</w:t>
      </w:r>
      <w:r w:rsidRPr="004466FC">
        <w:rPr>
          <w:rFonts w:ascii="Arial" w:hAnsi="Arial" w:cs="Arial"/>
          <w:i w:val="0"/>
          <w:iCs w:val="0"/>
          <w:noProof/>
          <w:sz w:val="24"/>
          <w:szCs w:val="24"/>
          <w:lang w:val="en-GB"/>
        </w:rPr>
        <w:tab/>
        <w:t>The Independent Advisory Council</w:t>
      </w:r>
      <w:r w:rsidRPr="004466FC">
        <w:rPr>
          <w:rFonts w:ascii="Arial" w:hAnsi="Arial" w:cs="Arial"/>
          <w:i w:val="0"/>
          <w:iCs w:val="0"/>
          <w:noProof/>
          <w:sz w:val="24"/>
          <w:szCs w:val="24"/>
          <w:lang w:val="en-GB"/>
        </w:rPr>
        <w:tab/>
      </w:r>
      <w:r w:rsidRPr="004466FC">
        <w:rPr>
          <w:rFonts w:ascii="Arial" w:hAnsi="Arial" w:cs="Arial"/>
          <w:i w:val="0"/>
          <w:iCs w:val="0"/>
          <w:noProof/>
          <w:sz w:val="24"/>
          <w:szCs w:val="24"/>
          <w:lang w:val="en-GB"/>
        </w:rPr>
        <w:fldChar w:fldCharType="begin"/>
      </w:r>
      <w:r w:rsidRPr="004466FC">
        <w:rPr>
          <w:rFonts w:ascii="Arial" w:hAnsi="Arial" w:cs="Arial"/>
          <w:i w:val="0"/>
          <w:iCs w:val="0"/>
          <w:noProof/>
          <w:sz w:val="24"/>
          <w:szCs w:val="24"/>
          <w:lang w:val="en-GB"/>
        </w:rPr>
        <w:instrText xml:space="preserve"> PAGEREF _Toc180505676 \h </w:instrText>
      </w:r>
      <w:r w:rsidRPr="004466FC">
        <w:rPr>
          <w:rFonts w:ascii="Arial" w:hAnsi="Arial" w:cs="Arial"/>
          <w:i w:val="0"/>
          <w:iCs w:val="0"/>
          <w:noProof/>
          <w:sz w:val="24"/>
          <w:szCs w:val="24"/>
          <w:lang w:val="en-GB"/>
        </w:rPr>
      </w:r>
      <w:r w:rsidRPr="004466FC">
        <w:rPr>
          <w:rFonts w:ascii="Arial" w:hAnsi="Arial" w:cs="Arial"/>
          <w:i w:val="0"/>
          <w:iCs w:val="0"/>
          <w:noProof/>
          <w:sz w:val="24"/>
          <w:szCs w:val="24"/>
          <w:lang w:val="en-GB"/>
        </w:rPr>
        <w:fldChar w:fldCharType="separate"/>
      </w:r>
      <w:r w:rsidR="00460680">
        <w:rPr>
          <w:rFonts w:ascii="Arial" w:hAnsi="Arial" w:cs="Arial"/>
          <w:i w:val="0"/>
          <w:iCs w:val="0"/>
          <w:noProof/>
          <w:sz w:val="24"/>
          <w:szCs w:val="24"/>
          <w:lang w:val="en-GB"/>
        </w:rPr>
        <w:t>98</w:t>
      </w:r>
      <w:r w:rsidRPr="004466FC">
        <w:rPr>
          <w:rFonts w:ascii="Arial" w:hAnsi="Arial" w:cs="Arial"/>
          <w:i w:val="0"/>
          <w:iCs w:val="0"/>
          <w:noProof/>
          <w:sz w:val="24"/>
          <w:szCs w:val="24"/>
          <w:lang w:val="en-GB"/>
        </w:rPr>
        <w:fldChar w:fldCharType="end"/>
      </w:r>
    </w:p>
    <w:p w14:paraId="6B527498" w14:textId="2076886C" w:rsidR="004466FC" w:rsidRPr="004466FC" w:rsidRDefault="004466FC" w:rsidP="004466FC">
      <w:pPr>
        <w:pStyle w:val="TOC2"/>
        <w:tabs>
          <w:tab w:val="left" w:pos="1276"/>
          <w:tab w:val="right" w:pos="9174"/>
        </w:tabs>
        <w:spacing w:after="120" w:line="264" w:lineRule="auto"/>
        <w:ind w:left="1276" w:hanging="794"/>
        <w:rPr>
          <w:rFonts w:ascii="Arial" w:hAnsi="Arial" w:cs="Arial"/>
          <w:i w:val="0"/>
          <w:iCs w:val="0"/>
          <w:noProof/>
          <w:sz w:val="24"/>
          <w:szCs w:val="24"/>
          <w:lang w:val="en-GB"/>
        </w:rPr>
      </w:pPr>
      <w:r w:rsidRPr="004466FC">
        <w:rPr>
          <w:rFonts w:ascii="Arial" w:hAnsi="Arial" w:cs="Arial"/>
          <w:i w:val="0"/>
          <w:iCs w:val="0"/>
          <w:noProof/>
          <w:sz w:val="24"/>
          <w:szCs w:val="24"/>
          <w:lang w:val="en-GB"/>
        </w:rPr>
        <w:t>5.4</w:t>
      </w:r>
      <w:r w:rsidRPr="004466FC">
        <w:rPr>
          <w:rFonts w:ascii="Arial" w:hAnsi="Arial" w:cs="Arial"/>
          <w:i w:val="0"/>
          <w:iCs w:val="0"/>
          <w:noProof/>
          <w:sz w:val="24"/>
          <w:szCs w:val="24"/>
          <w:lang w:val="en-GB"/>
        </w:rPr>
        <w:tab/>
        <w:t>Chief Executive Officer and Strategic Leadership Team</w:t>
      </w:r>
      <w:r w:rsidRPr="004466FC">
        <w:rPr>
          <w:rFonts w:ascii="Arial" w:hAnsi="Arial" w:cs="Arial"/>
          <w:i w:val="0"/>
          <w:iCs w:val="0"/>
          <w:noProof/>
          <w:sz w:val="24"/>
          <w:szCs w:val="24"/>
          <w:lang w:val="en-GB"/>
        </w:rPr>
        <w:tab/>
      </w:r>
      <w:r w:rsidRPr="004466FC">
        <w:rPr>
          <w:rFonts w:ascii="Arial" w:hAnsi="Arial" w:cs="Arial"/>
          <w:i w:val="0"/>
          <w:iCs w:val="0"/>
          <w:noProof/>
          <w:sz w:val="24"/>
          <w:szCs w:val="24"/>
          <w:lang w:val="en-GB"/>
        </w:rPr>
        <w:fldChar w:fldCharType="begin"/>
      </w:r>
      <w:r w:rsidRPr="004466FC">
        <w:rPr>
          <w:rFonts w:ascii="Arial" w:hAnsi="Arial" w:cs="Arial"/>
          <w:i w:val="0"/>
          <w:iCs w:val="0"/>
          <w:noProof/>
          <w:sz w:val="24"/>
          <w:szCs w:val="24"/>
          <w:lang w:val="en-GB"/>
        </w:rPr>
        <w:instrText xml:space="preserve"> PAGEREF _Toc180505677 \h </w:instrText>
      </w:r>
      <w:r w:rsidRPr="004466FC">
        <w:rPr>
          <w:rFonts w:ascii="Arial" w:hAnsi="Arial" w:cs="Arial"/>
          <w:i w:val="0"/>
          <w:iCs w:val="0"/>
          <w:noProof/>
          <w:sz w:val="24"/>
          <w:szCs w:val="24"/>
          <w:lang w:val="en-GB"/>
        </w:rPr>
      </w:r>
      <w:r w:rsidRPr="004466FC">
        <w:rPr>
          <w:rFonts w:ascii="Arial" w:hAnsi="Arial" w:cs="Arial"/>
          <w:i w:val="0"/>
          <w:iCs w:val="0"/>
          <w:noProof/>
          <w:sz w:val="24"/>
          <w:szCs w:val="24"/>
          <w:lang w:val="en-GB"/>
        </w:rPr>
        <w:fldChar w:fldCharType="separate"/>
      </w:r>
      <w:r w:rsidR="00460680">
        <w:rPr>
          <w:rFonts w:ascii="Arial" w:hAnsi="Arial" w:cs="Arial"/>
          <w:i w:val="0"/>
          <w:iCs w:val="0"/>
          <w:noProof/>
          <w:sz w:val="24"/>
          <w:szCs w:val="24"/>
          <w:lang w:val="en-GB"/>
        </w:rPr>
        <w:t>100</w:t>
      </w:r>
      <w:r w:rsidRPr="004466FC">
        <w:rPr>
          <w:rFonts w:ascii="Arial" w:hAnsi="Arial" w:cs="Arial"/>
          <w:i w:val="0"/>
          <w:iCs w:val="0"/>
          <w:noProof/>
          <w:sz w:val="24"/>
          <w:szCs w:val="24"/>
          <w:lang w:val="en-GB"/>
        </w:rPr>
        <w:fldChar w:fldCharType="end"/>
      </w:r>
    </w:p>
    <w:p w14:paraId="554FD099" w14:textId="37713C5C" w:rsidR="004466FC" w:rsidRPr="004466FC" w:rsidRDefault="004466FC" w:rsidP="004466FC">
      <w:pPr>
        <w:pStyle w:val="TOC2"/>
        <w:tabs>
          <w:tab w:val="left" w:pos="1276"/>
          <w:tab w:val="right" w:pos="9174"/>
        </w:tabs>
        <w:spacing w:after="120" w:line="264" w:lineRule="auto"/>
        <w:ind w:left="1276" w:hanging="794"/>
        <w:rPr>
          <w:rFonts w:ascii="Arial" w:hAnsi="Arial" w:cs="Arial"/>
          <w:i w:val="0"/>
          <w:iCs w:val="0"/>
          <w:noProof/>
          <w:sz w:val="24"/>
          <w:szCs w:val="24"/>
          <w:lang w:val="en-GB"/>
        </w:rPr>
      </w:pPr>
      <w:r w:rsidRPr="004466FC">
        <w:rPr>
          <w:rFonts w:ascii="Arial" w:hAnsi="Arial" w:cs="Arial"/>
          <w:i w:val="0"/>
          <w:iCs w:val="0"/>
          <w:noProof/>
          <w:sz w:val="24"/>
          <w:szCs w:val="24"/>
          <w:lang w:val="en-GB"/>
        </w:rPr>
        <w:t>5.5</w:t>
      </w:r>
      <w:r w:rsidRPr="004466FC">
        <w:rPr>
          <w:rFonts w:ascii="Arial" w:hAnsi="Arial" w:cs="Arial"/>
          <w:i w:val="0"/>
          <w:iCs w:val="0"/>
          <w:noProof/>
          <w:sz w:val="24"/>
          <w:szCs w:val="24"/>
          <w:lang w:val="en-GB"/>
        </w:rPr>
        <w:tab/>
        <w:t>Partners in the community</w:t>
      </w:r>
      <w:r w:rsidRPr="004466FC">
        <w:rPr>
          <w:rFonts w:ascii="Arial" w:hAnsi="Arial" w:cs="Arial"/>
          <w:i w:val="0"/>
          <w:iCs w:val="0"/>
          <w:noProof/>
          <w:sz w:val="24"/>
          <w:szCs w:val="24"/>
          <w:lang w:val="en-GB"/>
        </w:rPr>
        <w:tab/>
      </w:r>
      <w:r w:rsidRPr="004466FC">
        <w:rPr>
          <w:rFonts w:ascii="Arial" w:hAnsi="Arial" w:cs="Arial"/>
          <w:i w:val="0"/>
          <w:iCs w:val="0"/>
          <w:noProof/>
          <w:sz w:val="24"/>
          <w:szCs w:val="24"/>
          <w:lang w:val="en-GB"/>
        </w:rPr>
        <w:fldChar w:fldCharType="begin"/>
      </w:r>
      <w:r w:rsidRPr="004466FC">
        <w:rPr>
          <w:rFonts w:ascii="Arial" w:hAnsi="Arial" w:cs="Arial"/>
          <w:i w:val="0"/>
          <w:iCs w:val="0"/>
          <w:noProof/>
          <w:sz w:val="24"/>
          <w:szCs w:val="24"/>
          <w:lang w:val="en-GB"/>
        </w:rPr>
        <w:instrText xml:space="preserve"> PAGEREF _Toc180505678 \h </w:instrText>
      </w:r>
      <w:r w:rsidRPr="004466FC">
        <w:rPr>
          <w:rFonts w:ascii="Arial" w:hAnsi="Arial" w:cs="Arial"/>
          <w:i w:val="0"/>
          <w:iCs w:val="0"/>
          <w:noProof/>
          <w:sz w:val="24"/>
          <w:szCs w:val="24"/>
          <w:lang w:val="en-GB"/>
        </w:rPr>
      </w:r>
      <w:r w:rsidRPr="004466FC">
        <w:rPr>
          <w:rFonts w:ascii="Arial" w:hAnsi="Arial" w:cs="Arial"/>
          <w:i w:val="0"/>
          <w:iCs w:val="0"/>
          <w:noProof/>
          <w:sz w:val="24"/>
          <w:szCs w:val="24"/>
          <w:lang w:val="en-GB"/>
        </w:rPr>
        <w:fldChar w:fldCharType="separate"/>
      </w:r>
      <w:r w:rsidR="00460680">
        <w:rPr>
          <w:rFonts w:ascii="Arial" w:hAnsi="Arial" w:cs="Arial"/>
          <w:i w:val="0"/>
          <w:iCs w:val="0"/>
          <w:noProof/>
          <w:sz w:val="24"/>
          <w:szCs w:val="24"/>
          <w:lang w:val="en-GB"/>
        </w:rPr>
        <w:t>101</w:t>
      </w:r>
      <w:r w:rsidRPr="004466FC">
        <w:rPr>
          <w:rFonts w:ascii="Arial" w:hAnsi="Arial" w:cs="Arial"/>
          <w:i w:val="0"/>
          <w:iCs w:val="0"/>
          <w:noProof/>
          <w:sz w:val="24"/>
          <w:szCs w:val="24"/>
          <w:lang w:val="en-GB"/>
        </w:rPr>
        <w:fldChar w:fldCharType="end"/>
      </w:r>
    </w:p>
    <w:p w14:paraId="72024E47" w14:textId="4BE83D7F" w:rsidR="004466FC" w:rsidRPr="004466FC" w:rsidRDefault="004466FC" w:rsidP="004466FC">
      <w:pPr>
        <w:pStyle w:val="TOC2"/>
        <w:tabs>
          <w:tab w:val="left" w:pos="1276"/>
          <w:tab w:val="right" w:pos="9174"/>
        </w:tabs>
        <w:spacing w:after="120" w:line="264" w:lineRule="auto"/>
        <w:ind w:left="1276" w:hanging="794"/>
        <w:rPr>
          <w:rFonts w:ascii="Arial" w:hAnsi="Arial" w:cs="Arial"/>
          <w:i w:val="0"/>
          <w:iCs w:val="0"/>
          <w:noProof/>
          <w:sz w:val="24"/>
          <w:szCs w:val="24"/>
          <w:lang w:val="en-GB"/>
        </w:rPr>
      </w:pPr>
      <w:r w:rsidRPr="004466FC">
        <w:rPr>
          <w:rFonts w:ascii="Arial" w:hAnsi="Arial" w:cs="Arial"/>
          <w:i w:val="0"/>
          <w:iCs w:val="0"/>
          <w:noProof/>
          <w:sz w:val="24"/>
          <w:szCs w:val="24"/>
          <w:lang w:val="en-GB"/>
        </w:rPr>
        <w:t>5.6</w:t>
      </w:r>
      <w:r w:rsidRPr="004466FC">
        <w:rPr>
          <w:rFonts w:ascii="Arial" w:hAnsi="Arial" w:cs="Arial"/>
          <w:i w:val="0"/>
          <w:iCs w:val="0"/>
          <w:noProof/>
          <w:sz w:val="24"/>
          <w:szCs w:val="24"/>
          <w:lang w:val="en-GB"/>
        </w:rPr>
        <w:tab/>
        <w:t>Workforce management</w:t>
      </w:r>
      <w:r w:rsidRPr="004466FC">
        <w:rPr>
          <w:rFonts w:ascii="Arial" w:hAnsi="Arial" w:cs="Arial"/>
          <w:i w:val="0"/>
          <w:iCs w:val="0"/>
          <w:noProof/>
          <w:sz w:val="24"/>
          <w:szCs w:val="24"/>
          <w:lang w:val="en-GB"/>
        </w:rPr>
        <w:tab/>
      </w:r>
      <w:r w:rsidRPr="004466FC">
        <w:rPr>
          <w:rFonts w:ascii="Arial" w:hAnsi="Arial" w:cs="Arial"/>
          <w:i w:val="0"/>
          <w:iCs w:val="0"/>
          <w:noProof/>
          <w:sz w:val="24"/>
          <w:szCs w:val="24"/>
          <w:lang w:val="en-GB"/>
        </w:rPr>
        <w:fldChar w:fldCharType="begin"/>
      </w:r>
      <w:r w:rsidRPr="004466FC">
        <w:rPr>
          <w:rFonts w:ascii="Arial" w:hAnsi="Arial" w:cs="Arial"/>
          <w:i w:val="0"/>
          <w:iCs w:val="0"/>
          <w:noProof/>
          <w:sz w:val="24"/>
          <w:szCs w:val="24"/>
          <w:lang w:val="en-GB"/>
        </w:rPr>
        <w:instrText xml:space="preserve"> PAGEREF _Toc180505679 \h </w:instrText>
      </w:r>
      <w:r w:rsidRPr="004466FC">
        <w:rPr>
          <w:rFonts w:ascii="Arial" w:hAnsi="Arial" w:cs="Arial"/>
          <w:i w:val="0"/>
          <w:iCs w:val="0"/>
          <w:noProof/>
          <w:sz w:val="24"/>
          <w:szCs w:val="24"/>
          <w:lang w:val="en-GB"/>
        </w:rPr>
      </w:r>
      <w:r w:rsidRPr="004466FC">
        <w:rPr>
          <w:rFonts w:ascii="Arial" w:hAnsi="Arial" w:cs="Arial"/>
          <w:i w:val="0"/>
          <w:iCs w:val="0"/>
          <w:noProof/>
          <w:sz w:val="24"/>
          <w:szCs w:val="24"/>
          <w:lang w:val="en-GB"/>
        </w:rPr>
        <w:fldChar w:fldCharType="separate"/>
      </w:r>
      <w:r w:rsidR="00460680">
        <w:rPr>
          <w:rFonts w:ascii="Arial" w:hAnsi="Arial" w:cs="Arial"/>
          <w:i w:val="0"/>
          <w:iCs w:val="0"/>
          <w:noProof/>
          <w:sz w:val="24"/>
          <w:szCs w:val="24"/>
          <w:lang w:val="en-GB"/>
        </w:rPr>
        <w:t>102</w:t>
      </w:r>
      <w:r w:rsidRPr="004466FC">
        <w:rPr>
          <w:rFonts w:ascii="Arial" w:hAnsi="Arial" w:cs="Arial"/>
          <w:i w:val="0"/>
          <w:iCs w:val="0"/>
          <w:noProof/>
          <w:sz w:val="24"/>
          <w:szCs w:val="24"/>
          <w:lang w:val="en-GB"/>
        </w:rPr>
        <w:fldChar w:fldCharType="end"/>
      </w:r>
    </w:p>
    <w:p w14:paraId="5D81EBAF" w14:textId="42AAA933" w:rsidR="004466FC" w:rsidRPr="004466FC" w:rsidRDefault="004466FC" w:rsidP="004466FC">
      <w:pPr>
        <w:pStyle w:val="TOC2"/>
        <w:tabs>
          <w:tab w:val="left" w:pos="1276"/>
          <w:tab w:val="right" w:pos="9174"/>
        </w:tabs>
        <w:spacing w:after="120" w:line="264" w:lineRule="auto"/>
        <w:ind w:left="1276" w:hanging="794"/>
        <w:rPr>
          <w:rFonts w:ascii="Arial" w:hAnsi="Arial" w:cs="Arial"/>
          <w:i w:val="0"/>
          <w:iCs w:val="0"/>
          <w:noProof/>
          <w:sz w:val="24"/>
          <w:szCs w:val="24"/>
          <w:lang w:val="en-GB"/>
        </w:rPr>
      </w:pPr>
      <w:r w:rsidRPr="004466FC">
        <w:rPr>
          <w:rFonts w:ascii="Arial" w:hAnsi="Arial" w:cs="Arial"/>
          <w:i w:val="0"/>
          <w:iCs w:val="0"/>
          <w:noProof/>
          <w:sz w:val="24"/>
          <w:szCs w:val="24"/>
          <w:lang w:val="en-GB"/>
        </w:rPr>
        <w:t>5.7</w:t>
      </w:r>
      <w:r w:rsidRPr="004466FC">
        <w:rPr>
          <w:rFonts w:ascii="Arial" w:hAnsi="Arial" w:cs="Arial"/>
          <w:i w:val="0"/>
          <w:iCs w:val="0"/>
          <w:noProof/>
          <w:sz w:val="24"/>
          <w:szCs w:val="24"/>
          <w:lang w:val="en-GB"/>
        </w:rPr>
        <w:tab/>
        <w:t>Staff engagement</w:t>
      </w:r>
      <w:r w:rsidRPr="004466FC">
        <w:rPr>
          <w:rFonts w:ascii="Arial" w:hAnsi="Arial" w:cs="Arial"/>
          <w:i w:val="0"/>
          <w:iCs w:val="0"/>
          <w:noProof/>
          <w:sz w:val="24"/>
          <w:szCs w:val="24"/>
          <w:lang w:val="en-GB"/>
        </w:rPr>
        <w:tab/>
      </w:r>
      <w:r w:rsidRPr="004466FC">
        <w:rPr>
          <w:rFonts w:ascii="Arial" w:hAnsi="Arial" w:cs="Arial"/>
          <w:i w:val="0"/>
          <w:iCs w:val="0"/>
          <w:noProof/>
          <w:sz w:val="24"/>
          <w:szCs w:val="24"/>
          <w:lang w:val="en-GB"/>
        </w:rPr>
        <w:fldChar w:fldCharType="begin"/>
      </w:r>
      <w:r w:rsidRPr="004466FC">
        <w:rPr>
          <w:rFonts w:ascii="Arial" w:hAnsi="Arial" w:cs="Arial"/>
          <w:i w:val="0"/>
          <w:iCs w:val="0"/>
          <w:noProof/>
          <w:sz w:val="24"/>
          <w:szCs w:val="24"/>
          <w:lang w:val="en-GB"/>
        </w:rPr>
        <w:instrText xml:space="preserve"> PAGEREF _Toc180505680 \h </w:instrText>
      </w:r>
      <w:r w:rsidRPr="004466FC">
        <w:rPr>
          <w:rFonts w:ascii="Arial" w:hAnsi="Arial" w:cs="Arial"/>
          <w:i w:val="0"/>
          <w:iCs w:val="0"/>
          <w:noProof/>
          <w:sz w:val="24"/>
          <w:szCs w:val="24"/>
          <w:lang w:val="en-GB"/>
        </w:rPr>
      </w:r>
      <w:r w:rsidRPr="004466FC">
        <w:rPr>
          <w:rFonts w:ascii="Arial" w:hAnsi="Arial" w:cs="Arial"/>
          <w:i w:val="0"/>
          <w:iCs w:val="0"/>
          <w:noProof/>
          <w:sz w:val="24"/>
          <w:szCs w:val="24"/>
          <w:lang w:val="en-GB"/>
        </w:rPr>
        <w:fldChar w:fldCharType="separate"/>
      </w:r>
      <w:r w:rsidR="00460680">
        <w:rPr>
          <w:rFonts w:ascii="Arial" w:hAnsi="Arial" w:cs="Arial"/>
          <w:i w:val="0"/>
          <w:iCs w:val="0"/>
          <w:noProof/>
          <w:sz w:val="24"/>
          <w:szCs w:val="24"/>
          <w:lang w:val="en-GB"/>
        </w:rPr>
        <w:t>105</w:t>
      </w:r>
      <w:r w:rsidRPr="004466FC">
        <w:rPr>
          <w:rFonts w:ascii="Arial" w:hAnsi="Arial" w:cs="Arial"/>
          <w:i w:val="0"/>
          <w:iCs w:val="0"/>
          <w:noProof/>
          <w:sz w:val="24"/>
          <w:szCs w:val="24"/>
          <w:lang w:val="en-GB"/>
        </w:rPr>
        <w:fldChar w:fldCharType="end"/>
      </w:r>
    </w:p>
    <w:p w14:paraId="5C3B7602" w14:textId="6985E482" w:rsidR="004466FC" w:rsidRPr="004466FC" w:rsidRDefault="004466FC" w:rsidP="004466FC">
      <w:pPr>
        <w:pStyle w:val="TOC2"/>
        <w:tabs>
          <w:tab w:val="left" w:pos="1276"/>
          <w:tab w:val="right" w:pos="9174"/>
        </w:tabs>
        <w:spacing w:after="120" w:line="264" w:lineRule="auto"/>
        <w:ind w:left="1276" w:hanging="794"/>
        <w:rPr>
          <w:rFonts w:ascii="Arial" w:hAnsi="Arial" w:cs="Arial"/>
          <w:i w:val="0"/>
          <w:iCs w:val="0"/>
          <w:noProof/>
          <w:sz w:val="24"/>
          <w:szCs w:val="24"/>
          <w:lang w:val="en-GB"/>
        </w:rPr>
      </w:pPr>
      <w:r w:rsidRPr="004466FC">
        <w:rPr>
          <w:rFonts w:ascii="Arial" w:hAnsi="Arial" w:cs="Arial"/>
          <w:i w:val="0"/>
          <w:iCs w:val="0"/>
          <w:noProof/>
          <w:sz w:val="24"/>
          <w:szCs w:val="24"/>
          <w:lang w:val="en-GB"/>
        </w:rPr>
        <w:t>5.8</w:t>
      </w:r>
      <w:r w:rsidRPr="004466FC">
        <w:rPr>
          <w:rFonts w:ascii="Arial" w:hAnsi="Arial" w:cs="Arial"/>
          <w:i w:val="0"/>
          <w:iCs w:val="0"/>
          <w:noProof/>
          <w:sz w:val="24"/>
          <w:szCs w:val="24"/>
          <w:lang w:val="en-GB"/>
        </w:rPr>
        <w:tab/>
        <w:t>Risk management</w:t>
      </w:r>
      <w:r w:rsidRPr="004466FC">
        <w:rPr>
          <w:rFonts w:ascii="Arial" w:hAnsi="Arial" w:cs="Arial"/>
          <w:i w:val="0"/>
          <w:iCs w:val="0"/>
          <w:noProof/>
          <w:sz w:val="24"/>
          <w:szCs w:val="24"/>
          <w:lang w:val="en-GB"/>
        </w:rPr>
        <w:tab/>
      </w:r>
      <w:r w:rsidRPr="004466FC">
        <w:rPr>
          <w:rFonts w:ascii="Arial" w:hAnsi="Arial" w:cs="Arial"/>
          <w:i w:val="0"/>
          <w:iCs w:val="0"/>
          <w:noProof/>
          <w:sz w:val="24"/>
          <w:szCs w:val="24"/>
          <w:lang w:val="en-GB"/>
        </w:rPr>
        <w:fldChar w:fldCharType="begin"/>
      </w:r>
      <w:r w:rsidRPr="004466FC">
        <w:rPr>
          <w:rFonts w:ascii="Arial" w:hAnsi="Arial" w:cs="Arial"/>
          <w:i w:val="0"/>
          <w:iCs w:val="0"/>
          <w:noProof/>
          <w:sz w:val="24"/>
          <w:szCs w:val="24"/>
          <w:lang w:val="en-GB"/>
        </w:rPr>
        <w:instrText xml:space="preserve"> PAGEREF _Toc180505681 \h </w:instrText>
      </w:r>
      <w:r w:rsidRPr="004466FC">
        <w:rPr>
          <w:rFonts w:ascii="Arial" w:hAnsi="Arial" w:cs="Arial"/>
          <w:i w:val="0"/>
          <w:iCs w:val="0"/>
          <w:noProof/>
          <w:sz w:val="24"/>
          <w:szCs w:val="24"/>
          <w:lang w:val="en-GB"/>
        </w:rPr>
      </w:r>
      <w:r w:rsidRPr="004466FC">
        <w:rPr>
          <w:rFonts w:ascii="Arial" w:hAnsi="Arial" w:cs="Arial"/>
          <w:i w:val="0"/>
          <w:iCs w:val="0"/>
          <w:noProof/>
          <w:sz w:val="24"/>
          <w:szCs w:val="24"/>
          <w:lang w:val="en-GB"/>
        </w:rPr>
        <w:fldChar w:fldCharType="separate"/>
      </w:r>
      <w:r w:rsidR="00460680">
        <w:rPr>
          <w:rFonts w:ascii="Arial" w:hAnsi="Arial" w:cs="Arial"/>
          <w:i w:val="0"/>
          <w:iCs w:val="0"/>
          <w:noProof/>
          <w:sz w:val="24"/>
          <w:szCs w:val="24"/>
          <w:lang w:val="en-GB"/>
        </w:rPr>
        <w:t>105</w:t>
      </w:r>
      <w:r w:rsidRPr="004466FC">
        <w:rPr>
          <w:rFonts w:ascii="Arial" w:hAnsi="Arial" w:cs="Arial"/>
          <w:i w:val="0"/>
          <w:iCs w:val="0"/>
          <w:noProof/>
          <w:sz w:val="24"/>
          <w:szCs w:val="24"/>
          <w:lang w:val="en-GB"/>
        </w:rPr>
        <w:fldChar w:fldCharType="end"/>
      </w:r>
    </w:p>
    <w:p w14:paraId="702B17F8" w14:textId="15FC5384" w:rsidR="004466FC" w:rsidRPr="004466FC" w:rsidRDefault="004466FC" w:rsidP="004466FC">
      <w:pPr>
        <w:pStyle w:val="TOC1"/>
        <w:spacing w:before="120" w:line="264" w:lineRule="auto"/>
        <w:rPr>
          <w:rFonts w:eastAsiaTheme="minorEastAsia"/>
          <w:color w:val="auto"/>
          <w:kern w:val="2"/>
          <w:lang w:val="en-AU" w:eastAsia="en-AU"/>
          <w14:ligatures w14:val="standardContextual"/>
        </w:rPr>
      </w:pPr>
      <w:r w:rsidRPr="004466FC">
        <w:rPr>
          <w:color w:val="auto"/>
        </w:rPr>
        <w:lastRenderedPageBreak/>
        <w:t>6.</w:t>
      </w:r>
      <w:r w:rsidRPr="004466FC">
        <w:rPr>
          <w:rFonts w:eastAsiaTheme="minorEastAsia"/>
          <w:color w:val="auto"/>
          <w:kern w:val="2"/>
          <w:lang w:val="en-AU" w:eastAsia="en-AU"/>
          <w14:ligatures w14:val="standardContextual"/>
        </w:rPr>
        <w:tab/>
      </w:r>
      <w:r w:rsidRPr="004466FC">
        <w:rPr>
          <w:color w:val="auto"/>
        </w:rPr>
        <w:t>Appendices</w:t>
      </w:r>
      <w:r w:rsidRPr="004466FC">
        <w:rPr>
          <w:color w:val="auto"/>
        </w:rPr>
        <w:tab/>
      </w:r>
      <w:r w:rsidRPr="004466FC">
        <w:rPr>
          <w:color w:val="auto"/>
        </w:rPr>
        <w:fldChar w:fldCharType="begin"/>
      </w:r>
      <w:r w:rsidRPr="004466FC">
        <w:rPr>
          <w:color w:val="auto"/>
        </w:rPr>
        <w:instrText xml:space="preserve"> PAGEREF _Toc180505682 \h </w:instrText>
      </w:r>
      <w:r w:rsidRPr="004466FC">
        <w:rPr>
          <w:color w:val="auto"/>
        </w:rPr>
      </w:r>
      <w:r w:rsidRPr="004466FC">
        <w:rPr>
          <w:color w:val="auto"/>
        </w:rPr>
        <w:fldChar w:fldCharType="separate"/>
      </w:r>
      <w:r w:rsidR="00460680">
        <w:rPr>
          <w:color w:val="auto"/>
        </w:rPr>
        <w:t>109</w:t>
      </w:r>
      <w:r w:rsidRPr="004466FC">
        <w:rPr>
          <w:color w:val="auto"/>
        </w:rPr>
        <w:fldChar w:fldCharType="end"/>
      </w:r>
    </w:p>
    <w:p w14:paraId="40437EDA" w14:textId="456CFB25" w:rsidR="004466FC" w:rsidRPr="004466FC" w:rsidRDefault="004466FC" w:rsidP="004466FC">
      <w:pPr>
        <w:pStyle w:val="TOC2"/>
        <w:tabs>
          <w:tab w:val="left" w:pos="1276"/>
          <w:tab w:val="right" w:pos="9174"/>
        </w:tabs>
        <w:spacing w:after="120" w:line="264" w:lineRule="auto"/>
        <w:ind w:left="1276" w:hanging="794"/>
        <w:rPr>
          <w:rFonts w:ascii="Arial" w:hAnsi="Arial" w:cs="Arial"/>
          <w:i w:val="0"/>
          <w:iCs w:val="0"/>
          <w:noProof/>
          <w:sz w:val="24"/>
          <w:szCs w:val="24"/>
          <w:lang w:val="en-GB"/>
        </w:rPr>
      </w:pPr>
      <w:r w:rsidRPr="004466FC">
        <w:rPr>
          <w:rFonts w:ascii="Arial" w:hAnsi="Arial" w:cs="Arial"/>
          <w:i w:val="0"/>
          <w:iCs w:val="0"/>
          <w:noProof/>
          <w:sz w:val="24"/>
          <w:szCs w:val="24"/>
          <w:lang w:val="en-GB"/>
        </w:rPr>
        <w:t>6.1</w:t>
      </w:r>
      <w:r w:rsidRPr="004466FC">
        <w:rPr>
          <w:rFonts w:ascii="Arial" w:hAnsi="Arial" w:cs="Arial"/>
          <w:i w:val="0"/>
          <w:iCs w:val="0"/>
          <w:noProof/>
          <w:sz w:val="24"/>
          <w:szCs w:val="24"/>
          <w:lang w:val="en-GB"/>
        </w:rPr>
        <w:tab/>
        <w:t>Enabling legislation</w:t>
      </w:r>
      <w:r w:rsidRPr="004466FC">
        <w:rPr>
          <w:rFonts w:ascii="Arial" w:hAnsi="Arial" w:cs="Arial"/>
          <w:i w:val="0"/>
          <w:iCs w:val="0"/>
          <w:noProof/>
          <w:sz w:val="24"/>
          <w:szCs w:val="24"/>
          <w:lang w:val="en-GB"/>
        </w:rPr>
        <w:tab/>
      </w:r>
      <w:r w:rsidRPr="004466FC">
        <w:rPr>
          <w:rFonts w:ascii="Arial" w:hAnsi="Arial" w:cs="Arial"/>
          <w:i w:val="0"/>
          <w:iCs w:val="0"/>
          <w:noProof/>
          <w:sz w:val="24"/>
          <w:szCs w:val="24"/>
          <w:lang w:val="en-GB"/>
        </w:rPr>
        <w:fldChar w:fldCharType="begin"/>
      </w:r>
      <w:r w:rsidRPr="004466FC">
        <w:rPr>
          <w:rFonts w:ascii="Arial" w:hAnsi="Arial" w:cs="Arial"/>
          <w:i w:val="0"/>
          <w:iCs w:val="0"/>
          <w:noProof/>
          <w:sz w:val="24"/>
          <w:szCs w:val="24"/>
          <w:lang w:val="en-GB"/>
        </w:rPr>
        <w:instrText xml:space="preserve"> PAGEREF _Toc180505683 \h </w:instrText>
      </w:r>
      <w:r w:rsidRPr="004466FC">
        <w:rPr>
          <w:rFonts w:ascii="Arial" w:hAnsi="Arial" w:cs="Arial"/>
          <w:i w:val="0"/>
          <w:iCs w:val="0"/>
          <w:noProof/>
          <w:sz w:val="24"/>
          <w:szCs w:val="24"/>
          <w:lang w:val="en-GB"/>
        </w:rPr>
      </w:r>
      <w:r w:rsidRPr="004466FC">
        <w:rPr>
          <w:rFonts w:ascii="Arial" w:hAnsi="Arial" w:cs="Arial"/>
          <w:i w:val="0"/>
          <w:iCs w:val="0"/>
          <w:noProof/>
          <w:sz w:val="24"/>
          <w:szCs w:val="24"/>
          <w:lang w:val="en-GB"/>
        </w:rPr>
        <w:fldChar w:fldCharType="separate"/>
      </w:r>
      <w:r w:rsidR="00460680">
        <w:rPr>
          <w:rFonts w:ascii="Arial" w:hAnsi="Arial" w:cs="Arial"/>
          <w:i w:val="0"/>
          <w:iCs w:val="0"/>
          <w:noProof/>
          <w:sz w:val="24"/>
          <w:szCs w:val="24"/>
          <w:lang w:val="en-GB"/>
        </w:rPr>
        <w:t>109</w:t>
      </w:r>
      <w:r w:rsidRPr="004466FC">
        <w:rPr>
          <w:rFonts w:ascii="Arial" w:hAnsi="Arial" w:cs="Arial"/>
          <w:i w:val="0"/>
          <w:iCs w:val="0"/>
          <w:noProof/>
          <w:sz w:val="24"/>
          <w:szCs w:val="24"/>
          <w:lang w:val="en-GB"/>
        </w:rPr>
        <w:fldChar w:fldCharType="end"/>
      </w:r>
    </w:p>
    <w:p w14:paraId="7866517A" w14:textId="68D81D80" w:rsidR="004466FC" w:rsidRPr="004466FC" w:rsidRDefault="004466FC" w:rsidP="004466FC">
      <w:pPr>
        <w:pStyle w:val="TOC2"/>
        <w:tabs>
          <w:tab w:val="left" w:pos="1276"/>
          <w:tab w:val="right" w:pos="9174"/>
        </w:tabs>
        <w:spacing w:after="120" w:line="264" w:lineRule="auto"/>
        <w:ind w:left="1276" w:hanging="794"/>
        <w:rPr>
          <w:rFonts w:ascii="Arial" w:hAnsi="Arial" w:cs="Arial"/>
          <w:i w:val="0"/>
          <w:iCs w:val="0"/>
          <w:noProof/>
          <w:sz w:val="24"/>
          <w:szCs w:val="24"/>
          <w:lang w:val="en-GB"/>
        </w:rPr>
      </w:pPr>
      <w:r w:rsidRPr="004466FC">
        <w:rPr>
          <w:rFonts w:ascii="Arial" w:hAnsi="Arial" w:cs="Arial"/>
          <w:i w:val="0"/>
          <w:iCs w:val="0"/>
          <w:noProof/>
          <w:sz w:val="24"/>
          <w:szCs w:val="24"/>
          <w:lang w:val="en-GB"/>
        </w:rPr>
        <w:t>6.2</w:t>
      </w:r>
      <w:r w:rsidRPr="004466FC">
        <w:rPr>
          <w:rFonts w:ascii="Arial" w:hAnsi="Arial" w:cs="Arial"/>
          <w:i w:val="0"/>
          <w:iCs w:val="0"/>
          <w:noProof/>
          <w:sz w:val="24"/>
          <w:szCs w:val="24"/>
          <w:lang w:val="en-GB"/>
        </w:rPr>
        <w:tab/>
        <w:t>Audit and Risk Committee</w:t>
      </w:r>
      <w:r w:rsidRPr="004466FC">
        <w:rPr>
          <w:rFonts w:ascii="Arial" w:hAnsi="Arial" w:cs="Arial"/>
          <w:i w:val="0"/>
          <w:iCs w:val="0"/>
          <w:noProof/>
          <w:sz w:val="24"/>
          <w:szCs w:val="24"/>
          <w:lang w:val="en-GB"/>
        </w:rPr>
        <w:tab/>
      </w:r>
      <w:r w:rsidRPr="004466FC">
        <w:rPr>
          <w:rFonts w:ascii="Arial" w:hAnsi="Arial" w:cs="Arial"/>
          <w:i w:val="0"/>
          <w:iCs w:val="0"/>
          <w:noProof/>
          <w:sz w:val="24"/>
          <w:szCs w:val="24"/>
          <w:lang w:val="en-GB"/>
        </w:rPr>
        <w:fldChar w:fldCharType="begin"/>
      </w:r>
      <w:r w:rsidRPr="004466FC">
        <w:rPr>
          <w:rFonts w:ascii="Arial" w:hAnsi="Arial" w:cs="Arial"/>
          <w:i w:val="0"/>
          <w:iCs w:val="0"/>
          <w:noProof/>
          <w:sz w:val="24"/>
          <w:szCs w:val="24"/>
          <w:lang w:val="en-GB"/>
        </w:rPr>
        <w:instrText xml:space="preserve"> PAGEREF _Toc180505684 \h </w:instrText>
      </w:r>
      <w:r w:rsidRPr="004466FC">
        <w:rPr>
          <w:rFonts w:ascii="Arial" w:hAnsi="Arial" w:cs="Arial"/>
          <w:i w:val="0"/>
          <w:iCs w:val="0"/>
          <w:noProof/>
          <w:sz w:val="24"/>
          <w:szCs w:val="24"/>
          <w:lang w:val="en-GB"/>
        </w:rPr>
      </w:r>
      <w:r w:rsidRPr="004466FC">
        <w:rPr>
          <w:rFonts w:ascii="Arial" w:hAnsi="Arial" w:cs="Arial"/>
          <w:i w:val="0"/>
          <w:iCs w:val="0"/>
          <w:noProof/>
          <w:sz w:val="24"/>
          <w:szCs w:val="24"/>
          <w:lang w:val="en-GB"/>
        </w:rPr>
        <w:fldChar w:fldCharType="separate"/>
      </w:r>
      <w:r w:rsidR="00460680">
        <w:rPr>
          <w:rFonts w:ascii="Arial" w:hAnsi="Arial" w:cs="Arial"/>
          <w:i w:val="0"/>
          <w:iCs w:val="0"/>
          <w:noProof/>
          <w:sz w:val="24"/>
          <w:szCs w:val="24"/>
          <w:lang w:val="en-GB"/>
        </w:rPr>
        <w:t>109</w:t>
      </w:r>
      <w:r w:rsidRPr="004466FC">
        <w:rPr>
          <w:rFonts w:ascii="Arial" w:hAnsi="Arial" w:cs="Arial"/>
          <w:i w:val="0"/>
          <w:iCs w:val="0"/>
          <w:noProof/>
          <w:sz w:val="24"/>
          <w:szCs w:val="24"/>
          <w:lang w:val="en-GB"/>
        </w:rPr>
        <w:fldChar w:fldCharType="end"/>
      </w:r>
    </w:p>
    <w:p w14:paraId="08509ED3" w14:textId="3955101F" w:rsidR="004466FC" w:rsidRPr="004466FC" w:rsidRDefault="004466FC" w:rsidP="004466FC">
      <w:pPr>
        <w:pStyle w:val="TOC2"/>
        <w:tabs>
          <w:tab w:val="left" w:pos="1276"/>
          <w:tab w:val="right" w:pos="9174"/>
        </w:tabs>
        <w:spacing w:after="120" w:line="264" w:lineRule="auto"/>
        <w:ind w:left="1276" w:hanging="794"/>
        <w:rPr>
          <w:rFonts w:ascii="Arial" w:hAnsi="Arial" w:cs="Arial"/>
          <w:i w:val="0"/>
          <w:iCs w:val="0"/>
          <w:noProof/>
          <w:sz w:val="24"/>
          <w:szCs w:val="24"/>
          <w:lang w:val="en-GB"/>
        </w:rPr>
      </w:pPr>
      <w:r w:rsidRPr="004466FC">
        <w:rPr>
          <w:rFonts w:ascii="Arial" w:hAnsi="Arial" w:cs="Arial"/>
          <w:i w:val="0"/>
          <w:iCs w:val="0"/>
          <w:noProof/>
          <w:sz w:val="24"/>
          <w:szCs w:val="24"/>
          <w:lang w:val="en-GB"/>
        </w:rPr>
        <w:t>6.3</w:t>
      </w:r>
      <w:r w:rsidRPr="004466FC">
        <w:rPr>
          <w:rFonts w:ascii="Arial" w:hAnsi="Arial" w:cs="Arial"/>
          <w:i w:val="0"/>
          <w:iCs w:val="0"/>
          <w:noProof/>
          <w:sz w:val="24"/>
          <w:szCs w:val="24"/>
          <w:lang w:val="en-GB"/>
        </w:rPr>
        <w:tab/>
        <w:t>Work health and safety</w:t>
      </w:r>
      <w:r w:rsidRPr="004466FC">
        <w:rPr>
          <w:rFonts w:ascii="Arial" w:hAnsi="Arial" w:cs="Arial"/>
          <w:i w:val="0"/>
          <w:iCs w:val="0"/>
          <w:noProof/>
          <w:sz w:val="24"/>
          <w:szCs w:val="24"/>
          <w:lang w:val="en-GB"/>
        </w:rPr>
        <w:tab/>
      </w:r>
      <w:r w:rsidRPr="004466FC">
        <w:rPr>
          <w:rFonts w:ascii="Arial" w:hAnsi="Arial" w:cs="Arial"/>
          <w:i w:val="0"/>
          <w:iCs w:val="0"/>
          <w:noProof/>
          <w:sz w:val="24"/>
          <w:szCs w:val="24"/>
          <w:lang w:val="en-GB"/>
        </w:rPr>
        <w:fldChar w:fldCharType="begin"/>
      </w:r>
      <w:r w:rsidRPr="004466FC">
        <w:rPr>
          <w:rFonts w:ascii="Arial" w:hAnsi="Arial" w:cs="Arial"/>
          <w:i w:val="0"/>
          <w:iCs w:val="0"/>
          <w:noProof/>
          <w:sz w:val="24"/>
          <w:szCs w:val="24"/>
          <w:lang w:val="en-GB"/>
        </w:rPr>
        <w:instrText xml:space="preserve"> PAGEREF _Toc180505685 \h </w:instrText>
      </w:r>
      <w:r w:rsidRPr="004466FC">
        <w:rPr>
          <w:rFonts w:ascii="Arial" w:hAnsi="Arial" w:cs="Arial"/>
          <w:i w:val="0"/>
          <w:iCs w:val="0"/>
          <w:noProof/>
          <w:sz w:val="24"/>
          <w:szCs w:val="24"/>
          <w:lang w:val="en-GB"/>
        </w:rPr>
      </w:r>
      <w:r w:rsidRPr="004466FC">
        <w:rPr>
          <w:rFonts w:ascii="Arial" w:hAnsi="Arial" w:cs="Arial"/>
          <w:i w:val="0"/>
          <w:iCs w:val="0"/>
          <w:noProof/>
          <w:sz w:val="24"/>
          <w:szCs w:val="24"/>
          <w:lang w:val="en-GB"/>
        </w:rPr>
        <w:fldChar w:fldCharType="separate"/>
      </w:r>
      <w:r w:rsidR="00460680">
        <w:rPr>
          <w:rFonts w:ascii="Arial" w:hAnsi="Arial" w:cs="Arial"/>
          <w:i w:val="0"/>
          <w:iCs w:val="0"/>
          <w:noProof/>
          <w:sz w:val="24"/>
          <w:szCs w:val="24"/>
          <w:lang w:val="en-GB"/>
        </w:rPr>
        <w:t>110</w:t>
      </w:r>
      <w:r w:rsidRPr="004466FC">
        <w:rPr>
          <w:rFonts w:ascii="Arial" w:hAnsi="Arial" w:cs="Arial"/>
          <w:i w:val="0"/>
          <w:iCs w:val="0"/>
          <w:noProof/>
          <w:sz w:val="24"/>
          <w:szCs w:val="24"/>
          <w:lang w:val="en-GB"/>
        </w:rPr>
        <w:fldChar w:fldCharType="end"/>
      </w:r>
    </w:p>
    <w:p w14:paraId="17E9AE8A" w14:textId="488F1940" w:rsidR="004466FC" w:rsidRPr="004466FC" w:rsidRDefault="004466FC" w:rsidP="004466FC">
      <w:pPr>
        <w:pStyle w:val="TOC2"/>
        <w:tabs>
          <w:tab w:val="left" w:pos="1276"/>
          <w:tab w:val="right" w:pos="9174"/>
        </w:tabs>
        <w:spacing w:after="120" w:line="264" w:lineRule="auto"/>
        <w:ind w:left="1276" w:hanging="794"/>
        <w:rPr>
          <w:rFonts w:ascii="Arial" w:hAnsi="Arial" w:cs="Arial"/>
          <w:i w:val="0"/>
          <w:iCs w:val="0"/>
          <w:noProof/>
          <w:sz w:val="24"/>
          <w:szCs w:val="24"/>
          <w:lang w:val="en-GB"/>
        </w:rPr>
      </w:pPr>
      <w:r w:rsidRPr="004466FC">
        <w:rPr>
          <w:rFonts w:ascii="Arial" w:hAnsi="Arial" w:cs="Arial"/>
          <w:i w:val="0"/>
          <w:iCs w:val="0"/>
          <w:noProof/>
          <w:sz w:val="24"/>
          <w:szCs w:val="24"/>
          <w:lang w:val="en-GB"/>
        </w:rPr>
        <w:t>6.4</w:t>
      </w:r>
      <w:r w:rsidRPr="004466FC">
        <w:rPr>
          <w:rFonts w:ascii="Arial" w:hAnsi="Arial" w:cs="Arial"/>
          <w:i w:val="0"/>
          <w:iCs w:val="0"/>
          <w:noProof/>
          <w:sz w:val="24"/>
          <w:szCs w:val="24"/>
          <w:lang w:val="en-GB"/>
        </w:rPr>
        <w:tab/>
        <w:t>Workforce statistics</w:t>
      </w:r>
      <w:r w:rsidRPr="004466FC">
        <w:rPr>
          <w:rFonts w:ascii="Arial" w:hAnsi="Arial" w:cs="Arial"/>
          <w:i w:val="0"/>
          <w:iCs w:val="0"/>
          <w:noProof/>
          <w:sz w:val="24"/>
          <w:szCs w:val="24"/>
          <w:lang w:val="en-GB"/>
        </w:rPr>
        <w:tab/>
      </w:r>
      <w:r w:rsidRPr="004466FC">
        <w:rPr>
          <w:rFonts w:ascii="Arial" w:hAnsi="Arial" w:cs="Arial"/>
          <w:i w:val="0"/>
          <w:iCs w:val="0"/>
          <w:noProof/>
          <w:sz w:val="24"/>
          <w:szCs w:val="24"/>
          <w:lang w:val="en-GB"/>
        </w:rPr>
        <w:fldChar w:fldCharType="begin"/>
      </w:r>
      <w:r w:rsidRPr="004466FC">
        <w:rPr>
          <w:rFonts w:ascii="Arial" w:hAnsi="Arial" w:cs="Arial"/>
          <w:i w:val="0"/>
          <w:iCs w:val="0"/>
          <w:noProof/>
          <w:sz w:val="24"/>
          <w:szCs w:val="24"/>
          <w:lang w:val="en-GB"/>
        </w:rPr>
        <w:instrText xml:space="preserve"> PAGEREF _Toc180505686 \h </w:instrText>
      </w:r>
      <w:r w:rsidRPr="004466FC">
        <w:rPr>
          <w:rFonts w:ascii="Arial" w:hAnsi="Arial" w:cs="Arial"/>
          <w:i w:val="0"/>
          <w:iCs w:val="0"/>
          <w:noProof/>
          <w:sz w:val="24"/>
          <w:szCs w:val="24"/>
          <w:lang w:val="en-GB"/>
        </w:rPr>
      </w:r>
      <w:r w:rsidRPr="004466FC">
        <w:rPr>
          <w:rFonts w:ascii="Arial" w:hAnsi="Arial" w:cs="Arial"/>
          <w:i w:val="0"/>
          <w:iCs w:val="0"/>
          <w:noProof/>
          <w:sz w:val="24"/>
          <w:szCs w:val="24"/>
          <w:lang w:val="en-GB"/>
        </w:rPr>
        <w:fldChar w:fldCharType="separate"/>
      </w:r>
      <w:r w:rsidR="00460680">
        <w:rPr>
          <w:rFonts w:ascii="Arial" w:hAnsi="Arial" w:cs="Arial"/>
          <w:i w:val="0"/>
          <w:iCs w:val="0"/>
          <w:noProof/>
          <w:sz w:val="24"/>
          <w:szCs w:val="24"/>
          <w:lang w:val="en-GB"/>
        </w:rPr>
        <w:t>112</w:t>
      </w:r>
      <w:r w:rsidRPr="004466FC">
        <w:rPr>
          <w:rFonts w:ascii="Arial" w:hAnsi="Arial" w:cs="Arial"/>
          <w:i w:val="0"/>
          <w:iCs w:val="0"/>
          <w:noProof/>
          <w:sz w:val="24"/>
          <w:szCs w:val="24"/>
          <w:lang w:val="en-GB"/>
        </w:rPr>
        <w:fldChar w:fldCharType="end"/>
      </w:r>
    </w:p>
    <w:p w14:paraId="7AD9AC36" w14:textId="09406F63" w:rsidR="004466FC" w:rsidRPr="004466FC" w:rsidRDefault="004466FC" w:rsidP="004466FC">
      <w:pPr>
        <w:pStyle w:val="TOC2"/>
        <w:tabs>
          <w:tab w:val="left" w:pos="1276"/>
          <w:tab w:val="right" w:pos="9174"/>
        </w:tabs>
        <w:spacing w:after="120" w:line="264" w:lineRule="auto"/>
        <w:ind w:left="1276" w:hanging="794"/>
        <w:rPr>
          <w:rFonts w:ascii="Arial" w:hAnsi="Arial" w:cs="Arial"/>
          <w:i w:val="0"/>
          <w:iCs w:val="0"/>
          <w:noProof/>
          <w:sz w:val="24"/>
          <w:szCs w:val="24"/>
          <w:lang w:val="en-GB"/>
        </w:rPr>
      </w:pPr>
      <w:r w:rsidRPr="004466FC">
        <w:rPr>
          <w:rFonts w:ascii="Arial" w:hAnsi="Arial" w:cs="Arial"/>
          <w:i w:val="0"/>
          <w:iCs w:val="0"/>
          <w:noProof/>
          <w:sz w:val="24"/>
          <w:szCs w:val="24"/>
          <w:lang w:val="en-GB"/>
        </w:rPr>
        <w:t>6.5</w:t>
      </w:r>
      <w:r w:rsidRPr="004466FC">
        <w:rPr>
          <w:rFonts w:ascii="Arial" w:hAnsi="Arial" w:cs="Arial"/>
          <w:i w:val="0"/>
          <w:iCs w:val="0"/>
          <w:noProof/>
          <w:sz w:val="24"/>
          <w:szCs w:val="24"/>
          <w:lang w:val="en-GB"/>
        </w:rPr>
        <w:tab/>
        <w:t>Executive remuneration policy</w:t>
      </w:r>
      <w:r w:rsidRPr="004466FC">
        <w:rPr>
          <w:rFonts w:ascii="Arial" w:hAnsi="Arial" w:cs="Arial"/>
          <w:i w:val="0"/>
          <w:iCs w:val="0"/>
          <w:noProof/>
          <w:sz w:val="24"/>
          <w:szCs w:val="24"/>
          <w:lang w:val="en-GB"/>
        </w:rPr>
        <w:tab/>
      </w:r>
      <w:r w:rsidRPr="004466FC">
        <w:rPr>
          <w:rFonts w:ascii="Arial" w:hAnsi="Arial" w:cs="Arial"/>
          <w:i w:val="0"/>
          <w:iCs w:val="0"/>
          <w:noProof/>
          <w:sz w:val="24"/>
          <w:szCs w:val="24"/>
          <w:lang w:val="en-GB"/>
        </w:rPr>
        <w:fldChar w:fldCharType="begin"/>
      </w:r>
      <w:r w:rsidRPr="004466FC">
        <w:rPr>
          <w:rFonts w:ascii="Arial" w:hAnsi="Arial" w:cs="Arial"/>
          <w:i w:val="0"/>
          <w:iCs w:val="0"/>
          <w:noProof/>
          <w:sz w:val="24"/>
          <w:szCs w:val="24"/>
          <w:lang w:val="en-GB"/>
        </w:rPr>
        <w:instrText xml:space="preserve"> PAGEREF _Toc180505687 \h </w:instrText>
      </w:r>
      <w:r w:rsidRPr="004466FC">
        <w:rPr>
          <w:rFonts w:ascii="Arial" w:hAnsi="Arial" w:cs="Arial"/>
          <w:i w:val="0"/>
          <w:iCs w:val="0"/>
          <w:noProof/>
          <w:sz w:val="24"/>
          <w:szCs w:val="24"/>
          <w:lang w:val="en-GB"/>
        </w:rPr>
      </w:r>
      <w:r w:rsidRPr="004466FC">
        <w:rPr>
          <w:rFonts w:ascii="Arial" w:hAnsi="Arial" w:cs="Arial"/>
          <w:i w:val="0"/>
          <w:iCs w:val="0"/>
          <w:noProof/>
          <w:sz w:val="24"/>
          <w:szCs w:val="24"/>
          <w:lang w:val="en-GB"/>
        </w:rPr>
        <w:fldChar w:fldCharType="separate"/>
      </w:r>
      <w:r w:rsidR="00460680">
        <w:rPr>
          <w:rFonts w:ascii="Arial" w:hAnsi="Arial" w:cs="Arial"/>
          <w:i w:val="0"/>
          <w:iCs w:val="0"/>
          <w:noProof/>
          <w:sz w:val="24"/>
          <w:szCs w:val="24"/>
          <w:lang w:val="en-GB"/>
        </w:rPr>
        <w:t>114</w:t>
      </w:r>
      <w:r w:rsidRPr="004466FC">
        <w:rPr>
          <w:rFonts w:ascii="Arial" w:hAnsi="Arial" w:cs="Arial"/>
          <w:i w:val="0"/>
          <w:iCs w:val="0"/>
          <w:noProof/>
          <w:sz w:val="24"/>
          <w:szCs w:val="24"/>
          <w:lang w:val="en-GB"/>
        </w:rPr>
        <w:fldChar w:fldCharType="end"/>
      </w:r>
    </w:p>
    <w:p w14:paraId="0BB089C8" w14:textId="3323B406" w:rsidR="004466FC" w:rsidRPr="004466FC" w:rsidRDefault="004466FC" w:rsidP="004466FC">
      <w:pPr>
        <w:pStyle w:val="TOC2"/>
        <w:tabs>
          <w:tab w:val="left" w:pos="1276"/>
          <w:tab w:val="right" w:pos="9174"/>
        </w:tabs>
        <w:spacing w:after="120" w:line="264" w:lineRule="auto"/>
        <w:ind w:left="1276" w:hanging="794"/>
        <w:rPr>
          <w:rFonts w:ascii="Arial" w:hAnsi="Arial" w:cs="Arial"/>
          <w:i w:val="0"/>
          <w:iCs w:val="0"/>
          <w:noProof/>
          <w:sz w:val="24"/>
          <w:szCs w:val="24"/>
          <w:lang w:val="en-GB"/>
        </w:rPr>
      </w:pPr>
      <w:r w:rsidRPr="004466FC">
        <w:rPr>
          <w:rFonts w:ascii="Arial" w:hAnsi="Arial" w:cs="Arial"/>
          <w:i w:val="0"/>
          <w:iCs w:val="0"/>
          <w:noProof/>
          <w:sz w:val="24"/>
          <w:szCs w:val="24"/>
          <w:lang w:val="en-GB"/>
        </w:rPr>
        <w:t>6.6</w:t>
      </w:r>
      <w:r w:rsidRPr="004466FC">
        <w:rPr>
          <w:rFonts w:ascii="Arial" w:hAnsi="Arial" w:cs="Arial"/>
          <w:i w:val="0"/>
          <w:iCs w:val="0"/>
          <w:noProof/>
          <w:sz w:val="24"/>
          <w:szCs w:val="24"/>
          <w:lang w:val="en-GB"/>
        </w:rPr>
        <w:tab/>
        <w:t>Executive remuneration</w:t>
      </w:r>
      <w:r w:rsidRPr="004466FC">
        <w:rPr>
          <w:rFonts w:ascii="Arial" w:hAnsi="Arial" w:cs="Arial"/>
          <w:i w:val="0"/>
          <w:iCs w:val="0"/>
          <w:noProof/>
          <w:sz w:val="24"/>
          <w:szCs w:val="24"/>
          <w:lang w:val="en-GB"/>
        </w:rPr>
        <w:tab/>
      </w:r>
      <w:r w:rsidRPr="004466FC">
        <w:rPr>
          <w:rFonts w:ascii="Arial" w:hAnsi="Arial" w:cs="Arial"/>
          <w:i w:val="0"/>
          <w:iCs w:val="0"/>
          <w:noProof/>
          <w:sz w:val="24"/>
          <w:szCs w:val="24"/>
          <w:lang w:val="en-GB"/>
        </w:rPr>
        <w:fldChar w:fldCharType="begin"/>
      </w:r>
      <w:r w:rsidRPr="004466FC">
        <w:rPr>
          <w:rFonts w:ascii="Arial" w:hAnsi="Arial" w:cs="Arial"/>
          <w:i w:val="0"/>
          <w:iCs w:val="0"/>
          <w:noProof/>
          <w:sz w:val="24"/>
          <w:szCs w:val="24"/>
          <w:lang w:val="en-GB"/>
        </w:rPr>
        <w:instrText xml:space="preserve"> PAGEREF _Toc180505688 \h </w:instrText>
      </w:r>
      <w:r w:rsidRPr="004466FC">
        <w:rPr>
          <w:rFonts w:ascii="Arial" w:hAnsi="Arial" w:cs="Arial"/>
          <w:i w:val="0"/>
          <w:iCs w:val="0"/>
          <w:noProof/>
          <w:sz w:val="24"/>
          <w:szCs w:val="24"/>
          <w:lang w:val="en-GB"/>
        </w:rPr>
      </w:r>
      <w:r w:rsidRPr="004466FC">
        <w:rPr>
          <w:rFonts w:ascii="Arial" w:hAnsi="Arial" w:cs="Arial"/>
          <w:i w:val="0"/>
          <w:iCs w:val="0"/>
          <w:noProof/>
          <w:sz w:val="24"/>
          <w:szCs w:val="24"/>
          <w:lang w:val="en-GB"/>
        </w:rPr>
        <w:fldChar w:fldCharType="separate"/>
      </w:r>
      <w:r w:rsidR="00460680">
        <w:rPr>
          <w:rFonts w:ascii="Arial" w:hAnsi="Arial" w:cs="Arial"/>
          <w:i w:val="0"/>
          <w:iCs w:val="0"/>
          <w:noProof/>
          <w:sz w:val="24"/>
          <w:szCs w:val="24"/>
          <w:lang w:val="en-GB"/>
        </w:rPr>
        <w:t>115</w:t>
      </w:r>
      <w:r w:rsidRPr="004466FC">
        <w:rPr>
          <w:rFonts w:ascii="Arial" w:hAnsi="Arial" w:cs="Arial"/>
          <w:i w:val="0"/>
          <w:iCs w:val="0"/>
          <w:noProof/>
          <w:sz w:val="24"/>
          <w:szCs w:val="24"/>
          <w:lang w:val="en-GB"/>
        </w:rPr>
        <w:fldChar w:fldCharType="end"/>
      </w:r>
    </w:p>
    <w:p w14:paraId="0EA2825E" w14:textId="456DA889" w:rsidR="004466FC" w:rsidRPr="004466FC" w:rsidRDefault="004466FC" w:rsidP="004466FC">
      <w:pPr>
        <w:pStyle w:val="TOC2"/>
        <w:tabs>
          <w:tab w:val="left" w:pos="1276"/>
          <w:tab w:val="right" w:pos="9174"/>
        </w:tabs>
        <w:spacing w:after="120" w:line="264" w:lineRule="auto"/>
        <w:ind w:left="1276" w:hanging="794"/>
        <w:rPr>
          <w:rFonts w:ascii="Arial" w:hAnsi="Arial" w:cs="Arial"/>
          <w:i w:val="0"/>
          <w:iCs w:val="0"/>
          <w:noProof/>
          <w:sz w:val="24"/>
          <w:szCs w:val="24"/>
          <w:lang w:val="en-GB"/>
        </w:rPr>
      </w:pPr>
      <w:r w:rsidRPr="004466FC">
        <w:rPr>
          <w:rFonts w:ascii="Arial" w:hAnsi="Arial" w:cs="Arial"/>
          <w:i w:val="0"/>
          <w:iCs w:val="0"/>
          <w:noProof/>
          <w:sz w:val="24"/>
          <w:szCs w:val="24"/>
          <w:lang w:val="en-GB"/>
        </w:rPr>
        <w:t>6.7</w:t>
      </w:r>
      <w:r w:rsidRPr="004466FC">
        <w:rPr>
          <w:rFonts w:ascii="Arial" w:hAnsi="Arial" w:cs="Arial"/>
          <w:i w:val="0"/>
          <w:iCs w:val="0"/>
          <w:noProof/>
          <w:sz w:val="24"/>
          <w:szCs w:val="24"/>
          <w:lang w:val="en-GB"/>
        </w:rPr>
        <w:tab/>
        <w:t>Reports by parliamentary committees</w:t>
      </w:r>
      <w:r w:rsidRPr="004466FC">
        <w:rPr>
          <w:rFonts w:ascii="Arial" w:hAnsi="Arial" w:cs="Arial"/>
          <w:i w:val="0"/>
          <w:iCs w:val="0"/>
          <w:noProof/>
          <w:sz w:val="24"/>
          <w:szCs w:val="24"/>
          <w:lang w:val="en-GB"/>
        </w:rPr>
        <w:tab/>
      </w:r>
      <w:r w:rsidRPr="004466FC">
        <w:rPr>
          <w:rFonts w:ascii="Arial" w:hAnsi="Arial" w:cs="Arial"/>
          <w:i w:val="0"/>
          <w:iCs w:val="0"/>
          <w:noProof/>
          <w:sz w:val="24"/>
          <w:szCs w:val="24"/>
          <w:lang w:val="en-GB"/>
        </w:rPr>
        <w:fldChar w:fldCharType="begin"/>
      </w:r>
      <w:r w:rsidRPr="004466FC">
        <w:rPr>
          <w:rFonts w:ascii="Arial" w:hAnsi="Arial" w:cs="Arial"/>
          <w:i w:val="0"/>
          <w:iCs w:val="0"/>
          <w:noProof/>
          <w:sz w:val="24"/>
          <w:szCs w:val="24"/>
          <w:lang w:val="en-GB"/>
        </w:rPr>
        <w:instrText xml:space="preserve"> PAGEREF _Toc180505689 \h </w:instrText>
      </w:r>
      <w:r w:rsidRPr="004466FC">
        <w:rPr>
          <w:rFonts w:ascii="Arial" w:hAnsi="Arial" w:cs="Arial"/>
          <w:i w:val="0"/>
          <w:iCs w:val="0"/>
          <w:noProof/>
          <w:sz w:val="24"/>
          <w:szCs w:val="24"/>
          <w:lang w:val="en-GB"/>
        </w:rPr>
      </w:r>
      <w:r w:rsidRPr="004466FC">
        <w:rPr>
          <w:rFonts w:ascii="Arial" w:hAnsi="Arial" w:cs="Arial"/>
          <w:i w:val="0"/>
          <w:iCs w:val="0"/>
          <w:noProof/>
          <w:sz w:val="24"/>
          <w:szCs w:val="24"/>
          <w:lang w:val="en-GB"/>
        </w:rPr>
        <w:fldChar w:fldCharType="separate"/>
      </w:r>
      <w:r w:rsidR="00460680">
        <w:rPr>
          <w:rFonts w:ascii="Arial" w:hAnsi="Arial" w:cs="Arial"/>
          <w:i w:val="0"/>
          <w:iCs w:val="0"/>
          <w:noProof/>
          <w:sz w:val="24"/>
          <w:szCs w:val="24"/>
          <w:lang w:val="en-GB"/>
        </w:rPr>
        <w:t>125</w:t>
      </w:r>
      <w:r w:rsidRPr="004466FC">
        <w:rPr>
          <w:rFonts w:ascii="Arial" w:hAnsi="Arial" w:cs="Arial"/>
          <w:i w:val="0"/>
          <w:iCs w:val="0"/>
          <w:noProof/>
          <w:sz w:val="24"/>
          <w:szCs w:val="24"/>
          <w:lang w:val="en-GB"/>
        </w:rPr>
        <w:fldChar w:fldCharType="end"/>
      </w:r>
    </w:p>
    <w:p w14:paraId="0B701948" w14:textId="3B60D09F" w:rsidR="004466FC" w:rsidRPr="004466FC" w:rsidRDefault="004466FC" w:rsidP="004466FC">
      <w:pPr>
        <w:pStyle w:val="TOC2"/>
        <w:tabs>
          <w:tab w:val="left" w:pos="1276"/>
          <w:tab w:val="right" w:pos="9174"/>
        </w:tabs>
        <w:spacing w:after="120" w:line="264" w:lineRule="auto"/>
        <w:ind w:left="1276" w:hanging="794"/>
        <w:rPr>
          <w:rFonts w:ascii="Arial" w:hAnsi="Arial" w:cs="Arial"/>
          <w:i w:val="0"/>
          <w:iCs w:val="0"/>
          <w:noProof/>
          <w:sz w:val="24"/>
          <w:szCs w:val="24"/>
          <w:lang w:val="en-GB"/>
        </w:rPr>
      </w:pPr>
      <w:r w:rsidRPr="004466FC">
        <w:rPr>
          <w:rFonts w:ascii="Arial" w:hAnsi="Arial" w:cs="Arial"/>
          <w:i w:val="0"/>
          <w:iCs w:val="0"/>
          <w:noProof/>
          <w:sz w:val="24"/>
          <w:szCs w:val="24"/>
          <w:lang w:val="en-GB"/>
        </w:rPr>
        <w:t>6.8</w:t>
      </w:r>
      <w:r w:rsidRPr="004466FC">
        <w:rPr>
          <w:rFonts w:ascii="Arial" w:hAnsi="Arial" w:cs="Arial"/>
          <w:i w:val="0"/>
          <w:iCs w:val="0"/>
          <w:noProof/>
          <w:sz w:val="24"/>
          <w:szCs w:val="24"/>
          <w:lang w:val="en-GB"/>
        </w:rPr>
        <w:tab/>
        <w:t>Judicial decisions and external reviews</w:t>
      </w:r>
      <w:r w:rsidRPr="004466FC">
        <w:rPr>
          <w:rFonts w:ascii="Arial" w:hAnsi="Arial" w:cs="Arial"/>
          <w:i w:val="0"/>
          <w:iCs w:val="0"/>
          <w:noProof/>
          <w:sz w:val="24"/>
          <w:szCs w:val="24"/>
          <w:lang w:val="en-GB"/>
        </w:rPr>
        <w:tab/>
      </w:r>
      <w:r w:rsidRPr="004466FC">
        <w:rPr>
          <w:rFonts w:ascii="Arial" w:hAnsi="Arial" w:cs="Arial"/>
          <w:i w:val="0"/>
          <w:iCs w:val="0"/>
          <w:noProof/>
          <w:sz w:val="24"/>
          <w:szCs w:val="24"/>
          <w:lang w:val="en-GB"/>
        </w:rPr>
        <w:fldChar w:fldCharType="begin"/>
      </w:r>
      <w:r w:rsidRPr="004466FC">
        <w:rPr>
          <w:rFonts w:ascii="Arial" w:hAnsi="Arial" w:cs="Arial"/>
          <w:i w:val="0"/>
          <w:iCs w:val="0"/>
          <w:noProof/>
          <w:sz w:val="24"/>
          <w:szCs w:val="24"/>
          <w:lang w:val="en-GB"/>
        </w:rPr>
        <w:instrText xml:space="preserve"> PAGEREF _Toc180505690 \h </w:instrText>
      </w:r>
      <w:r w:rsidRPr="004466FC">
        <w:rPr>
          <w:rFonts w:ascii="Arial" w:hAnsi="Arial" w:cs="Arial"/>
          <w:i w:val="0"/>
          <w:iCs w:val="0"/>
          <w:noProof/>
          <w:sz w:val="24"/>
          <w:szCs w:val="24"/>
          <w:lang w:val="en-GB"/>
        </w:rPr>
      </w:r>
      <w:r w:rsidRPr="004466FC">
        <w:rPr>
          <w:rFonts w:ascii="Arial" w:hAnsi="Arial" w:cs="Arial"/>
          <w:i w:val="0"/>
          <w:iCs w:val="0"/>
          <w:noProof/>
          <w:sz w:val="24"/>
          <w:szCs w:val="24"/>
          <w:lang w:val="en-GB"/>
        </w:rPr>
        <w:fldChar w:fldCharType="separate"/>
      </w:r>
      <w:r w:rsidR="00460680">
        <w:rPr>
          <w:rFonts w:ascii="Arial" w:hAnsi="Arial" w:cs="Arial"/>
          <w:i w:val="0"/>
          <w:iCs w:val="0"/>
          <w:noProof/>
          <w:sz w:val="24"/>
          <w:szCs w:val="24"/>
          <w:lang w:val="en-GB"/>
        </w:rPr>
        <w:t>127</w:t>
      </w:r>
      <w:r w:rsidRPr="004466FC">
        <w:rPr>
          <w:rFonts w:ascii="Arial" w:hAnsi="Arial" w:cs="Arial"/>
          <w:i w:val="0"/>
          <w:iCs w:val="0"/>
          <w:noProof/>
          <w:sz w:val="24"/>
          <w:szCs w:val="24"/>
          <w:lang w:val="en-GB"/>
        </w:rPr>
        <w:fldChar w:fldCharType="end"/>
      </w:r>
    </w:p>
    <w:p w14:paraId="66869D6B" w14:textId="2E487631" w:rsidR="004466FC" w:rsidRPr="004466FC" w:rsidRDefault="004466FC" w:rsidP="004466FC">
      <w:pPr>
        <w:pStyle w:val="TOC2"/>
        <w:tabs>
          <w:tab w:val="left" w:pos="1276"/>
          <w:tab w:val="right" w:pos="9174"/>
        </w:tabs>
        <w:spacing w:after="120" w:line="264" w:lineRule="auto"/>
        <w:ind w:left="1276" w:hanging="794"/>
        <w:rPr>
          <w:rFonts w:ascii="Arial" w:hAnsi="Arial" w:cs="Arial"/>
          <w:i w:val="0"/>
          <w:iCs w:val="0"/>
          <w:noProof/>
          <w:sz w:val="24"/>
          <w:szCs w:val="24"/>
          <w:lang w:val="en-GB"/>
        </w:rPr>
      </w:pPr>
      <w:r w:rsidRPr="004466FC">
        <w:rPr>
          <w:rFonts w:ascii="Arial" w:hAnsi="Arial" w:cs="Arial"/>
          <w:i w:val="0"/>
          <w:iCs w:val="0"/>
          <w:noProof/>
          <w:sz w:val="24"/>
          <w:szCs w:val="24"/>
          <w:lang w:val="en-GB"/>
        </w:rPr>
        <w:t>6.9</w:t>
      </w:r>
      <w:r w:rsidRPr="004466FC">
        <w:rPr>
          <w:rFonts w:ascii="Arial" w:hAnsi="Arial" w:cs="Arial"/>
          <w:i w:val="0"/>
          <w:iCs w:val="0"/>
          <w:noProof/>
          <w:sz w:val="24"/>
          <w:szCs w:val="24"/>
          <w:lang w:val="en-GB"/>
        </w:rPr>
        <w:tab/>
        <w:t>Other PGPA Act reportable items</w:t>
      </w:r>
      <w:r w:rsidRPr="004466FC">
        <w:rPr>
          <w:rFonts w:ascii="Arial" w:hAnsi="Arial" w:cs="Arial"/>
          <w:i w:val="0"/>
          <w:iCs w:val="0"/>
          <w:noProof/>
          <w:sz w:val="24"/>
          <w:szCs w:val="24"/>
          <w:lang w:val="en-GB"/>
        </w:rPr>
        <w:tab/>
      </w:r>
      <w:r w:rsidRPr="004466FC">
        <w:rPr>
          <w:rFonts w:ascii="Arial" w:hAnsi="Arial" w:cs="Arial"/>
          <w:i w:val="0"/>
          <w:iCs w:val="0"/>
          <w:noProof/>
          <w:sz w:val="24"/>
          <w:szCs w:val="24"/>
          <w:lang w:val="en-GB"/>
        </w:rPr>
        <w:fldChar w:fldCharType="begin"/>
      </w:r>
      <w:r w:rsidRPr="004466FC">
        <w:rPr>
          <w:rFonts w:ascii="Arial" w:hAnsi="Arial" w:cs="Arial"/>
          <w:i w:val="0"/>
          <w:iCs w:val="0"/>
          <w:noProof/>
          <w:sz w:val="24"/>
          <w:szCs w:val="24"/>
          <w:lang w:val="en-GB"/>
        </w:rPr>
        <w:instrText xml:space="preserve"> PAGEREF _Toc180505691 \h </w:instrText>
      </w:r>
      <w:r w:rsidRPr="004466FC">
        <w:rPr>
          <w:rFonts w:ascii="Arial" w:hAnsi="Arial" w:cs="Arial"/>
          <w:i w:val="0"/>
          <w:iCs w:val="0"/>
          <w:noProof/>
          <w:sz w:val="24"/>
          <w:szCs w:val="24"/>
          <w:lang w:val="en-GB"/>
        </w:rPr>
      </w:r>
      <w:r w:rsidRPr="004466FC">
        <w:rPr>
          <w:rFonts w:ascii="Arial" w:hAnsi="Arial" w:cs="Arial"/>
          <w:i w:val="0"/>
          <w:iCs w:val="0"/>
          <w:noProof/>
          <w:sz w:val="24"/>
          <w:szCs w:val="24"/>
          <w:lang w:val="en-GB"/>
        </w:rPr>
        <w:fldChar w:fldCharType="separate"/>
      </w:r>
      <w:r w:rsidR="00460680">
        <w:rPr>
          <w:rFonts w:ascii="Arial" w:hAnsi="Arial" w:cs="Arial"/>
          <w:i w:val="0"/>
          <w:iCs w:val="0"/>
          <w:noProof/>
          <w:sz w:val="24"/>
          <w:szCs w:val="24"/>
          <w:lang w:val="en-GB"/>
        </w:rPr>
        <w:t>131</w:t>
      </w:r>
      <w:r w:rsidRPr="004466FC">
        <w:rPr>
          <w:rFonts w:ascii="Arial" w:hAnsi="Arial" w:cs="Arial"/>
          <w:i w:val="0"/>
          <w:iCs w:val="0"/>
          <w:noProof/>
          <w:sz w:val="24"/>
          <w:szCs w:val="24"/>
          <w:lang w:val="en-GB"/>
        </w:rPr>
        <w:fldChar w:fldCharType="end"/>
      </w:r>
    </w:p>
    <w:p w14:paraId="55520FE6" w14:textId="4FF4E190" w:rsidR="004466FC" w:rsidRPr="004466FC" w:rsidRDefault="004466FC" w:rsidP="004466FC">
      <w:pPr>
        <w:pStyle w:val="TOC2"/>
        <w:tabs>
          <w:tab w:val="left" w:pos="1276"/>
          <w:tab w:val="right" w:pos="9174"/>
        </w:tabs>
        <w:spacing w:after="120" w:line="264" w:lineRule="auto"/>
        <w:ind w:left="1276" w:hanging="794"/>
        <w:rPr>
          <w:rFonts w:ascii="Arial" w:hAnsi="Arial" w:cs="Arial"/>
          <w:i w:val="0"/>
          <w:iCs w:val="0"/>
          <w:noProof/>
          <w:sz w:val="24"/>
          <w:szCs w:val="24"/>
          <w:lang w:val="en-GB"/>
        </w:rPr>
      </w:pPr>
      <w:r w:rsidRPr="004466FC">
        <w:rPr>
          <w:rFonts w:ascii="Arial" w:hAnsi="Arial" w:cs="Arial"/>
          <w:i w:val="0"/>
          <w:iCs w:val="0"/>
          <w:noProof/>
          <w:sz w:val="24"/>
          <w:szCs w:val="24"/>
          <w:lang w:val="en-GB"/>
        </w:rPr>
        <w:t>6.10</w:t>
      </w:r>
      <w:r w:rsidRPr="004466FC">
        <w:rPr>
          <w:rFonts w:ascii="Arial" w:hAnsi="Arial" w:cs="Arial"/>
          <w:i w:val="0"/>
          <w:iCs w:val="0"/>
          <w:noProof/>
          <w:sz w:val="24"/>
          <w:szCs w:val="24"/>
          <w:lang w:val="en-GB"/>
        </w:rPr>
        <w:tab/>
        <w:t>Advertising and market research</w:t>
      </w:r>
      <w:r w:rsidRPr="004466FC">
        <w:rPr>
          <w:rFonts w:ascii="Arial" w:hAnsi="Arial" w:cs="Arial"/>
          <w:i w:val="0"/>
          <w:iCs w:val="0"/>
          <w:noProof/>
          <w:sz w:val="24"/>
          <w:szCs w:val="24"/>
          <w:lang w:val="en-GB"/>
        </w:rPr>
        <w:tab/>
      </w:r>
      <w:r w:rsidRPr="004466FC">
        <w:rPr>
          <w:rFonts w:ascii="Arial" w:hAnsi="Arial" w:cs="Arial"/>
          <w:i w:val="0"/>
          <w:iCs w:val="0"/>
          <w:noProof/>
          <w:sz w:val="24"/>
          <w:szCs w:val="24"/>
          <w:lang w:val="en-GB"/>
        </w:rPr>
        <w:fldChar w:fldCharType="begin"/>
      </w:r>
      <w:r w:rsidRPr="004466FC">
        <w:rPr>
          <w:rFonts w:ascii="Arial" w:hAnsi="Arial" w:cs="Arial"/>
          <w:i w:val="0"/>
          <w:iCs w:val="0"/>
          <w:noProof/>
          <w:sz w:val="24"/>
          <w:szCs w:val="24"/>
          <w:lang w:val="en-GB"/>
        </w:rPr>
        <w:instrText xml:space="preserve"> PAGEREF _Toc180505692 \h </w:instrText>
      </w:r>
      <w:r w:rsidRPr="004466FC">
        <w:rPr>
          <w:rFonts w:ascii="Arial" w:hAnsi="Arial" w:cs="Arial"/>
          <w:i w:val="0"/>
          <w:iCs w:val="0"/>
          <w:noProof/>
          <w:sz w:val="24"/>
          <w:szCs w:val="24"/>
          <w:lang w:val="en-GB"/>
        </w:rPr>
      </w:r>
      <w:r w:rsidRPr="004466FC">
        <w:rPr>
          <w:rFonts w:ascii="Arial" w:hAnsi="Arial" w:cs="Arial"/>
          <w:i w:val="0"/>
          <w:iCs w:val="0"/>
          <w:noProof/>
          <w:sz w:val="24"/>
          <w:szCs w:val="24"/>
          <w:lang w:val="en-GB"/>
        </w:rPr>
        <w:fldChar w:fldCharType="separate"/>
      </w:r>
      <w:r w:rsidR="00460680">
        <w:rPr>
          <w:rFonts w:ascii="Arial" w:hAnsi="Arial" w:cs="Arial"/>
          <w:i w:val="0"/>
          <w:iCs w:val="0"/>
          <w:noProof/>
          <w:sz w:val="24"/>
          <w:szCs w:val="24"/>
          <w:lang w:val="en-GB"/>
        </w:rPr>
        <w:t>131</w:t>
      </w:r>
      <w:r w:rsidRPr="004466FC">
        <w:rPr>
          <w:rFonts w:ascii="Arial" w:hAnsi="Arial" w:cs="Arial"/>
          <w:i w:val="0"/>
          <w:iCs w:val="0"/>
          <w:noProof/>
          <w:sz w:val="24"/>
          <w:szCs w:val="24"/>
          <w:lang w:val="en-GB"/>
        </w:rPr>
        <w:fldChar w:fldCharType="end"/>
      </w:r>
    </w:p>
    <w:p w14:paraId="4838D853" w14:textId="01B21B35" w:rsidR="004466FC" w:rsidRPr="004466FC" w:rsidRDefault="004466FC" w:rsidP="004466FC">
      <w:pPr>
        <w:pStyle w:val="TOC2"/>
        <w:tabs>
          <w:tab w:val="left" w:pos="1276"/>
          <w:tab w:val="right" w:pos="9174"/>
        </w:tabs>
        <w:spacing w:after="120" w:line="264" w:lineRule="auto"/>
        <w:ind w:left="1276" w:hanging="794"/>
        <w:rPr>
          <w:rFonts w:ascii="Arial" w:hAnsi="Arial" w:cs="Arial"/>
          <w:i w:val="0"/>
          <w:iCs w:val="0"/>
          <w:noProof/>
          <w:sz w:val="24"/>
          <w:szCs w:val="24"/>
          <w:lang w:val="en-GB"/>
        </w:rPr>
      </w:pPr>
      <w:r w:rsidRPr="004466FC">
        <w:rPr>
          <w:rFonts w:ascii="Arial" w:hAnsi="Arial" w:cs="Arial"/>
          <w:i w:val="0"/>
          <w:iCs w:val="0"/>
          <w:noProof/>
          <w:sz w:val="24"/>
          <w:szCs w:val="24"/>
          <w:lang w:val="en-GB"/>
        </w:rPr>
        <w:t>6.11</w:t>
      </w:r>
      <w:r w:rsidRPr="004466FC">
        <w:rPr>
          <w:rFonts w:ascii="Arial" w:hAnsi="Arial" w:cs="Arial"/>
          <w:i w:val="0"/>
          <w:iCs w:val="0"/>
          <w:noProof/>
          <w:sz w:val="24"/>
          <w:szCs w:val="24"/>
          <w:lang w:val="en-GB"/>
        </w:rPr>
        <w:tab/>
        <w:t>Ecologically sustainable development and environmental performance</w:t>
      </w:r>
      <w:r w:rsidRPr="004466FC">
        <w:rPr>
          <w:rFonts w:ascii="Arial" w:hAnsi="Arial" w:cs="Arial"/>
          <w:i w:val="0"/>
          <w:iCs w:val="0"/>
          <w:noProof/>
          <w:sz w:val="24"/>
          <w:szCs w:val="24"/>
          <w:lang w:val="en-GB"/>
        </w:rPr>
        <w:tab/>
      </w:r>
      <w:r w:rsidRPr="004466FC">
        <w:rPr>
          <w:rFonts w:ascii="Arial" w:hAnsi="Arial" w:cs="Arial"/>
          <w:i w:val="0"/>
          <w:iCs w:val="0"/>
          <w:noProof/>
          <w:sz w:val="24"/>
          <w:szCs w:val="24"/>
          <w:lang w:val="en-GB"/>
        </w:rPr>
        <w:fldChar w:fldCharType="begin"/>
      </w:r>
      <w:r w:rsidRPr="004466FC">
        <w:rPr>
          <w:rFonts w:ascii="Arial" w:hAnsi="Arial" w:cs="Arial"/>
          <w:i w:val="0"/>
          <w:iCs w:val="0"/>
          <w:noProof/>
          <w:sz w:val="24"/>
          <w:szCs w:val="24"/>
          <w:lang w:val="en-GB"/>
        </w:rPr>
        <w:instrText xml:space="preserve"> PAGEREF _Toc180505693 \h </w:instrText>
      </w:r>
      <w:r w:rsidRPr="004466FC">
        <w:rPr>
          <w:rFonts w:ascii="Arial" w:hAnsi="Arial" w:cs="Arial"/>
          <w:i w:val="0"/>
          <w:iCs w:val="0"/>
          <w:noProof/>
          <w:sz w:val="24"/>
          <w:szCs w:val="24"/>
          <w:lang w:val="en-GB"/>
        </w:rPr>
      </w:r>
      <w:r w:rsidRPr="004466FC">
        <w:rPr>
          <w:rFonts w:ascii="Arial" w:hAnsi="Arial" w:cs="Arial"/>
          <w:i w:val="0"/>
          <w:iCs w:val="0"/>
          <w:noProof/>
          <w:sz w:val="24"/>
          <w:szCs w:val="24"/>
          <w:lang w:val="en-GB"/>
        </w:rPr>
        <w:fldChar w:fldCharType="separate"/>
      </w:r>
      <w:r w:rsidR="00460680">
        <w:rPr>
          <w:rFonts w:ascii="Arial" w:hAnsi="Arial" w:cs="Arial"/>
          <w:i w:val="0"/>
          <w:iCs w:val="0"/>
          <w:noProof/>
          <w:sz w:val="24"/>
          <w:szCs w:val="24"/>
          <w:lang w:val="en-GB"/>
        </w:rPr>
        <w:t>133</w:t>
      </w:r>
      <w:r w:rsidRPr="004466FC">
        <w:rPr>
          <w:rFonts w:ascii="Arial" w:hAnsi="Arial" w:cs="Arial"/>
          <w:i w:val="0"/>
          <w:iCs w:val="0"/>
          <w:noProof/>
          <w:sz w:val="24"/>
          <w:szCs w:val="24"/>
          <w:lang w:val="en-GB"/>
        </w:rPr>
        <w:fldChar w:fldCharType="end"/>
      </w:r>
    </w:p>
    <w:p w14:paraId="47CFC5F6" w14:textId="7B2B1A11" w:rsidR="004466FC" w:rsidRPr="004466FC" w:rsidRDefault="004466FC" w:rsidP="004466FC">
      <w:pPr>
        <w:pStyle w:val="TOC2"/>
        <w:tabs>
          <w:tab w:val="left" w:pos="1276"/>
          <w:tab w:val="right" w:pos="9174"/>
        </w:tabs>
        <w:spacing w:after="120" w:line="264" w:lineRule="auto"/>
        <w:ind w:left="1276" w:hanging="794"/>
        <w:rPr>
          <w:rFonts w:ascii="Arial" w:hAnsi="Arial" w:cs="Arial"/>
          <w:i w:val="0"/>
          <w:iCs w:val="0"/>
          <w:noProof/>
          <w:sz w:val="24"/>
          <w:szCs w:val="24"/>
          <w:lang w:val="en-GB"/>
        </w:rPr>
      </w:pPr>
      <w:r w:rsidRPr="004466FC">
        <w:rPr>
          <w:rFonts w:ascii="Arial" w:hAnsi="Arial" w:cs="Arial"/>
          <w:i w:val="0"/>
          <w:iCs w:val="0"/>
          <w:noProof/>
          <w:sz w:val="24"/>
          <w:szCs w:val="24"/>
          <w:lang w:val="en-GB"/>
        </w:rPr>
        <w:t>6.12</w:t>
      </w:r>
      <w:r w:rsidRPr="004466FC">
        <w:rPr>
          <w:rFonts w:ascii="Arial" w:hAnsi="Arial" w:cs="Arial"/>
          <w:i w:val="0"/>
          <w:iCs w:val="0"/>
          <w:noProof/>
          <w:sz w:val="24"/>
          <w:szCs w:val="24"/>
          <w:lang w:val="en-GB"/>
        </w:rPr>
        <w:tab/>
        <w:t>Compliance with Carer Recognition Act</w:t>
      </w:r>
      <w:r w:rsidRPr="004466FC">
        <w:rPr>
          <w:rFonts w:ascii="Arial" w:hAnsi="Arial" w:cs="Arial"/>
          <w:i w:val="0"/>
          <w:iCs w:val="0"/>
          <w:noProof/>
          <w:sz w:val="24"/>
          <w:szCs w:val="24"/>
          <w:lang w:val="en-GB"/>
        </w:rPr>
        <w:tab/>
      </w:r>
      <w:r w:rsidRPr="004466FC">
        <w:rPr>
          <w:rFonts w:ascii="Arial" w:hAnsi="Arial" w:cs="Arial"/>
          <w:i w:val="0"/>
          <w:iCs w:val="0"/>
          <w:noProof/>
          <w:sz w:val="24"/>
          <w:szCs w:val="24"/>
          <w:lang w:val="en-GB"/>
        </w:rPr>
        <w:fldChar w:fldCharType="begin"/>
      </w:r>
      <w:r w:rsidRPr="004466FC">
        <w:rPr>
          <w:rFonts w:ascii="Arial" w:hAnsi="Arial" w:cs="Arial"/>
          <w:i w:val="0"/>
          <w:iCs w:val="0"/>
          <w:noProof/>
          <w:sz w:val="24"/>
          <w:szCs w:val="24"/>
          <w:lang w:val="en-GB"/>
        </w:rPr>
        <w:instrText xml:space="preserve"> PAGEREF _Toc180505694 \h </w:instrText>
      </w:r>
      <w:r w:rsidRPr="004466FC">
        <w:rPr>
          <w:rFonts w:ascii="Arial" w:hAnsi="Arial" w:cs="Arial"/>
          <w:i w:val="0"/>
          <w:iCs w:val="0"/>
          <w:noProof/>
          <w:sz w:val="24"/>
          <w:szCs w:val="24"/>
          <w:lang w:val="en-GB"/>
        </w:rPr>
      </w:r>
      <w:r w:rsidRPr="004466FC">
        <w:rPr>
          <w:rFonts w:ascii="Arial" w:hAnsi="Arial" w:cs="Arial"/>
          <w:i w:val="0"/>
          <w:iCs w:val="0"/>
          <w:noProof/>
          <w:sz w:val="24"/>
          <w:szCs w:val="24"/>
          <w:lang w:val="en-GB"/>
        </w:rPr>
        <w:fldChar w:fldCharType="separate"/>
      </w:r>
      <w:r w:rsidR="00460680">
        <w:rPr>
          <w:rFonts w:ascii="Arial" w:hAnsi="Arial" w:cs="Arial"/>
          <w:i w:val="0"/>
          <w:iCs w:val="0"/>
          <w:noProof/>
          <w:sz w:val="24"/>
          <w:szCs w:val="24"/>
          <w:lang w:val="en-GB"/>
        </w:rPr>
        <w:t>135</w:t>
      </w:r>
      <w:r w:rsidRPr="004466FC">
        <w:rPr>
          <w:rFonts w:ascii="Arial" w:hAnsi="Arial" w:cs="Arial"/>
          <w:i w:val="0"/>
          <w:iCs w:val="0"/>
          <w:noProof/>
          <w:sz w:val="24"/>
          <w:szCs w:val="24"/>
          <w:lang w:val="en-GB"/>
        </w:rPr>
        <w:fldChar w:fldCharType="end"/>
      </w:r>
    </w:p>
    <w:p w14:paraId="08EA5818" w14:textId="2869755B" w:rsidR="004466FC" w:rsidRPr="004466FC" w:rsidRDefault="004466FC" w:rsidP="004466FC">
      <w:pPr>
        <w:pStyle w:val="TOC2"/>
        <w:tabs>
          <w:tab w:val="left" w:pos="1276"/>
          <w:tab w:val="right" w:pos="9174"/>
        </w:tabs>
        <w:spacing w:after="120" w:line="264" w:lineRule="auto"/>
        <w:ind w:left="1276" w:hanging="794"/>
        <w:rPr>
          <w:rFonts w:ascii="Arial" w:hAnsi="Arial" w:cs="Arial"/>
          <w:i w:val="0"/>
          <w:iCs w:val="0"/>
          <w:noProof/>
          <w:sz w:val="24"/>
          <w:szCs w:val="24"/>
          <w:lang w:val="en-GB"/>
        </w:rPr>
      </w:pPr>
      <w:r w:rsidRPr="004466FC">
        <w:rPr>
          <w:rFonts w:ascii="Arial" w:hAnsi="Arial" w:cs="Arial"/>
          <w:i w:val="0"/>
          <w:iCs w:val="0"/>
          <w:noProof/>
          <w:sz w:val="24"/>
          <w:szCs w:val="24"/>
          <w:lang w:val="en-GB"/>
        </w:rPr>
        <w:t>6.13</w:t>
      </w:r>
      <w:r w:rsidRPr="004466FC">
        <w:rPr>
          <w:rFonts w:ascii="Arial" w:hAnsi="Arial" w:cs="Arial"/>
          <w:i w:val="0"/>
          <w:iCs w:val="0"/>
          <w:noProof/>
          <w:sz w:val="24"/>
          <w:szCs w:val="24"/>
          <w:lang w:val="en-GB"/>
        </w:rPr>
        <w:tab/>
        <w:t>Information on other specific statutory provisions</w:t>
      </w:r>
      <w:r w:rsidRPr="004466FC">
        <w:rPr>
          <w:rFonts w:ascii="Arial" w:hAnsi="Arial" w:cs="Arial"/>
          <w:i w:val="0"/>
          <w:iCs w:val="0"/>
          <w:noProof/>
          <w:sz w:val="24"/>
          <w:szCs w:val="24"/>
          <w:lang w:val="en-GB"/>
        </w:rPr>
        <w:tab/>
      </w:r>
      <w:r w:rsidRPr="004466FC">
        <w:rPr>
          <w:rFonts w:ascii="Arial" w:hAnsi="Arial" w:cs="Arial"/>
          <w:i w:val="0"/>
          <w:iCs w:val="0"/>
          <w:noProof/>
          <w:sz w:val="24"/>
          <w:szCs w:val="24"/>
          <w:lang w:val="en-GB"/>
        </w:rPr>
        <w:fldChar w:fldCharType="begin"/>
      </w:r>
      <w:r w:rsidRPr="004466FC">
        <w:rPr>
          <w:rFonts w:ascii="Arial" w:hAnsi="Arial" w:cs="Arial"/>
          <w:i w:val="0"/>
          <w:iCs w:val="0"/>
          <w:noProof/>
          <w:sz w:val="24"/>
          <w:szCs w:val="24"/>
          <w:lang w:val="en-GB"/>
        </w:rPr>
        <w:instrText xml:space="preserve"> PAGEREF _Toc180505695 \h </w:instrText>
      </w:r>
      <w:r w:rsidRPr="004466FC">
        <w:rPr>
          <w:rFonts w:ascii="Arial" w:hAnsi="Arial" w:cs="Arial"/>
          <w:i w:val="0"/>
          <w:iCs w:val="0"/>
          <w:noProof/>
          <w:sz w:val="24"/>
          <w:szCs w:val="24"/>
          <w:lang w:val="en-GB"/>
        </w:rPr>
      </w:r>
      <w:r w:rsidRPr="004466FC">
        <w:rPr>
          <w:rFonts w:ascii="Arial" w:hAnsi="Arial" w:cs="Arial"/>
          <w:i w:val="0"/>
          <w:iCs w:val="0"/>
          <w:noProof/>
          <w:sz w:val="24"/>
          <w:szCs w:val="24"/>
          <w:lang w:val="en-GB"/>
        </w:rPr>
        <w:fldChar w:fldCharType="separate"/>
      </w:r>
      <w:r w:rsidR="00460680">
        <w:rPr>
          <w:rFonts w:ascii="Arial" w:hAnsi="Arial" w:cs="Arial"/>
          <w:i w:val="0"/>
          <w:iCs w:val="0"/>
          <w:noProof/>
          <w:sz w:val="24"/>
          <w:szCs w:val="24"/>
          <w:lang w:val="en-GB"/>
        </w:rPr>
        <w:t>137</w:t>
      </w:r>
      <w:r w:rsidRPr="004466FC">
        <w:rPr>
          <w:rFonts w:ascii="Arial" w:hAnsi="Arial" w:cs="Arial"/>
          <w:i w:val="0"/>
          <w:iCs w:val="0"/>
          <w:noProof/>
          <w:sz w:val="24"/>
          <w:szCs w:val="24"/>
          <w:lang w:val="en-GB"/>
        </w:rPr>
        <w:fldChar w:fldCharType="end"/>
      </w:r>
    </w:p>
    <w:p w14:paraId="21424F83" w14:textId="3F78FF5D" w:rsidR="004466FC" w:rsidRPr="004466FC" w:rsidRDefault="004466FC" w:rsidP="004466FC">
      <w:pPr>
        <w:pStyle w:val="TOC2"/>
        <w:tabs>
          <w:tab w:val="left" w:pos="1276"/>
          <w:tab w:val="right" w:pos="9174"/>
        </w:tabs>
        <w:spacing w:after="120" w:line="264" w:lineRule="auto"/>
        <w:ind w:left="1276" w:hanging="794"/>
        <w:rPr>
          <w:rFonts w:ascii="Arial" w:hAnsi="Arial" w:cs="Arial"/>
          <w:i w:val="0"/>
          <w:iCs w:val="0"/>
          <w:noProof/>
          <w:sz w:val="24"/>
          <w:szCs w:val="24"/>
          <w:lang w:val="en-GB"/>
        </w:rPr>
      </w:pPr>
      <w:r w:rsidRPr="004466FC">
        <w:rPr>
          <w:rFonts w:ascii="Arial" w:hAnsi="Arial" w:cs="Arial"/>
          <w:i w:val="0"/>
          <w:iCs w:val="0"/>
          <w:noProof/>
          <w:sz w:val="24"/>
          <w:szCs w:val="24"/>
          <w:lang w:val="en-GB"/>
        </w:rPr>
        <w:t>6.14</w:t>
      </w:r>
      <w:r w:rsidRPr="004466FC">
        <w:rPr>
          <w:rFonts w:ascii="Arial" w:hAnsi="Arial" w:cs="Arial"/>
          <w:i w:val="0"/>
          <w:iCs w:val="0"/>
          <w:noProof/>
          <w:sz w:val="24"/>
          <w:szCs w:val="24"/>
          <w:lang w:val="en-GB"/>
        </w:rPr>
        <w:tab/>
        <w:t>Correction of material errors in NDIA Annual Report 2022–23</w:t>
      </w:r>
      <w:r w:rsidRPr="004466FC">
        <w:rPr>
          <w:rFonts w:ascii="Arial" w:hAnsi="Arial" w:cs="Arial"/>
          <w:i w:val="0"/>
          <w:iCs w:val="0"/>
          <w:noProof/>
          <w:sz w:val="24"/>
          <w:szCs w:val="24"/>
          <w:lang w:val="en-GB"/>
        </w:rPr>
        <w:tab/>
      </w:r>
      <w:r w:rsidRPr="004466FC">
        <w:rPr>
          <w:rFonts w:ascii="Arial" w:hAnsi="Arial" w:cs="Arial"/>
          <w:i w:val="0"/>
          <w:iCs w:val="0"/>
          <w:noProof/>
          <w:sz w:val="24"/>
          <w:szCs w:val="24"/>
          <w:lang w:val="en-GB"/>
        </w:rPr>
        <w:fldChar w:fldCharType="begin"/>
      </w:r>
      <w:r w:rsidRPr="004466FC">
        <w:rPr>
          <w:rFonts w:ascii="Arial" w:hAnsi="Arial" w:cs="Arial"/>
          <w:i w:val="0"/>
          <w:iCs w:val="0"/>
          <w:noProof/>
          <w:sz w:val="24"/>
          <w:szCs w:val="24"/>
          <w:lang w:val="en-GB"/>
        </w:rPr>
        <w:instrText xml:space="preserve"> PAGEREF _Toc180505696 \h </w:instrText>
      </w:r>
      <w:r w:rsidRPr="004466FC">
        <w:rPr>
          <w:rFonts w:ascii="Arial" w:hAnsi="Arial" w:cs="Arial"/>
          <w:i w:val="0"/>
          <w:iCs w:val="0"/>
          <w:noProof/>
          <w:sz w:val="24"/>
          <w:szCs w:val="24"/>
          <w:lang w:val="en-GB"/>
        </w:rPr>
      </w:r>
      <w:r w:rsidRPr="004466FC">
        <w:rPr>
          <w:rFonts w:ascii="Arial" w:hAnsi="Arial" w:cs="Arial"/>
          <w:i w:val="0"/>
          <w:iCs w:val="0"/>
          <w:noProof/>
          <w:sz w:val="24"/>
          <w:szCs w:val="24"/>
          <w:lang w:val="en-GB"/>
        </w:rPr>
        <w:fldChar w:fldCharType="separate"/>
      </w:r>
      <w:r w:rsidR="00460680">
        <w:rPr>
          <w:rFonts w:ascii="Arial" w:hAnsi="Arial" w:cs="Arial"/>
          <w:i w:val="0"/>
          <w:iCs w:val="0"/>
          <w:noProof/>
          <w:sz w:val="24"/>
          <w:szCs w:val="24"/>
          <w:lang w:val="en-GB"/>
        </w:rPr>
        <w:t>138</w:t>
      </w:r>
      <w:r w:rsidRPr="004466FC">
        <w:rPr>
          <w:rFonts w:ascii="Arial" w:hAnsi="Arial" w:cs="Arial"/>
          <w:i w:val="0"/>
          <w:iCs w:val="0"/>
          <w:noProof/>
          <w:sz w:val="24"/>
          <w:szCs w:val="24"/>
          <w:lang w:val="en-GB"/>
        </w:rPr>
        <w:fldChar w:fldCharType="end"/>
      </w:r>
    </w:p>
    <w:p w14:paraId="07F11050" w14:textId="55FC6A32" w:rsidR="004466FC" w:rsidRPr="004466FC" w:rsidRDefault="004466FC" w:rsidP="004466FC">
      <w:pPr>
        <w:pStyle w:val="TOC2"/>
        <w:tabs>
          <w:tab w:val="left" w:pos="1276"/>
          <w:tab w:val="right" w:pos="9174"/>
        </w:tabs>
        <w:spacing w:after="120" w:line="264" w:lineRule="auto"/>
        <w:ind w:left="1276" w:hanging="794"/>
        <w:rPr>
          <w:rFonts w:ascii="Arial" w:hAnsi="Arial" w:cs="Arial"/>
          <w:i w:val="0"/>
          <w:iCs w:val="0"/>
          <w:noProof/>
          <w:sz w:val="24"/>
          <w:szCs w:val="24"/>
          <w:lang w:val="en-GB"/>
        </w:rPr>
      </w:pPr>
      <w:r w:rsidRPr="004466FC">
        <w:rPr>
          <w:rFonts w:ascii="Arial" w:hAnsi="Arial" w:cs="Arial"/>
          <w:i w:val="0"/>
          <w:iCs w:val="0"/>
          <w:noProof/>
          <w:sz w:val="24"/>
          <w:szCs w:val="24"/>
          <w:lang w:val="en-GB"/>
        </w:rPr>
        <w:t>6.15</w:t>
      </w:r>
      <w:r w:rsidRPr="004466FC">
        <w:rPr>
          <w:rFonts w:ascii="Arial" w:hAnsi="Arial" w:cs="Arial"/>
          <w:i w:val="0"/>
          <w:iCs w:val="0"/>
          <w:noProof/>
          <w:sz w:val="24"/>
          <w:szCs w:val="24"/>
          <w:lang w:val="en-GB"/>
        </w:rPr>
        <w:tab/>
        <w:t>Glossary</w:t>
      </w:r>
      <w:r w:rsidRPr="004466FC">
        <w:rPr>
          <w:rFonts w:ascii="Arial" w:hAnsi="Arial" w:cs="Arial"/>
          <w:i w:val="0"/>
          <w:iCs w:val="0"/>
          <w:noProof/>
          <w:sz w:val="24"/>
          <w:szCs w:val="24"/>
          <w:lang w:val="en-GB"/>
        </w:rPr>
        <w:tab/>
      </w:r>
      <w:r w:rsidRPr="004466FC">
        <w:rPr>
          <w:rFonts w:ascii="Arial" w:hAnsi="Arial" w:cs="Arial"/>
          <w:i w:val="0"/>
          <w:iCs w:val="0"/>
          <w:noProof/>
          <w:sz w:val="24"/>
          <w:szCs w:val="24"/>
          <w:lang w:val="en-GB"/>
        </w:rPr>
        <w:fldChar w:fldCharType="begin"/>
      </w:r>
      <w:r w:rsidRPr="004466FC">
        <w:rPr>
          <w:rFonts w:ascii="Arial" w:hAnsi="Arial" w:cs="Arial"/>
          <w:i w:val="0"/>
          <w:iCs w:val="0"/>
          <w:noProof/>
          <w:sz w:val="24"/>
          <w:szCs w:val="24"/>
          <w:lang w:val="en-GB"/>
        </w:rPr>
        <w:instrText xml:space="preserve"> PAGEREF _Toc180505697 \h </w:instrText>
      </w:r>
      <w:r w:rsidRPr="004466FC">
        <w:rPr>
          <w:rFonts w:ascii="Arial" w:hAnsi="Arial" w:cs="Arial"/>
          <w:i w:val="0"/>
          <w:iCs w:val="0"/>
          <w:noProof/>
          <w:sz w:val="24"/>
          <w:szCs w:val="24"/>
          <w:lang w:val="en-GB"/>
        </w:rPr>
      </w:r>
      <w:r w:rsidRPr="004466FC">
        <w:rPr>
          <w:rFonts w:ascii="Arial" w:hAnsi="Arial" w:cs="Arial"/>
          <w:i w:val="0"/>
          <w:iCs w:val="0"/>
          <w:noProof/>
          <w:sz w:val="24"/>
          <w:szCs w:val="24"/>
          <w:lang w:val="en-GB"/>
        </w:rPr>
        <w:fldChar w:fldCharType="separate"/>
      </w:r>
      <w:r w:rsidR="00460680">
        <w:rPr>
          <w:rFonts w:ascii="Arial" w:hAnsi="Arial" w:cs="Arial"/>
          <w:i w:val="0"/>
          <w:iCs w:val="0"/>
          <w:noProof/>
          <w:sz w:val="24"/>
          <w:szCs w:val="24"/>
          <w:lang w:val="en-GB"/>
        </w:rPr>
        <w:t>139</w:t>
      </w:r>
      <w:r w:rsidRPr="004466FC">
        <w:rPr>
          <w:rFonts w:ascii="Arial" w:hAnsi="Arial" w:cs="Arial"/>
          <w:i w:val="0"/>
          <w:iCs w:val="0"/>
          <w:noProof/>
          <w:sz w:val="24"/>
          <w:szCs w:val="24"/>
          <w:lang w:val="en-GB"/>
        </w:rPr>
        <w:fldChar w:fldCharType="end"/>
      </w:r>
    </w:p>
    <w:p w14:paraId="460B779F" w14:textId="6D2E04C9" w:rsidR="004466FC" w:rsidRPr="004466FC" w:rsidRDefault="004466FC" w:rsidP="004466FC">
      <w:pPr>
        <w:pStyle w:val="TOC1"/>
        <w:spacing w:before="120" w:line="264" w:lineRule="auto"/>
        <w:rPr>
          <w:rFonts w:eastAsiaTheme="minorEastAsia"/>
          <w:color w:val="auto"/>
          <w:kern w:val="2"/>
          <w:lang w:val="en-AU" w:eastAsia="en-AU"/>
          <w14:ligatures w14:val="standardContextual"/>
        </w:rPr>
      </w:pPr>
      <w:r w:rsidRPr="004466FC">
        <w:rPr>
          <w:color w:val="auto"/>
        </w:rPr>
        <w:t>7.</w:t>
      </w:r>
      <w:r w:rsidRPr="004466FC">
        <w:rPr>
          <w:rFonts w:eastAsiaTheme="minorEastAsia"/>
          <w:color w:val="auto"/>
          <w:kern w:val="2"/>
          <w:lang w:val="en-AU" w:eastAsia="en-AU"/>
          <w14:ligatures w14:val="standardContextual"/>
        </w:rPr>
        <w:tab/>
      </w:r>
      <w:r w:rsidRPr="004466FC">
        <w:rPr>
          <w:color w:val="auto"/>
        </w:rPr>
        <w:t>Indexes</w:t>
      </w:r>
      <w:r w:rsidRPr="004466FC">
        <w:rPr>
          <w:color w:val="auto"/>
        </w:rPr>
        <w:tab/>
      </w:r>
      <w:r w:rsidRPr="004466FC">
        <w:rPr>
          <w:color w:val="auto"/>
        </w:rPr>
        <w:fldChar w:fldCharType="begin"/>
      </w:r>
      <w:r w:rsidRPr="004466FC">
        <w:rPr>
          <w:color w:val="auto"/>
        </w:rPr>
        <w:instrText xml:space="preserve"> PAGEREF _Toc180505698 \h </w:instrText>
      </w:r>
      <w:r w:rsidRPr="004466FC">
        <w:rPr>
          <w:color w:val="auto"/>
        </w:rPr>
      </w:r>
      <w:r w:rsidRPr="004466FC">
        <w:rPr>
          <w:color w:val="auto"/>
        </w:rPr>
        <w:fldChar w:fldCharType="separate"/>
      </w:r>
      <w:r w:rsidR="00460680">
        <w:rPr>
          <w:color w:val="auto"/>
        </w:rPr>
        <w:t>141</w:t>
      </w:r>
      <w:r w:rsidRPr="004466FC">
        <w:rPr>
          <w:color w:val="auto"/>
        </w:rPr>
        <w:fldChar w:fldCharType="end"/>
      </w:r>
    </w:p>
    <w:p w14:paraId="40F8EF32" w14:textId="0EB98018" w:rsidR="004466FC" w:rsidRPr="004466FC" w:rsidRDefault="004466FC" w:rsidP="004466FC">
      <w:pPr>
        <w:pStyle w:val="TOC2"/>
        <w:tabs>
          <w:tab w:val="left" w:pos="1276"/>
          <w:tab w:val="right" w:pos="9174"/>
        </w:tabs>
        <w:spacing w:after="120" w:line="264" w:lineRule="auto"/>
        <w:ind w:left="1276" w:hanging="794"/>
        <w:rPr>
          <w:rFonts w:ascii="Arial" w:hAnsi="Arial" w:cs="Arial"/>
          <w:i w:val="0"/>
          <w:iCs w:val="0"/>
          <w:noProof/>
          <w:sz w:val="24"/>
          <w:szCs w:val="24"/>
          <w:lang w:val="en-GB"/>
        </w:rPr>
      </w:pPr>
      <w:r w:rsidRPr="004466FC">
        <w:rPr>
          <w:rFonts w:ascii="Arial" w:hAnsi="Arial" w:cs="Arial"/>
          <w:i w:val="0"/>
          <w:iCs w:val="0"/>
          <w:noProof/>
          <w:sz w:val="24"/>
          <w:szCs w:val="24"/>
          <w:lang w:val="en-GB"/>
        </w:rPr>
        <w:t>7.1</w:t>
      </w:r>
      <w:r w:rsidRPr="004466FC">
        <w:rPr>
          <w:rFonts w:ascii="Arial" w:hAnsi="Arial" w:cs="Arial"/>
          <w:i w:val="0"/>
          <w:iCs w:val="0"/>
          <w:noProof/>
          <w:sz w:val="24"/>
          <w:szCs w:val="24"/>
          <w:lang w:val="en-GB"/>
        </w:rPr>
        <w:tab/>
        <w:t>Compliance indexes</w:t>
      </w:r>
      <w:r w:rsidRPr="004466FC">
        <w:rPr>
          <w:rFonts w:ascii="Arial" w:hAnsi="Arial" w:cs="Arial"/>
          <w:i w:val="0"/>
          <w:iCs w:val="0"/>
          <w:noProof/>
          <w:sz w:val="24"/>
          <w:szCs w:val="24"/>
          <w:lang w:val="en-GB"/>
        </w:rPr>
        <w:tab/>
      </w:r>
      <w:r w:rsidRPr="004466FC">
        <w:rPr>
          <w:rFonts w:ascii="Arial" w:hAnsi="Arial" w:cs="Arial"/>
          <w:i w:val="0"/>
          <w:iCs w:val="0"/>
          <w:noProof/>
          <w:sz w:val="24"/>
          <w:szCs w:val="24"/>
          <w:lang w:val="en-GB"/>
        </w:rPr>
        <w:fldChar w:fldCharType="begin"/>
      </w:r>
      <w:r w:rsidRPr="004466FC">
        <w:rPr>
          <w:rFonts w:ascii="Arial" w:hAnsi="Arial" w:cs="Arial"/>
          <w:i w:val="0"/>
          <w:iCs w:val="0"/>
          <w:noProof/>
          <w:sz w:val="24"/>
          <w:szCs w:val="24"/>
          <w:lang w:val="en-GB"/>
        </w:rPr>
        <w:instrText xml:space="preserve"> PAGEREF _Toc180505699 \h </w:instrText>
      </w:r>
      <w:r w:rsidRPr="004466FC">
        <w:rPr>
          <w:rFonts w:ascii="Arial" w:hAnsi="Arial" w:cs="Arial"/>
          <w:i w:val="0"/>
          <w:iCs w:val="0"/>
          <w:noProof/>
          <w:sz w:val="24"/>
          <w:szCs w:val="24"/>
          <w:lang w:val="en-GB"/>
        </w:rPr>
      </w:r>
      <w:r w:rsidRPr="004466FC">
        <w:rPr>
          <w:rFonts w:ascii="Arial" w:hAnsi="Arial" w:cs="Arial"/>
          <w:i w:val="0"/>
          <w:iCs w:val="0"/>
          <w:noProof/>
          <w:sz w:val="24"/>
          <w:szCs w:val="24"/>
          <w:lang w:val="en-GB"/>
        </w:rPr>
        <w:fldChar w:fldCharType="separate"/>
      </w:r>
      <w:r w:rsidR="00460680">
        <w:rPr>
          <w:rFonts w:ascii="Arial" w:hAnsi="Arial" w:cs="Arial"/>
          <w:i w:val="0"/>
          <w:iCs w:val="0"/>
          <w:noProof/>
          <w:sz w:val="24"/>
          <w:szCs w:val="24"/>
          <w:lang w:val="en-GB"/>
        </w:rPr>
        <w:t>141</w:t>
      </w:r>
      <w:r w:rsidRPr="004466FC">
        <w:rPr>
          <w:rFonts w:ascii="Arial" w:hAnsi="Arial" w:cs="Arial"/>
          <w:i w:val="0"/>
          <w:iCs w:val="0"/>
          <w:noProof/>
          <w:sz w:val="24"/>
          <w:szCs w:val="24"/>
          <w:lang w:val="en-GB"/>
        </w:rPr>
        <w:fldChar w:fldCharType="end"/>
      </w:r>
    </w:p>
    <w:p w14:paraId="28FD223D" w14:textId="609832E0" w:rsidR="004466FC" w:rsidRPr="004466FC" w:rsidRDefault="004466FC" w:rsidP="004466FC">
      <w:pPr>
        <w:pStyle w:val="TOC2"/>
        <w:tabs>
          <w:tab w:val="left" w:pos="1276"/>
          <w:tab w:val="right" w:pos="9174"/>
        </w:tabs>
        <w:spacing w:after="120" w:line="264" w:lineRule="auto"/>
        <w:ind w:left="1276" w:hanging="794"/>
        <w:rPr>
          <w:rFonts w:ascii="Arial" w:hAnsi="Arial" w:cs="Arial"/>
          <w:i w:val="0"/>
          <w:iCs w:val="0"/>
          <w:noProof/>
          <w:sz w:val="24"/>
          <w:szCs w:val="24"/>
          <w:lang w:val="en-GB"/>
        </w:rPr>
      </w:pPr>
      <w:r w:rsidRPr="004466FC">
        <w:rPr>
          <w:rFonts w:ascii="Arial" w:hAnsi="Arial" w:cs="Arial"/>
          <w:i w:val="0"/>
          <w:iCs w:val="0"/>
          <w:noProof/>
          <w:sz w:val="24"/>
          <w:szCs w:val="24"/>
          <w:lang w:val="en-GB"/>
        </w:rPr>
        <w:t>7.2</w:t>
      </w:r>
      <w:r w:rsidRPr="004466FC">
        <w:rPr>
          <w:rFonts w:ascii="Arial" w:hAnsi="Arial" w:cs="Arial"/>
          <w:i w:val="0"/>
          <w:iCs w:val="0"/>
          <w:noProof/>
          <w:sz w:val="24"/>
          <w:szCs w:val="24"/>
          <w:lang w:val="en-GB"/>
        </w:rPr>
        <w:tab/>
        <w:t>Tables index</w:t>
      </w:r>
      <w:r w:rsidRPr="004466FC">
        <w:rPr>
          <w:rFonts w:ascii="Arial" w:hAnsi="Arial" w:cs="Arial"/>
          <w:i w:val="0"/>
          <w:iCs w:val="0"/>
          <w:noProof/>
          <w:sz w:val="24"/>
          <w:szCs w:val="24"/>
          <w:lang w:val="en-GB"/>
        </w:rPr>
        <w:tab/>
      </w:r>
      <w:r w:rsidRPr="004466FC">
        <w:rPr>
          <w:rFonts w:ascii="Arial" w:hAnsi="Arial" w:cs="Arial"/>
          <w:i w:val="0"/>
          <w:iCs w:val="0"/>
          <w:noProof/>
          <w:sz w:val="24"/>
          <w:szCs w:val="24"/>
          <w:lang w:val="en-GB"/>
        </w:rPr>
        <w:fldChar w:fldCharType="begin"/>
      </w:r>
      <w:r w:rsidRPr="004466FC">
        <w:rPr>
          <w:rFonts w:ascii="Arial" w:hAnsi="Arial" w:cs="Arial"/>
          <w:i w:val="0"/>
          <w:iCs w:val="0"/>
          <w:noProof/>
          <w:sz w:val="24"/>
          <w:szCs w:val="24"/>
          <w:lang w:val="en-GB"/>
        </w:rPr>
        <w:instrText xml:space="preserve"> PAGEREF _Toc180505700 \h </w:instrText>
      </w:r>
      <w:r w:rsidRPr="004466FC">
        <w:rPr>
          <w:rFonts w:ascii="Arial" w:hAnsi="Arial" w:cs="Arial"/>
          <w:i w:val="0"/>
          <w:iCs w:val="0"/>
          <w:noProof/>
          <w:sz w:val="24"/>
          <w:szCs w:val="24"/>
          <w:lang w:val="en-GB"/>
        </w:rPr>
      </w:r>
      <w:r w:rsidRPr="004466FC">
        <w:rPr>
          <w:rFonts w:ascii="Arial" w:hAnsi="Arial" w:cs="Arial"/>
          <w:i w:val="0"/>
          <w:iCs w:val="0"/>
          <w:noProof/>
          <w:sz w:val="24"/>
          <w:szCs w:val="24"/>
          <w:lang w:val="en-GB"/>
        </w:rPr>
        <w:fldChar w:fldCharType="separate"/>
      </w:r>
      <w:r w:rsidR="00460680">
        <w:rPr>
          <w:rFonts w:ascii="Arial" w:hAnsi="Arial" w:cs="Arial"/>
          <w:i w:val="0"/>
          <w:iCs w:val="0"/>
          <w:noProof/>
          <w:sz w:val="24"/>
          <w:szCs w:val="24"/>
          <w:lang w:val="en-GB"/>
        </w:rPr>
        <w:t>149</w:t>
      </w:r>
      <w:r w:rsidRPr="004466FC">
        <w:rPr>
          <w:rFonts w:ascii="Arial" w:hAnsi="Arial" w:cs="Arial"/>
          <w:i w:val="0"/>
          <w:iCs w:val="0"/>
          <w:noProof/>
          <w:sz w:val="24"/>
          <w:szCs w:val="24"/>
          <w:lang w:val="en-GB"/>
        </w:rPr>
        <w:fldChar w:fldCharType="end"/>
      </w:r>
    </w:p>
    <w:p w14:paraId="1217462B" w14:textId="62B89F94" w:rsidR="004466FC" w:rsidRPr="004466FC" w:rsidRDefault="004466FC" w:rsidP="004466FC">
      <w:pPr>
        <w:pStyle w:val="TOC2"/>
        <w:tabs>
          <w:tab w:val="left" w:pos="1276"/>
          <w:tab w:val="right" w:pos="9174"/>
        </w:tabs>
        <w:spacing w:after="120" w:line="264" w:lineRule="auto"/>
        <w:ind w:left="1276" w:hanging="794"/>
        <w:rPr>
          <w:rFonts w:ascii="Arial" w:hAnsi="Arial" w:cs="Arial"/>
          <w:i w:val="0"/>
          <w:iCs w:val="0"/>
          <w:noProof/>
          <w:sz w:val="24"/>
          <w:szCs w:val="24"/>
          <w:lang w:val="en-GB"/>
        </w:rPr>
      </w:pPr>
      <w:r w:rsidRPr="004466FC">
        <w:rPr>
          <w:rFonts w:ascii="Arial" w:hAnsi="Arial" w:cs="Arial"/>
          <w:i w:val="0"/>
          <w:iCs w:val="0"/>
          <w:noProof/>
          <w:sz w:val="24"/>
          <w:szCs w:val="24"/>
          <w:lang w:val="en-GB"/>
        </w:rPr>
        <w:t>7.3</w:t>
      </w:r>
      <w:r w:rsidRPr="004466FC">
        <w:rPr>
          <w:rFonts w:ascii="Arial" w:hAnsi="Arial" w:cs="Arial"/>
          <w:i w:val="0"/>
          <w:iCs w:val="0"/>
          <w:noProof/>
          <w:sz w:val="24"/>
          <w:szCs w:val="24"/>
          <w:lang w:val="en-GB"/>
        </w:rPr>
        <w:tab/>
        <w:t>Figures index</w:t>
      </w:r>
      <w:r w:rsidRPr="004466FC">
        <w:rPr>
          <w:rFonts w:ascii="Arial" w:hAnsi="Arial" w:cs="Arial"/>
          <w:i w:val="0"/>
          <w:iCs w:val="0"/>
          <w:noProof/>
          <w:sz w:val="24"/>
          <w:szCs w:val="24"/>
          <w:lang w:val="en-GB"/>
        </w:rPr>
        <w:tab/>
      </w:r>
      <w:r w:rsidRPr="004466FC">
        <w:rPr>
          <w:rFonts w:ascii="Arial" w:hAnsi="Arial" w:cs="Arial"/>
          <w:i w:val="0"/>
          <w:iCs w:val="0"/>
          <w:noProof/>
          <w:sz w:val="24"/>
          <w:szCs w:val="24"/>
          <w:lang w:val="en-GB"/>
        </w:rPr>
        <w:fldChar w:fldCharType="begin"/>
      </w:r>
      <w:r w:rsidRPr="004466FC">
        <w:rPr>
          <w:rFonts w:ascii="Arial" w:hAnsi="Arial" w:cs="Arial"/>
          <w:i w:val="0"/>
          <w:iCs w:val="0"/>
          <w:noProof/>
          <w:sz w:val="24"/>
          <w:szCs w:val="24"/>
          <w:lang w:val="en-GB"/>
        </w:rPr>
        <w:instrText xml:space="preserve"> PAGEREF _Toc180505701 \h </w:instrText>
      </w:r>
      <w:r w:rsidRPr="004466FC">
        <w:rPr>
          <w:rFonts w:ascii="Arial" w:hAnsi="Arial" w:cs="Arial"/>
          <w:i w:val="0"/>
          <w:iCs w:val="0"/>
          <w:noProof/>
          <w:sz w:val="24"/>
          <w:szCs w:val="24"/>
          <w:lang w:val="en-GB"/>
        </w:rPr>
      </w:r>
      <w:r w:rsidRPr="004466FC">
        <w:rPr>
          <w:rFonts w:ascii="Arial" w:hAnsi="Arial" w:cs="Arial"/>
          <w:i w:val="0"/>
          <w:iCs w:val="0"/>
          <w:noProof/>
          <w:sz w:val="24"/>
          <w:szCs w:val="24"/>
          <w:lang w:val="en-GB"/>
        </w:rPr>
        <w:fldChar w:fldCharType="separate"/>
      </w:r>
      <w:r w:rsidR="00460680">
        <w:rPr>
          <w:rFonts w:ascii="Arial" w:hAnsi="Arial" w:cs="Arial"/>
          <w:i w:val="0"/>
          <w:iCs w:val="0"/>
          <w:noProof/>
          <w:sz w:val="24"/>
          <w:szCs w:val="24"/>
          <w:lang w:val="en-GB"/>
        </w:rPr>
        <w:t>150</w:t>
      </w:r>
      <w:r w:rsidRPr="004466FC">
        <w:rPr>
          <w:rFonts w:ascii="Arial" w:hAnsi="Arial" w:cs="Arial"/>
          <w:i w:val="0"/>
          <w:iCs w:val="0"/>
          <w:noProof/>
          <w:sz w:val="24"/>
          <w:szCs w:val="24"/>
          <w:lang w:val="en-GB"/>
        </w:rPr>
        <w:fldChar w:fldCharType="end"/>
      </w:r>
    </w:p>
    <w:p w14:paraId="11A8E5A2" w14:textId="68AA32E5" w:rsidR="004D32B5" w:rsidRPr="00A33264" w:rsidRDefault="00BE3421" w:rsidP="00933EF1">
      <w:pPr>
        <w:tabs>
          <w:tab w:val="left" w:pos="851"/>
        </w:tabs>
        <w:spacing w:before="60" w:after="60"/>
        <w:ind w:left="851" w:hanging="851"/>
        <w:rPr>
          <w:lang w:val="en-GB"/>
        </w:rPr>
      </w:pPr>
      <w:r w:rsidRPr="004466FC">
        <w:rPr>
          <w:rFonts w:cs="Arial"/>
          <w:b/>
          <w:bCs/>
          <w:lang w:val="en-GB"/>
        </w:rPr>
        <w:fldChar w:fldCharType="end"/>
      </w:r>
      <w:r w:rsidR="004D32B5" w:rsidRPr="00A33264">
        <w:rPr>
          <w:lang w:val="en-GB"/>
        </w:rPr>
        <w:br w:type="page"/>
      </w:r>
    </w:p>
    <w:p w14:paraId="3E58B761" w14:textId="469D44E6" w:rsidR="00255A26" w:rsidRDefault="00BE3421" w:rsidP="00BE3421">
      <w:pPr>
        <w:pStyle w:val="Heading2"/>
        <w:numPr>
          <w:ilvl w:val="0"/>
          <w:numId w:val="0"/>
        </w:numPr>
        <w:rPr>
          <w:lang w:val="en-GB"/>
        </w:rPr>
      </w:pPr>
      <w:bookmarkStart w:id="14" w:name="_Toc180505650"/>
      <w:r>
        <w:rPr>
          <w:lang w:val="en-GB"/>
        </w:rPr>
        <w:lastRenderedPageBreak/>
        <w:t>Letter of transmittal</w:t>
      </w:r>
      <w:bookmarkEnd w:id="14"/>
    </w:p>
    <w:p w14:paraId="76047712" w14:textId="02ADEEB6" w:rsidR="00AC15D1" w:rsidRPr="00AC15D1" w:rsidRDefault="00AC15D1" w:rsidP="00AC15D1">
      <w:pPr>
        <w:rPr>
          <w:lang w:val="en-GB"/>
        </w:rPr>
      </w:pPr>
      <w:r w:rsidRPr="00AC15D1">
        <w:rPr>
          <w:lang w:val="en-GB"/>
        </w:rPr>
        <w:t>Dear Minister,</w:t>
      </w:r>
    </w:p>
    <w:p w14:paraId="2458E6B3" w14:textId="77777777" w:rsidR="00AC15D1" w:rsidRPr="00AC15D1" w:rsidRDefault="00AC15D1" w:rsidP="00AC15D1">
      <w:pPr>
        <w:rPr>
          <w:lang w:val="en-GB"/>
        </w:rPr>
      </w:pPr>
      <w:r w:rsidRPr="00AC15D1">
        <w:rPr>
          <w:lang w:val="en-GB"/>
        </w:rPr>
        <w:t>On behalf of the National Disability Insurance Agency, I present to you the annual report for the reporting year 1 July 2023 to 30 June 2024.</w:t>
      </w:r>
    </w:p>
    <w:p w14:paraId="01972FEE" w14:textId="73C93026" w:rsidR="00AC15D1" w:rsidRPr="00AC15D1" w:rsidRDefault="00AC15D1" w:rsidP="00AC15D1">
      <w:pPr>
        <w:rPr>
          <w:lang w:val="en-GB"/>
        </w:rPr>
      </w:pPr>
      <w:r w:rsidRPr="00AC15D1">
        <w:rPr>
          <w:lang w:val="en-GB"/>
        </w:rPr>
        <w:t xml:space="preserve">The report provides a detailed description of the </w:t>
      </w:r>
      <w:r w:rsidR="004139EB">
        <w:rPr>
          <w:lang w:val="en-GB"/>
        </w:rPr>
        <w:t>NDIA</w:t>
      </w:r>
      <w:r w:rsidRPr="00AC15D1">
        <w:rPr>
          <w:lang w:val="en-GB"/>
        </w:rPr>
        <w:t xml:space="preserve">’s operations during the year and has been prepared in accordance with the </w:t>
      </w:r>
      <w:r w:rsidRPr="00BB40DF">
        <w:rPr>
          <w:i/>
          <w:iCs/>
          <w:lang w:val="en-GB"/>
        </w:rPr>
        <w:t>Public Governance, Performance and Accountability Act 2013</w:t>
      </w:r>
      <w:r w:rsidRPr="00AC15D1">
        <w:rPr>
          <w:lang w:val="en-GB"/>
        </w:rPr>
        <w:t xml:space="preserve"> (</w:t>
      </w:r>
      <w:r w:rsidR="004139EB">
        <w:rPr>
          <w:lang w:val="en-GB"/>
        </w:rPr>
        <w:t>Cth) (</w:t>
      </w:r>
      <w:r w:rsidRPr="00AC15D1">
        <w:rPr>
          <w:lang w:val="en-GB"/>
        </w:rPr>
        <w:t xml:space="preserve">PGPA Act) and the </w:t>
      </w:r>
      <w:r w:rsidRPr="00BB40DF">
        <w:rPr>
          <w:i/>
          <w:iCs/>
          <w:lang w:val="en-GB"/>
        </w:rPr>
        <w:t>National Disability Insurance Scheme Act 2013</w:t>
      </w:r>
      <w:r w:rsidRPr="00AC15D1">
        <w:rPr>
          <w:lang w:val="en-GB"/>
        </w:rPr>
        <w:t xml:space="preserve"> (</w:t>
      </w:r>
      <w:r w:rsidR="004139EB">
        <w:rPr>
          <w:lang w:val="en-GB"/>
        </w:rPr>
        <w:t>Cth) (</w:t>
      </w:r>
      <w:r w:rsidRPr="00AC15D1">
        <w:rPr>
          <w:lang w:val="en-GB"/>
        </w:rPr>
        <w:t>NDIS Act).</w:t>
      </w:r>
    </w:p>
    <w:p w14:paraId="20167B34" w14:textId="65353DAF" w:rsidR="00AC15D1" w:rsidRPr="00AC15D1" w:rsidRDefault="00AC15D1" w:rsidP="00AC15D1">
      <w:pPr>
        <w:rPr>
          <w:lang w:val="en-GB"/>
        </w:rPr>
      </w:pPr>
      <w:r w:rsidRPr="00AC15D1">
        <w:rPr>
          <w:lang w:val="en-GB"/>
        </w:rPr>
        <w:t xml:space="preserve">In accordance with section 39 of the PGPA Act, the report provides information about the </w:t>
      </w:r>
      <w:r w:rsidR="004139EB">
        <w:rPr>
          <w:lang w:val="en-GB"/>
        </w:rPr>
        <w:t>NDIA</w:t>
      </w:r>
      <w:r w:rsidRPr="00AC15D1">
        <w:rPr>
          <w:lang w:val="en-GB"/>
        </w:rPr>
        <w:t>’s performance in achieving its purposes.</w:t>
      </w:r>
    </w:p>
    <w:p w14:paraId="19814725" w14:textId="7D6088BD" w:rsidR="00AC15D1" w:rsidRPr="00AC15D1" w:rsidRDefault="00AC15D1" w:rsidP="00AC15D1">
      <w:pPr>
        <w:rPr>
          <w:lang w:val="en-GB"/>
        </w:rPr>
      </w:pPr>
      <w:r w:rsidRPr="00AC15D1">
        <w:rPr>
          <w:lang w:val="en-GB"/>
        </w:rPr>
        <w:t xml:space="preserve">The report includes a copy of the </w:t>
      </w:r>
      <w:r w:rsidR="004139EB">
        <w:rPr>
          <w:lang w:val="en-GB"/>
        </w:rPr>
        <w:t>NDIA</w:t>
      </w:r>
      <w:r w:rsidRPr="00AC15D1">
        <w:rPr>
          <w:lang w:val="en-GB"/>
        </w:rPr>
        <w:t>’s annual financial statements and the Auditor-General’s report as prescribed by subsection 43(4) of the PGPA Act.</w:t>
      </w:r>
    </w:p>
    <w:p w14:paraId="0F931FD6" w14:textId="077B4963" w:rsidR="00AC15D1" w:rsidRPr="00AC15D1" w:rsidRDefault="00AC15D1" w:rsidP="00AC15D1">
      <w:pPr>
        <w:rPr>
          <w:lang w:val="en-GB"/>
        </w:rPr>
      </w:pPr>
      <w:r w:rsidRPr="00AC15D1">
        <w:rPr>
          <w:lang w:val="en-GB"/>
        </w:rPr>
        <w:t xml:space="preserve">The report is made in accordance with a resolution of the Board of Directors, on </w:t>
      </w:r>
      <w:r w:rsidR="00C60FE8">
        <w:rPr>
          <w:lang w:val="en-GB"/>
        </w:rPr>
        <w:t>4 October</w:t>
      </w:r>
      <w:r w:rsidRPr="00AC15D1">
        <w:rPr>
          <w:lang w:val="en-GB"/>
        </w:rPr>
        <w:t xml:space="preserve"> 2024. The Board is responsible for its preparation and content. The report is provided to you as the responsible minister under section 46 of the PGPA Act.</w:t>
      </w:r>
    </w:p>
    <w:p w14:paraId="1A391838" w14:textId="7B6AB76A" w:rsidR="00AC15D1" w:rsidRPr="00AC15D1" w:rsidRDefault="00AC15D1" w:rsidP="00AC15D1">
      <w:pPr>
        <w:rPr>
          <w:lang w:val="en-GB"/>
        </w:rPr>
      </w:pPr>
      <w:r w:rsidRPr="00AC15D1">
        <w:rPr>
          <w:lang w:val="en-GB"/>
        </w:rPr>
        <w:t xml:space="preserve">The incorporated summary of the Annual Financial Sustainability Report 2023–24 and the inclusion of the reviewing actuary’s report fulfils the </w:t>
      </w:r>
      <w:r w:rsidR="004139EB">
        <w:rPr>
          <w:lang w:val="en-GB"/>
        </w:rPr>
        <w:t>NDIA</w:t>
      </w:r>
      <w:r w:rsidRPr="00AC15D1">
        <w:rPr>
          <w:lang w:val="en-GB"/>
        </w:rPr>
        <w:t>’s obligations under subsection 172(4) of the NDIS Act.</w:t>
      </w:r>
    </w:p>
    <w:p w14:paraId="392EA880" w14:textId="77777777" w:rsidR="00AC15D1" w:rsidRDefault="00AC15D1" w:rsidP="00AC15D1">
      <w:pPr>
        <w:rPr>
          <w:lang w:val="en-GB"/>
        </w:rPr>
      </w:pPr>
      <w:r w:rsidRPr="00AC15D1">
        <w:rPr>
          <w:lang w:val="en-GB"/>
        </w:rPr>
        <w:t>Yours sincerely</w:t>
      </w:r>
    </w:p>
    <w:p w14:paraId="2C6C55B9" w14:textId="74A90764" w:rsidR="00AC15D1" w:rsidRPr="00AC15D1" w:rsidRDefault="00927263" w:rsidP="00AC15D1">
      <w:pPr>
        <w:rPr>
          <w:lang w:val="en-GB"/>
        </w:rPr>
      </w:pPr>
      <w:r>
        <w:rPr>
          <w:noProof/>
        </w:rPr>
        <w:drawing>
          <wp:inline distT="0" distB="0" distL="0" distR="0" wp14:anchorId="138D7DDE" wp14:editId="06F288AE">
            <wp:extent cx="855878" cy="862080"/>
            <wp:effectExtent l="0" t="0" r="1905" b="0"/>
            <wp:docPr id="732926426" name="Picture 1" descr="Kurt Fearnle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26426" name="Picture 1" descr="Kurt Fearnley signature"/>
                    <pic:cNvPicPr/>
                  </pic:nvPicPr>
                  <pic:blipFill>
                    <a:blip r:embed="rId17"/>
                    <a:stretch>
                      <a:fillRect/>
                    </a:stretch>
                  </pic:blipFill>
                  <pic:spPr>
                    <a:xfrm>
                      <a:off x="0" y="0"/>
                      <a:ext cx="863199" cy="869454"/>
                    </a:xfrm>
                    <a:prstGeom prst="rect">
                      <a:avLst/>
                    </a:prstGeom>
                  </pic:spPr>
                </pic:pic>
              </a:graphicData>
            </a:graphic>
          </wp:inline>
        </w:drawing>
      </w:r>
    </w:p>
    <w:p w14:paraId="655629A8" w14:textId="77777777" w:rsidR="00AC15D1" w:rsidRPr="00AC15D1" w:rsidRDefault="00AC15D1" w:rsidP="00AC15D1">
      <w:pPr>
        <w:rPr>
          <w:lang w:val="en-GB"/>
        </w:rPr>
      </w:pPr>
      <w:r w:rsidRPr="00AC15D1">
        <w:rPr>
          <w:lang w:val="en-GB"/>
        </w:rPr>
        <w:t>Kurt Fearnley AO</w:t>
      </w:r>
    </w:p>
    <w:p w14:paraId="35890D70" w14:textId="77777777" w:rsidR="00AC15D1" w:rsidRPr="00AC15D1" w:rsidRDefault="00AC15D1" w:rsidP="00AC15D1">
      <w:pPr>
        <w:rPr>
          <w:lang w:val="en-GB"/>
        </w:rPr>
      </w:pPr>
      <w:r w:rsidRPr="00AC15D1">
        <w:rPr>
          <w:lang w:val="en-GB"/>
        </w:rPr>
        <w:t>Chair</w:t>
      </w:r>
    </w:p>
    <w:p w14:paraId="74395286" w14:textId="4529BB18" w:rsidR="003060A1" w:rsidRDefault="00AC15D1" w:rsidP="00BE3421">
      <w:pPr>
        <w:rPr>
          <w:lang w:val="en-GB"/>
        </w:rPr>
      </w:pPr>
      <w:r w:rsidRPr="00AC15D1">
        <w:rPr>
          <w:lang w:val="en-GB"/>
        </w:rPr>
        <w:t>National Disability Insurance Agency Board</w:t>
      </w:r>
      <w:bookmarkStart w:id="15" w:name="_Toc169592952"/>
      <w:bookmarkStart w:id="16" w:name="_Toc174354174"/>
      <w:bookmarkStart w:id="17" w:name="_Toc174354228"/>
      <w:bookmarkStart w:id="18" w:name="_Toc175316877"/>
      <w:r w:rsidR="003060A1">
        <w:rPr>
          <w:lang w:val="en-GB"/>
        </w:rPr>
        <w:br w:type="page"/>
      </w:r>
    </w:p>
    <w:p w14:paraId="177E451B" w14:textId="4A8BE768" w:rsidR="004D32B5" w:rsidRPr="00A33264" w:rsidRDefault="005921BC" w:rsidP="00042A45">
      <w:pPr>
        <w:pStyle w:val="Heading2"/>
        <w:rPr>
          <w:lang w:val="en-GB"/>
        </w:rPr>
      </w:pPr>
      <w:bookmarkStart w:id="19" w:name="_Toc176786371"/>
      <w:bookmarkStart w:id="20" w:name="_Toc180505651"/>
      <w:r w:rsidRPr="00A33264">
        <w:rPr>
          <w:lang w:val="en-GB"/>
        </w:rPr>
        <w:lastRenderedPageBreak/>
        <w:t>Introduction</w:t>
      </w:r>
      <w:bookmarkEnd w:id="15"/>
      <w:bookmarkEnd w:id="16"/>
      <w:bookmarkEnd w:id="17"/>
      <w:bookmarkEnd w:id="18"/>
      <w:bookmarkEnd w:id="19"/>
      <w:bookmarkEnd w:id="20"/>
    </w:p>
    <w:p w14:paraId="142BE038" w14:textId="468071D0" w:rsidR="005F5CE9" w:rsidRPr="00A33264" w:rsidRDefault="005921BC" w:rsidP="00E16083">
      <w:pPr>
        <w:pStyle w:val="Introparagraph"/>
        <w:rPr>
          <w:lang w:val="en-GB"/>
        </w:rPr>
      </w:pPr>
      <w:bookmarkStart w:id="21" w:name="_Toc169592953"/>
      <w:bookmarkStart w:id="22" w:name="_Toc180505652"/>
      <w:r w:rsidRPr="00A33264">
        <w:rPr>
          <w:lang w:val="en-GB"/>
        </w:rPr>
        <w:t>About this report</w:t>
      </w:r>
      <w:bookmarkEnd w:id="21"/>
      <w:bookmarkEnd w:id="22"/>
    </w:p>
    <w:p w14:paraId="36376B17" w14:textId="2A14ED79" w:rsidR="00E16083" w:rsidRPr="00A33264" w:rsidRDefault="00E16083" w:rsidP="00E16083">
      <w:pPr>
        <w:pStyle w:val="paragraph"/>
        <w:spacing w:before="0" w:beforeAutospacing="0" w:after="240" w:afterAutospacing="0" w:line="288" w:lineRule="auto"/>
        <w:textAlignment w:val="baseline"/>
        <w:rPr>
          <w:rFonts w:asciiTheme="minorHAnsi" w:hAnsiTheme="minorHAnsi" w:cstheme="minorHAnsi"/>
          <w:lang w:val="en-GB"/>
        </w:rPr>
      </w:pPr>
      <w:r w:rsidRPr="00A33264">
        <w:rPr>
          <w:rStyle w:val="normaltextrun"/>
          <w:rFonts w:asciiTheme="minorHAnsi" w:hAnsiTheme="minorHAnsi" w:cstheme="minorHAnsi"/>
          <w:lang w:val="en-GB"/>
        </w:rPr>
        <w:t xml:space="preserve">This annual report </w:t>
      </w:r>
      <w:r w:rsidR="00154B0A" w:rsidRPr="00A33264">
        <w:rPr>
          <w:rStyle w:val="normaltextrun"/>
          <w:rFonts w:asciiTheme="minorHAnsi" w:hAnsiTheme="minorHAnsi" w:cstheme="minorHAnsi"/>
          <w:lang w:val="en-GB"/>
        </w:rPr>
        <w:t xml:space="preserve">is </w:t>
      </w:r>
      <w:r w:rsidRPr="00A33264">
        <w:rPr>
          <w:rStyle w:val="normaltextrun"/>
          <w:rFonts w:asciiTheme="minorHAnsi" w:hAnsiTheme="minorHAnsi" w:cstheme="minorHAnsi"/>
          <w:lang w:val="en-GB"/>
        </w:rPr>
        <w:t>prepared by the National Disability Insurance Agency (NDIA</w:t>
      </w:r>
      <w:r w:rsidR="00574B05">
        <w:rPr>
          <w:rStyle w:val="normaltextrun"/>
          <w:rFonts w:asciiTheme="minorHAnsi" w:hAnsiTheme="minorHAnsi" w:cstheme="minorHAnsi"/>
          <w:lang w:val="en-GB"/>
        </w:rPr>
        <w:t>)</w:t>
      </w:r>
      <w:r w:rsidRPr="00A33264">
        <w:rPr>
          <w:rStyle w:val="normaltextrun"/>
          <w:rFonts w:asciiTheme="minorHAnsi" w:hAnsiTheme="minorHAnsi" w:cstheme="minorHAnsi"/>
          <w:lang w:val="en-GB"/>
        </w:rPr>
        <w:t xml:space="preserve"> in accordance with legislative requirements. It summarises the NDIA’s financial, social and environmental activities from 1 July 2023 until 30 June 2024. This includes how the NDIA fulfilled the principles set out in the </w:t>
      </w:r>
      <w:r w:rsidRPr="00A33264">
        <w:rPr>
          <w:rStyle w:val="normaltextrun"/>
          <w:rFonts w:asciiTheme="minorHAnsi" w:hAnsiTheme="minorHAnsi" w:cstheme="minorHAnsi"/>
          <w:i/>
          <w:iCs/>
          <w:lang w:val="en-GB"/>
        </w:rPr>
        <w:t>National Disability Insurance Scheme Act 2013</w:t>
      </w:r>
      <w:r w:rsidRPr="00A33264">
        <w:rPr>
          <w:rStyle w:val="normaltextrun"/>
          <w:rFonts w:asciiTheme="minorHAnsi" w:hAnsiTheme="minorHAnsi" w:cstheme="minorHAnsi"/>
          <w:lang w:val="en-GB"/>
        </w:rPr>
        <w:t xml:space="preserve"> </w:t>
      </w:r>
      <w:r w:rsidR="00CB3000">
        <w:rPr>
          <w:rStyle w:val="normaltextrun"/>
          <w:rFonts w:asciiTheme="minorHAnsi" w:hAnsiTheme="minorHAnsi" w:cstheme="minorHAnsi"/>
          <w:lang w:val="en-GB"/>
        </w:rPr>
        <w:t xml:space="preserve">(Cth) </w:t>
      </w:r>
      <w:r w:rsidRPr="00A33264">
        <w:rPr>
          <w:rStyle w:val="normaltextrun"/>
          <w:rFonts w:asciiTheme="minorHAnsi" w:hAnsiTheme="minorHAnsi" w:cstheme="minorHAnsi"/>
          <w:lang w:val="en-GB"/>
        </w:rPr>
        <w:t>(NDIS Act).</w:t>
      </w:r>
    </w:p>
    <w:p w14:paraId="54AF4E8F" w14:textId="7DF7F5F0" w:rsidR="00E16083" w:rsidRPr="00A33264" w:rsidRDefault="00E16083" w:rsidP="003131F3">
      <w:pPr>
        <w:rPr>
          <w:lang w:val="en-GB"/>
        </w:rPr>
      </w:pPr>
      <w:r w:rsidRPr="00A33264">
        <w:rPr>
          <w:lang w:val="en-GB"/>
        </w:rPr>
        <w:t>The annual report for the 2023</w:t>
      </w:r>
      <w:r w:rsidR="00773A49">
        <w:rPr>
          <w:rFonts w:ascii="Symbol" w:eastAsia="Symbol" w:hAnsi="Symbol" w:cs="Symbol"/>
          <w:lang w:val="en-GB"/>
        </w:rPr>
        <w:sym w:font="Symbol" w:char="F02D"/>
      </w:r>
      <w:r w:rsidRPr="00A33264">
        <w:rPr>
          <w:lang w:val="en-GB"/>
        </w:rPr>
        <w:t>24 reporting period provides information for stakeholders</w:t>
      </w:r>
      <w:r w:rsidR="00CB3000">
        <w:rPr>
          <w:lang w:val="en-GB"/>
        </w:rPr>
        <w:t>,</w:t>
      </w:r>
      <w:r w:rsidR="00905671">
        <w:rPr>
          <w:lang w:val="en-GB"/>
        </w:rPr>
        <w:t xml:space="preserve"> including </w:t>
      </w:r>
      <w:r w:rsidRPr="00A33264">
        <w:rPr>
          <w:lang w:val="en-GB"/>
        </w:rPr>
        <w:t>participants</w:t>
      </w:r>
      <w:r w:rsidR="00CB3000">
        <w:rPr>
          <w:lang w:val="en-GB"/>
        </w:rPr>
        <w:t>;</w:t>
      </w:r>
      <w:r w:rsidR="00905671">
        <w:rPr>
          <w:lang w:val="en-GB"/>
        </w:rPr>
        <w:t xml:space="preserve"> </w:t>
      </w:r>
      <w:r w:rsidRPr="00A33264">
        <w:rPr>
          <w:lang w:val="en-GB"/>
        </w:rPr>
        <w:t>providers</w:t>
      </w:r>
      <w:r w:rsidR="00CB3000">
        <w:rPr>
          <w:lang w:val="en-GB"/>
        </w:rPr>
        <w:t>;</w:t>
      </w:r>
      <w:r w:rsidR="00905671">
        <w:rPr>
          <w:lang w:val="en-GB"/>
        </w:rPr>
        <w:t xml:space="preserve"> </w:t>
      </w:r>
      <w:r w:rsidRPr="00A33264">
        <w:rPr>
          <w:lang w:val="en-GB"/>
        </w:rPr>
        <w:t xml:space="preserve">Commonwealth, </w:t>
      </w:r>
      <w:r w:rsidR="009B61F9" w:rsidRPr="00A33264">
        <w:rPr>
          <w:lang w:val="en-GB"/>
        </w:rPr>
        <w:t>s</w:t>
      </w:r>
      <w:r w:rsidRPr="00A33264">
        <w:rPr>
          <w:lang w:val="en-GB"/>
        </w:rPr>
        <w:t xml:space="preserve">tate and </w:t>
      </w:r>
      <w:r w:rsidR="009B61F9" w:rsidRPr="00A33264">
        <w:rPr>
          <w:lang w:val="en-GB"/>
        </w:rPr>
        <w:t>t</w:t>
      </w:r>
      <w:r w:rsidRPr="00A33264">
        <w:rPr>
          <w:lang w:val="en-GB"/>
        </w:rPr>
        <w:t xml:space="preserve">erritory </w:t>
      </w:r>
      <w:r w:rsidR="009B61F9" w:rsidRPr="00A33264">
        <w:rPr>
          <w:lang w:val="en-GB"/>
        </w:rPr>
        <w:t>g</w:t>
      </w:r>
      <w:r w:rsidRPr="00A33264">
        <w:rPr>
          <w:lang w:val="en-GB"/>
        </w:rPr>
        <w:t>overnments</w:t>
      </w:r>
      <w:r w:rsidR="00CB3000">
        <w:rPr>
          <w:lang w:val="en-GB"/>
        </w:rPr>
        <w:t>;</w:t>
      </w:r>
      <w:r w:rsidR="00905671">
        <w:rPr>
          <w:lang w:val="en-GB"/>
        </w:rPr>
        <w:t xml:space="preserve"> and the public</w:t>
      </w:r>
      <w:r w:rsidRPr="00A33264">
        <w:rPr>
          <w:lang w:val="en-GB"/>
        </w:rPr>
        <w:t>.</w:t>
      </w:r>
    </w:p>
    <w:p w14:paraId="3A019538" w14:textId="6465A7AD" w:rsidR="00096E39" w:rsidRPr="00A33264" w:rsidRDefault="00E16083" w:rsidP="00E16083">
      <w:pPr>
        <w:rPr>
          <w:lang w:val="en-GB"/>
        </w:rPr>
      </w:pPr>
      <w:r w:rsidRPr="00A33264">
        <w:rPr>
          <w:lang w:val="en-GB"/>
        </w:rPr>
        <w:t>It also acknowledges the critical role played by the disability sector.</w:t>
      </w:r>
    </w:p>
    <w:p w14:paraId="0E8716E3" w14:textId="2501F5F2" w:rsidR="00096E39" w:rsidRPr="00A33264" w:rsidRDefault="00E16083" w:rsidP="00096E39">
      <w:pPr>
        <w:pStyle w:val="Introparagraph"/>
        <w:rPr>
          <w:lang w:val="en-GB"/>
        </w:rPr>
      </w:pPr>
      <w:bookmarkStart w:id="23" w:name="_Toc180488031"/>
      <w:bookmarkStart w:id="24" w:name="_Toc180505653"/>
      <w:r w:rsidRPr="00A33264">
        <w:rPr>
          <w:lang w:val="en-GB"/>
        </w:rPr>
        <w:t>Acknowledgement</w:t>
      </w:r>
      <w:bookmarkEnd w:id="23"/>
      <w:bookmarkEnd w:id="24"/>
    </w:p>
    <w:p w14:paraId="43889128" w14:textId="2CA300DC" w:rsidR="00E16083" w:rsidRPr="00A33264" w:rsidRDefault="00E16083" w:rsidP="00E16083">
      <w:pPr>
        <w:rPr>
          <w:lang w:val="en-GB"/>
        </w:rPr>
      </w:pPr>
      <w:r w:rsidRPr="00A33264">
        <w:rPr>
          <w:lang w:val="en-GB"/>
        </w:rPr>
        <w:t>The NDIA acknowledges the Traditional Owners and Custodians of Country throughout Australia and their continuing connection to land, sea and community. We pay our respects to their Elders past, present and emerging.</w:t>
      </w:r>
    </w:p>
    <w:p w14:paraId="0FB90E51" w14:textId="6DB38C62" w:rsidR="00096E39" w:rsidRPr="00A33264" w:rsidRDefault="00E16083" w:rsidP="00E16083">
      <w:pPr>
        <w:rPr>
          <w:lang w:val="en-GB"/>
        </w:rPr>
      </w:pPr>
      <w:r w:rsidRPr="00A33264">
        <w:rPr>
          <w:lang w:val="en-GB"/>
        </w:rPr>
        <w:t>The NDIA acknowledges the objectives of the United Nations Convention on the Rights of Persons with Disabilities.</w:t>
      </w:r>
    </w:p>
    <w:p w14:paraId="02FDA9FD" w14:textId="1C1D8091" w:rsidR="005921BC" w:rsidRPr="00A33264" w:rsidRDefault="005921BC" w:rsidP="005921BC">
      <w:pPr>
        <w:pStyle w:val="Heading3"/>
        <w:rPr>
          <w:lang w:val="en-GB"/>
        </w:rPr>
      </w:pPr>
      <w:bookmarkStart w:id="25" w:name="_Toc169592954"/>
      <w:bookmarkStart w:id="26" w:name="_Toc174354175"/>
      <w:bookmarkStart w:id="27" w:name="_Toc175316878"/>
      <w:bookmarkStart w:id="28" w:name="_Toc176786372"/>
      <w:bookmarkStart w:id="29" w:name="_Toc180505654"/>
      <w:r w:rsidRPr="00A33264">
        <w:rPr>
          <w:lang w:val="en-GB"/>
        </w:rPr>
        <w:t xml:space="preserve">Chair’s </w:t>
      </w:r>
      <w:bookmarkEnd w:id="25"/>
      <w:bookmarkEnd w:id="26"/>
      <w:bookmarkEnd w:id="27"/>
      <w:r w:rsidR="0019732F">
        <w:rPr>
          <w:lang w:val="en-GB"/>
        </w:rPr>
        <w:t>foreword</w:t>
      </w:r>
      <w:bookmarkEnd w:id="28"/>
      <w:bookmarkEnd w:id="29"/>
    </w:p>
    <w:p w14:paraId="747EF638" w14:textId="0464B764" w:rsidR="00C038F6" w:rsidRPr="00C038F6" w:rsidRDefault="00C038F6" w:rsidP="00C038F6">
      <w:pPr>
        <w:rPr>
          <w:lang w:val="en-GB"/>
        </w:rPr>
      </w:pPr>
      <w:r w:rsidRPr="00C038F6">
        <w:rPr>
          <w:lang w:val="en-GB"/>
        </w:rPr>
        <w:t xml:space="preserve">It has been an honour to chair the Board of the National Disability Insurance Agency across the last year as we deliver significant reform to the </w:t>
      </w:r>
      <w:r w:rsidR="00CB3000">
        <w:rPr>
          <w:lang w:val="en-GB"/>
        </w:rPr>
        <w:t>National Disability Insurance Scheme (</w:t>
      </w:r>
      <w:r w:rsidRPr="00C038F6">
        <w:rPr>
          <w:lang w:val="en-GB"/>
        </w:rPr>
        <w:t>NDIS</w:t>
      </w:r>
      <w:r w:rsidR="00CB3000">
        <w:rPr>
          <w:lang w:val="en-GB"/>
        </w:rPr>
        <w:t>)</w:t>
      </w:r>
      <w:r w:rsidRPr="00C038F6">
        <w:rPr>
          <w:lang w:val="en-GB"/>
        </w:rPr>
        <w:t xml:space="preserve"> with a focus on outcomes and elevating the voices of participants.</w:t>
      </w:r>
    </w:p>
    <w:p w14:paraId="45B8C458" w14:textId="3916F149" w:rsidR="00C038F6" w:rsidRPr="00C038F6" w:rsidRDefault="00C038F6" w:rsidP="00C038F6">
      <w:pPr>
        <w:rPr>
          <w:lang w:val="en-GB"/>
        </w:rPr>
      </w:pPr>
      <w:r w:rsidRPr="00C038F6">
        <w:rPr>
          <w:lang w:val="en-GB"/>
        </w:rPr>
        <w:t>The NDIS now supports over 661,000 participants</w:t>
      </w:r>
      <w:r w:rsidR="00BA1155">
        <w:rPr>
          <w:lang w:val="en-GB"/>
        </w:rPr>
        <w:t>,</w:t>
      </w:r>
      <w:r w:rsidRPr="00C038F6">
        <w:rPr>
          <w:lang w:val="en-GB"/>
        </w:rPr>
        <w:t xml:space="preserve"> </w:t>
      </w:r>
      <w:r w:rsidR="000511FD">
        <w:rPr>
          <w:lang w:val="en-GB"/>
        </w:rPr>
        <w:t>w</w:t>
      </w:r>
      <w:r w:rsidR="0097290B">
        <w:rPr>
          <w:lang w:val="en-GB"/>
        </w:rPr>
        <w:t>ith m</w:t>
      </w:r>
      <w:r w:rsidRPr="00C038F6">
        <w:rPr>
          <w:lang w:val="en-GB"/>
        </w:rPr>
        <w:t xml:space="preserve">ore than three-quarters of </w:t>
      </w:r>
      <w:r w:rsidR="00CD3FA1">
        <w:rPr>
          <w:lang w:val="en-GB"/>
        </w:rPr>
        <w:t>surveyed participants</w:t>
      </w:r>
      <w:r w:rsidR="00CB3000">
        <w:rPr>
          <w:lang w:val="en-GB"/>
        </w:rPr>
        <w:t xml:space="preserve"> </w:t>
      </w:r>
      <w:r w:rsidRPr="00C038F6">
        <w:rPr>
          <w:lang w:val="en-GB"/>
        </w:rPr>
        <w:t>report</w:t>
      </w:r>
      <w:r w:rsidR="00CD3FA1">
        <w:rPr>
          <w:lang w:val="en-GB"/>
        </w:rPr>
        <w:t>ing</w:t>
      </w:r>
      <w:r w:rsidR="00CB3000">
        <w:rPr>
          <w:lang w:val="en-GB"/>
        </w:rPr>
        <w:t xml:space="preserve"> that</w:t>
      </w:r>
      <w:r w:rsidRPr="00C038F6">
        <w:rPr>
          <w:lang w:val="en-GB"/>
        </w:rPr>
        <w:t xml:space="preserve"> the NDIS has given them more choice and control in their lives.</w:t>
      </w:r>
    </w:p>
    <w:p w14:paraId="5C514380" w14:textId="4E0AC169" w:rsidR="00C038F6" w:rsidRPr="00C038F6" w:rsidRDefault="00C038F6" w:rsidP="00C038F6">
      <w:pPr>
        <w:rPr>
          <w:lang w:val="en-GB"/>
        </w:rPr>
      </w:pPr>
      <w:r w:rsidRPr="00C038F6">
        <w:rPr>
          <w:lang w:val="en-GB"/>
        </w:rPr>
        <w:t>Importantly, participation in community and social activities continues to improve for participants. Families and carers are also seeing the benefits of NDIS support</w:t>
      </w:r>
      <w:r w:rsidR="002E4B7D">
        <w:rPr>
          <w:lang w:val="en-GB"/>
        </w:rPr>
        <w:t>,</w:t>
      </w:r>
      <w:r w:rsidRPr="00C038F6">
        <w:rPr>
          <w:lang w:val="en-GB"/>
        </w:rPr>
        <w:t xml:space="preserve"> with more than half now reporting paid employment.</w:t>
      </w:r>
    </w:p>
    <w:p w14:paraId="3497760B" w14:textId="39E2CA79" w:rsidR="00C038F6" w:rsidRPr="00C038F6" w:rsidRDefault="00C038F6" w:rsidP="00C038F6">
      <w:pPr>
        <w:rPr>
          <w:lang w:val="en-GB"/>
        </w:rPr>
      </w:pPr>
      <w:r w:rsidRPr="00C038F6">
        <w:rPr>
          <w:lang w:val="en-GB"/>
        </w:rPr>
        <w:t xml:space="preserve">I am also pleased to share that more First Nations people are receiving supports for their disability for the first time. Of the 14,000 people who joined the NDIS in the last quarter, 9.9% were First Nations people. This important progress is supported by our First Nations </w:t>
      </w:r>
      <w:r w:rsidR="00CB3000">
        <w:rPr>
          <w:lang w:val="en-GB"/>
        </w:rPr>
        <w:t>G</w:t>
      </w:r>
      <w:r w:rsidRPr="00C038F6">
        <w:rPr>
          <w:lang w:val="en-GB"/>
        </w:rPr>
        <w:t>roup within the NDIA</w:t>
      </w:r>
      <w:r w:rsidR="00CB3000">
        <w:rPr>
          <w:lang w:val="en-GB"/>
        </w:rPr>
        <w:t>,</w:t>
      </w:r>
      <w:r w:rsidRPr="00C038F6">
        <w:rPr>
          <w:lang w:val="en-GB"/>
        </w:rPr>
        <w:t xml:space="preserve"> which focuses our effort and attention </w:t>
      </w:r>
      <w:r w:rsidR="00CB3000">
        <w:rPr>
          <w:lang w:val="en-GB"/>
        </w:rPr>
        <w:t>on</w:t>
      </w:r>
      <w:r w:rsidRPr="00C038F6">
        <w:rPr>
          <w:lang w:val="en-GB"/>
        </w:rPr>
        <w:t xml:space="preserve"> ensuring the NDIS belongs to and works for First Nations people and communities.</w:t>
      </w:r>
    </w:p>
    <w:p w14:paraId="3C51F80E" w14:textId="7B459E45" w:rsidR="00C038F6" w:rsidRPr="00C038F6" w:rsidRDefault="00C038F6" w:rsidP="00C038F6">
      <w:pPr>
        <w:rPr>
          <w:lang w:val="en-GB"/>
        </w:rPr>
      </w:pPr>
      <w:r w:rsidRPr="00C038F6">
        <w:rPr>
          <w:lang w:val="en-GB"/>
        </w:rPr>
        <w:lastRenderedPageBreak/>
        <w:t>Despite this positive activity, the Board and I recognise that genuine reform is needed to ensure the NDIS works for all participants.</w:t>
      </w:r>
      <w:r w:rsidR="00CB3000">
        <w:rPr>
          <w:lang w:val="en-GB"/>
        </w:rPr>
        <w:t xml:space="preserve"> </w:t>
      </w:r>
      <w:r w:rsidRPr="00C038F6">
        <w:rPr>
          <w:lang w:val="en-GB"/>
        </w:rPr>
        <w:t xml:space="preserve">The </w:t>
      </w:r>
      <w:r w:rsidR="00CB3000">
        <w:rPr>
          <w:lang w:val="en-GB"/>
        </w:rPr>
        <w:t>Australian</w:t>
      </w:r>
      <w:r w:rsidRPr="00C038F6">
        <w:rPr>
          <w:lang w:val="en-GB"/>
        </w:rPr>
        <w:t xml:space="preserve"> Government allocated $720 million in the 2023</w:t>
      </w:r>
      <w:r w:rsidR="00386595">
        <w:rPr>
          <w:rFonts w:ascii="Symbol" w:eastAsia="Symbol" w:hAnsi="Symbol" w:cs="Symbol"/>
          <w:lang w:val="en-GB"/>
        </w:rPr>
        <w:sym w:font="Symbol" w:char="F02D"/>
      </w:r>
      <w:r w:rsidRPr="00C038F6">
        <w:rPr>
          <w:lang w:val="en-GB"/>
        </w:rPr>
        <w:t xml:space="preserve">24 </w:t>
      </w:r>
      <w:r w:rsidR="00CB3000">
        <w:rPr>
          <w:lang w:val="en-GB"/>
        </w:rPr>
        <w:t>B</w:t>
      </w:r>
      <w:r w:rsidRPr="00C038F6">
        <w:rPr>
          <w:lang w:val="en-GB"/>
        </w:rPr>
        <w:t xml:space="preserve">udget to support the NDIA to work on key reform initiatives </w:t>
      </w:r>
      <w:r w:rsidR="00CB3000">
        <w:rPr>
          <w:lang w:val="en-GB"/>
        </w:rPr>
        <w:t>to</w:t>
      </w:r>
      <w:r w:rsidRPr="00C038F6">
        <w:rPr>
          <w:lang w:val="en-GB"/>
        </w:rPr>
        <w:t xml:space="preserve"> improv</w:t>
      </w:r>
      <w:r w:rsidR="00CB3000">
        <w:rPr>
          <w:lang w:val="en-GB"/>
        </w:rPr>
        <w:t>e</w:t>
      </w:r>
      <w:r w:rsidRPr="00C038F6">
        <w:rPr>
          <w:lang w:val="en-GB"/>
        </w:rPr>
        <w:t xml:space="preserve"> the experience of and outcomes for participants in the NDIS.</w:t>
      </w:r>
    </w:p>
    <w:p w14:paraId="4CAE4D33" w14:textId="319EFE41" w:rsidR="00C038F6" w:rsidRPr="00C038F6" w:rsidRDefault="00C038F6" w:rsidP="00C038F6">
      <w:pPr>
        <w:rPr>
          <w:lang w:val="en-GB"/>
        </w:rPr>
      </w:pPr>
      <w:r w:rsidRPr="00C038F6">
        <w:rPr>
          <w:lang w:val="en-GB"/>
        </w:rPr>
        <w:t xml:space="preserve">Alongside these initiatives, we are taking the first steps towards implementation of the </w:t>
      </w:r>
      <w:r w:rsidR="00B90433">
        <w:rPr>
          <w:lang w:val="en-GB"/>
        </w:rPr>
        <w:t>G</w:t>
      </w:r>
      <w:r w:rsidRPr="00C038F6">
        <w:rPr>
          <w:lang w:val="en-GB"/>
        </w:rPr>
        <w:t xml:space="preserve">overnment’s legislative changes introduced through the </w:t>
      </w:r>
      <w:r w:rsidR="00CB3000">
        <w:rPr>
          <w:lang w:val="en-GB"/>
        </w:rPr>
        <w:t xml:space="preserve">National Disability Insurance Scheme </w:t>
      </w:r>
      <w:r w:rsidR="00CB3000" w:rsidRPr="008A1E4D">
        <w:rPr>
          <w:lang w:val="en-GB"/>
        </w:rPr>
        <w:t>Amendment (Getting the NDIS Back on Track No. 1) Bill 2024</w:t>
      </w:r>
      <w:r w:rsidR="00CB3000">
        <w:rPr>
          <w:lang w:val="en-GB"/>
        </w:rPr>
        <w:t xml:space="preserve"> (</w:t>
      </w:r>
      <w:r w:rsidRPr="00C038F6">
        <w:rPr>
          <w:lang w:val="en-GB"/>
        </w:rPr>
        <w:t>NDIS Amendment Bill</w:t>
      </w:r>
      <w:r w:rsidR="00CB3000">
        <w:rPr>
          <w:lang w:val="en-GB"/>
        </w:rPr>
        <w:t>)</w:t>
      </w:r>
      <w:r w:rsidRPr="00C038F6">
        <w:rPr>
          <w:lang w:val="en-GB"/>
        </w:rPr>
        <w:t>.</w:t>
      </w:r>
      <w:r w:rsidR="00CB3000">
        <w:rPr>
          <w:lang w:val="en-GB"/>
        </w:rPr>
        <w:t xml:space="preserve"> </w:t>
      </w:r>
      <w:r w:rsidRPr="00C038F6">
        <w:rPr>
          <w:lang w:val="en-GB"/>
        </w:rPr>
        <w:t>Among these reforms is a focus on plans and budget settings and quality and safety. Once implemented, these reforms will help us to improve participant outcomes by providing greater clarity and flexibility for participants in the use of their plan budget.</w:t>
      </w:r>
      <w:r w:rsidR="00CB3000">
        <w:rPr>
          <w:lang w:val="en-GB"/>
        </w:rPr>
        <w:t xml:space="preserve"> </w:t>
      </w:r>
      <w:r w:rsidRPr="00C038F6">
        <w:rPr>
          <w:lang w:val="en-GB"/>
        </w:rPr>
        <w:t>The reforms will also bolster the powers of the NDIS Quality and Safeguards Commission to protect participants from illegal and unethical conduct and help stamp out unscrupulous operators.</w:t>
      </w:r>
    </w:p>
    <w:p w14:paraId="55D4768B" w14:textId="6CB0299B" w:rsidR="00C038F6" w:rsidRPr="00C038F6" w:rsidRDefault="00C038F6" w:rsidP="00C038F6">
      <w:pPr>
        <w:rPr>
          <w:lang w:val="en-GB"/>
        </w:rPr>
      </w:pPr>
      <w:r w:rsidRPr="00C038F6">
        <w:rPr>
          <w:lang w:val="en-GB"/>
        </w:rPr>
        <w:t>We know putting participants at the centre of all that we do makes the NDIS stronger. That</w:t>
      </w:r>
      <w:r w:rsidR="00201406">
        <w:rPr>
          <w:lang w:val="en-GB"/>
        </w:rPr>
        <w:t xml:space="preserve"> i</w:t>
      </w:r>
      <w:r w:rsidRPr="00C038F6">
        <w:rPr>
          <w:lang w:val="en-GB"/>
        </w:rPr>
        <w:t>s why we</w:t>
      </w:r>
      <w:r w:rsidR="00201406">
        <w:rPr>
          <w:lang w:val="en-GB"/>
        </w:rPr>
        <w:t xml:space="preserve"> a</w:t>
      </w:r>
      <w:r w:rsidRPr="00C038F6">
        <w:rPr>
          <w:lang w:val="en-GB"/>
        </w:rPr>
        <w:t>re working closely with participants and the disability community to ensure the changes we make are designed and implemented with people with disability. We remain committed to co-design, continuous improvement and lasting reforms to make the NDIS stronger and the experience for participants better</w:t>
      </w:r>
      <w:r w:rsidR="00850F85">
        <w:rPr>
          <w:lang w:val="en-GB"/>
        </w:rPr>
        <w:t>.</w:t>
      </w:r>
    </w:p>
    <w:p w14:paraId="52D4843E" w14:textId="0BC984CF" w:rsidR="00C038F6" w:rsidRPr="00C038F6" w:rsidRDefault="00C038F6" w:rsidP="00C038F6">
      <w:pPr>
        <w:rPr>
          <w:lang w:val="en-GB"/>
        </w:rPr>
      </w:pPr>
      <w:r w:rsidRPr="00C038F6">
        <w:rPr>
          <w:lang w:val="en-GB"/>
        </w:rPr>
        <w:t>While the number of participants the NDIS supports will continue to grow, we are seeing positive signs that NDIS expenditure continues to stabilise</w:t>
      </w:r>
      <w:r w:rsidR="00201406">
        <w:rPr>
          <w:lang w:val="en-GB"/>
        </w:rPr>
        <w:t>.</w:t>
      </w:r>
      <w:r w:rsidRPr="00C038F6">
        <w:rPr>
          <w:lang w:val="en-GB"/>
        </w:rPr>
        <w:t xml:space="preserve"> </w:t>
      </w:r>
      <w:r w:rsidR="00201406">
        <w:rPr>
          <w:lang w:val="en-GB"/>
        </w:rPr>
        <w:t>This</w:t>
      </w:r>
      <w:r w:rsidRPr="00C038F6">
        <w:rPr>
          <w:lang w:val="en-GB"/>
        </w:rPr>
        <w:t xml:space="preserve"> is important</w:t>
      </w:r>
      <w:r w:rsidR="00201406">
        <w:rPr>
          <w:lang w:val="en-GB"/>
        </w:rPr>
        <w:t>, as it</w:t>
      </w:r>
      <w:r w:rsidRPr="00C038F6">
        <w:rPr>
          <w:lang w:val="en-GB"/>
        </w:rPr>
        <w:t xml:space="preserve"> ensure</w:t>
      </w:r>
      <w:r w:rsidR="00201406">
        <w:rPr>
          <w:lang w:val="en-GB"/>
        </w:rPr>
        <w:t>s</w:t>
      </w:r>
      <w:r w:rsidRPr="00C038F6">
        <w:rPr>
          <w:lang w:val="en-GB"/>
        </w:rPr>
        <w:t xml:space="preserve"> the NDIS </w:t>
      </w:r>
      <w:r w:rsidR="00201406">
        <w:rPr>
          <w:lang w:val="en-GB"/>
        </w:rPr>
        <w:t xml:space="preserve">will </w:t>
      </w:r>
      <w:r w:rsidRPr="00C038F6">
        <w:rPr>
          <w:lang w:val="en-GB"/>
        </w:rPr>
        <w:t>continue to deliver for people with disability for generations to come.</w:t>
      </w:r>
    </w:p>
    <w:p w14:paraId="3DE21EE2" w14:textId="77777777" w:rsidR="00C038F6" w:rsidRPr="00C038F6" w:rsidRDefault="00C038F6" w:rsidP="00C038F6">
      <w:pPr>
        <w:rPr>
          <w:lang w:val="en-GB"/>
        </w:rPr>
      </w:pPr>
      <w:r w:rsidRPr="00C038F6">
        <w:rPr>
          <w:lang w:val="en-GB"/>
        </w:rPr>
        <w:t>As Chair I am fortunate to hear directly from participants about the NDIS and its impact on their lives. While each conversation is unique, and we know there is still work to be done, it is clear the NDIA has made significant progress in helping to build on economic, social, community and individual outcomes.</w:t>
      </w:r>
    </w:p>
    <w:p w14:paraId="26C78E35" w14:textId="5BBCC0B5" w:rsidR="00C038F6" w:rsidRPr="00C038F6" w:rsidRDefault="00201406" w:rsidP="00C038F6">
      <w:pPr>
        <w:rPr>
          <w:lang w:val="en-GB"/>
        </w:rPr>
      </w:pPr>
      <w:r>
        <w:rPr>
          <w:lang w:val="en-GB"/>
        </w:rPr>
        <w:t>I thank</w:t>
      </w:r>
      <w:r w:rsidR="00C038F6" w:rsidRPr="00C038F6">
        <w:rPr>
          <w:lang w:val="en-GB"/>
        </w:rPr>
        <w:t xml:space="preserve"> all NDIA staff and the Board for </w:t>
      </w:r>
      <w:r>
        <w:rPr>
          <w:lang w:val="en-GB"/>
        </w:rPr>
        <w:t>their</w:t>
      </w:r>
      <w:r w:rsidRPr="00C038F6">
        <w:rPr>
          <w:lang w:val="en-GB"/>
        </w:rPr>
        <w:t xml:space="preserve"> </w:t>
      </w:r>
      <w:r w:rsidR="00C038F6" w:rsidRPr="00C038F6">
        <w:rPr>
          <w:lang w:val="en-GB"/>
        </w:rPr>
        <w:t>commitment to the NDIS and its participants</w:t>
      </w:r>
      <w:r w:rsidR="00D57322">
        <w:t xml:space="preserve"> </w:t>
      </w:r>
      <w:r w:rsidR="00B57C21">
        <w:rPr>
          <w:lang w:val="en-GB"/>
        </w:rPr>
        <w:t xml:space="preserve">– </w:t>
      </w:r>
      <w:r w:rsidR="00C038F6" w:rsidRPr="00C038F6">
        <w:rPr>
          <w:lang w:val="en-GB"/>
        </w:rPr>
        <w:t xml:space="preserve">and </w:t>
      </w:r>
      <w:r>
        <w:rPr>
          <w:lang w:val="en-GB"/>
        </w:rPr>
        <w:t xml:space="preserve">also </w:t>
      </w:r>
      <w:r w:rsidR="00C038F6" w:rsidRPr="00C038F6">
        <w:rPr>
          <w:lang w:val="en-GB"/>
        </w:rPr>
        <w:t>the disability community</w:t>
      </w:r>
      <w:r>
        <w:rPr>
          <w:lang w:val="en-GB"/>
        </w:rPr>
        <w:t>,</w:t>
      </w:r>
      <w:r w:rsidR="00C038F6" w:rsidRPr="00C038F6">
        <w:rPr>
          <w:lang w:val="en-GB"/>
        </w:rPr>
        <w:t xml:space="preserve"> </w:t>
      </w:r>
      <w:r>
        <w:rPr>
          <w:lang w:val="en-GB"/>
        </w:rPr>
        <w:t>which has</w:t>
      </w:r>
      <w:r w:rsidR="00C038F6" w:rsidRPr="00C038F6">
        <w:rPr>
          <w:lang w:val="en-GB"/>
        </w:rPr>
        <w:t xml:space="preserve"> worked so closely with the NDIA to improve the NDIS and make it stronger.</w:t>
      </w:r>
    </w:p>
    <w:p w14:paraId="50A75361" w14:textId="77777777" w:rsidR="00C038F6" w:rsidRPr="00C038F6" w:rsidRDefault="00C038F6" w:rsidP="00C038F6">
      <w:pPr>
        <w:rPr>
          <w:lang w:val="en-GB"/>
        </w:rPr>
      </w:pPr>
      <w:r w:rsidRPr="00C038F6">
        <w:rPr>
          <w:lang w:val="en-GB"/>
        </w:rPr>
        <w:t xml:space="preserve">Kurt Fearnley AO </w:t>
      </w:r>
    </w:p>
    <w:p w14:paraId="25F484CE" w14:textId="3E369F0F" w:rsidR="005921BC" w:rsidRPr="00A33264" w:rsidRDefault="00C038F6" w:rsidP="00C038F6">
      <w:pPr>
        <w:rPr>
          <w:lang w:val="en-GB"/>
        </w:rPr>
      </w:pPr>
      <w:r w:rsidRPr="00C038F6">
        <w:rPr>
          <w:lang w:val="en-GB"/>
        </w:rPr>
        <w:t>NDIA Board Chair</w:t>
      </w:r>
    </w:p>
    <w:p w14:paraId="6218D11F" w14:textId="4ED724FE" w:rsidR="005921BC" w:rsidRPr="00A33264" w:rsidRDefault="005921BC" w:rsidP="005921BC">
      <w:pPr>
        <w:pStyle w:val="Heading3"/>
        <w:rPr>
          <w:lang w:val="en-GB"/>
        </w:rPr>
      </w:pPr>
      <w:bookmarkStart w:id="30" w:name="_Toc169592955"/>
      <w:bookmarkStart w:id="31" w:name="_Toc174354176"/>
      <w:bookmarkStart w:id="32" w:name="_Toc175316879"/>
      <w:bookmarkStart w:id="33" w:name="_Toc176786373"/>
      <w:bookmarkStart w:id="34" w:name="_Toc180505655"/>
      <w:r w:rsidRPr="00A33264">
        <w:rPr>
          <w:lang w:val="en-GB"/>
        </w:rPr>
        <w:t xml:space="preserve">Chief Executive Officer’s </w:t>
      </w:r>
      <w:bookmarkEnd w:id="30"/>
      <w:bookmarkEnd w:id="31"/>
      <w:bookmarkEnd w:id="32"/>
      <w:r w:rsidR="0019732F">
        <w:rPr>
          <w:lang w:val="en-GB"/>
        </w:rPr>
        <w:t>foreword</w:t>
      </w:r>
      <w:bookmarkEnd w:id="33"/>
      <w:bookmarkEnd w:id="34"/>
    </w:p>
    <w:p w14:paraId="0C2BDEA0" w14:textId="6CFB593E" w:rsidR="00247078" w:rsidRDefault="00C038F6" w:rsidP="00247078">
      <w:pPr>
        <w:rPr>
          <w:lang w:val="en-GB"/>
        </w:rPr>
      </w:pPr>
      <w:bookmarkStart w:id="35" w:name="_Toc169592956"/>
      <w:bookmarkStart w:id="36" w:name="_Toc174354177"/>
      <w:r w:rsidRPr="00C038F6">
        <w:rPr>
          <w:lang w:val="en-GB"/>
        </w:rPr>
        <w:t>This has been a significant</w:t>
      </w:r>
      <w:r w:rsidR="00201406">
        <w:rPr>
          <w:lang w:val="en-GB"/>
        </w:rPr>
        <w:t xml:space="preserve"> and</w:t>
      </w:r>
      <w:r w:rsidRPr="00C038F6">
        <w:rPr>
          <w:lang w:val="en-GB"/>
        </w:rPr>
        <w:t xml:space="preserve"> historic year for the NDIS.</w:t>
      </w:r>
    </w:p>
    <w:p w14:paraId="7B21AFBD" w14:textId="69D78590" w:rsidR="00C038F6" w:rsidRPr="00C038F6" w:rsidRDefault="00C038F6" w:rsidP="00C038F6">
      <w:pPr>
        <w:rPr>
          <w:lang w:val="en-GB"/>
        </w:rPr>
      </w:pPr>
      <w:r w:rsidRPr="00C038F6">
        <w:rPr>
          <w:lang w:val="en-GB"/>
        </w:rPr>
        <w:t xml:space="preserve">The past 12 months has been underpinned by the outcomes and impacts of the </w:t>
      </w:r>
      <w:r w:rsidR="00201406" w:rsidRPr="002703A5">
        <w:rPr>
          <w:lang w:val="en-GB"/>
        </w:rPr>
        <w:t xml:space="preserve">Royal Commission into Violence, Abuse, Neglect and Exploitation of People with </w:t>
      </w:r>
      <w:r w:rsidR="00201406" w:rsidRPr="002B1859">
        <w:rPr>
          <w:lang w:val="en-GB"/>
        </w:rPr>
        <w:t>Disability</w:t>
      </w:r>
      <w:r w:rsidRPr="00C038F6">
        <w:rPr>
          <w:lang w:val="en-GB"/>
        </w:rPr>
        <w:t xml:space="preserve">, </w:t>
      </w:r>
      <w:r w:rsidRPr="00C038F6">
        <w:rPr>
          <w:lang w:val="en-GB"/>
        </w:rPr>
        <w:lastRenderedPageBreak/>
        <w:t>findings from the NDIS Review</w:t>
      </w:r>
      <w:r w:rsidR="00201406">
        <w:rPr>
          <w:lang w:val="en-GB"/>
        </w:rPr>
        <w:t>,</w:t>
      </w:r>
      <w:r w:rsidRPr="00C038F6">
        <w:rPr>
          <w:lang w:val="en-GB"/>
        </w:rPr>
        <w:t xml:space="preserve"> and the </w:t>
      </w:r>
      <w:r w:rsidR="00157600">
        <w:rPr>
          <w:lang w:val="en-GB"/>
        </w:rPr>
        <w:t>G</w:t>
      </w:r>
      <w:r w:rsidRPr="00C038F6">
        <w:rPr>
          <w:lang w:val="en-GB"/>
        </w:rPr>
        <w:t>overnment’s commitment to ‘getting the NDIS back on track’ with the NDIS Amendment Bill.</w:t>
      </w:r>
    </w:p>
    <w:p w14:paraId="565FF0A7" w14:textId="022C1685" w:rsidR="00C038F6" w:rsidRPr="00C038F6" w:rsidRDefault="00201406" w:rsidP="00C038F6">
      <w:pPr>
        <w:rPr>
          <w:lang w:val="en-GB"/>
        </w:rPr>
      </w:pPr>
      <w:r>
        <w:rPr>
          <w:lang w:val="en-GB"/>
        </w:rPr>
        <w:t>During this time, t</w:t>
      </w:r>
      <w:r w:rsidR="00C038F6" w:rsidRPr="00C038F6">
        <w:rPr>
          <w:lang w:val="en-GB"/>
        </w:rPr>
        <w:t xml:space="preserve">he NDIA </w:t>
      </w:r>
      <w:r>
        <w:rPr>
          <w:lang w:val="en-GB"/>
        </w:rPr>
        <w:t xml:space="preserve">has continued to </w:t>
      </w:r>
      <w:r w:rsidR="00C038F6" w:rsidRPr="00C038F6">
        <w:rPr>
          <w:lang w:val="en-GB"/>
        </w:rPr>
        <w:t>focus on making the NDIS stronger and improving our systems</w:t>
      </w:r>
      <w:r w:rsidR="005F6BFD">
        <w:rPr>
          <w:lang w:val="en-GB"/>
        </w:rPr>
        <w:t xml:space="preserve"> and the way we work</w:t>
      </w:r>
      <w:r w:rsidR="00C038F6" w:rsidRPr="00C038F6">
        <w:rPr>
          <w:lang w:val="en-GB"/>
        </w:rPr>
        <w:t xml:space="preserve"> to support the needs of participants and the wider disability community.</w:t>
      </w:r>
    </w:p>
    <w:p w14:paraId="4C55A085" w14:textId="0CE75BF9" w:rsidR="00C038F6" w:rsidRPr="00C038F6" w:rsidRDefault="00C038F6" w:rsidP="00C038F6">
      <w:pPr>
        <w:rPr>
          <w:lang w:val="en-GB"/>
        </w:rPr>
      </w:pPr>
      <w:r w:rsidRPr="00C038F6">
        <w:rPr>
          <w:lang w:val="en-GB"/>
        </w:rPr>
        <w:t xml:space="preserve">In this time of growth and change, significant and long-term reform efforts are currently underway, and the </w:t>
      </w:r>
      <w:r w:rsidR="009017C5">
        <w:rPr>
          <w:lang w:val="en-GB"/>
        </w:rPr>
        <w:t>G</w:t>
      </w:r>
      <w:r w:rsidRPr="00C038F6">
        <w:rPr>
          <w:lang w:val="en-GB"/>
        </w:rPr>
        <w:t>overnment’s new legislation creates important scaffolding for these reforms.</w:t>
      </w:r>
    </w:p>
    <w:p w14:paraId="2C3962F4" w14:textId="1FE78F1D" w:rsidR="00201406" w:rsidRDefault="00C038F6" w:rsidP="00C038F6">
      <w:pPr>
        <w:rPr>
          <w:lang w:val="en-GB"/>
        </w:rPr>
      </w:pPr>
      <w:r w:rsidRPr="00C038F6">
        <w:rPr>
          <w:lang w:val="en-GB"/>
        </w:rPr>
        <w:t>Our task now is to work with people with disability and the disability community to develop the detail and implement the reforms</w:t>
      </w:r>
      <w:r w:rsidR="00201406">
        <w:rPr>
          <w:lang w:val="en-GB"/>
        </w:rPr>
        <w:t>;</w:t>
      </w:r>
      <w:r w:rsidRPr="00C038F6">
        <w:rPr>
          <w:lang w:val="en-GB"/>
        </w:rPr>
        <w:t xml:space="preserve"> </w:t>
      </w:r>
      <w:r w:rsidR="00201406">
        <w:rPr>
          <w:lang w:val="en-GB"/>
        </w:rPr>
        <w:t xml:space="preserve">and </w:t>
      </w:r>
      <w:r w:rsidRPr="00C038F6">
        <w:rPr>
          <w:lang w:val="en-GB"/>
        </w:rPr>
        <w:t>improve the experience and outcomes of participants in the NDIS.</w:t>
      </w:r>
    </w:p>
    <w:p w14:paraId="5A005876" w14:textId="116A1C3C" w:rsidR="00C038F6" w:rsidRPr="00C038F6" w:rsidRDefault="00C038F6" w:rsidP="00C038F6">
      <w:pPr>
        <w:rPr>
          <w:lang w:val="en-GB"/>
        </w:rPr>
      </w:pPr>
      <w:r w:rsidRPr="00C038F6">
        <w:rPr>
          <w:lang w:val="en-GB"/>
        </w:rPr>
        <w:t xml:space="preserve">These will be lasting changes to make the NDIS stronger, </w:t>
      </w:r>
      <w:r w:rsidR="00110B07">
        <w:rPr>
          <w:lang w:val="en-GB"/>
        </w:rPr>
        <w:t>and we are determined</w:t>
      </w:r>
      <w:r w:rsidRPr="00C038F6">
        <w:rPr>
          <w:lang w:val="en-GB"/>
        </w:rPr>
        <w:t xml:space="preserve"> to get them right</w:t>
      </w:r>
      <w:r w:rsidR="00110B07">
        <w:rPr>
          <w:lang w:val="en-GB"/>
        </w:rPr>
        <w:t xml:space="preserve"> for participants and the broader community</w:t>
      </w:r>
      <w:r w:rsidRPr="00C038F6">
        <w:rPr>
          <w:lang w:val="en-GB"/>
        </w:rPr>
        <w:t>.</w:t>
      </w:r>
    </w:p>
    <w:p w14:paraId="5A4E887F" w14:textId="14D54E97" w:rsidR="00C038F6" w:rsidRPr="00C038F6" w:rsidRDefault="00C038F6" w:rsidP="00C038F6">
      <w:pPr>
        <w:rPr>
          <w:lang w:val="en-GB"/>
        </w:rPr>
      </w:pPr>
      <w:r w:rsidRPr="00C038F6">
        <w:rPr>
          <w:lang w:val="en-GB"/>
        </w:rPr>
        <w:t>Importantly, disability representative and carer organisations, the Independent Advisory Council, the NDIA and the Department of Social Services, together with the Minister, have agreed to a co-design approach for the delivery of NDIS reforms. To support the 27</w:t>
      </w:r>
      <w:r w:rsidR="00201406">
        <w:rPr>
          <w:lang w:val="en-GB"/>
        </w:rPr>
        <w:t xml:space="preserve"> </w:t>
      </w:r>
      <w:r w:rsidRPr="00C038F6">
        <w:rPr>
          <w:lang w:val="en-GB"/>
        </w:rPr>
        <w:t>disability representative and carer organisations in this program of work, the NDIA has boosted their funding by $10.7 million.</w:t>
      </w:r>
    </w:p>
    <w:p w14:paraId="11D763FB" w14:textId="3D57DD13" w:rsidR="00C038F6" w:rsidRPr="00C038F6" w:rsidRDefault="00201406" w:rsidP="00C038F6">
      <w:pPr>
        <w:rPr>
          <w:lang w:val="en-GB"/>
        </w:rPr>
      </w:pPr>
      <w:r>
        <w:rPr>
          <w:lang w:val="en-GB"/>
        </w:rPr>
        <w:t>The w</w:t>
      </w:r>
      <w:r w:rsidR="00C038F6" w:rsidRPr="00C038F6">
        <w:rPr>
          <w:lang w:val="en-GB"/>
        </w:rPr>
        <w:t xml:space="preserve">ork </w:t>
      </w:r>
      <w:r>
        <w:rPr>
          <w:lang w:val="en-GB"/>
        </w:rPr>
        <w:t xml:space="preserve">we do </w:t>
      </w:r>
      <w:r w:rsidR="00C038F6" w:rsidRPr="00C038F6">
        <w:rPr>
          <w:lang w:val="en-GB"/>
        </w:rPr>
        <w:t xml:space="preserve">together to implement and deliver these reforms </w:t>
      </w:r>
      <w:r>
        <w:rPr>
          <w:lang w:val="en-GB"/>
        </w:rPr>
        <w:t>is</w:t>
      </w:r>
      <w:r w:rsidR="00C038F6" w:rsidRPr="00C038F6">
        <w:rPr>
          <w:lang w:val="en-GB"/>
        </w:rPr>
        <w:t xml:space="preserve"> critical</w:t>
      </w:r>
      <w:r w:rsidR="00C8488C">
        <w:t xml:space="preserve"> – </w:t>
      </w:r>
      <w:r>
        <w:rPr>
          <w:lang w:val="en-GB"/>
        </w:rPr>
        <w:t>it will lead</w:t>
      </w:r>
      <w:r w:rsidR="00C038F6" w:rsidRPr="00C038F6">
        <w:rPr>
          <w:lang w:val="en-GB"/>
        </w:rPr>
        <w:t xml:space="preserve"> to a better, more sustainable NDIS for participants</w:t>
      </w:r>
      <w:r>
        <w:rPr>
          <w:lang w:val="en-GB"/>
        </w:rPr>
        <w:t>.</w:t>
      </w:r>
      <w:r w:rsidR="00C038F6" w:rsidRPr="00C038F6">
        <w:rPr>
          <w:lang w:val="en-GB"/>
        </w:rPr>
        <w:t xml:space="preserve"> I am pleased that co-design will remain at the centre of our reform efforts.</w:t>
      </w:r>
    </w:p>
    <w:p w14:paraId="0F23409F" w14:textId="748363B5" w:rsidR="00C038F6" w:rsidRPr="00C038F6" w:rsidRDefault="00C038F6" w:rsidP="00C038F6">
      <w:pPr>
        <w:rPr>
          <w:lang w:val="en-GB"/>
        </w:rPr>
      </w:pPr>
      <w:r w:rsidRPr="00C038F6">
        <w:rPr>
          <w:lang w:val="en-GB"/>
        </w:rPr>
        <w:t>As part of our commitment to delivering a better experience for participants, we have now rolled out PACE, our new computer system</w:t>
      </w:r>
      <w:r w:rsidR="00201406">
        <w:rPr>
          <w:lang w:val="en-GB"/>
        </w:rPr>
        <w:t>,</w:t>
      </w:r>
      <w:r w:rsidRPr="00C038F6">
        <w:rPr>
          <w:lang w:val="en-GB"/>
        </w:rPr>
        <w:t xml:space="preserve"> nationwide.</w:t>
      </w:r>
      <w:r w:rsidR="0024613A">
        <w:rPr>
          <w:lang w:val="en-GB"/>
        </w:rPr>
        <w:t xml:space="preserve"> Participants are being gradually </w:t>
      </w:r>
      <w:r w:rsidR="00472A9C">
        <w:rPr>
          <w:lang w:val="en-GB"/>
        </w:rPr>
        <w:t xml:space="preserve">transitioned onto the system and we continue to improve and expand the </w:t>
      </w:r>
      <w:r w:rsidR="003B589B">
        <w:rPr>
          <w:lang w:val="en-GB"/>
        </w:rPr>
        <w:t xml:space="preserve">use of PACE. This will set us up to successfully implement </w:t>
      </w:r>
      <w:r w:rsidR="00D066CF">
        <w:rPr>
          <w:lang w:val="en-GB"/>
        </w:rPr>
        <w:t xml:space="preserve">legislative changes, and continue to support </w:t>
      </w:r>
      <w:r w:rsidR="009B2EED">
        <w:rPr>
          <w:lang w:val="en-GB"/>
        </w:rPr>
        <w:t xml:space="preserve">participants </w:t>
      </w:r>
      <w:r w:rsidR="00D066CF">
        <w:rPr>
          <w:lang w:val="en-GB"/>
        </w:rPr>
        <w:t>now and into the future.</w:t>
      </w:r>
      <w:r w:rsidRPr="00C038F6">
        <w:rPr>
          <w:lang w:val="en-GB"/>
        </w:rPr>
        <w:t xml:space="preserve"> </w:t>
      </w:r>
    </w:p>
    <w:p w14:paraId="0AB70487" w14:textId="019B81FC" w:rsidR="00247078" w:rsidRDefault="00C038F6" w:rsidP="00247078">
      <w:pPr>
        <w:rPr>
          <w:lang w:val="en-GB"/>
        </w:rPr>
      </w:pPr>
      <w:r w:rsidRPr="00C038F6">
        <w:rPr>
          <w:lang w:val="en-GB"/>
        </w:rPr>
        <w:t>What often stands out to me in the stories I hear from participants are the efforts and dedication of NDIA staff. I am proud to serve a workforce that is equally passionate and committed.</w:t>
      </w:r>
      <w:r w:rsidR="00201406">
        <w:rPr>
          <w:lang w:val="en-GB"/>
        </w:rPr>
        <w:t xml:space="preserve"> </w:t>
      </w:r>
      <w:r w:rsidRPr="00C038F6">
        <w:rPr>
          <w:lang w:val="en-GB"/>
        </w:rPr>
        <w:t>To support our staff in delivering on these outcomes, we are dedicated to driving a culture of accessibility and inclusion. The release of the NDIA’s Culturally and Linguistically Diverse Inclusion Plan, and the establishment of the Office of Agency Accessibility and Inclusion</w:t>
      </w:r>
      <w:r w:rsidR="00201406">
        <w:rPr>
          <w:lang w:val="en-GB"/>
        </w:rPr>
        <w:t>,</w:t>
      </w:r>
      <w:r w:rsidRPr="00C038F6">
        <w:rPr>
          <w:lang w:val="en-GB"/>
        </w:rPr>
        <w:t xml:space="preserve"> are significant steps towards this goal.</w:t>
      </w:r>
    </w:p>
    <w:p w14:paraId="781F36D6" w14:textId="7CEC2792" w:rsidR="00C038F6" w:rsidRPr="00C038F6" w:rsidRDefault="00C038F6" w:rsidP="00C038F6">
      <w:pPr>
        <w:rPr>
          <w:lang w:val="en-GB"/>
        </w:rPr>
      </w:pPr>
      <w:r w:rsidRPr="00C038F6">
        <w:rPr>
          <w:lang w:val="en-GB"/>
        </w:rPr>
        <w:t xml:space="preserve">As part of our commitment to supporting diversity and inclusivity within the NDIS, we have established </w:t>
      </w:r>
      <w:r w:rsidR="00110B07">
        <w:rPr>
          <w:lang w:val="en-GB"/>
        </w:rPr>
        <w:t>a</w:t>
      </w:r>
      <w:r w:rsidR="00110B07" w:rsidRPr="00C038F6">
        <w:rPr>
          <w:lang w:val="en-GB"/>
        </w:rPr>
        <w:t xml:space="preserve"> </w:t>
      </w:r>
      <w:r w:rsidRPr="00C038F6">
        <w:rPr>
          <w:lang w:val="en-GB"/>
        </w:rPr>
        <w:t xml:space="preserve">First Nations Group. This group has been created to improve services in remote and very remote communities and support positive outcomes for </w:t>
      </w:r>
      <w:r w:rsidRPr="00C038F6">
        <w:rPr>
          <w:lang w:val="en-GB"/>
        </w:rPr>
        <w:lastRenderedPageBreak/>
        <w:t xml:space="preserve">First Nations and other participants </w:t>
      </w:r>
      <w:r w:rsidR="00201406">
        <w:rPr>
          <w:lang w:val="en-GB"/>
        </w:rPr>
        <w:t xml:space="preserve">and their </w:t>
      </w:r>
      <w:r w:rsidRPr="00C038F6">
        <w:rPr>
          <w:lang w:val="en-GB"/>
        </w:rPr>
        <w:t>families and carers in these communities.</w:t>
      </w:r>
    </w:p>
    <w:p w14:paraId="6087B9FC" w14:textId="615F77F3" w:rsidR="00C038F6" w:rsidRPr="00C038F6" w:rsidRDefault="00110B07" w:rsidP="00C038F6">
      <w:pPr>
        <w:rPr>
          <w:lang w:val="en-GB"/>
        </w:rPr>
      </w:pPr>
      <w:r>
        <w:rPr>
          <w:lang w:val="en-GB"/>
        </w:rPr>
        <w:t>S</w:t>
      </w:r>
      <w:r w:rsidR="00C038F6" w:rsidRPr="00C038F6">
        <w:rPr>
          <w:lang w:val="en-GB"/>
        </w:rPr>
        <w:t>taff wellbeing continues to be a priority</w:t>
      </w:r>
      <w:r>
        <w:rPr>
          <w:lang w:val="en-GB"/>
        </w:rPr>
        <w:t xml:space="preserve"> across the NDIA</w:t>
      </w:r>
      <w:r w:rsidR="00C038F6" w:rsidRPr="00C038F6">
        <w:rPr>
          <w:lang w:val="en-GB"/>
        </w:rPr>
        <w:t>. To support staff to deliver their best, we have implemented a</w:t>
      </w:r>
      <w:r w:rsidR="00201406">
        <w:rPr>
          <w:lang w:val="en-GB"/>
        </w:rPr>
        <w:t xml:space="preserve"> Senior Executive Service</w:t>
      </w:r>
      <w:r w:rsidR="00C038F6" w:rsidRPr="00C038F6">
        <w:rPr>
          <w:lang w:val="en-GB"/>
        </w:rPr>
        <w:t xml:space="preserve"> </w:t>
      </w:r>
      <w:r w:rsidR="00201406">
        <w:rPr>
          <w:lang w:val="en-GB"/>
        </w:rPr>
        <w:t>(</w:t>
      </w:r>
      <w:r w:rsidR="00C038F6" w:rsidRPr="00C038F6">
        <w:rPr>
          <w:lang w:val="en-GB"/>
        </w:rPr>
        <w:t>SES</w:t>
      </w:r>
      <w:r w:rsidR="00201406">
        <w:rPr>
          <w:lang w:val="en-GB"/>
        </w:rPr>
        <w:t>)</w:t>
      </w:r>
      <w:r w:rsidR="00C038F6" w:rsidRPr="00C038F6">
        <w:rPr>
          <w:lang w:val="en-GB"/>
        </w:rPr>
        <w:t xml:space="preserve"> Site Champions program</w:t>
      </w:r>
      <w:r w:rsidR="00201406">
        <w:rPr>
          <w:lang w:val="en-GB"/>
        </w:rPr>
        <w:t>.</w:t>
      </w:r>
      <w:r w:rsidR="00C038F6" w:rsidRPr="00C038F6">
        <w:rPr>
          <w:lang w:val="en-GB"/>
        </w:rPr>
        <w:t xml:space="preserve"> </w:t>
      </w:r>
      <w:r w:rsidR="0075484E">
        <w:rPr>
          <w:lang w:val="en-GB"/>
        </w:rPr>
        <w:t xml:space="preserve">This program gives staff direct access to an Agency leader and is designed to provide staff with greater workplace engagement and increased avenues for support. </w:t>
      </w:r>
      <w:r w:rsidR="00C038F6" w:rsidRPr="00C038F6">
        <w:rPr>
          <w:lang w:val="en-GB"/>
        </w:rPr>
        <w:t>We are committed to creating a safe and supportive workplace for all our staff.</w:t>
      </w:r>
    </w:p>
    <w:p w14:paraId="51F6D755" w14:textId="43DB3B21" w:rsidR="00C038F6" w:rsidRPr="00C038F6" w:rsidRDefault="00C038F6" w:rsidP="00C038F6">
      <w:pPr>
        <w:rPr>
          <w:lang w:val="en-GB"/>
        </w:rPr>
      </w:pPr>
      <w:r w:rsidRPr="00C038F6">
        <w:rPr>
          <w:lang w:val="en-GB"/>
        </w:rPr>
        <w:t>I would like to express my thanks to the disability community, our Board and</w:t>
      </w:r>
      <w:r w:rsidR="0066083A">
        <w:rPr>
          <w:lang w:val="en-GB"/>
        </w:rPr>
        <w:t>,</w:t>
      </w:r>
      <w:r w:rsidRPr="00C038F6">
        <w:rPr>
          <w:lang w:val="en-GB"/>
        </w:rPr>
        <w:t xml:space="preserve"> importantly</w:t>
      </w:r>
      <w:r w:rsidR="0066083A">
        <w:rPr>
          <w:lang w:val="en-GB"/>
        </w:rPr>
        <w:t>,</w:t>
      </w:r>
      <w:r w:rsidRPr="00C038F6">
        <w:rPr>
          <w:lang w:val="en-GB"/>
        </w:rPr>
        <w:t xml:space="preserve"> all NDIA staff. It has been a year of tremendous but fulfilling change</w:t>
      </w:r>
      <w:r w:rsidR="00954681">
        <w:t xml:space="preserve"> </w:t>
      </w:r>
      <w:r w:rsidR="00954681">
        <w:rPr>
          <w:lang w:val="en-GB"/>
        </w:rPr>
        <w:t>–</w:t>
      </w:r>
      <w:r w:rsidR="0066083A">
        <w:rPr>
          <w:lang w:val="en-GB"/>
        </w:rPr>
        <w:t xml:space="preserve"> </w:t>
      </w:r>
      <w:r w:rsidRPr="00C038F6">
        <w:rPr>
          <w:lang w:val="en-GB"/>
        </w:rPr>
        <w:t>one I am confident positions us well to meet the needs of participants and focus on building positive outcomes.</w:t>
      </w:r>
    </w:p>
    <w:p w14:paraId="05AFA91B" w14:textId="77777777" w:rsidR="00C038F6" w:rsidRPr="00C038F6" w:rsidRDefault="00C038F6" w:rsidP="00C038F6">
      <w:pPr>
        <w:rPr>
          <w:lang w:val="en-GB"/>
        </w:rPr>
      </w:pPr>
      <w:r w:rsidRPr="00C038F6">
        <w:rPr>
          <w:lang w:val="en-GB"/>
        </w:rPr>
        <w:t>Rebecca Falkingham PSM</w:t>
      </w:r>
    </w:p>
    <w:p w14:paraId="6B1ED9F7" w14:textId="3EF72063" w:rsidR="002C00B8" w:rsidRPr="00A33264" w:rsidRDefault="00C038F6" w:rsidP="00C038F6">
      <w:pPr>
        <w:rPr>
          <w:lang w:val="en-GB"/>
        </w:rPr>
      </w:pPr>
      <w:r w:rsidRPr="00C038F6">
        <w:rPr>
          <w:lang w:val="en-GB"/>
        </w:rPr>
        <w:t>Chief Executive Officer</w:t>
      </w:r>
    </w:p>
    <w:p w14:paraId="3D222C3E" w14:textId="011111AD" w:rsidR="005921BC" w:rsidRPr="00A33264" w:rsidRDefault="005921BC" w:rsidP="005921BC">
      <w:pPr>
        <w:pStyle w:val="Heading3"/>
        <w:rPr>
          <w:lang w:val="en-GB"/>
        </w:rPr>
      </w:pPr>
      <w:bookmarkStart w:id="37" w:name="_Toc175316880"/>
      <w:bookmarkStart w:id="38" w:name="_Toc176786374"/>
      <w:bookmarkStart w:id="39" w:name="_Toc180505656"/>
      <w:r w:rsidRPr="00A33264">
        <w:rPr>
          <w:lang w:val="en-GB"/>
        </w:rPr>
        <w:t>The National Disability Insurance Scheme</w:t>
      </w:r>
      <w:bookmarkEnd w:id="35"/>
      <w:bookmarkEnd w:id="36"/>
      <w:bookmarkEnd w:id="37"/>
      <w:bookmarkEnd w:id="38"/>
      <w:bookmarkEnd w:id="39"/>
    </w:p>
    <w:p w14:paraId="362B9073" w14:textId="1C32E0C4" w:rsidR="00611605" w:rsidRPr="00A33264" w:rsidRDefault="00A27A9C" w:rsidP="00611605">
      <w:pPr>
        <w:rPr>
          <w:rFonts w:eastAsiaTheme="minorEastAsia"/>
          <w:lang w:val="en-GB"/>
        </w:rPr>
      </w:pPr>
      <w:r>
        <w:rPr>
          <w:rFonts w:eastAsiaTheme="minorEastAsia"/>
          <w:lang w:val="en-GB"/>
        </w:rPr>
        <w:t>The NDI</w:t>
      </w:r>
      <w:r w:rsidR="00BB23CF">
        <w:rPr>
          <w:rFonts w:eastAsiaTheme="minorEastAsia"/>
          <w:lang w:val="en-GB"/>
        </w:rPr>
        <w:t>S</w:t>
      </w:r>
      <w:r>
        <w:rPr>
          <w:rFonts w:eastAsiaTheme="minorEastAsia"/>
          <w:lang w:val="en-GB"/>
        </w:rPr>
        <w:t xml:space="preserve"> was e</w:t>
      </w:r>
      <w:r w:rsidR="00611605" w:rsidRPr="00697772">
        <w:rPr>
          <w:rFonts w:eastAsiaTheme="minorEastAsia"/>
          <w:lang w:val="en-GB"/>
        </w:rPr>
        <w:t>stablished in July 2013 under the NDIS Act</w:t>
      </w:r>
      <w:r>
        <w:rPr>
          <w:rFonts w:eastAsiaTheme="minorEastAsia"/>
          <w:lang w:val="en-GB"/>
        </w:rPr>
        <w:t>.</w:t>
      </w:r>
      <w:r w:rsidR="00611605" w:rsidRPr="00697772">
        <w:rPr>
          <w:rFonts w:eastAsiaTheme="minorEastAsia"/>
          <w:lang w:val="en-GB"/>
        </w:rPr>
        <w:t xml:space="preserve"> </w:t>
      </w:r>
      <w:r>
        <w:rPr>
          <w:rFonts w:eastAsiaTheme="minorEastAsia"/>
          <w:lang w:val="en-GB"/>
        </w:rPr>
        <w:t>It</w:t>
      </w:r>
      <w:r w:rsidR="00611605" w:rsidRPr="00697772">
        <w:rPr>
          <w:rFonts w:eastAsiaTheme="minorEastAsia"/>
          <w:lang w:val="en-GB"/>
        </w:rPr>
        <w:t xml:space="preserve"> replace</w:t>
      </w:r>
      <w:r>
        <w:rPr>
          <w:rFonts w:eastAsiaTheme="minorEastAsia"/>
          <w:lang w:val="en-GB"/>
        </w:rPr>
        <w:t>d</w:t>
      </w:r>
      <w:r w:rsidR="00611605" w:rsidRPr="00697772">
        <w:rPr>
          <w:rFonts w:eastAsiaTheme="minorEastAsia"/>
          <w:lang w:val="en-GB"/>
        </w:rPr>
        <w:t xml:space="preserve"> the previous primarily state-based welfare system of disability care</w:t>
      </w:r>
      <w:r>
        <w:rPr>
          <w:rFonts w:eastAsiaTheme="minorEastAsia"/>
          <w:lang w:val="en-GB"/>
        </w:rPr>
        <w:t xml:space="preserve"> and</w:t>
      </w:r>
      <w:r w:rsidR="00611605" w:rsidRPr="00697772">
        <w:rPr>
          <w:rFonts w:eastAsiaTheme="minorEastAsia"/>
          <w:lang w:val="en-GB"/>
        </w:rPr>
        <w:t xml:space="preserve"> provides a single, national insurance-based approach to fund support for people with disability.</w:t>
      </w:r>
    </w:p>
    <w:p w14:paraId="405162C5" w14:textId="77777777" w:rsidR="00611605" w:rsidRPr="00A33264" w:rsidRDefault="00611605" w:rsidP="00611605">
      <w:pPr>
        <w:rPr>
          <w:rFonts w:eastAsiaTheme="minorEastAsia"/>
          <w:lang w:val="en-GB"/>
        </w:rPr>
      </w:pPr>
      <w:r w:rsidRPr="00A33264">
        <w:rPr>
          <w:rFonts w:eastAsiaTheme="minorEastAsia"/>
          <w:lang w:val="en-GB"/>
        </w:rPr>
        <w:t>The NDIS is based on the guiding principles that people with disability:</w:t>
      </w:r>
    </w:p>
    <w:p w14:paraId="0D46F4FD" w14:textId="5AF0FA76" w:rsidR="00611605" w:rsidRPr="00A33264" w:rsidRDefault="00611605" w:rsidP="00611605">
      <w:pPr>
        <w:pStyle w:val="Bullet1"/>
        <w:rPr>
          <w:rFonts w:eastAsiaTheme="minorEastAsia"/>
          <w:lang w:val="en-GB"/>
        </w:rPr>
      </w:pPr>
      <w:r w:rsidRPr="00A33264">
        <w:rPr>
          <w:rFonts w:eastAsiaTheme="minorEastAsia"/>
          <w:lang w:val="en-GB"/>
        </w:rPr>
        <w:t>have the same rights as all Australians to realise their potential for physical, social, emotional and intellectual development</w:t>
      </w:r>
    </w:p>
    <w:p w14:paraId="76314415" w14:textId="77777777" w:rsidR="00611605" w:rsidRPr="00A33264" w:rsidRDefault="00611605" w:rsidP="00611605">
      <w:pPr>
        <w:pStyle w:val="Bullet1"/>
        <w:rPr>
          <w:lang w:val="en-GB"/>
        </w:rPr>
      </w:pPr>
      <w:r w:rsidRPr="00A33264">
        <w:rPr>
          <w:rFonts w:eastAsiaTheme="minorEastAsia"/>
          <w:lang w:val="en-GB"/>
        </w:rPr>
        <w:t>are supported to participate in and contribute to social and economic life to the full extent of their ability.</w:t>
      </w:r>
    </w:p>
    <w:p w14:paraId="38B6A3ED" w14:textId="45D647BC" w:rsidR="00247078" w:rsidRPr="00247078" w:rsidRDefault="00611605" w:rsidP="00247078">
      <w:r w:rsidRPr="00976E8D">
        <w:rPr>
          <w:lang w:val="en-GB"/>
        </w:rPr>
        <w:t xml:space="preserve">The NDIS </w:t>
      </w:r>
      <w:r w:rsidRPr="00611605">
        <w:rPr>
          <w:rFonts w:eastAsiaTheme="minorEastAsia"/>
          <w:lang w:val="en-GB"/>
        </w:rPr>
        <w:t>provides funding to eligible people with disability to access reasonable and necessary supports and services. The NDIS also helps people with disability to connect with mainstream services and supports, community activities and local groups. The NDIS works with state and territory governments to ensure that people with disability can access the supports they need.</w:t>
      </w:r>
      <w:bookmarkStart w:id="40" w:name="_Toc169592957"/>
      <w:bookmarkStart w:id="41" w:name="_Toc174354178"/>
      <w:bookmarkStart w:id="42" w:name="_Toc175316881"/>
      <w:bookmarkStart w:id="43" w:name="_Toc176786375"/>
    </w:p>
    <w:p w14:paraId="50119AA4" w14:textId="5D8454D0" w:rsidR="005921BC" w:rsidRPr="00A33264" w:rsidRDefault="005921BC" w:rsidP="005921BC">
      <w:pPr>
        <w:pStyle w:val="Heading3"/>
        <w:rPr>
          <w:lang w:val="en-GB"/>
        </w:rPr>
      </w:pPr>
      <w:bookmarkStart w:id="44" w:name="_Toc180505657"/>
      <w:r w:rsidRPr="00A33264">
        <w:rPr>
          <w:lang w:val="en-GB"/>
        </w:rPr>
        <w:t>The National Disability Insurance Agency</w:t>
      </w:r>
      <w:bookmarkEnd w:id="40"/>
      <w:bookmarkEnd w:id="41"/>
      <w:bookmarkEnd w:id="42"/>
      <w:bookmarkEnd w:id="43"/>
      <w:bookmarkEnd w:id="44"/>
    </w:p>
    <w:p w14:paraId="76C1439E" w14:textId="450A8269" w:rsidR="00E16083" w:rsidRPr="00A33264" w:rsidRDefault="00E16083" w:rsidP="00F11A3E">
      <w:pPr>
        <w:rPr>
          <w:lang w:val="en-GB"/>
        </w:rPr>
      </w:pPr>
      <w:r w:rsidRPr="00A33264">
        <w:rPr>
          <w:lang w:val="en-GB"/>
        </w:rPr>
        <w:t xml:space="preserve">The NDIA is a corporate Commonwealth entity under the </w:t>
      </w:r>
      <w:r w:rsidRPr="00A33264">
        <w:rPr>
          <w:i/>
          <w:iCs/>
          <w:lang w:val="en-GB"/>
        </w:rPr>
        <w:t>Public Governance, Performance and Accountability Act 2013</w:t>
      </w:r>
      <w:r w:rsidRPr="00A33264">
        <w:rPr>
          <w:lang w:val="en-GB"/>
        </w:rPr>
        <w:t xml:space="preserve"> </w:t>
      </w:r>
      <w:r w:rsidR="009056B6" w:rsidRPr="00A33264">
        <w:rPr>
          <w:lang w:val="en-GB"/>
        </w:rPr>
        <w:t xml:space="preserve">and was established </w:t>
      </w:r>
      <w:r w:rsidRPr="00A33264">
        <w:rPr>
          <w:lang w:val="en-GB"/>
        </w:rPr>
        <w:t>under the NDIS Act.</w:t>
      </w:r>
    </w:p>
    <w:p w14:paraId="3F318A41" w14:textId="048BBF9B" w:rsidR="009056B6" w:rsidRPr="00A33264" w:rsidRDefault="009056B6" w:rsidP="00F11A3E">
      <w:pPr>
        <w:rPr>
          <w:lang w:val="en-GB"/>
        </w:rPr>
      </w:pPr>
      <w:r w:rsidRPr="00A33264">
        <w:rPr>
          <w:lang w:val="en-GB"/>
        </w:rPr>
        <w:t xml:space="preserve">The NDIA’s purpose is to support individuals with a significant and permanent disability (participants) to be more independent and engage socially and economically, </w:t>
      </w:r>
      <w:r w:rsidRPr="00A33264">
        <w:rPr>
          <w:lang w:val="en-GB"/>
        </w:rPr>
        <w:lastRenderedPageBreak/>
        <w:t>while delivering a financially sustainable NDIS that builds genuinely connected and engaged communities and stakeholders.</w:t>
      </w:r>
    </w:p>
    <w:p w14:paraId="7925DFE0" w14:textId="3E09EC21" w:rsidR="005921BC" w:rsidRPr="00A33264" w:rsidRDefault="00117F5F" w:rsidP="00F86FC3">
      <w:pPr>
        <w:pStyle w:val="Heading4"/>
        <w:rPr>
          <w:lang w:val="en-GB"/>
        </w:rPr>
      </w:pPr>
      <w:bookmarkStart w:id="45" w:name="_Toc174354179"/>
      <w:bookmarkStart w:id="46" w:name="_Toc175316883"/>
      <w:r>
        <w:rPr>
          <w:lang w:val="en-GB"/>
        </w:rPr>
        <w:t>NDIA</w:t>
      </w:r>
      <w:r w:rsidRPr="00A33264">
        <w:rPr>
          <w:lang w:val="en-GB"/>
        </w:rPr>
        <w:t xml:space="preserve"> </w:t>
      </w:r>
      <w:r w:rsidR="00E16083" w:rsidRPr="00A33264">
        <w:rPr>
          <w:lang w:val="en-GB"/>
        </w:rPr>
        <w:t>functions</w:t>
      </w:r>
      <w:bookmarkEnd w:id="45"/>
      <w:bookmarkEnd w:id="46"/>
    </w:p>
    <w:p w14:paraId="1CD5B596" w14:textId="3F39CBB7" w:rsidR="00F30A6D" w:rsidRPr="00A33264" w:rsidRDefault="00F30A6D" w:rsidP="00F30A6D">
      <w:pPr>
        <w:rPr>
          <w:lang w:val="en-GB"/>
        </w:rPr>
      </w:pPr>
      <w:r w:rsidRPr="00A33264">
        <w:rPr>
          <w:lang w:val="en-GB"/>
        </w:rPr>
        <w:t xml:space="preserve">The </w:t>
      </w:r>
      <w:r w:rsidR="00F742F9">
        <w:rPr>
          <w:lang w:val="en-GB"/>
        </w:rPr>
        <w:t>NDIA</w:t>
      </w:r>
      <w:r w:rsidR="00F742F9" w:rsidRPr="00A33264">
        <w:rPr>
          <w:lang w:val="en-GB"/>
        </w:rPr>
        <w:t>’s</w:t>
      </w:r>
      <w:r w:rsidR="00F742F9">
        <w:rPr>
          <w:lang w:val="en-GB"/>
        </w:rPr>
        <w:t xml:space="preserve"> main</w:t>
      </w:r>
      <w:r w:rsidR="00F742F9" w:rsidRPr="00A33264">
        <w:rPr>
          <w:lang w:val="en-GB"/>
        </w:rPr>
        <w:t xml:space="preserve"> </w:t>
      </w:r>
      <w:r w:rsidR="002B17B8" w:rsidRPr="00A33264">
        <w:rPr>
          <w:lang w:val="en-GB"/>
        </w:rPr>
        <w:t>functions, as outlined in the NDI</w:t>
      </w:r>
      <w:r w:rsidR="00F742F9">
        <w:rPr>
          <w:lang w:val="en-GB"/>
        </w:rPr>
        <w:t>S</w:t>
      </w:r>
      <w:r w:rsidR="002B17B8" w:rsidRPr="00A33264">
        <w:rPr>
          <w:lang w:val="en-GB"/>
        </w:rPr>
        <w:t xml:space="preserve"> Act</w:t>
      </w:r>
      <w:r w:rsidR="00F742F9">
        <w:rPr>
          <w:lang w:val="en-GB"/>
        </w:rPr>
        <w:t xml:space="preserve"> (section 118)</w:t>
      </w:r>
      <w:r w:rsidR="002B17B8" w:rsidRPr="00A33264">
        <w:rPr>
          <w:lang w:val="en-GB"/>
        </w:rPr>
        <w:t>, are</w:t>
      </w:r>
      <w:r w:rsidR="00717578">
        <w:rPr>
          <w:lang w:val="en-GB"/>
        </w:rPr>
        <w:t xml:space="preserve"> summarised below</w:t>
      </w:r>
      <w:r w:rsidR="00A27A9C">
        <w:rPr>
          <w:lang w:val="en-GB"/>
        </w:rPr>
        <w:t>.</w:t>
      </w:r>
    </w:p>
    <w:p w14:paraId="1C43BF92" w14:textId="3A330DFF" w:rsidR="00AD517E" w:rsidRPr="00A33264" w:rsidRDefault="0035317C" w:rsidP="00AD517E">
      <w:pPr>
        <w:rPr>
          <w:lang w:val="en-GB"/>
        </w:rPr>
      </w:pPr>
      <w:r>
        <w:rPr>
          <w:noProof/>
        </w:rPr>
        <w:drawing>
          <wp:inline distT="0" distB="0" distL="0" distR="0" wp14:anchorId="53ACC67A" wp14:editId="34FA79D1">
            <wp:extent cx="5831840" cy="4706620"/>
            <wp:effectExtent l="0" t="0" r="0" b="0"/>
            <wp:docPr id="1722724734" name="Picture 1" descr="Function 1 - Deliver the NDIS to support the independence, and social and economic participation, of people with disability.&#10;Function 2 - Manage, and advise and report on, the financial sustainability of the NDIS.&#10;Function 3 - Develop and enhance the disability sector, including by facilitating innovation, research and contemporary best practice in the sector.&#10;Function 4 - Build community awareness of disabilities and the social contributors to disabilities.&#10;Function 5 - Collect, analyse and exchange data about disabilities and the supports (including early intervention supports) for people with disability.&#10;Function 6 - Undertake research relating to disabilities, the supports (including early intervention supports) for people with disability and the social contributors to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724734" name="Picture 1" descr="Function 1 - Deliver the NDIS to support the independence, and social and economic participation, of people with disability.&#10;Function 2 - Manage, and advise and report on, the financial sustainability of the NDIS.&#10;Function 3 - Develop and enhance the disability sector, including by facilitating innovation, research and contemporary best practice in the sector.&#10;Function 4 - Build community awareness of disabilities and the social contributors to disabilities.&#10;Function 5 - Collect, analyse and exchange data about disabilities and the supports (including early intervention supports) for people with disability.&#10;Function 6 - Undertake research relating to disabilities, the supports (including early intervention supports) for people with disability and the social contributors to disabilities."/>
                    <pic:cNvPicPr/>
                  </pic:nvPicPr>
                  <pic:blipFill>
                    <a:blip r:embed="rId18"/>
                    <a:stretch>
                      <a:fillRect/>
                    </a:stretch>
                  </pic:blipFill>
                  <pic:spPr>
                    <a:xfrm>
                      <a:off x="0" y="0"/>
                      <a:ext cx="5831840" cy="4706620"/>
                    </a:xfrm>
                    <a:prstGeom prst="rect">
                      <a:avLst/>
                    </a:prstGeom>
                  </pic:spPr>
                </pic:pic>
              </a:graphicData>
            </a:graphic>
          </wp:inline>
        </w:drawing>
      </w:r>
    </w:p>
    <w:p w14:paraId="71607A6C" w14:textId="011E08EC" w:rsidR="00E16083" w:rsidRPr="00A33264" w:rsidRDefault="002B17B8" w:rsidP="00E16083">
      <w:pPr>
        <w:pStyle w:val="Heading3"/>
        <w:rPr>
          <w:lang w:val="en-GB"/>
        </w:rPr>
      </w:pPr>
      <w:bookmarkStart w:id="47" w:name="_Toc174354181"/>
      <w:bookmarkStart w:id="48" w:name="_Toc175316885"/>
      <w:bookmarkStart w:id="49" w:name="_Toc176786376"/>
      <w:bookmarkStart w:id="50" w:name="_Toc180505658"/>
      <w:r w:rsidRPr="00A33264">
        <w:rPr>
          <w:lang w:val="en-GB"/>
        </w:rPr>
        <w:t>Our</w:t>
      </w:r>
      <w:r w:rsidR="00AD517E" w:rsidRPr="00A33264">
        <w:rPr>
          <w:lang w:val="en-GB"/>
        </w:rPr>
        <w:t xml:space="preserve"> o</w:t>
      </w:r>
      <w:r w:rsidR="00E16083" w:rsidRPr="00A33264">
        <w:rPr>
          <w:lang w:val="en-GB"/>
        </w:rPr>
        <w:t>utcome</w:t>
      </w:r>
      <w:bookmarkEnd w:id="47"/>
      <w:bookmarkEnd w:id="48"/>
      <w:bookmarkEnd w:id="49"/>
      <w:bookmarkEnd w:id="50"/>
    </w:p>
    <w:p w14:paraId="10219DD2" w14:textId="47C24F0D" w:rsidR="00E16083" w:rsidRPr="00A33264" w:rsidRDefault="00C85E29" w:rsidP="00E16083">
      <w:pPr>
        <w:pStyle w:val="NormalWeb"/>
        <w:shd w:val="clear" w:color="auto" w:fill="FFFFFF"/>
        <w:spacing w:before="0" w:beforeAutospacing="0" w:after="200" w:afterAutospacing="0" w:line="288" w:lineRule="auto"/>
        <w:rPr>
          <w:rFonts w:asciiTheme="minorHAnsi" w:hAnsiTheme="minorHAnsi" w:cstheme="minorHAnsi"/>
          <w:color w:val="000000" w:themeColor="accent6"/>
          <w:lang w:val="en-GB"/>
        </w:rPr>
      </w:pPr>
      <w:r>
        <w:rPr>
          <w:rFonts w:asciiTheme="minorHAnsi" w:hAnsiTheme="minorHAnsi" w:cstheme="minorHAnsi"/>
          <w:color w:val="000000" w:themeColor="accent6"/>
          <w:lang w:val="en-GB"/>
        </w:rPr>
        <w:t xml:space="preserve">As outlined in the </w:t>
      </w:r>
      <w:r w:rsidR="002A5677">
        <w:rPr>
          <w:rFonts w:asciiTheme="minorHAnsi" w:hAnsiTheme="minorHAnsi" w:cstheme="minorHAnsi"/>
          <w:color w:val="000000" w:themeColor="accent6"/>
          <w:lang w:val="en-GB"/>
        </w:rPr>
        <w:t xml:space="preserve">NDIA </w:t>
      </w:r>
      <w:r>
        <w:rPr>
          <w:rFonts w:asciiTheme="minorHAnsi" w:hAnsiTheme="minorHAnsi" w:cstheme="minorHAnsi"/>
          <w:color w:val="000000" w:themeColor="accent6"/>
          <w:lang w:val="en-GB"/>
        </w:rPr>
        <w:t>Corporate Plan</w:t>
      </w:r>
      <w:r w:rsidR="002A5677">
        <w:rPr>
          <w:rFonts w:asciiTheme="minorHAnsi" w:hAnsiTheme="minorHAnsi" w:cstheme="minorHAnsi"/>
          <w:color w:val="000000" w:themeColor="accent6"/>
          <w:lang w:val="en-GB"/>
        </w:rPr>
        <w:t xml:space="preserve"> 2023</w:t>
      </w:r>
      <w:r w:rsidR="00D05B22">
        <w:rPr>
          <w:rFonts w:asciiTheme="minorHAnsi" w:eastAsia="Symbol" w:hAnsiTheme="minorHAnsi" w:cstheme="minorHAnsi"/>
          <w:color w:val="000000" w:themeColor="accent6"/>
          <w:lang w:val="en-GB"/>
        </w:rPr>
        <w:sym w:font="Symbol" w:char="F02D"/>
      </w:r>
      <w:r w:rsidR="00D05B22">
        <w:rPr>
          <w:rFonts w:asciiTheme="minorHAnsi" w:hAnsiTheme="minorHAnsi" w:cstheme="minorHAnsi"/>
          <w:color w:val="000000" w:themeColor="accent6"/>
          <w:lang w:val="en-GB"/>
        </w:rPr>
        <w:t xml:space="preserve">2027, </w:t>
      </w:r>
      <w:r>
        <w:rPr>
          <w:rFonts w:asciiTheme="minorHAnsi" w:hAnsiTheme="minorHAnsi" w:cstheme="minorHAnsi"/>
          <w:color w:val="000000" w:themeColor="accent6"/>
          <w:lang w:val="en-GB"/>
        </w:rPr>
        <w:t>t</w:t>
      </w:r>
      <w:r w:rsidRPr="00F86FC3">
        <w:rPr>
          <w:rFonts w:asciiTheme="minorHAnsi" w:hAnsiTheme="minorHAnsi"/>
          <w:color w:val="000000" w:themeColor="accent6"/>
        </w:rPr>
        <w:t xml:space="preserve">he </w:t>
      </w:r>
      <w:r>
        <w:rPr>
          <w:rFonts w:asciiTheme="minorHAnsi" w:hAnsiTheme="minorHAnsi" w:cstheme="minorHAnsi"/>
          <w:color w:val="000000" w:themeColor="accent6"/>
        </w:rPr>
        <w:t>NDIA</w:t>
      </w:r>
      <w:r w:rsidRPr="00C85E29">
        <w:rPr>
          <w:rFonts w:asciiTheme="minorHAnsi" w:hAnsiTheme="minorHAnsi" w:cstheme="minorHAnsi"/>
          <w:color w:val="000000" w:themeColor="accent6"/>
        </w:rPr>
        <w:t>’s</w:t>
      </w:r>
      <w:r w:rsidRPr="00F86FC3">
        <w:rPr>
          <w:rFonts w:asciiTheme="minorHAnsi" w:hAnsiTheme="minorHAnsi"/>
          <w:color w:val="000000" w:themeColor="accent6"/>
        </w:rPr>
        <w:t xml:space="preserve"> outcome </w:t>
      </w:r>
      <w:r w:rsidRPr="00C85E29">
        <w:rPr>
          <w:rFonts w:asciiTheme="minorHAnsi" w:hAnsiTheme="minorHAnsi" w:cstheme="minorHAnsi"/>
          <w:color w:val="000000" w:themeColor="accent6"/>
        </w:rPr>
        <w:t>is to implement</w:t>
      </w:r>
      <w:r w:rsidRPr="00F86FC3">
        <w:rPr>
          <w:rFonts w:asciiTheme="minorHAnsi" w:hAnsiTheme="minorHAnsi"/>
          <w:color w:val="000000" w:themeColor="accent6"/>
        </w:rPr>
        <w:t xml:space="preserve"> a</w:t>
      </w:r>
      <w:r w:rsidR="002A5677">
        <w:rPr>
          <w:rFonts w:asciiTheme="minorHAnsi" w:hAnsiTheme="minorHAnsi"/>
          <w:color w:val="000000" w:themeColor="accent6"/>
        </w:rPr>
        <w:t>n NDIS</w:t>
      </w:r>
      <w:r w:rsidRPr="00F86FC3">
        <w:rPr>
          <w:rFonts w:asciiTheme="minorHAnsi" w:hAnsiTheme="minorHAnsi"/>
          <w:color w:val="000000" w:themeColor="accent6"/>
        </w:rPr>
        <w:t xml:space="preserve"> that provides individual control and choice in the delivery of reasonable and necessary supports to improve the independence, social and economic participation of eligible people with disability, their families and carers, and associated referral services and activities.</w:t>
      </w:r>
    </w:p>
    <w:p w14:paraId="73C1519C" w14:textId="737A0FBA" w:rsidR="00E16083" w:rsidRPr="00A33264" w:rsidRDefault="00E16083" w:rsidP="00E16083">
      <w:pPr>
        <w:pStyle w:val="Heading3"/>
        <w:rPr>
          <w:lang w:val="en-GB"/>
        </w:rPr>
      </w:pPr>
      <w:bookmarkStart w:id="51" w:name="_Toc174354182"/>
      <w:bookmarkStart w:id="52" w:name="_Toc175316886"/>
      <w:bookmarkStart w:id="53" w:name="_Toc176786377"/>
      <w:bookmarkStart w:id="54" w:name="_Toc180505659"/>
      <w:r w:rsidRPr="00A33264">
        <w:rPr>
          <w:lang w:val="en-GB"/>
        </w:rPr>
        <w:t xml:space="preserve">Our </w:t>
      </w:r>
      <w:bookmarkEnd w:id="51"/>
      <w:r w:rsidR="00AD517E" w:rsidRPr="00A33264">
        <w:rPr>
          <w:lang w:val="en-GB"/>
        </w:rPr>
        <w:t>programs</w:t>
      </w:r>
      <w:bookmarkEnd w:id="52"/>
      <w:bookmarkEnd w:id="53"/>
      <w:bookmarkEnd w:id="54"/>
    </w:p>
    <w:p w14:paraId="3CA69DF3" w14:textId="385BF9DA" w:rsidR="005B7ABE" w:rsidRPr="00A33264" w:rsidRDefault="006526AA" w:rsidP="00A9438A">
      <w:pPr>
        <w:rPr>
          <w:lang w:val="en-GB"/>
        </w:rPr>
      </w:pPr>
      <w:r w:rsidRPr="00A33264">
        <w:rPr>
          <w:lang w:val="en-GB"/>
        </w:rPr>
        <w:t>The NDIA deliver</w:t>
      </w:r>
      <w:r w:rsidR="00905671">
        <w:rPr>
          <w:lang w:val="en-GB"/>
        </w:rPr>
        <w:t>s</w:t>
      </w:r>
      <w:r w:rsidRPr="00A33264">
        <w:rPr>
          <w:lang w:val="en-GB"/>
        </w:rPr>
        <w:t xml:space="preserve"> </w:t>
      </w:r>
      <w:r w:rsidR="00F742F9">
        <w:rPr>
          <w:lang w:val="en-GB"/>
        </w:rPr>
        <w:t>2</w:t>
      </w:r>
      <w:r w:rsidR="00F742F9" w:rsidRPr="00A33264">
        <w:rPr>
          <w:lang w:val="en-GB"/>
        </w:rPr>
        <w:t xml:space="preserve"> </w:t>
      </w:r>
      <w:r w:rsidRPr="00A33264">
        <w:rPr>
          <w:lang w:val="en-GB"/>
        </w:rPr>
        <w:t xml:space="preserve">programs that achieve the </w:t>
      </w:r>
      <w:r w:rsidR="00F742F9">
        <w:rPr>
          <w:lang w:val="en-GB"/>
        </w:rPr>
        <w:t>NDIA</w:t>
      </w:r>
      <w:r w:rsidR="00F742F9" w:rsidRPr="00A33264">
        <w:rPr>
          <w:lang w:val="en-GB"/>
        </w:rPr>
        <w:t xml:space="preserve">’s </w:t>
      </w:r>
      <w:r w:rsidRPr="00A33264">
        <w:rPr>
          <w:lang w:val="en-GB"/>
        </w:rPr>
        <w:t>outcome.</w:t>
      </w:r>
    </w:p>
    <w:p w14:paraId="7F43A10A" w14:textId="6DB9FB9F" w:rsidR="00E16083" w:rsidRPr="00A33264" w:rsidRDefault="00AD517E" w:rsidP="00763AF2">
      <w:pPr>
        <w:rPr>
          <w:b/>
          <w:bCs/>
          <w:lang w:val="en-GB"/>
        </w:rPr>
      </w:pPr>
      <w:r w:rsidRPr="00A33264">
        <w:rPr>
          <w:b/>
          <w:bCs/>
          <w:lang w:val="en-GB"/>
        </w:rPr>
        <w:lastRenderedPageBreak/>
        <w:t>Pr</w:t>
      </w:r>
      <w:r w:rsidR="00E16083" w:rsidRPr="00A33264">
        <w:rPr>
          <w:b/>
          <w:bCs/>
          <w:lang w:val="en-GB"/>
        </w:rPr>
        <w:t xml:space="preserve">ogram 1.1 Reasonable and </w:t>
      </w:r>
      <w:r w:rsidR="002A5677">
        <w:rPr>
          <w:b/>
          <w:bCs/>
          <w:lang w:val="en-GB"/>
        </w:rPr>
        <w:t>n</w:t>
      </w:r>
      <w:r w:rsidR="00E16083" w:rsidRPr="00A33264">
        <w:rPr>
          <w:b/>
          <w:bCs/>
          <w:lang w:val="en-GB"/>
        </w:rPr>
        <w:t xml:space="preserve">ecessary </w:t>
      </w:r>
      <w:r w:rsidR="002A5677">
        <w:rPr>
          <w:b/>
          <w:bCs/>
          <w:lang w:val="en-GB"/>
        </w:rPr>
        <w:t>s</w:t>
      </w:r>
      <w:r w:rsidR="00E16083" w:rsidRPr="00A33264">
        <w:rPr>
          <w:b/>
          <w:bCs/>
          <w:lang w:val="en-GB"/>
        </w:rPr>
        <w:t xml:space="preserve">upports for </w:t>
      </w:r>
      <w:r w:rsidR="002A5677">
        <w:rPr>
          <w:b/>
          <w:bCs/>
          <w:lang w:val="en-GB"/>
        </w:rPr>
        <w:t>p</w:t>
      </w:r>
      <w:r w:rsidR="00E16083" w:rsidRPr="00A33264">
        <w:rPr>
          <w:b/>
          <w:bCs/>
          <w:lang w:val="en-GB"/>
        </w:rPr>
        <w:t>articipants</w:t>
      </w:r>
    </w:p>
    <w:p w14:paraId="6086005B" w14:textId="65E65C94" w:rsidR="00E16083" w:rsidRPr="00A33264" w:rsidRDefault="002A5677" w:rsidP="00E16083">
      <w:pPr>
        <w:pStyle w:val="NormalWeb"/>
        <w:shd w:val="clear" w:color="auto" w:fill="FFFFFF"/>
        <w:spacing w:before="0" w:beforeAutospacing="0" w:after="200" w:afterAutospacing="0" w:line="288" w:lineRule="auto"/>
        <w:rPr>
          <w:rFonts w:asciiTheme="minorHAnsi" w:hAnsiTheme="minorHAnsi" w:cstheme="minorHAnsi"/>
          <w:color w:val="000000" w:themeColor="accent6"/>
          <w:lang w:val="en-GB"/>
        </w:rPr>
      </w:pPr>
      <w:r>
        <w:rPr>
          <w:rFonts w:asciiTheme="minorHAnsi" w:hAnsiTheme="minorHAnsi" w:cstheme="minorHAnsi"/>
          <w:color w:val="000000" w:themeColor="accent6"/>
          <w:lang w:val="en-GB"/>
        </w:rPr>
        <w:t>P</w:t>
      </w:r>
      <w:r w:rsidR="00E16083" w:rsidRPr="00A33264">
        <w:rPr>
          <w:rFonts w:asciiTheme="minorHAnsi" w:hAnsiTheme="minorHAnsi" w:cstheme="minorHAnsi"/>
          <w:color w:val="000000" w:themeColor="accent6"/>
          <w:lang w:val="en-GB"/>
        </w:rPr>
        <w:t xml:space="preserve">rogram </w:t>
      </w:r>
      <w:r>
        <w:rPr>
          <w:rFonts w:asciiTheme="minorHAnsi" w:hAnsiTheme="minorHAnsi" w:cstheme="minorHAnsi"/>
          <w:color w:val="000000" w:themeColor="accent6"/>
          <w:lang w:val="en-GB"/>
        </w:rPr>
        <w:t xml:space="preserve">1.1 </w:t>
      </w:r>
      <w:r w:rsidR="00E16083" w:rsidRPr="00A33264">
        <w:rPr>
          <w:rFonts w:asciiTheme="minorHAnsi" w:hAnsiTheme="minorHAnsi" w:cstheme="minorHAnsi"/>
          <w:color w:val="000000" w:themeColor="accent6"/>
          <w:lang w:val="en-GB"/>
        </w:rPr>
        <w:t>provide</w:t>
      </w:r>
      <w:r w:rsidR="006526AA" w:rsidRPr="00A33264">
        <w:rPr>
          <w:rFonts w:asciiTheme="minorHAnsi" w:hAnsiTheme="minorHAnsi" w:cstheme="minorHAnsi"/>
          <w:color w:val="000000" w:themeColor="accent6"/>
          <w:lang w:val="en-GB"/>
        </w:rPr>
        <w:t>s</w:t>
      </w:r>
      <w:r w:rsidR="00E16083" w:rsidRPr="00A33264">
        <w:rPr>
          <w:rFonts w:asciiTheme="minorHAnsi" w:hAnsiTheme="minorHAnsi" w:cstheme="minorHAnsi"/>
          <w:color w:val="000000" w:themeColor="accent6"/>
          <w:lang w:val="en-GB"/>
        </w:rPr>
        <w:t xml:space="preserve"> funding for reasonable and necessary supports to eligible people with disability through consistent, high-quality plans</w:t>
      </w:r>
      <w:r w:rsidR="005D5631">
        <w:rPr>
          <w:rFonts w:asciiTheme="minorHAnsi" w:hAnsiTheme="minorHAnsi" w:cstheme="minorHAnsi"/>
          <w:color w:val="000000" w:themeColor="accent6"/>
          <w:lang w:val="en-GB"/>
        </w:rPr>
        <w:t>,</w:t>
      </w:r>
      <w:r w:rsidR="00D114BE">
        <w:rPr>
          <w:rFonts w:asciiTheme="minorHAnsi" w:hAnsiTheme="minorHAnsi" w:cstheme="minorHAnsi"/>
          <w:color w:val="000000" w:themeColor="accent6"/>
          <w:lang w:val="en-GB"/>
        </w:rPr>
        <w:t xml:space="preserve"> and to ensure they are in control and have choices to appropriately support their independence and social and economic participation.</w:t>
      </w:r>
      <w:r>
        <w:rPr>
          <w:rFonts w:asciiTheme="minorHAnsi" w:hAnsiTheme="minorHAnsi" w:cstheme="minorHAnsi"/>
          <w:color w:val="000000" w:themeColor="accent6"/>
          <w:lang w:val="en-GB"/>
        </w:rPr>
        <w:t xml:space="preserve"> </w:t>
      </w:r>
      <w:r w:rsidR="00E16083" w:rsidRPr="00A33264">
        <w:rPr>
          <w:rFonts w:asciiTheme="minorHAnsi" w:hAnsiTheme="minorHAnsi" w:cstheme="minorHAnsi"/>
          <w:color w:val="000000" w:themeColor="accent6"/>
          <w:lang w:val="en-GB"/>
        </w:rPr>
        <w:t>This program contributes to the</w:t>
      </w:r>
      <w:r w:rsidR="006526AA" w:rsidRPr="00A33264">
        <w:rPr>
          <w:rFonts w:asciiTheme="minorHAnsi" w:hAnsiTheme="minorHAnsi" w:cstheme="minorHAnsi"/>
          <w:color w:val="000000" w:themeColor="accent6"/>
          <w:lang w:val="en-GB"/>
        </w:rPr>
        <w:t xml:space="preserve"> </w:t>
      </w:r>
      <w:r w:rsidR="00E16083" w:rsidRPr="00A33264">
        <w:rPr>
          <w:rFonts w:asciiTheme="minorHAnsi" w:hAnsiTheme="minorHAnsi" w:cstheme="minorHAnsi"/>
          <w:color w:val="000000" w:themeColor="accent6"/>
          <w:lang w:val="en-GB"/>
        </w:rPr>
        <w:t xml:space="preserve">outcome by </w:t>
      </w:r>
      <w:r w:rsidR="00CE35DE">
        <w:rPr>
          <w:rFonts w:asciiTheme="minorHAnsi" w:hAnsiTheme="minorHAnsi" w:cstheme="minorHAnsi"/>
          <w:color w:val="000000" w:themeColor="accent6"/>
          <w:lang w:val="en-GB"/>
        </w:rPr>
        <w:t xml:space="preserve">the </w:t>
      </w:r>
      <w:r>
        <w:rPr>
          <w:rFonts w:asciiTheme="minorHAnsi" w:hAnsiTheme="minorHAnsi" w:cstheme="minorHAnsi"/>
          <w:color w:val="000000" w:themeColor="accent6"/>
          <w:lang w:val="en-GB"/>
        </w:rPr>
        <w:t>deliver</w:t>
      </w:r>
      <w:r w:rsidR="00CE35DE">
        <w:rPr>
          <w:rFonts w:asciiTheme="minorHAnsi" w:hAnsiTheme="minorHAnsi" w:cstheme="minorHAnsi"/>
          <w:color w:val="000000" w:themeColor="accent6"/>
          <w:lang w:val="en-GB"/>
        </w:rPr>
        <w:t>y of</w:t>
      </w:r>
      <w:r w:rsidR="00E16083" w:rsidRPr="00A33264">
        <w:rPr>
          <w:rFonts w:asciiTheme="minorHAnsi" w:hAnsiTheme="minorHAnsi" w:cstheme="minorHAnsi"/>
          <w:color w:val="000000" w:themeColor="accent6"/>
          <w:lang w:val="en-GB"/>
        </w:rPr>
        <w:t xml:space="preserve"> financially sustainable funding for participants’ reasonable supports, enabling participants to source services in their plans to pursue their goals.</w:t>
      </w:r>
    </w:p>
    <w:p w14:paraId="0FC8897D" w14:textId="0ADF2F4D" w:rsidR="00E16083" w:rsidRPr="00A33264" w:rsidRDefault="00AD517E" w:rsidP="00763AF2">
      <w:pPr>
        <w:rPr>
          <w:b/>
          <w:bCs/>
          <w:lang w:val="en-GB"/>
        </w:rPr>
      </w:pPr>
      <w:r w:rsidRPr="00A33264">
        <w:rPr>
          <w:b/>
          <w:bCs/>
          <w:lang w:val="en-GB"/>
        </w:rPr>
        <w:t>P</w:t>
      </w:r>
      <w:r w:rsidR="00E16083" w:rsidRPr="00A33264">
        <w:rPr>
          <w:b/>
          <w:bCs/>
          <w:lang w:val="en-GB"/>
        </w:rPr>
        <w:t xml:space="preserve">rogram 1.2 Agency </w:t>
      </w:r>
      <w:r w:rsidR="002A5677">
        <w:rPr>
          <w:b/>
          <w:bCs/>
          <w:lang w:val="en-GB"/>
        </w:rPr>
        <w:t>c</w:t>
      </w:r>
      <w:r w:rsidR="00E16083" w:rsidRPr="00A33264">
        <w:rPr>
          <w:b/>
          <w:bCs/>
          <w:lang w:val="en-GB"/>
        </w:rPr>
        <w:t>osts</w:t>
      </w:r>
    </w:p>
    <w:p w14:paraId="1B4F3F81" w14:textId="332CD29C" w:rsidR="00E16083" w:rsidRDefault="002A5677" w:rsidP="00E16083">
      <w:pPr>
        <w:pStyle w:val="NormalWeb"/>
        <w:shd w:val="clear" w:color="auto" w:fill="FFFFFF"/>
        <w:spacing w:before="0" w:beforeAutospacing="0" w:after="200" w:afterAutospacing="0" w:line="288" w:lineRule="auto"/>
        <w:rPr>
          <w:rFonts w:asciiTheme="minorHAnsi" w:hAnsiTheme="minorHAnsi" w:cstheme="minorHAnsi"/>
          <w:color w:val="000000" w:themeColor="accent6"/>
          <w:lang w:val="en-GB"/>
        </w:rPr>
      </w:pPr>
      <w:r>
        <w:rPr>
          <w:rFonts w:asciiTheme="minorHAnsi" w:hAnsiTheme="minorHAnsi" w:cstheme="minorHAnsi"/>
          <w:color w:val="000000" w:themeColor="accent6"/>
          <w:lang w:val="en-GB"/>
        </w:rPr>
        <w:t>P</w:t>
      </w:r>
      <w:r w:rsidR="00E16083" w:rsidRPr="00A33264">
        <w:rPr>
          <w:rFonts w:asciiTheme="minorHAnsi" w:hAnsiTheme="minorHAnsi" w:cstheme="minorHAnsi"/>
          <w:color w:val="000000" w:themeColor="accent6"/>
          <w:lang w:val="en-GB"/>
        </w:rPr>
        <w:t>rogram</w:t>
      </w:r>
      <w:r>
        <w:rPr>
          <w:rFonts w:asciiTheme="minorHAnsi" w:hAnsiTheme="minorHAnsi" w:cstheme="minorHAnsi"/>
          <w:color w:val="000000" w:themeColor="accent6"/>
          <w:lang w:val="en-GB"/>
        </w:rPr>
        <w:t xml:space="preserve"> 1.2</w:t>
      </w:r>
      <w:r w:rsidR="00E16083" w:rsidRPr="00A33264">
        <w:rPr>
          <w:rFonts w:asciiTheme="minorHAnsi" w:hAnsiTheme="minorHAnsi" w:cstheme="minorHAnsi"/>
          <w:color w:val="000000" w:themeColor="accent6"/>
          <w:lang w:val="en-GB"/>
        </w:rPr>
        <w:t xml:space="preserve"> ensures efficient and effective use of NDIA operating resources to </w:t>
      </w:r>
      <w:r w:rsidR="00216313">
        <w:rPr>
          <w:rFonts w:asciiTheme="minorHAnsi" w:hAnsiTheme="minorHAnsi" w:cstheme="minorHAnsi"/>
          <w:color w:val="000000" w:themeColor="accent6"/>
          <w:lang w:val="en-GB"/>
        </w:rPr>
        <w:t>implement</w:t>
      </w:r>
      <w:r w:rsidR="00A50D1B" w:rsidRPr="00A33264">
        <w:rPr>
          <w:rFonts w:asciiTheme="minorHAnsi" w:hAnsiTheme="minorHAnsi" w:cstheme="minorHAnsi"/>
          <w:color w:val="000000" w:themeColor="accent6"/>
          <w:lang w:val="en-GB"/>
        </w:rPr>
        <w:t xml:space="preserve"> </w:t>
      </w:r>
      <w:r w:rsidR="00E16083" w:rsidRPr="00A33264">
        <w:rPr>
          <w:rFonts w:asciiTheme="minorHAnsi" w:hAnsiTheme="minorHAnsi" w:cstheme="minorHAnsi"/>
          <w:color w:val="000000" w:themeColor="accent6"/>
          <w:lang w:val="en-GB"/>
        </w:rPr>
        <w:t xml:space="preserve">the outcomes of the NDIA. </w:t>
      </w:r>
      <w:r w:rsidR="00A50D1B">
        <w:rPr>
          <w:rFonts w:asciiTheme="minorHAnsi" w:hAnsiTheme="minorHAnsi" w:cstheme="minorHAnsi"/>
          <w:color w:val="000000" w:themeColor="accent6"/>
          <w:lang w:val="en-GB"/>
        </w:rPr>
        <w:t>It</w:t>
      </w:r>
      <w:r w:rsidR="00E16083" w:rsidRPr="00A33264">
        <w:rPr>
          <w:rFonts w:asciiTheme="minorHAnsi" w:hAnsiTheme="minorHAnsi" w:cstheme="minorHAnsi"/>
          <w:color w:val="000000" w:themeColor="accent6"/>
          <w:lang w:val="en-GB"/>
        </w:rPr>
        <w:t xml:space="preserve"> contributes to the </w:t>
      </w:r>
      <w:r w:rsidR="00E86C7D" w:rsidRPr="00A33264">
        <w:rPr>
          <w:rFonts w:asciiTheme="minorHAnsi" w:hAnsiTheme="minorHAnsi" w:cstheme="minorHAnsi"/>
          <w:color w:val="000000" w:themeColor="accent6"/>
          <w:lang w:val="en-GB"/>
        </w:rPr>
        <w:t xml:space="preserve">NDIA’s </w:t>
      </w:r>
      <w:r w:rsidR="00E16083" w:rsidRPr="00A33264">
        <w:rPr>
          <w:rFonts w:asciiTheme="minorHAnsi" w:hAnsiTheme="minorHAnsi" w:cstheme="minorHAnsi"/>
          <w:color w:val="000000" w:themeColor="accent6"/>
          <w:lang w:val="en-GB"/>
        </w:rPr>
        <w:t xml:space="preserve">outcome because it enables the delivery of the </w:t>
      </w:r>
      <w:r w:rsidR="001708A8">
        <w:rPr>
          <w:rFonts w:asciiTheme="minorHAnsi" w:hAnsiTheme="minorHAnsi" w:cstheme="minorHAnsi"/>
          <w:color w:val="000000" w:themeColor="accent6"/>
          <w:lang w:val="en-GB"/>
        </w:rPr>
        <w:t>NDIS</w:t>
      </w:r>
      <w:r w:rsidR="00E16083" w:rsidRPr="00A33264">
        <w:rPr>
          <w:rFonts w:asciiTheme="minorHAnsi" w:hAnsiTheme="minorHAnsi" w:cstheme="minorHAnsi"/>
          <w:color w:val="000000" w:themeColor="accent6"/>
          <w:lang w:val="en-GB"/>
        </w:rPr>
        <w:t xml:space="preserve">. The </w:t>
      </w:r>
      <w:r w:rsidR="00E86C7D" w:rsidRPr="00A33264">
        <w:rPr>
          <w:rFonts w:asciiTheme="minorHAnsi" w:hAnsiTheme="minorHAnsi" w:cstheme="minorHAnsi"/>
          <w:color w:val="000000" w:themeColor="accent6"/>
          <w:lang w:val="en-GB"/>
        </w:rPr>
        <w:t xml:space="preserve">NDIA </w:t>
      </w:r>
      <w:r w:rsidR="00E16083" w:rsidRPr="00A33264">
        <w:rPr>
          <w:rFonts w:asciiTheme="minorHAnsi" w:hAnsiTheme="minorHAnsi" w:cstheme="minorHAnsi"/>
          <w:color w:val="000000" w:themeColor="accent6"/>
          <w:lang w:val="en-GB"/>
        </w:rPr>
        <w:t xml:space="preserve">is responsible for assessing applicants to the </w:t>
      </w:r>
      <w:r w:rsidR="001708A8">
        <w:rPr>
          <w:rFonts w:asciiTheme="minorHAnsi" w:hAnsiTheme="minorHAnsi" w:cstheme="minorHAnsi"/>
          <w:color w:val="000000" w:themeColor="accent6"/>
          <w:lang w:val="en-GB"/>
        </w:rPr>
        <w:t>NDIS</w:t>
      </w:r>
      <w:r w:rsidR="00A50D1B">
        <w:rPr>
          <w:rFonts w:asciiTheme="minorHAnsi" w:hAnsiTheme="minorHAnsi" w:cstheme="minorHAnsi"/>
          <w:color w:val="000000" w:themeColor="accent6"/>
          <w:lang w:val="en-GB"/>
        </w:rPr>
        <w:t>;</w:t>
      </w:r>
      <w:r w:rsidR="00E16083" w:rsidRPr="00A33264">
        <w:rPr>
          <w:rFonts w:asciiTheme="minorHAnsi" w:hAnsiTheme="minorHAnsi" w:cstheme="minorHAnsi"/>
          <w:color w:val="000000" w:themeColor="accent6"/>
          <w:lang w:val="en-GB"/>
        </w:rPr>
        <w:t xml:space="preserve"> developing plans, for those who are eligible, in a manner that is based on insurance principles</w:t>
      </w:r>
      <w:r w:rsidR="00A50D1B">
        <w:rPr>
          <w:rFonts w:asciiTheme="minorHAnsi" w:hAnsiTheme="minorHAnsi" w:cstheme="minorHAnsi"/>
          <w:color w:val="000000" w:themeColor="accent6"/>
          <w:lang w:val="en-GB"/>
        </w:rPr>
        <w:t>;</w:t>
      </w:r>
      <w:r w:rsidR="00E16083" w:rsidRPr="00A33264">
        <w:rPr>
          <w:rFonts w:asciiTheme="minorHAnsi" w:hAnsiTheme="minorHAnsi" w:cstheme="minorHAnsi"/>
          <w:color w:val="000000" w:themeColor="accent6"/>
          <w:lang w:val="en-GB"/>
        </w:rPr>
        <w:t xml:space="preserve"> and administering the payments made under Program 1.1.</w:t>
      </w:r>
    </w:p>
    <w:p w14:paraId="781143A9" w14:textId="77777777" w:rsidR="00574B05" w:rsidRPr="00A33264" w:rsidRDefault="00574B05" w:rsidP="00574B05">
      <w:pPr>
        <w:pStyle w:val="Heading3"/>
        <w:rPr>
          <w:lang w:val="en-GB"/>
        </w:rPr>
      </w:pPr>
      <w:bookmarkStart w:id="55" w:name="_Toc176786378"/>
      <w:bookmarkStart w:id="56" w:name="_Toc180505660"/>
      <w:r w:rsidRPr="00A33264">
        <w:rPr>
          <w:lang w:val="en-GB"/>
        </w:rPr>
        <w:t>Context for this report</w:t>
      </w:r>
      <w:bookmarkEnd w:id="55"/>
      <w:bookmarkEnd w:id="56"/>
    </w:p>
    <w:p w14:paraId="495DB0E4" w14:textId="2C49C2F9" w:rsidR="00574B05" w:rsidRPr="00A33264" w:rsidRDefault="00905671" w:rsidP="00574B05">
      <w:pPr>
        <w:rPr>
          <w:lang w:val="en-GB"/>
        </w:rPr>
      </w:pPr>
      <w:r>
        <w:rPr>
          <w:lang w:val="en-GB"/>
        </w:rPr>
        <w:t>T</w:t>
      </w:r>
      <w:r w:rsidR="00574B05" w:rsidRPr="00A33264">
        <w:rPr>
          <w:lang w:val="en-GB"/>
        </w:rPr>
        <w:t>he NDIA is subject to the Commonwealth Performance Framework. This annual report is a key element of the framework. The annual report incorporates the NDIA’s performance statements and audited financial statements, which report respectively on our non-financial and financial results. Under the framework, the NDIA also publishes an annual corporate plan, which is our primary non-financial planning document.</w:t>
      </w:r>
    </w:p>
    <w:p w14:paraId="4EDE5763" w14:textId="24C98E1F" w:rsidR="00574B05" w:rsidRPr="00A33264" w:rsidRDefault="00574B05" w:rsidP="00574B05">
      <w:pPr>
        <w:rPr>
          <w:lang w:val="en-GB"/>
        </w:rPr>
      </w:pPr>
      <w:r w:rsidRPr="00A33264">
        <w:rPr>
          <w:lang w:val="en-GB"/>
        </w:rPr>
        <w:t xml:space="preserve">The NDIA also provides detailed quarterly reports to the Disability Reform Ministerial Council (Ministerial Council) that outline NDIS performance as required under the NDIS Act. All </w:t>
      </w:r>
      <w:r w:rsidR="00F742F9">
        <w:rPr>
          <w:lang w:val="en-GB"/>
        </w:rPr>
        <w:t xml:space="preserve">of these </w:t>
      </w:r>
      <w:r w:rsidRPr="00A33264">
        <w:rPr>
          <w:lang w:val="en-GB"/>
        </w:rPr>
        <w:t xml:space="preserve">reports are available on the NDIS website. </w:t>
      </w:r>
    </w:p>
    <w:p w14:paraId="076AA17D" w14:textId="77777777" w:rsidR="00CD66A8" w:rsidRPr="00A33264" w:rsidRDefault="00CD66A8" w:rsidP="005921BC">
      <w:pPr>
        <w:pStyle w:val="Heading2"/>
        <w:rPr>
          <w:lang w:val="en-GB"/>
        </w:rPr>
        <w:sectPr w:rsidR="00CD66A8" w:rsidRPr="00A33264" w:rsidSect="00F67217">
          <w:headerReference w:type="default" r:id="rId19"/>
          <w:footerReference w:type="default" r:id="rId20"/>
          <w:headerReference w:type="first" r:id="rId21"/>
          <w:footerReference w:type="first" r:id="rId22"/>
          <w:pgSz w:w="11906" w:h="16838" w:code="9"/>
          <w:pgMar w:top="1361" w:right="1361" w:bottom="1361" w:left="1361" w:header="561" w:footer="374" w:gutter="0"/>
          <w:cols w:space="708"/>
          <w:titlePg/>
          <w:docGrid w:linePitch="360"/>
        </w:sectPr>
      </w:pPr>
      <w:bookmarkStart w:id="57" w:name="_Toc169592959"/>
      <w:bookmarkStart w:id="58" w:name="_Toc174354184"/>
      <w:bookmarkStart w:id="59" w:name="_Toc174354229"/>
    </w:p>
    <w:p w14:paraId="1AB0F6A1" w14:textId="6F94FF85" w:rsidR="000D3DCF" w:rsidRPr="00BB40DF" w:rsidRDefault="000D3DCF" w:rsidP="00BB40DF">
      <w:pPr>
        <w:pStyle w:val="Heading2"/>
      </w:pPr>
      <w:bookmarkStart w:id="60" w:name="_Toc175316887"/>
      <w:bookmarkStart w:id="61" w:name="_Toc176786379"/>
      <w:bookmarkStart w:id="62" w:name="_Toc176849739"/>
      <w:bookmarkStart w:id="63" w:name="_Toc180505661"/>
      <w:bookmarkStart w:id="64" w:name="_Toc169592963"/>
      <w:bookmarkStart w:id="65" w:name="_Toc174354188"/>
      <w:bookmarkStart w:id="66" w:name="_Toc174354230"/>
      <w:bookmarkEnd w:id="57"/>
      <w:bookmarkEnd w:id="58"/>
      <w:bookmarkEnd w:id="59"/>
      <w:r w:rsidRPr="00BB40DF">
        <w:lastRenderedPageBreak/>
        <w:t>NDIA annual performance statements</w:t>
      </w:r>
      <w:bookmarkEnd w:id="60"/>
      <w:bookmarkEnd w:id="61"/>
      <w:bookmarkEnd w:id="62"/>
      <w:bookmarkEnd w:id="63"/>
    </w:p>
    <w:p w14:paraId="11F2490C" w14:textId="77777777" w:rsidR="000D3DCF" w:rsidRPr="00BB40DF" w:rsidRDefault="000D3DCF" w:rsidP="00BB40DF">
      <w:pPr>
        <w:pStyle w:val="Heading3"/>
      </w:pPr>
      <w:bookmarkStart w:id="67" w:name="_Toc176786380"/>
      <w:bookmarkStart w:id="68" w:name="_Toc176849740"/>
      <w:bookmarkStart w:id="69" w:name="_Toc180505662"/>
      <w:r w:rsidRPr="00BB40DF">
        <w:t>Statement of preparation</w:t>
      </w:r>
      <w:bookmarkEnd w:id="67"/>
      <w:bookmarkEnd w:id="68"/>
      <w:bookmarkEnd w:id="69"/>
    </w:p>
    <w:p w14:paraId="16E8FA93" w14:textId="77777777" w:rsidR="000D3DCF" w:rsidRPr="009C34F0" w:rsidRDefault="000D3DCF" w:rsidP="00AE6762">
      <w:pPr>
        <w:rPr>
          <w:lang w:val="en-GB"/>
        </w:rPr>
      </w:pPr>
      <w:r w:rsidRPr="009C34F0">
        <w:rPr>
          <w:lang w:val="en-GB"/>
        </w:rPr>
        <w:t xml:space="preserve">I, Kurt Fearnley, as the Chair of the National Disability Insurance Agency Board, the Accountable Authority of the National Disability Insurance Agency (NDIA), present the NDIA annual performance statements for 2023–24 reporting period, as required under paragraph 39(1)(a) of the </w:t>
      </w:r>
      <w:r w:rsidRPr="009C34F0">
        <w:rPr>
          <w:i/>
          <w:iCs/>
          <w:lang w:val="en-GB"/>
        </w:rPr>
        <w:t>Public Governance, Performance and Accountability Act 2013</w:t>
      </w:r>
      <w:r w:rsidRPr="009C34F0">
        <w:rPr>
          <w:lang w:val="en-GB"/>
        </w:rPr>
        <w:t xml:space="preserve"> (PGPA Act). </w:t>
      </w:r>
    </w:p>
    <w:p w14:paraId="02E18923" w14:textId="77777777" w:rsidR="000D3DCF" w:rsidRPr="009C34F0" w:rsidRDefault="000D3DCF" w:rsidP="00AE6762">
      <w:pPr>
        <w:rPr>
          <w:lang w:val="en-GB"/>
        </w:rPr>
      </w:pPr>
      <w:r w:rsidRPr="009C34F0">
        <w:rPr>
          <w:lang w:val="en-GB"/>
        </w:rPr>
        <w:t>In the opinion of the Board, these annual performance statements accurately present the performance of the NDIA in the reporting period and comply with subsection 39(2) of the PGPA Act and section 16F of the Public Governance, Performance and Accountability Rule 2014.</w:t>
      </w:r>
    </w:p>
    <w:p w14:paraId="2156ABE1" w14:textId="04AEC674" w:rsidR="000D3DCF" w:rsidRPr="009C34F0" w:rsidRDefault="00366EFA" w:rsidP="00AE6762">
      <w:pPr>
        <w:rPr>
          <w:lang w:val="en-GB"/>
        </w:rPr>
      </w:pPr>
      <w:r>
        <w:rPr>
          <w:noProof/>
        </w:rPr>
        <w:drawing>
          <wp:inline distT="0" distB="0" distL="0" distR="0" wp14:anchorId="3ED3513C" wp14:editId="44CAB2C6">
            <wp:extent cx="921715" cy="974993"/>
            <wp:effectExtent l="0" t="0" r="0" b="0"/>
            <wp:docPr id="1902349725" name="Picture 1" descr="Kurt Fearnle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49725" name="Picture 1" descr="Kurt Fearnley signature"/>
                    <pic:cNvPicPr/>
                  </pic:nvPicPr>
                  <pic:blipFill>
                    <a:blip r:embed="rId23"/>
                    <a:stretch>
                      <a:fillRect/>
                    </a:stretch>
                  </pic:blipFill>
                  <pic:spPr>
                    <a:xfrm>
                      <a:off x="0" y="0"/>
                      <a:ext cx="931267" cy="985098"/>
                    </a:xfrm>
                    <a:prstGeom prst="rect">
                      <a:avLst/>
                    </a:prstGeom>
                  </pic:spPr>
                </pic:pic>
              </a:graphicData>
            </a:graphic>
          </wp:inline>
        </w:drawing>
      </w:r>
    </w:p>
    <w:p w14:paraId="1F3030DD" w14:textId="3717E43D" w:rsidR="000D3DCF" w:rsidRPr="00247078" w:rsidRDefault="000D3DCF" w:rsidP="00247078">
      <w:r w:rsidRPr="009C34F0">
        <w:rPr>
          <w:lang w:val="en-GB"/>
        </w:rPr>
        <w:t>Chair, National Disability Insurance Agency</w:t>
      </w:r>
      <w:bookmarkStart w:id="70" w:name="_Toc169592961"/>
      <w:bookmarkStart w:id="71" w:name="_Toc174354186"/>
      <w:r>
        <w:rPr>
          <w:lang w:val="en-GB"/>
        </w:rPr>
        <w:br w:type="page"/>
      </w:r>
    </w:p>
    <w:p w14:paraId="16CF413D" w14:textId="77777777" w:rsidR="000D3DCF" w:rsidRPr="00BB40DF" w:rsidRDefault="000D3DCF" w:rsidP="00BB40DF">
      <w:pPr>
        <w:pStyle w:val="Heading3"/>
      </w:pPr>
      <w:bookmarkStart w:id="72" w:name="_Toc175316889"/>
      <w:bookmarkStart w:id="73" w:name="_Toc176786381"/>
      <w:bookmarkStart w:id="74" w:name="_Toc176849741"/>
      <w:bookmarkStart w:id="75" w:name="_Toc180505663"/>
      <w:r w:rsidRPr="00BB40DF">
        <w:lastRenderedPageBreak/>
        <w:t>Introduction</w:t>
      </w:r>
      <w:bookmarkEnd w:id="70"/>
      <w:bookmarkEnd w:id="71"/>
      <w:bookmarkEnd w:id="72"/>
      <w:bookmarkEnd w:id="73"/>
      <w:bookmarkEnd w:id="74"/>
      <w:bookmarkEnd w:id="75"/>
    </w:p>
    <w:p w14:paraId="2806886B" w14:textId="77777777" w:rsidR="000D3DCF" w:rsidRPr="00BB40DF" w:rsidRDefault="000D3DCF" w:rsidP="00BB40DF">
      <w:pPr>
        <w:pStyle w:val="Heading4"/>
      </w:pPr>
      <w:r w:rsidRPr="00BB40DF">
        <w:t>NDIA performance framework</w:t>
      </w:r>
    </w:p>
    <w:p w14:paraId="1DAC40BF" w14:textId="0DFC262D" w:rsidR="000D3DCF" w:rsidRPr="009C34F0" w:rsidRDefault="000D3DCF" w:rsidP="009B5EFC">
      <w:pPr>
        <w:rPr>
          <w:lang w:val="en-GB"/>
        </w:rPr>
      </w:pPr>
      <w:r w:rsidRPr="009C34F0">
        <w:t xml:space="preserve">The NDIA performance framework is based on the </w:t>
      </w:r>
      <w:r>
        <w:t>p</w:t>
      </w:r>
      <w:r w:rsidRPr="009C34F0">
        <w:t xml:space="preserve">lanning and </w:t>
      </w:r>
      <w:r>
        <w:t>r</w:t>
      </w:r>
      <w:r w:rsidRPr="009C34F0">
        <w:t xml:space="preserve">eporting obligations in the Commonwealth Resource Management Framework and the </w:t>
      </w:r>
      <w:r w:rsidRPr="00650775">
        <w:rPr>
          <w:i/>
          <w:iCs/>
        </w:rPr>
        <w:t>National Disability Insurance Scheme Act 2013</w:t>
      </w:r>
      <w:r>
        <w:t xml:space="preserve"> (Cth) (</w:t>
      </w:r>
      <w:r w:rsidRPr="009C34F0">
        <w:t>NDIS Act</w:t>
      </w:r>
      <w:r>
        <w:t>)</w:t>
      </w:r>
      <w:r w:rsidRPr="009C34F0">
        <w:t>. The NDIA performance framework has 4 key documents</w:t>
      </w:r>
      <w:r>
        <w:t>:</w:t>
      </w:r>
      <w:r w:rsidRPr="009C34F0">
        <w:t xml:space="preserve"> the Corporate Plan, the Portfolio Budget Statements, </w:t>
      </w:r>
      <w:r>
        <w:rPr>
          <w:rFonts w:eastAsia="DengXian"/>
        </w:rPr>
        <w:t>quarterly report</w:t>
      </w:r>
      <w:r w:rsidR="009E742A">
        <w:rPr>
          <w:rFonts w:eastAsia="DengXian"/>
        </w:rPr>
        <w:t>s</w:t>
      </w:r>
      <w:r>
        <w:rPr>
          <w:rFonts w:eastAsia="DengXian"/>
        </w:rPr>
        <w:t xml:space="preserve"> to the </w:t>
      </w:r>
      <w:r w:rsidRPr="00DB501F">
        <w:rPr>
          <w:rFonts w:eastAsia="DengXian"/>
        </w:rPr>
        <w:t>Ministerial Council</w:t>
      </w:r>
      <w:r>
        <w:rPr>
          <w:rFonts w:eastAsia="DengXian"/>
        </w:rPr>
        <w:t xml:space="preserve"> </w:t>
      </w:r>
      <w:r w:rsidRPr="009C34F0">
        <w:t xml:space="preserve">and the </w:t>
      </w:r>
      <w:r w:rsidRPr="003131F3">
        <w:rPr>
          <w:rFonts w:eastAsia="DengXian"/>
        </w:rPr>
        <w:t>Annual Report</w:t>
      </w:r>
      <w:r w:rsidRPr="009C34F0">
        <w:t xml:space="preserve"> (as outlined in Figure </w:t>
      </w:r>
      <w:r w:rsidR="00C74028">
        <w:t>1</w:t>
      </w:r>
      <w:r w:rsidRPr="009C34F0">
        <w:t xml:space="preserve">). </w:t>
      </w:r>
    </w:p>
    <w:p w14:paraId="743CAAFD" w14:textId="2596BF17" w:rsidR="000D3DCF" w:rsidRPr="009C34F0" w:rsidRDefault="000D3DCF" w:rsidP="001F5A8E">
      <w:pPr>
        <w:rPr>
          <w:u w:val="single"/>
          <w:lang w:val="en-GB"/>
        </w:rPr>
      </w:pPr>
      <w:r w:rsidRPr="009C34F0">
        <w:rPr>
          <w:u w:val="single"/>
          <w:lang w:val="en-GB"/>
        </w:rPr>
        <w:t xml:space="preserve">Figure </w:t>
      </w:r>
      <w:r w:rsidR="0035317C">
        <w:rPr>
          <w:u w:val="single"/>
          <w:lang w:val="en-GB"/>
        </w:rPr>
        <w:t>1</w:t>
      </w:r>
      <w:r w:rsidRPr="009C34F0">
        <w:rPr>
          <w:u w:val="single"/>
          <w:lang w:val="en-GB"/>
        </w:rPr>
        <w:t>: NDIA performance framework</w:t>
      </w:r>
    </w:p>
    <w:p w14:paraId="56789050" w14:textId="7712D68E" w:rsidR="000D3DCF" w:rsidRDefault="00460680" w:rsidP="003131F3">
      <w:pPr>
        <w:jc w:val="center"/>
        <w:rPr>
          <w:lang w:val="en-GB"/>
        </w:rPr>
      </w:pPr>
      <w:r>
        <w:rPr>
          <w:noProof/>
          <w:lang w:val="en-GB"/>
        </w:rPr>
        <w:drawing>
          <wp:inline distT="0" distB="0" distL="0" distR="0" wp14:anchorId="28BE09D6" wp14:editId="2A3DAB53">
            <wp:extent cx="5181600" cy="2897553"/>
            <wp:effectExtent l="0" t="0" r="0" b="0"/>
            <wp:docPr id="1065177826" name="Picture 1" descr="This figure demonstrates two phases of the framework; Planning and Reporting with activities aligned to each phase. The Planning phase includes; Portfolio Budget statements which sets out the funding for the NDIA, and the Corporate Plan which sets the strategic direction and the key activities to achieve the NDIA's purposes.&#10;The reporting phase includes Annual Report: annual performance statements, and Assess the extent to which the NDIA has achieved its purpose. The budget statements and corporate plan have arrows to the reporting content, assess the extent to which the NDIA has achieved its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77826" name="Picture 1" descr="This figure demonstrates two phases of the framework; Planning and Reporting with activities aligned to each phase. The Planning phase includes; Portfolio Budget statements which sets out the funding for the NDIA, and the Corporate Plan which sets the strategic direction and the key activities to achieve the NDIA's purposes.&#10;The reporting phase includes Annual Report: annual performance statements, and Assess the extent to which the NDIA has achieved its purpose. The budget statements and corporate plan have arrows to the reporting content, assess the extent to which the NDIA has achieved its purpose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86750" cy="2900433"/>
                    </a:xfrm>
                    <a:prstGeom prst="rect">
                      <a:avLst/>
                    </a:prstGeom>
                  </pic:spPr>
                </pic:pic>
              </a:graphicData>
            </a:graphic>
          </wp:inline>
        </w:drawing>
      </w:r>
    </w:p>
    <w:p w14:paraId="25E1F930" w14:textId="2ED930A4" w:rsidR="00211BA2" w:rsidRPr="00E90C5B" w:rsidRDefault="000E6604" w:rsidP="00D52F83">
      <w:r w:rsidRPr="00E90C5B">
        <w:t>The Australian National Audit Office (ANAO) has included the NDIA in their Performance Statement Audit program for the first time. Feedback has been reviewed and actions to address the recommendations ha</w:t>
      </w:r>
      <w:r w:rsidR="0072291B">
        <w:t>ve</w:t>
      </w:r>
      <w:r w:rsidRPr="00E90C5B">
        <w:t xml:space="preserve"> commenced.</w:t>
      </w:r>
    </w:p>
    <w:p w14:paraId="6A45362F" w14:textId="02F90282" w:rsidR="000D3DCF" w:rsidRPr="00BB40DF" w:rsidRDefault="000D3DCF" w:rsidP="00BB40DF">
      <w:pPr>
        <w:pStyle w:val="Heading4"/>
      </w:pPr>
      <w:r w:rsidRPr="00BB40DF">
        <w:t xml:space="preserve">Understanding </w:t>
      </w:r>
      <w:r w:rsidR="005F72DE">
        <w:t xml:space="preserve">the </w:t>
      </w:r>
      <w:r w:rsidRPr="00BB40DF">
        <w:t>NDIA</w:t>
      </w:r>
      <w:r w:rsidR="005F72DE">
        <w:t>’s</w:t>
      </w:r>
      <w:r w:rsidRPr="00BB40DF">
        <w:t xml:space="preserve"> performance information structure and content</w:t>
      </w:r>
    </w:p>
    <w:p w14:paraId="390E43D8" w14:textId="734D9A65" w:rsidR="00247078" w:rsidRDefault="000D3DCF" w:rsidP="00247078">
      <w:r w:rsidRPr="009C34F0">
        <w:t xml:space="preserve">The structure of the </w:t>
      </w:r>
      <w:r>
        <w:t>a</w:t>
      </w:r>
      <w:r w:rsidRPr="009C34F0">
        <w:t xml:space="preserve">nnual </w:t>
      </w:r>
      <w:r>
        <w:t>p</w:t>
      </w:r>
      <w:r w:rsidRPr="009C34F0">
        <w:t xml:space="preserve">erformance </w:t>
      </w:r>
      <w:r>
        <w:t>s</w:t>
      </w:r>
      <w:r w:rsidRPr="009C34F0">
        <w:t>tatements is consistent with the NDIA Corporate Plan 2023</w:t>
      </w:r>
      <w:r>
        <w:t>–20</w:t>
      </w:r>
      <w:r w:rsidRPr="009C34F0">
        <w:t xml:space="preserve">27 </w:t>
      </w:r>
      <w:r>
        <w:t>so that it clearly reports against</w:t>
      </w:r>
      <w:r w:rsidRPr="009C34F0">
        <w:t xml:space="preserve"> </w:t>
      </w:r>
      <w:r>
        <w:t>our</w:t>
      </w:r>
      <w:r w:rsidRPr="009C34F0">
        <w:t xml:space="preserve"> </w:t>
      </w:r>
      <w:r>
        <w:t xml:space="preserve">key </w:t>
      </w:r>
      <w:r w:rsidRPr="009C34F0">
        <w:t xml:space="preserve">activities to </w:t>
      </w:r>
      <w:r w:rsidRPr="0076354B">
        <w:t xml:space="preserve">achieve the NDIA’s purposes. The NDIA </w:t>
      </w:r>
      <w:r>
        <w:t>manages</w:t>
      </w:r>
      <w:r w:rsidRPr="0076354B">
        <w:t xml:space="preserve"> 2 </w:t>
      </w:r>
      <w:r>
        <w:t>p</w:t>
      </w:r>
      <w:r w:rsidRPr="0076354B">
        <w:t xml:space="preserve">rograms: Program 1.1 Reasonable and </w:t>
      </w:r>
      <w:r>
        <w:t>n</w:t>
      </w:r>
      <w:r w:rsidRPr="0076354B">
        <w:t xml:space="preserve">ecessary </w:t>
      </w:r>
      <w:r>
        <w:t>s</w:t>
      </w:r>
      <w:r w:rsidRPr="0076354B">
        <w:t xml:space="preserve">upports for </w:t>
      </w:r>
      <w:r>
        <w:t>p</w:t>
      </w:r>
      <w:r w:rsidRPr="0076354B">
        <w:t>articipants</w:t>
      </w:r>
      <w:r w:rsidR="00186CE7">
        <w:t>;</w:t>
      </w:r>
      <w:r w:rsidRPr="0076354B">
        <w:t xml:space="preserve"> and Program 1.2 Agency </w:t>
      </w:r>
      <w:r>
        <w:t>c</w:t>
      </w:r>
      <w:r w:rsidRPr="0076354B">
        <w:t>osts.</w:t>
      </w:r>
      <w:r w:rsidR="00247078">
        <w:br w:type="page"/>
      </w:r>
    </w:p>
    <w:p w14:paraId="3D4E04F1" w14:textId="3AD92FDF" w:rsidR="000D3DCF" w:rsidRPr="00F86FC3" w:rsidRDefault="000D3DCF" w:rsidP="003131F3">
      <w:pPr>
        <w:rPr>
          <w:highlight w:val="yellow"/>
        </w:rPr>
      </w:pPr>
      <w:r w:rsidRPr="009C34F0">
        <w:lastRenderedPageBreak/>
        <w:t xml:space="preserve">The NDIA </w:t>
      </w:r>
      <w:r>
        <w:t>operates as part of the Social Services Portfolio and contributes</w:t>
      </w:r>
      <w:r w:rsidRPr="009C34F0">
        <w:t xml:space="preserve"> to Outcome 3</w:t>
      </w:r>
      <w:r>
        <w:t>,</w:t>
      </w:r>
      <w:r w:rsidRPr="009C34F0">
        <w:t xml:space="preserve"> ‘Supporting the independence of, and economic participation by, people with disability</w:t>
      </w:r>
      <w:r>
        <w:t xml:space="preserve"> and</w:t>
      </w:r>
      <w:r w:rsidRPr="009C34F0">
        <w:t xml:space="preserve"> carers by providing targeted supports’</w:t>
      </w:r>
      <w:r>
        <w:t>.</w:t>
      </w:r>
      <w:r w:rsidRPr="009C34F0">
        <w:t xml:space="preserve"> </w:t>
      </w:r>
      <w:r>
        <w:t xml:space="preserve">Further information on related programs managed by the Department of Social Services (DSS) is available on the </w:t>
      </w:r>
      <w:hyperlink r:id="rId25" w:history="1">
        <w:r w:rsidRPr="00E45688">
          <w:rPr>
            <w:rStyle w:val="Hyperlink"/>
          </w:rPr>
          <w:t>DSS website</w:t>
        </w:r>
      </w:hyperlink>
      <w:r>
        <w:t xml:space="preserve">. </w:t>
      </w:r>
    </w:p>
    <w:p w14:paraId="75205F8C" w14:textId="77777777" w:rsidR="000D3DCF" w:rsidRDefault="000D3DCF" w:rsidP="00713CE1">
      <w:r>
        <w:t>Our performance measures focus on</w:t>
      </w:r>
      <w:r w:rsidRPr="009C34F0">
        <w:t xml:space="preserve"> </w:t>
      </w:r>
      <w:r>
        <w:t xml:space="preserve">key </w:t>
      </w:r>
      <w:r w:rsidRPr="009C34F0">
        <w:t xml:space="preserve">legislated functions </w:t>
      </w:r>
      <w:r>
        <w:t>to:</w:t>
      </w:r>
    </w:p>
    <w:p w14:paraId="75FE816E" w14:textId="2D6AE82E" w:rsidR="000D3DCF" w:rsidRPr="003131F3" w:rsidRDefault="000D3DCF" w:rsidP="00C01B34">
      <w:pPr>
        <w:pStyle w:val="Bullet1"/>
        <w:rPr>
          <w:lang w:val="en-GB"/>
        </w:rPr>
      </w:pPr>
      <w:r w:rsidRPr="009C34F0">
        <w:t xml:space="preserve">deliver the NDIS </w:t>
      </w:r>
    </w:p>
    <w:p w14:paraId="3FB857AA" w14:textId="09EE8C9C" w:rsidR="000D3DCF" w:rsidRPr="003131F3" w:rsidRDefault="000D3DCF" w:rsidP="00C01B34">
      <w:pPr>
        <w:pStyle w:val="Bullet1"/>
        <w:rPr>
          <w:lang w:val="en-GB"/>
        </w:rPr>
      </w:pPr>
      <w:r w:rsidRPr="009C34F0">
        <w:t>collect, analyse and exchange data relating to disabilities</w:t>
      </w:r>
    </w:p>
    <w:p w14:paraId="1E07F498" w14:textId="1F94FB8A" w:rsidR="000D3DCF" w:rsidRPr="003131F3" w:rsidRDefault="000D3DCF" w:rsidP="00C01B34">
      <w:pPr>
        <w:pStyle w:val="Bullet1"/>
        <w:rPr>
          <w:lang w:val="en-GB"/>
        </w:rPr>
      </w:pPr>
      <w:r w:rsidRPr="009C34F0">
        <w:t>manage, advise and report on the financial sustainability of the NDIS.</w:t>
      </w:r>
    </w:p>
    <w:p w14:paraId="323F2AE9" w14:textId="31829FD2" w:rsidR="000D3DCF" w:rsidRPr="009C34F0" w:rsidRDefault="000D3DCF" w:rsidP="00C01B34">
      <w:pPr>
        <w:rPr>
          <w:lang w:val="en-GB"/>
        </w:rPr>
      </w:pPr>
      <w:r>
        <w:t>Our</w:t>
      </w:r>
      <w:r w:rsidRPr="009C34F0">
        <w:t xml:space="preserve"> remaining </w:t>
      </w:r>
      <w:r>
        <w:t xml:space="preserve">legislated </w:t>
      </w:r>
      <w:r w:rsidRPr="009C34F0">
        <w:t xml:space="preserve">functions </w:t>
      </w:r>
      <w:r>
        <w:t>represent a smaller proportion of our activities or support other broader Social Services Portfolio initiatives</w:t>
      </w:r>
      <w:r w:rsidRPr="009C34F0">
        <w:t>.</w:t>
      </w:r>
    </w:p>
    <w:p w14:paraId="3C5DEF42" w14:textId="77777777" w:rsidR="000D3DCF" w:rsidRPr="00BB40DF" w:rsidRDefault="000D3DCF" w:rsidP="00BB40DF">
      <w:pPr>
        <w:pStyle w:val="Heading4"/>
      </w:pPr>
      <w:r w:rsidRPr="00BB40DF">
        <w:t>Changes to performance information</w:t>
      </w:r>
    </w:p>
    <w:p w14:paraId="7AB07CCE" w14:textId="0FDB9099" w:rsidR="000D3DCF" w:rsidRDefault="000D3DCF" w:rsidP="000D0D5D">
      <w:r>
        <w:t xml:space="preserve">In 2023, in </w:t>
      </w:r>
      <w:r w:rsidRPr="009C34F0">
        <w:t xml:space="preserve">the </w:t>
      </w:r>
      <w:hyperlink r:id="rId26" w:history="1">
        <w:r w:rsidRPr="009C34F0">
          <w:rPr>
            <w:rStyle w:val="Hyperlink"/>
          </w:rPr>
          <w:t>NDIA Corporate Plan 2023</w:t>
        </w:r>
        <w:r w:rsidRPr="004919D2">
          <w:rPr>
            <w:rStyle w:val="Hyperlink"/>
            <w:rFonts w:ascii="Symbol" w:eastAsia="Symbol" w:hAnsi="Symbol" w:cs="Symbol"/>
          </w:rPr>
          <w:t>-</w:t>
        </w:r>
        <w:r>
          <w:rPr>
            <w:rStyle w:val="Hyperlink"/>
          </w:rPr>
          <w:t>20</w:t>
        </w:r>
        <w:r w:rsidRPr="009C34F0">
          <w:rPr>
            <w:rStyle w:val="Hyperlink"/>
          </w:rPr>
          <w:t>27</w:t>
        </w:r>
      </w:hyperlink>
      <w:r w:rsidRPr="009C34F0">
        <w:t xml:space="preserve">, the NDIA </w:t>
      </w:r>
      <w:r>
        <w:t>refreshed the format of</w:t>
      </w:r>
      <w:r w:rsidRPr="009C34F0">
        <w:t xml:space="preserve"> its </w:t>
      </w:r>
      <w:r>
        <w:t>s</w:t>
      </w:r>
      <w:r w:rsidRPr="009C34F0">
        <w:t xml:space="preserve">trategic </w:t>
      </w:r>
      <w:r>
        <w:t>d</w:t>
      </w:r>
      <w:r w:rsidRPr="009C34F0">
        <w:t>irection and introduced 2 key activities.</w:t>
      </w:r>
      <w:r>
        <w:t xml:space="preserve"> The improved format:</w:t>
      </w:r>
    </w:p>
    <w:p w14:paraId="5FB0F620" w14:textId="246D1BBF" w:rsidR="000D3DCF" w:rsidRDefault="000D3DCF" w:rsidP="000D0D5D">
      <w:pPr>
        <w:pStyle w:val="Bullet1"/>
      </w:pPr>
      <w:r>
        <w:t xml:space="preserve">replaces aspirations from previous corporate plans with 2 key activities </w:t>
      </w:r>
    </w:p>
    <w:p w14:paraId="22DF1D3E" w14:textId="6B5E4555" w:rsidR="000D3DCF" w:rsidRDefault="000D3DCF" w:rsidP="000D0D5D">
      <w:pPr>
        <w:pStyle w:val="Bullet1"/>
      </w:pPr>
      <w:r>
        <w:t>retains most performance measures and targets from 2022-23 to ensure transparency and continuity with previous reporting, noting that these will be updated or changed to reflect the outcomes of the NDIS Review</w:t>
      </w:r>
    </w:p>
    <w:p w14:paraId="6471916A" w14:textId="231FB366" w:rsidR="000D3DCF" w:rsidRDefault="000D3DCF" w:rsidP="003131F3">
      <w:pPr>
        <w:pStyle w:val="Bullet1"/>
      </w:pPr>
      <w:r>
        <w:t xml:space="preserve">responds to section 16EA of the </w:t>
      </w:r>
      <w:r w:rsidRPr="00BB40DF">
        <w:rPr>
          <w:i/>
          <w:iCs/>
        </w:rPr>
        <w:t>Public Governance</w:t>
      </w:r>
      <w:r>
        <w:rPr>
          <w:i/>
          <w:iCs/>
        </w:rPr>
        <w:t>,</w:t>
      </w:r>
      <w:r w:rsidRPr="00BB40DF">
        <w:rPr>
          <w:i/>
          <w:iCs/>
        </w:rPr>
        <w:t xml:space="preserve"> Performance and Accountability Rule</w:t>
      </w:r>
      <w:r>
        <w:rPr>
          <w:i/>
          <w:iCs/>
        </w:rPr>
        <w:t xml:space="preserve"> 2014</w:t>
      </w:r>
      <w:r w:rsidRPr="00BB40DF">
        <w:rPr>
          <w:i/>
          <w:iCs/>
        </w:rPr>
        <w:t xml:space="preserve"> </w:t>
      </w:r>
      <w:r>
        <w:t>(PGPA Rule) by removing measures not directly linked to an NDIA key activity, as they were aligned to monitoring controls or considered in other measures.</w:t>
      </w:r>
    </w:p>
    <w:p w14:paraId="73E46AB1" w14:textId="2810F84A" w:rsidR="000D3DCF" w:rsidRPr="009C34F0" w:rsidRDefault="000D3DCF" w:rsidP="00713CE1">
      <w:r w:rsidRPr="009C34F0">
        <w:t xml:space="preserve">Key </w:t>
      </w:r>
      <w:r>
        <w:t>a</w:t>
      </w:r>
      <w:r w:rsidRPr="009C34F0">
        <w:t>ctivity 1</w:t>
      </w:r>
      <w:r>
        <w:t>,</w:t>
      </w:r>
      <w:r w:rsidRPr="009C34F0">
        <w:t xml:space="preserve"> ‘Improve participant experience and outcomes with a financially sustainable Scheme’</w:t>
      </w:r>
      <w:r>
        <w:t>,</w:t>
      </w:r>
      <w:r w:rsidRPr="009C34F0">
        <w:t xml:space="preserve"> brought together Aspiration 1 (A quality experience and improved outcomes for participants) and Aspiration 5 (A financially sustainable Scheme). This activity is aligned to Program 1.1</w:t>
      </w:r>
      <w:r>
        <w:t>,</w:t>
      </w:r>
      <w:r w:rsidRPr="009C34F0">
        <w:t xml:space="preserve"> which funds reasonable and necessary supports </w:t>
      </w:r>
      <w:r>
        <w:t>through</w:t>
      </w:r>
      <w:r w:rsidRPr="009C34F0">
        <w:t xml:space="preserve"> participant plans.</w:t>
      </w:r>
    </w:p>
    <w:p w14:paraId="582D9CDE" w14:textId="68E7DDE5" w:rsidR="00247078" w:rsidRDefault="000D3DCF" w:rsidP="00247078">
      <w:r w:rsidRPr="009C34F0">
        <w:t xml:space="preserve">Key </w:t>
      </w:r>
      <w:r w:rsidR="00AB2B8C">
        <w:t>a</w:t>
      </w:r>
      <w:r w:rsidRPr="009C34F0">
        <w:t>ctivity 2</w:t>
      </w:r>
      <w:r>
        <w:t>,</w:t>
      </w:r>
      <w:r w:rsidRPr="009C34F0">
        <w:t xml:space="preserve"> ‘A high</w:t>
      </w:r>
      <w:r>
        <w:t>-</w:t>
      </w:r>
      <w:r w:rsidRPr="009C34F0">
        <w:t>performing NDIA’</w:t>
      </w:r>
      <w:r>
        <w:t>,</w:t>
      </w:r>
      <w:r w:rsidRPr="009C34F0">
        <w:t xml:space="preserve"> brought together Aspiration 2 </w:t>
      </w:r>
      <w:r>
        <w:t>(</w:t>
      </w:r>
      <w:r w:rsidRPr="009C34F0">
        <w:t>A competitive market with innovative supports</w:t>
      </w:r>
      <w:r>
        <w:t>)</w:t>
      </w:r>
      <w:r w:rsidRPr="009C34F0">
        <w:t xml:space="preserve">, Aspiration 3 </w:t>
      </w:r>
      <w:r>
        <w:t>(</w:t>
      </w:r>
      <w:r w:rsidRPr="009C34F0">
        <w:t>A genuinely connected and engaged stakeholder sector</w:t>
      </w:r>
      <w:r>
        <w:t>)</w:t>
      </w:r>
      <w:r w:rsidRPr="009C34F0">
        <w:t xml:space="preserve"> and Aspiration 4 </w:t>
      </w:r>
      <w:r>
        <w:t>(</w:t>
      </w:r>
      <w:r w:rsidRPr="009C34F0">
        <w:t>A high-performing NDIA</w:t>
      </w:r>
      <w:r>
        <w:t>)</w:t>
      </w:r>
      <w:r w:rsidRPr="009C34F0">
        <w:rPr>
          <w:rStyle w:val="normaltextrun"/>
          <w:color w:val="000000"/>
          <w:bdr w:val="none" w:sz="0" w:space="0" w:color="auto" w:frame="1"/>
        </w:rPr>
        <w:t>.</w:t>
      </w:r>
      <w:r w:rsidRPr="009C34F0">
        <w:t xml:space="preserve"> This activity is aligned to Program 1.2</w:t>
      </w:r>
      <w:r>
        <w:t>,</w:t>
      </w:r>
      <w:r w:rsidRPr="009C34F0">
        <w:t xml:space="preserve"> Agency </w:t>
      </w:r>
      <w:r>
        <w:t>c</w:t>
      </w:r>
      <w:r w:rsidRPr="009C34F0">
        <w:t>osts</w:t>
      </w:r>
      <w:r w:rsidR="00E752EC">
        <w:t>,</w:t>
      </w:r>
      <w:r w:rsidRPr="009C34F0">
        <w:t xml:space="preserve"> as it provides for </w:t>
      </w:r>
      <w:r>
        <w:t>NDIA’s</w:t>
      </w:r>
      <w:r w:rsidRPr="009C34F0">
        <w:t xml:space="preserve"> costs to administer the </w:t>
      </w:r>
      <w:r>
        <w:t>NDIS</w:t>
      </w:r>
      <w:r w:rsidRPr="009C34F0">
        <w:t xml:space="preserve"> (including </w:t>
      </w:r>
      <w:r>
        <w:t>g</w:t>
      </w:r>
      <w:r w:rsidRPr="009C34F0">
        <w:t xml:space="preserve">eneral </w:t>
      </w:r>
      <w:r>
        <w:t>s</w:t>
      </w:r>
      <w:r w:rsidRPr="009C34F0">
        <w:t>upports).</w:t>
      </w:r>
      <w:r w:rsidR="00247078">
        <w:br w:type="page"/>
      </w:r>
    </w:p>
    <w:p w14:paraId="0D4C6ACA" w14:textId="0329083C" w:rsidR="000D3DCF" w:rsidRPr="00DF06A9" w:rsidRDefault="000D3DCF" w:rsidP="00A15A18">
      <w:r w:rsidRPr="00DF06A9">
        <w:lastRenderedPageBreak/>
        <w:t>The following measures were reviewed and retired:</w:t>
      </w:r>
    </w:p>
    <w:p w14:paraId="47A975FD" w14:textId="77777777" w:rsidR="000D3DCF" w:rsidRPr="00E67DBE" w:rsidRDefault="000D3DCF" w:rsidP="00E67DBE">
      <w:pPr>
        <w:pStyle w:val="Bullet1"/>
      </w:pPr>
      <w:r w:rsidRPr="00E67DBE">
        <w:t>extrapolated payment errors and anomalies</w:t>
      </w:r>
    </w:p>
    <w:p w14:paraId="4B204400" w14:textId="77777777" w:rsidR="000D3DCF" w:rsidRPr="00E67DBE" w:rsidRDefault="000D3DCF" w:rsidP="00E67DBE">
      <w:pPr>
        <w:pStyle w:val="Bullet1"/>
      </w:pPr>
      <w:r w:rsidRPr="00E67DBE">
        <w:t>payment growth compared to health</w:t>
      </w:r>
      <w:r>
        <w:t xml:space="preserve"> </w:t>
      </w:r>
      <w:r w:rsidRPr="00E67DBE">
        <w:t>care and social assistance wages growth</w:t>
      </w:r>
    </w:p>
    <w:p w14:paraId="2FDD8CB7" w14:textId="77777777" w:rsidR="000D3DCF" w:rsidRPr="00E67DBE" w:rsidRDefault="000D3DCF" w:rsidP="00E67DBE">
      <w:pPr>
        <w:pStyle w:val="Bullet1"/>
      </w:pPr>
      <w:r w:rsidRPr="00E67DBE">
        <w:t xml:space="preserve">provider sentiment and confidence </w:t>
      </w:r>
    </w:p>
    <w:p w14:paraId="616C24B7" w14:textId="77777777" w:rsidR="000D3DCF" w:rsidRPr="00E67DBE" w:rsidRDefault="000D3DCF" w:rsidP="00E67DBE">
      <w:pPr>
        <w:pStyle w:val="Bullet1"/>
      </w:pPr>
      <w:r w:rsidRPr="00E67DBE">
        <w:t>family and carer employment rate</w:t>
      </w:r>
    </w:p>
    <w:p w14:paraId="0CC97153" w14:textId="77777777" w:rsidR="000D3DCF" w:rsidRPr="00E67DBE" w:rsidRDefault="000D3DCF" w:rsidP="00E67DBE">
      <w:pPr>
        <w:pStyle w:val="Bullet1"/>
      </w:pPr>
      <w:r w:rsidRPr="00E67DBE">
        <w:t>female representation in the SES</w:t>
      </w:r>
    </w:p>
    <w:p w14:paraId="270D45C2" w14:textId="77777777" w:rsidR="000D3DCF" w:rsidRPr="00E67DBE" w:rsidRDefault="000D3DCF" w:rsidP="00E67DBE">
      <w:pPr>
        <w:pStyle w:val="Bullet1"/>
      </w:pPr>
      <w:r w:rsidRPr="00E67DBE">
        <w:t>market concentration</w:t>
      </w:r>
    </w:p>
    <w:p w14:paraId="4339FDB1" w14:textId="77777777" w:rsidR="000D3DCF" w:rsidRPr="00E67DBE" w:rsidRDefault="000D3DCF" w:rsidP="00E67DBE">
      <w:pPr>
        <w:pStyle w:val="Bullet1"/>
      </w:pPr>
      <w:r w:rsidRPr="00E67DBE">
        <w:t>providers charging below the price limit</w:t>
      </w:r>
    </w:p>
    <w:p w14:paraId="22C63D74" w14:textId="77777777" w:rsidR="000D3DCF" w:rsidRPr="00E67DBE" w:rsidRDefault="000D3DCF" w:rsidP="00E67DBE">
      <w:pPr>
        <w:pStyle w:val="Bullet1"/>
      </w:pPr>
      <w:r w:rsidRPr="00E67DBE">
        <w:t>plan utilisation.</w:t>
      </w:r>
    </w:p>
    <w:p w14:paraId="2A304FED" w14:textId="324B3E45" w:rsidR="000D3DCF" w:rsidRPr="00BB40DF" w:rsidRDefault="000D3DCF" w:rsidP="00BB40DF">
      <w:pPr>
        <w:pStyle w:val="Heading3"/>
      </w:pPr>
      <w:bookmarkStart w:id="76" w:name="_Toc175316890"/>
      <w:bookmarkStart w:id="77" w:name="_Toc176786382"/>
      <w:bookmarkStart w:id="78" w:name="_Toc176849742"/>
      <w:bookmarkStart w:id="79" w:name="_Toc180505664"/>
      <w:r w:rsidRPr="00BB40DF">
        <w:t>NDIA performance 2023</w:t>
      </w:r>
      <w:r w:rsidRPr="00BB40DF">
        <w:rPr>
          <w:rFonts w:ascii="Symbol" w:eastAsia="Symbol" w:hAnsi="Symbol" w:cs="Symbol"/>
        </w:rPr>
        <w:sym w:font="Symbol" w:char="F02D"/>
      </w:r>
      <w:r w:rsidRPr="00BB40DF">
        <w:t>24</w:t>
      </w:r>
      <w:bookmarkEnd w:id="76"/>
      <w:bookmarkEnd w:id="77"/>
      <w:bookmarkEnd w:id="78"/>
      <w:bookmarkEnd w:id="79"/>
    </w:p>
    <w:p w14:paraId="1A770733" w14:textId="77777777" w:rsidR="000D3DCF" w:rsidRPr="00BB40DF" w:rsidRDefault="000D3DCF" w:rsidP="00BB40DF">
      <w:pPr>
        <w:pStyle w:val="Heading4"/>
      </w:pPr>
      <w:r w:rsidRPr="00BB40DF">
        <w:t>Overall performance toward our outcome</w:t>
      </w:r>
    </w:p>
    <w:p w14:paraId="58204386" w14:textId="7CC085C8" w:rsidR="000D3DCF" w:rsidRDefault="00CE3F21" w:rsidP="00713CE1">
      <w:r>
        <w:t>During the reporting period, exter</w:t>
      </w:r>
      <w:r w:rsidR="0042656F">
        <w:t xml:space="preserve">nal </w:t>
      </w:r>
      <w:r w:rsidR="00957ACA">
        <w:t>re</w:t>
      </w:r>
      <w:r w:rsidR="0042656F">
        <w:t xml:space="preserve">views were conducted, </w:t>
      </w:r>
      <w:r w:rsidR="00312E0B">
        <w:t xml:space="preserve">which included </w:t>
      </w:r>
      <w:r w:rsidR="000D3DCF">
        <w:t xml:space="preserve">the </w:t>
      </w:r>
      <w:r w:rsidR="000D3DCF" w:rsidRPr="00A86155">
        <w:t>Disability Royal Commission into Violence, Abuse, Neglect and Exploitation of People with Disability</w:t>
      </w:r>
      <w:r w:rsidR="000D3DCF">
        <w:t xml:space="preserve"> and the</w:t>
      </w:r>
      <w:r w:rsidR="000D3DCF" w:rsidRPr="00A86155">
        <w:t xml:space="preserve"> NDIS Review</w:t>
      </w:r>
      <w:r w:rsidR="00AB0931">
        <w:t>.</w:t>
      </w:r>
      <w:r w:rsidR="000D3DCF" w:rsidRPr="002B4A35">
        <w:t xml:space="preserve"> </w:t>
      </w:r>
      <w:r w:rsidR="0074016E" w:rsidRPr="00B41FE1">
        <w:t>The anticipated recommendations from these public reviews were not released during the reporting period</w:t>
      </w:r>
      <w:r w:rsidR="0074016E">
        <w:t xml:space="preserve">. </w:t>
      </w:r>
      <w:r w:rsidR="0074016E" w:rsidRPr="00B41FE1">
        <w:t xml:space="preserve">Consequently, there were no variations to our strategic direction, </w:t>
      </w:r>
      <w:r w:rsidR="0074016E">
        <w:t xml:space="preserve">or </w:t>
      </w:r>
      <w:r w:rsidR="0074016E" w:rsidRPr="00B41FE1">
        <w:t>performance measure</w:t>
      </w:r>
      <w:r w:rsidR="0074016E">
        <w:t>s</w:t>
      </w:r>
      <w:r w:rsidR="0074016E" w:rsidRPr="00B41FE1">
        <w:t xml:space="preserve"> of our activities</w:t>
      </w:r>
      <w:r w:rsidR="0074016E">
        <w:t>, as documented in</w:t>
      </w:r>
      <w:r w:rsidR="004F70BD">
        <w:t xml:space="preserve"> the NDIA Corporate Plan 2023</w:t>
      </w:r>
      <w:r w:rsidR="00370316">
        <w:t>–</w:t>
      </w:r>
      <w:r w:rsidR="004F70BD">
        <w:t>2027.</w:t>
      </w:r>
    </w:p>
    <w:p w14:paraId="300FA023" w14:textId="403D18F2" w:rsidR="004F70BD" w:rsidRPr="009C34F0" w:rsidRDefault="0041592C" w:rsidP="00713CE1">
      <w:r w:rsidRPr="009C34F0">
        <w:t>Out of the 19 performance measures</w:t>
      </w:r>
      <w:r>
        <w:t xml:space="preserve"> documented in the </w:t>
      </w:r>
      <w:r w:rsidRPr="002B4A35">
        <w:t>Corporate Plan 2023</w:t>
      </w:r>
      <w:r>
        <w:rPr>
          <w:rFonts w:ascii="Symbol" w:eastAsia="Symbol" w:hAnsi="Symbol" w:cs="Symbol"/>
        </w:rPr>
        <w:t>-</w:t>
      </w:r>
      <w:r>
        <w:t>20</w:t>
      </w:r>
      <w:r w:rsidRPr="002B4A35">
        <w:t>27</w:t>
      </w:r>
      <w:r>
        <w:t>,</w:t>
      </w:r>
      <w:r w:rsidRPr="009C34F0">
        <w:t xml:space="preserve"> the NDIA achieved 9, partially achieved 4 </w:t>
      </w:r>
      <w:r>
        <w:t xml:space="preserve">and </w:t>
      </w:r>
      <w:r w:rsidRPr="009C34F0">
        <w:t xml:space="preserve">did not achieve 5. </w:t>
      </w:r>
      <w:r>
        <w:t>Due to the rollout of the new computer system, the NDIA did not yet have any d</w:t>
      </w:r>
      <w:r w:rsidRPr="009C34F0">
        <w:t xml:space="preserve">ata for </w:t>
      </w:r>
      <w:r>
        <w:t>c</w:t>
      </w:r>
      <w:r w:rsidRPr="009C34F0">
        <w:t xml:space="preserve">hildren who have benefited from the </w:t>
      </w:r>
      <w:r>
        <w:t>NDIS</w:t>
      </w:r>
      <w:r w:rsidRPr="009C34F0">
        <w:t xml:space="preserve"> and no longer need support</w:t>
      </w:r>
      <w:r>
        <w:t>.</w:t>
      </w:r>
    </w:p>
    <w:p w14:paraId="68CB55ED" w14:textId="052C419F" w:rsidR="000D3DCF" w:rsidRPr="00BB40DF" w:rsidRDefault="000D3DCF" w:rsidP="00BB40DF">
      <w:pPr>
        <w:pStyle w:val="Heading4"/>
      </w:pPr>
      <w:r w:rsidRPr="00BB40DF">
        <w:t>Program 1.1 performance statement</w:t>
      </w:r>
    </w:p>
    <w:p w14:paraId="5BAC54AA" w14:textId="77777777" w:rsidR="000D3DCF" w:rsidRPr="00A33264" w:rsidRDefault="000D3DCF" w:rsidP="00CC1405">
      <w:pPr>
        <w:pStyle w:val="Heading5"/>
        <w:rPr>
          <w:lang w:val="en-GB"/>
        </w:rPr>
      </w:pPr>
      <w:r w:rsidRPr="00A33264">
        <w:rPr>
          <w:lang w:val="en-GB"/>
        </w:rPr>
        <w:t>Program 1.1 – Reasonable and necessary supports for participants</w:t>
      </w:r>
    </w:p>
    <w:p w14:paraId="6D436BFF" w14:textId="4E92F8FE" w:rsidR="00247078" w:rsidRPr="00247078" w:rsidRDefault="000D3DCF" w:rsidP="00247078">
      <w:r>
        <w:t>The objective of Program 1.1 is to provide funding for reasonable and necessary supports to eligible people with disability through consistent, high-quality plans; and to ensure they are in control and have choices to appropriately support their independence and social and economic participation. This program contributes to the outcome by the delivery of financially sustainable funding for participants’ reasonable supports, enabling participants to source services in their plans to pursue their goals.</w:t>
      </w:r>
      <w:r w:rsidR="00247078" w:rsidRPr="00247078">
        <w:br w:type="page"/>
      </w:r>
    </w:p>
    <w:p w14:paraId="0B5D1B9B" w14:textId="22388497" w:rsidR="000D3DCF" w:rsidRPr="00A33264" w:rsidRDefault="000D3DCF" w:rsidP="00CC1405">
      <w:pPr>
        <w:pStyle w:val="Heading5"/>
        <w:rPr>
          <w:lang w:val="en-GB"/>
        </w:rPr>
      </w:pPr>
      <w:r w:rsidRPr="00A33264">
        <w:rPr>
          <w:lang w:val="en-GB"/>
        </w:rPr>
        <w:lastRenderedPageBreak/>
        <w:t xml:space="preserve">Key </w:t>
      </w:r>
      <w:r>
        <w:rPr>
          <w:lang w:val="en-GB"/>
        </w:rPr>
        <w:t>a</w:t>
      </w:r>
      <w:r w:rsidRPr="00A33264">
        <w:rPr>
          <w:lang w:val="en-GB"/>
        </w:rPr>
        <w:t>ctivity 1 – Improve participant experience and outcomes with a financially sustainable Scheme.</w:t>
      </w:r>
    </w:p>
    <w:p w14:paraId="0DF8D12B" w14:textId="77777777" w:rsidR="000D3DCF" w:rsidRPr="00A33264" w:rsidRDefault="000D3DCF" w:rsidP="00CC1405">
      <w:pPr>
        <w:rPr>
          <w:b/>
          <w:bCs/>
          <w:lang w:val="en-GB"/>
        </w:rPr>
      </w:pPr>
      <w:r w:rsidRPr="00A33264">
        <w:rPr>
          <w:b/>
          <w:bCs/>
          <w:lang w:val="en-GB"/>
        </w:rPr>
        <w:t>Why this matter</w:t>
      </w:r>
      <w:r>
        <w:rPr>
          <w:b/>
          <w:bCs/>
          <w:lang w:val="en-GB"/>
        </w:rPr>
        <w:t>s</w:t>
      </w:r>
    </w:p>
    <w:p w14:paraId="1D7D1984" w14:textId="53AE88CC" w:rsidR="000D3DCF" w:rsidRPr="009C34F0" w:rsidRDefault="000D3DCF" w:rsidP="00A01981">
      <w:r w:rsidRPr="009C34F0">
        <w:t>Improving participants’ (including children’s) independence</w:t>
      </w:r>
      <w:r>
        <w:t xml:space="preserve"> and</w:t>
      </w:r>
      <w:r w:rsidRPr="009C34F0">
        <w:t xml:space="preserve"> economic and social outcomes is at the core of the </w:t>
      </w:r>
      <w:r>
        <w:t>NDIS</w:t>
      </w:r>
      <w:r w:rsidRPr="009C34F0">
        <w:t xml:space="preserve"> purpose. The </w:t>
      </w:r>
      <w:r>
        <w:t>NDIA</w:t>
      </w:r>
      <w:r w:rsidRPr="009C34F0">
        <w:t xml:space="preserve">’s delivery of the </w:t>
      </w:r>
      <w:r>
        <w:t>NDIS</w:t>
      </w:r>
      <w:r w:rsidRPr="009C34F0">
        <w:t xml:space="preserve"> under </w:t>
      </w:r>
      <w:r>
        <w:t>section</w:t>
      </w:r>
      <w:r w:rsidRPr="009C34F0">
        <w:t xml:space="preserve"> 118(1)(a) of the </w:t>
      </w:r>
      <w:r>
        <w:t xml:space="preserve">NDIS Act </w:t>
      </w:r>
      <w:r w:rsidRPr="009C34F0">
        <w:t>is contributing to:</w:t>
      </w:r>
    </w:p>
    <w:p w14:paraId="6348ADF3" w14:textId="77777777" w:rsidR="000D3DCF" w:rsidRPr="009C34F0" w:rsidRDefault="000D3DCF" w:rsidP="00A01981">
      <w:pPr>
        <w:pStyle w:val="Bullet1"/>
      </w:pPr>
      <w:r w:rsidRPr="009C34F0">
        <w:t>improvements to participant outcomes (including early intervention)</w:t>
      </w:r>
    </w:p>
    <w:p w14:paraId="76462AAD" w14:textId="69C2E900" w:rsidR="000D3DCF" w:rsidRPr="009C34F0" w:rsidRDefault="000D3DCF" w:rsidP="00A01981">
      <w:pPr>
        <w:pStyle w:val="Bullet1"/>
      </w:pPr>
      <w:r w:rsidRPr="009C34F0">
        <w:t xml:space="preserve">effectiveness of services and supports in plans funded through Program 1.1 </w:t>
      </w:r>
      <w:r>
        <w:t>– R</w:t>
      </w:r>
      <w:r w:rsidRPr="009C34F0">
        <w:t>easonable and necessary supports for participants</w:t>
      </w:r>
    </w:p>
    <w:p w14:paraId="7CE02229" w14:textId="77777777" w:rsidR="000D3DCF" w:rsidRPr="009C34F0" w:rsidRDefault="000D3DCF" w:rsidP="00A01981">
      <w:pPr>
        <w:pStyle w:val="Bullet1"/>
      </w:pPr>
      <w:r w:rsidRPr="009C34F0">
        <w:t>a growing understanding of best practice in relation to services and supports</w:t>
      </w:r>
    </w:p>
    <w:p w14:paraId="3D8B6DB7" w14:textId="77777777" w:rsidR="000D3DCF" w:rsidRPr="009C34F0" w:rsidRDefault="000D3DCF" w:rsidP="00A01981">
      <w:pPr>
        <w:pStyle w:val="Bullet1"/>
      </w:pPr>
      <w:r w:rsidRPr="009C34F0">
        <w:t xml:space="preserve">participants who are supported with a safe environment to make decisions during their journey with the </w:t>
      </w:r>
      <w:r>
        <w:t>NDIS</w:t>
      </w:r>
      <w:r w:rsidRPr="009C34F0">
        <w:t>.</w:t>
      </w:r>
    </w:p>
    <w:p w14:paraId="28FCD1D6" w14:textId="2CBBECFA" w:rsidR="000D3DCF" w:rsidRPr="009C34F0" w:rsidRDefault="000D3DCF" w:rsidP="00A01981">
      <w:r w:rsidRPr="009C34F0">
        <w:t xml:space="preserve">The NDIA has remained focused on </w:t>
      </w:r>
      <w:r w:rsidR="00726350">
        <w:t>helping</w:t>
      </w:r>
      <w:r w:rsidRPr="009C34F0">
        <w:t xml:space="preserve"> participants to exercise choice and control </w:t>
      </w:r>
      <w:r>
        <w:t>as</w:t>
      </w:r>
      <w:r w:rsidRPr="009C34F0">
        <w:t xml:space="preserve"> they implement their plans</w:t>
      </w:r>
      <w:r w:rsidR="00705502">
        <w:t xml:space="preserve">, </w:t>
      </w:r>
      <w:r w:rsidR="00705502" w:rsidRPr="00AA0637">
        <w:t>following the guiding principles outlined in section 4 of the NDIS Act</w:t>
      </w:r>
      <w:r w:rsidRPr="0095513E">
        <w:t>.</w:t>
      </w:r>
      <w:r w:rsidR="007B331D">
        <w:t xml:space="preserve"> </w:t>
      </w:r>
      <w:r w:rsidR="005A78B0" w:rsidRPr="00AA0637">
        <w:t xml:space="preserve">By selecting their goals and choosing their providers, participants demonstrate how the NDIS promotes their independence and ensures they receive the necessary supports. Additionally, having choice and control allows participants to take reasonable risks in managing their own plans, as stated in </w:t>
      </w:r>
      <w:r w:rsidR="00612879">
        <w:t>section</w:t>
      </w:r>
      <w:r w:rsidR="005A78B0" w:rsidRPr="00AA0637">
        <w:t xml:space="preserve"> 118(1)(a) of the </w:t>
      </w:r>
      <w:hyperlink r:id="rId27" w:history="1">
        <w:r w:rsidR="005A78B0" w:rsidRPr="00AA0637">
          <w:t>NDIS</w:t>
        </w:r>
      </w:hyperlink>
      <w:r w:rsidR="005A78B0" w:rsidRPr="00AA0637">
        <w:t xml:space="preserve"> Act</w:t>
      </w:r>
      <w:r w:rsidRPr="005A78B0">
        <w:t>.</w:t>
      </w:r>
    </w:p>
    <w:p w14:paraId="060AB5BE" w14:textId="5785AED1" w:rsidR="000D3DCF" w:rsidRPr="009C34F0" w:rsidRDefault="000D3DCF" w:rsidP="00A01981">
      <w:r>
        <w:t>I</w:t>
      </w:r>
      <w:r w:rsidRPr="009C34F0">
        <w:t>n the</w:t>
      </w:r>
      <w:r>
        <w:t xml:space="preserve"> NDIS</w:t>
      </w:r>
      <w:r w:rsidRPr="009C34F0">
        <w:t xml:space="preserve"> </w:t>
      </w:r>
      <w:hyperlink r:id="rId28" w:history="1">
        <w:r w:rsidRPr="009C34F0">
          <w:rPr>
            <w:rStyle w:val="Hyperlink"/>
          </w:rPr>
          <w:t>Insurance Principles and Financial Sustainability Manual 2016</w:t>
        </w:r>
      </w:hyperlink>
      <w:r w:rsidRPr="009C34F0">
        <w:t xml:space="preserve">, </w:t>
      </w:r>
      <w:r>
        <w:t xml:space="preserve">‘financial sustainability of the NDIS’ is defined </w:t>
      </w:r>
      <w:r w:rsidRPr="009C34F0">
        <w:t>as a state where:</w:t>
      </w:r>
    </w:p>
    <w:p w14:paraId="63EAF9EF" w14:textId="462B550B" w:rsidR="000D3DCF" w:rsidRPr="009C34F0" w:rsidRDefault="000D3DCF" w:rsidP="00A01981">
      <w:pPr>
        <w:pStyle w:val="Bullet1"/>
      </w:pPr>
      <w:r w:rsidRPr="009C34F0">
        <w:t xml:space="preserve">the </w:t>
      </w:r>
      <w:r>
        <w:t>NDIS</w:t>
      </w:r>
      <w:r w:rsidRPr="009C34F0">
        <w:t xml:space="preserve"> is successful on the balance of objective measures and projections of economic and social participation, and independence, on participants’ views that they are getting enough money to buy enough goods and services to allow them reasonable access to life opportunities </w:t>
      </w:r>
      <w:r w:rsidRPr="00290FEA">
        <w:rPr>
          <w:rFonts w:ascii="Symbol" w:eastAsia="Symbol" w:hAnsi="Symbol" w:cs="Symbol"/>
        </w:rPr>
        <w:sym w:font="Symbol" w:char="F02D"/>
      </w:r>
      <w:r w:rsidRPr="009C34F0">
        <w:t xml:space="preserve"> that is, reasonable and necessary support</w:t>
      </w:r>
    </w:p>
    <w:p w14:paraId="488343B4" w14:textId="77777777" w:rsidR="000D3DCF" w:rsidRPr="009C34F0" w:rsidRDefault="000D3DCF" w:rsidP="00A01981">
      <w:pPr>
        <w:pStyle w:val="Bullet1"/>
      </w:pPr>
      <w:r w:rsidRPr="009C34F0">
        <w:t>contributors think that the cost is and will continue to be affordable, under control, represents value for money and, therefore, remain willing to contribute.</w:t>
      </w:r>
    </w:p>
    <w:p w14:paraId="59C5DF0F" w14:textId="170B1A31" w:rsidR="00247078" w:rsidRDefault="000D3DCF" w:rsidP="00247078">
      <w:pPr>
        <w:rPr>
          <w:b/>
          <w:color w:val="6B2876" w:themeColor="text1"/>
          <w:sz w:val="28"/>
          <w:lang w:val="en-GB"/>
        </w:rPr>
      </w:pPr>
      <w:r w:rsidRPr="009C34F0">
        <w:rPr>
          <w:rStyle w:val="ui-provider"/>
        </w:rPr>
        <w:t>The NDIA performance measures for key activity 1 are intended to act as a set when assessing achievement. This section provides analysis of performance for each performance measur</w:t>
      </w:r>
      <w:r>
        <w:rPr>
          <w:rStyle w:val="ui-provider"/>
        </w:rPr>
        <w:t>e</w:t>
      </w:r>
      <w:r w:rsidRPr="009C34F0">
        <w:rPr>
          <w:rStyle w:val="ui-provider"/>
        </w:rPr>
        <w:t xml:space="preserve"> from the NDIA Corporate Plan 2023</w:t>
      </w:r>
      <w:r w:rsidRPr="00290FEA">
        <w:rPr>
          <w:rStyle w:val="ui-provider"/>
          <w:rFonts w:ascii="Symbol" w:eastAsia="Symbol" w:hAnsi="Symbol" w:cs="Symbol"/>
        </w:rPr>
        <w:sym w:font="Symbol" w:char="F02D"/>
      </w:r>
      <w:r>
        <w:rPr>
          <w:rStyle w:val="ui-provider"/>
        </w:rPr>
        <w:t>2027. A</w:t>
      </w:r>
      <w:r w:rsidRPr="009C34F0">
        <w:rPr>
          <w:rStyle w:val="ui-provider"/>
        </w:rPr>
        <w:t xml:space="preserve"> table for each measure </w:t>
      </w:r>
      <w:r>
        <w:rPr>
          <w:rStyle w:val="ui-provider"/>
        </w:rPr>
        <w:t>shows</w:t>
      </w:r>
      <w:r w:rsidRPr="009C34F0">
        <w:rPr>
          <w:rStyle w:val="ui-provider"/>
        </w:rPr>
        <w:t xml:space="preserve"> the result and the outcome</w:t>
      </w:r>
      <w:r>
        <w:rPr>
          <w:rStyle w:val="ui-provider"/>
        </w:rPr>
        <w:t>. Outcomes are</w:t>
      </w:r>
      <w:r w:rsidRPr="009C34F0">
        <w:rPr>
          <w:rStyle w:val="ui-provider"/>
        </w:rPr>
        <w:t xml:space="preserve"> simplified to </w:t>
      </w:r>
      <w:r>
        <w:rPr>
          <w:rStyle w:val="ui-provider"/>
        </w:rPr>
        <w:t>‘</w:t>
      </w:r>
      <w:r w:rsidRPr="009C34F0">
        <w:rPr>
          <w:rStyle w:val="ui-provider"/>
        </w:rPr>
        <w:t>achieved</w:t>
      </w:r>
      <w:r>
        <w:rPr>
          <w:rStyle w:val="ui-provider"/>
        </w:rPr>
        <w:t>’</w:t>
      </w:r>
      <w:r w:rsidRPr="009C34F0">
        <w:rPr>
          <w:rStyle w:val="ui-provider"/>
        </w:rPr>
        <w:t xml:space="preserve">, </w:t>
      </w:r>
      <w:r>
        <w:rPr>
          <w:rStyle w:val="ui-provider"/>
        </w:rPr>
        <w:t>‘</w:t>
      </w:r>
      <w:r w:rsidRPr="009C34F0">
        <w:rPr>
          <w:rStyle w:val="ui-provider"/>
        </w:rPr>
        <w:t>partially achieved</w:t>
      </w:r>
      <w:r>
        <w:rPr>
          <w:rStyle w:val="ui-provider"/>
        </w:rPr>
        <w:t>’</w:t>
      </w:r>
      <w:r w:rsidRPr="009C34F0">
        <w:rPr>
          <w:rStyle w:val="ui-provider"/>
        </w:rPr>
        <w:t xml:space="preserve"> </w:t>
      </w:r>
      <w:r>
        <w:rPr>
          <w:rStyle w:val="ui-provider"/>
        </w:rPr>
        <w:t>and</w:t>
      </w:r>
      <w:r w:rsidRPr="009C34F0">
        <w:rPr>
          <w:rStyle w:val="ui-provider"/>
        </w:rPr>
        <w:t xml:space="preserve"> </w:t>
      </w:r>
      <w:r>
        <w:rPr>
          <w:rStyle w:val="ui-provider"/>
        </w:rPr>
        <w:t>‘</w:t>
      </w:r>
      <w:r w:rsidRPr="009C34F0">
        <w:rPr>
          <w:rStyle w:val="ui-provider"/>
        </w:rPr>
        <w:t>not achieved</w:t>
      </w:r>
      <w:r>
        <w:rPr>
          <w:rStyle w:val="ui-provider"/>
        </w:rPr>
        <w:t>’</w:t>
      </w:r>
      <w:r w:rsidRPr="009C34F0">
        <w:rPr>
          <w:rStyle w:val="ui-provider"/>
        </w:rPr>
        <w:t xml:space="preserve">. The analysis of performance </w:t>
      </w:r>
      <w:r>
        <w:rPr>
          <w:rStyle w:val="ui-provider"/>
        </w:rPr>
        <w:t>gives</w:t>
      </w:r>
      <w:r w:rsidRPr="009C34F0">
        <w:rPr>
          <w:rStyle w:val="ui-provider"/>
        </w:rPr>
        <w:t xml:space="preserve"> detail </w:t>
      </w:r>
      <w:r>
        <w:rPr>
          <w:rStyle w:val="ui-provider"/>
        </w:rPr>
        <w:t>about</w:t>
      </w:r>
      <w:r w:rsidRPr="009C34F0">
        <w:rPr>
          <w:rStyle w:val="ui-provider"/>
        </w:rPr>
        <w:t xml:space="preserve"> impacts on the achievement of key activity targets.</w:t>
      </w:r>
      <w:r w:rsidR="00247078">
        <w:rPr>
          <w:lang w:val="en-GB"/>
        </w:rPr>
        <w:br w:type="page"/>
      </w:r>
    </w:p>
    <w:p w14:paraId="4398F6B7" w14:textId="7BE6A145" w:rsidR="000D3DCF" w:rsidRPr="00A33264" w:rsidRDefault="000D3DCF" w:rsidP="00CC1405">
      <w:pPr>
        <w:pStyle w:val="Heading5"/>
        <w:rPr>
          <w:lang w:val="en-GB"/>
        </w:rPr>
      </w:pPr>
      <w:r w:rsidRPr="00A33264">
        <w:rPr>
          <w:lang w:val="en-GB"/>
        </w:rPr>
        <w:lastRenderedPageBreak/>
        <w:t>Analysis of performance</w:t>
      </w:r>
    </w:p>
    <w:p w14:paraId="5E3DA751" w14:textId="77777777" w:rsidR="000D3DCF" w:rsidRPr="00A33264" w:rsidRDefault="000D3DCF" w:rsidP="00CC1405">
      <w:pPr>
        <w:rPr>
          <w:b/>
          <w:bCs/>
          <w:lang w:val="en-GB"/>
        </w:rPr>
      </w:pPr>
      <w:r w:rsidRPr="00A33264">
        <w:rPr>
          <w:b/>
          <w:bCs/>
          <w:lang w:val="en-GB"/>
        </w:rPr>
        <w:t>NDIS annual spend (Program 1.1) compared to estimates</w:t>
      </w:r>
    </w:p>
    <w:tbl>
      <w:tblPr>
        <w:tblStyle w:val="GridTable4"/>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20" w:firstRow="1" w:lastRow="0" w:firstColumn="0" w:lastColumn="0" w:noHBand="0" w:noVBand="1"/>
      </w:tblPr>
      <w:tblGrid>
        <w:gridCol w:w="3685"/>
        <w:gridCol w:w="1361"/>
        <w:gridCol w:w="1361"/>
        <w:gridCol w:w="1361"/>
        <w:gridCol w:w="1361"/>
      </w:tblGrid>
      <w:tr w:rsidR="000D3DCF" w:rsidRPr="00A33264" w14:paraId="6A7F0AA2" w14:textId="77777777" w:rsidTr="001C0A6D">
        <w:trPr>
          <w:cnfStyle w:val="100000000000" w:firstRow="1" w:lastRow="0" w:firstColumn="0" w:lastColumn="0" w:oddVBand="0" w:evenVBand="0" w:oddHBand="0" w:evenHBand="0" w:firstRowFirstColumn="0" w:firstRowLastColumn="0" w:lastRowFirstColumn="0" w:lastRowLastColumn="0"/>
          <w:cantSplit/>
        </w:trPr>
        <w:tc>
          <w:tcPr>
            <w:tcW w:w="3685" w:type="dxa"/>
            <w:shd w:val="clear" w:color="auto" w:fill="A1CE63"/>
          </w:tcPr>
          <w:p w14:paraId="7E48AA49" w14:textId="371E1F32" w:rsidR="000D3DCF" w:rsidRPr="00A33264" w:rsidRDefault="000D3DCF">
            <w:pPr>
              <w:pStyle w:val="TableBody"/>
              <w:rPr>
                <w:color w:val="auto"/>
                <w:lang w:val="en-GB"/>
              </w:rPr>
            </w:pPr>
            <w:bookmarkStart w:id="80" w:name="ColumnTitle_PerformanceMeasure1"/>
            <w:bookmarkEnd w:id="80"/>
            <w:r w:rsidRPr="00A33264">
              <w:rPr>
                <w:color w:val="auto"/>
                <w:lang w:val="en-GB"/>
              </w:rPr>
              <w:t xml:space="preserve">Performance </w:t>
            </w:r>
            <w:r>
              <w:rPr>
                <w:color w:val="auto"/>
                <w:lang w:val="en-GB"/>
              </w:rPr>
              <w:t>m</w:t>
            </w:r>
            <w:r w:rsidRPr="00A33264">
              <w:rPr>
                <w:color w:val="auto"/>
                <w:lang w:val="en-GB"/>
              </w:rPr>
              <w:t>easure</w:t>
            </w:r>
          </w:p>
        </w:tc>
        <w:tc>
          <w:tcPr>
            <w:tcW w:w="1361" w:type="dxa"/>
            <w:shd w:val="clear" w:color="auto" w:fill="A1CE63"/>
          </w:tcPr>
          <w:p w14:paraId="44B9A6E2" w14:textId="77777777" w:rsidR="000D3DCF" w:rsidRPr="00A33264" w:rsidRDefault="000D3DCF" w:rsidP="00BB40DF">
            <w:pPr>
              <w:pStyle w:val="TableBody"/>
              <w:jc w:val="right"/>
              <w:rPr>
                <w:color w:val="auto"/>
                <w:lang w:val="en-GB"/>
              </w:rPr>
            </w:pPr>
            <w:r w:rsidRPr="00A33264">
              <w:rPr>
                <w:color w:val="auto"/>
                <w:lang w:val="en-GB"/>
              </w:rPr>
              <w:t>2023</w:t>
            </w:r>
            <w:r w:rsidRPr="00A15A18">
              <w:rPr>
                <w:color w:val="auto"/>
              </w:rPr>
              <w:t>–</w:t>
            </w:r>
            <w:r w:rsidRPr="00A33264">
              <w:rPr>
                <w:color w:val="auto"/>
                <w:lang w:val="en-GB"/>
              </w:rPr>
              <w:t>24 Target</w:t>
            </w:r>
          </w:p>
        </w:tc>
        <w:tc>
          <w:tcPr>
            <w:tcW w:w="1361" w:type="dxa"/>
            <w:shd w:val="clear" w:color="auto" w:fill="A1CE63"/>
          </w:tcPr>
          <w:p w14:paraId="21440964" w14:textId="77777777" w:rsidR="000D3DCF" w:rsidRPr="00A33264" w:rsidRDefault="000D3DCF" w:rsidP="00BB40DF">
            <w:pPr>
              <w:pStyle w:val="TableBody"/>
              <w:jc w:val="right"/>
              <w:rPr>
                <w:color w:val="auto"/>
                <w:lang w:val="en-GB"/>
              </w:rPr>
            </w:pPr>
            <w:r w:rsidRPr="00A33264">
              <w:rPr>
                <w:color w:val="auto"/>
                <w:lang w:val="en-GB"/>
              </w:rPr>
              <w:t>2023</w:t>
            </w:r>
            <w:r w:rsidRPr="00A15A18">
              <w:rPr>
                <w:color w:val="auto"/>
              </w:rPr>
              <w:t>–</w:t>
            </w:r>
            <w:r w:rsidRPr="00A33264">
              <w:rPr>
                <w:color w:val="auto"/>
                <w:lang w:val="en-GB"/>
              </w:rPr>
              <w:t>24 Result</w:t>
            </w:r>
          </w:p>
        </w:tc>
        <w:tc>
          <w:tcPr>
            <w:tcW w:w="1361" w:type="dxa"/>
            <w:shd w:val="clear" w:color="auto" w:fill="A1CE63"/>
          </w:tcPr>
          <w:p w14:paraId="4A28FA46" w14:textId="77777777" w:rsidR="000D3DCF" w:rsidRPr="00A33264" w:rsidRDefault="000D3DCF" w:rsidP="00BB40DF">
            <w:pPr>
              <w:pStyle w:val="TableBody"/>
              <w:jc w:val="right"/>
              <w:rPr>
                <w:color w:val="auto"/>
                <w:lang w:val="en-GB"/>
              </w:rPr>
            </w:pPr>
            <w:r>
              <w:rPr>
                <w:color w:val="auto"/>
                <w:lang w:val="en-GB"/>
              </w:rPr>
              <w:t>2023</w:t>
            </w:r>
            <w:r w:rsidRPr="00A15A18">
              <w:rPr>
                <w:color w:val="auto"/>
              </w:rPr>
              <w:t>–</w:t>
            </w:r>
            <w:r>
              <w:rPr>
                <w:color w:val="auto"/>
                <w:lang w:val="en-GB"/>
              </w:rPr>
              <w:t>24 O</w:t>
            </w:r>
            <w:r w:rsidRPr="00A33264">
              <w:rPr>
                <w:color w:val="auto"/>
                <w:lang w:val="en-GB"/>
              </w:rPr>
              <w:t>utcome</w:t>
            </w:r>
          </w:p>
        </w:tc>
        <w:tc>
          <w:tcPr>
            <w:tcW w:w="1361" w:type="dxa"/>
            <w:shd w:val="clear" w:color="auto" w:fill="A1CE63"/>
          </w:tcPr>
          <w:p w14:paraId="21162B12" w14:textId="77777777" w:rsidR="000D3DCF" w:rsidRPr="00A01981" w:rsidRDefault="000D3DCF" w:rsidP="00BB40DF">
            <w:pPr>
              <w:pStyle w:val="TableBody"/>
              <w:jc w:val="right"/>
              <w:rPr>
                <w:color w:val="auto"/>
                <w:lang w:val="en-GB"/>
              </w:rPr>
            </w:pPr>
            <w:r>
              <w:rPr>
                <w:color w:val="auto"/>
                <w:lang w:val="en-GB"/>
              </w:rPr>
              <w:t>2022</w:t>
            </w:r>
            <w:r w:rsidRPr="00A15A18">
              <w:rPr>
                <w:color w:val="auto"/>
              </w:rPr>
              <w:t>–</w:t>
            </w:r>
            <w:r>
              <w:rPr>
                <w:color w:val="auto"/>
                <w:lang w:val="en-GB"/>
              </w:rPr>
              <w:t>23 Result</w:t>
            </w:r>
          </w:p>
        </w:tc>
      </w:tr>
      <w:tr w:rsidR="000D3DCF" w:rsidRPr="00A33264" w14:paraId="207BD0F7" w14:textId="77777777" w:rsidTr="00A01981">
        <w:trPr>
          <w:cnfStyle w:val="000000100000" w:firstRow="0" w:lastRow="0" w:firstColumn="0" w:lastColumn="0" w:oddVBand="0" w:evenVBand="0" w:oddHBand="1" w:evenHBand="0" w:firstRowFirstColumn="0" w:firstRowLastColumn="0" w:lastRowFirstColumn="0" w:lastRowLastColumn="0"/>
          <w:cantSplit/>
        </w:trPr>
        <w:tc>
          <w:tcPr>
            <w:tcW w:w="3685" w:type="dxa"/>
            <w:shd w:val="clear" w:color="auto" w:fill="E5F1D4"/>
          </w:tcPr>
          <w:p w14:paraId="26C7D26D" w14:textId="77777777" w:rsidR="000D3DCF" w:rsidRPr="00A33264" w:rsidRDefault="000D3DCF" w:rsidP="001C74C2">
            <w:pPr>
              <w:pStyle w:val="TableBody"/>
              <w:rPr>
                <w:lang w:val="en-GB"/>
              </w:rPr>
            </w:pPr>
            <w:r w:rsidRPr="00A33264">
              <w:rPr>
                <w:lang w:val="en-GB"/>
              </w:rPr>
              <w:t>NDIS annual spend (Program 1.1) compared to estimates </w:t>
            </w:r>
          </w:p>
        </w:tc>
        <w:tc>
          <w:tcPr>
            <w:tcW w:w="1361" w:type="dxa"/>
            <w:shd w:val="clear" w:color="auto" w:fill="E5F1D4"/>
          </w:tcPr>
          <w:p w14:paraId="5AE076D0" w14:textId="77777777" w:rsidR="000D3DCF" w:rsidRPr="00A33264" w:rsidRDefault="000D3DCF" w:rsidP="00BB40DF">
            <w:pPr>
              <w:pStyle w:val="TableBody"/>
              <w:jc w:val="right"/>
              <w:rPr>
                <w:lang w:val="en-GB"/>
              </w:rPr>
            </w:pPr>
            <w:r w:rsidRPr="00A33264">
              <w:rPr>
                <w:lang w:val="en-GB"/>
              </w:rPr>
              <w:t>100%</w:t>
            </w:r>
          </w:p>
        </w:tc>
        <w:tc>
          <w:tcPr>
            <w:tcW w:w="1361" w:type="dxa"/>
            <w:shd w:val="clear" w:color="auto" w:fill="E5F1D4"/>
          </w:tcPr>
          <w:p w14:paraId="703AF3E2" w14:textId="77777777" w:rsidR="000D3DCF" w:rsidRPr="00A33264" w:rsidRDefault="000D3DCF" w:rsidP="00BB40DF">
            <w:pPr>
              <w:pStyle w:val="TableBody"/>
              <w:jc w:val="right"/>
              <w:rPr>
                <w:lang w:val="en-GB"/>
              </w:rPr>
            </w:pPr>
            <w:r w:rsidRPr="00A33264">
              <w:rPr>
                <w:lang w:val="en-GB"/>
              </w:rPr>
              <w:t>101.2%</w:t>
            </w:r>
          </w:p>
        </w:tc>
        <w:tc>
          <w:tcPr>
            <w:tcW w:w="1361" w:type="dxa"/>
            <w:shd w:val="clear" w:color="auto" w:fill="E5F1D4"/>
          </w:tcPr>
          <w:p w14:paraId="20AB1BA4" w14:textId="77777777" w:rsidR="000D3DCF" w:rsidRPr="00A33264" w:rsidRDefault="000D3DCF" w:rsidP="00BB40DF">
            <w:pPr>
              <w:pStyle w:val="TableBody"/>
              <w:jc w:val="right"/>
              <w:rPr>
                <w:lang w:val="en-GB"/>
              </w:rPr>
            </w:pPr>
            <w:r w:rsidRPr="00A33264">
              <w:rPr>
                <w:lang w:val="en-GB"/>
              </w:rPr>
              <w:t>Not achieved</w:t>
            </w:r>
          </w:p>
        </w:tc>
        <w:tc>
          <w:tcPr>
            <w:tcW w:w="1361" w:type="dxa"/>
            <w:shd w:val="clear" w:color="auto" w:fill="E5F1D4"/>
          </w:tcPr>
          <w:p w14:paraId="5F5023D7" w14:textId="77777777" w:rsidR="000D3DCF" w:rsidRPr="00A33264" w:rsidRDefault="000D3DCF" w:rsidP="00BB40DF">
            <w:pPr>
              <w:pStyle w:val="TableBody"/>
              <w:jc w:val="right"/>
              <w:rPr>
                <w:lang w:val="en-GB"/>
              </w:rPr>
            </w:pPr>
            <w:r>
              <w:rPr>
                <w:lang w:val="en-GB"/>
              </w:rPr>
              <w:t>103.6%</w:t>
            </w:r>
          </w:p>
        </w:tc>
      </w:tr>
    </w:tbl>
    <w:p w14:paraId="490C4FBF" w14:textId="77777777" w:rsidR="000D3DCF" w:rsidRPr="00B27FA1" w:rsidRDefault="000D3DCF" w:rsidP="00B27FA1">
      <w:pPr>
        <w:pStyle w:val="Heading6"/>
      </w:pPr>
      <w:r w:rsidRPr="00B27FA1">
        <w:t>Why we measure this</w:t>
      </w:r>
    </w:p>
    <w:p w14:paraId="785C3F2E" w14:textId="199F8E31" w:rsidR="000D3DCF" w:rsidRDefault="000D3DCF" w:rsidP="00A01981">
      <w:r w:rsidRPr="009C34F0">
        <w:t xml:space="preserve">This measure assesses the effectiveness of </w:t>
      </w:r>
      <w:r>
        <w:t>NDIS</w:t>
      </w:r>
      <w:r w:rsidRPr="009C34F0">
        <w:t xml:space="preserve"> projections of expenditure for participants’ reasonable and necessary supports.</w:t>
      </w:r>
    </w:p>
    <w:p w14:paraId="05F0BE07" w14:textId="77777777" w:rsidR="000D3DCF" w:rsidRDefault="000D3DCF" w:rsidP="00B27FA1">
      <w:pPr>
        <w:pStyle w:val="Heading6"/>
      </w:pPr>
      <w:r>
        <w:t>How we measure this</w:t>
      </w:r>
    </w:p>
    <w:p w14:paraId="7FB6BED2" w14:textId="7702A0EE" w:rsidR="000D3DCF" w:rsidRDefault="000D3DCF" w:rsidP="00A01981">
      <w:r>
        <w:t>We obtain our results for this performance measure by</w:t>
      </w:r>
      <w:r w:rsidRPr="009C34F0" w:rsidDel="00517795">
        <w:t xml:space="preserve"> </w:t>
      </w:r>
      <w:r w:rsidRPr="009C34F0">
        <w:t>divid</w:t>
      </w:r>
      <w:r>
        <w:t>ing</w:t>
      </w:r>
      <w:r w:rsidRPr="009C34F0">
        <w:t xml:space="preserve"> actual payments (calculated on an accrual basis) by</w:t>
      </w:r>
      <w:r>
        <w:t xml:space="preserve"> the</w:t>
      </w:r>
      <w:r w:rsidRPr="009C34F0">
        <w:t xml:space="preserve"> projection in the 2022</w:t>
      </w:r>
      <w:r w:rsidRPr="003131F3">
        <w:t>–</w:t>
      </w:r>
      <w:r w:rsidRPr="009C34F0">
        <w:t>23 Annual Financial Sustainability Report</w:t>
      </w:r>
      <w:r>
        <w:t xml:space="preserve"> which informs the</w:t>
      </w:r>
      <w:r w:rsidRPr="009C34F0">
        <w:t xml:space="preserve"> </w:t>
      </w:r>
      <w:r w:rsidRPr="003131F3">
        <w:t>Mid-Year Economic and Fiscal Outlook 2023–24</w:t>
      </w:r>
      <w:r>
        <w:t>.</w:t>
      </w:r>
    </w:p>
    <w:p w14:paraId="20C38BE8" w14:textId="77777777" w:rsidR="000D3DCF" w:rsidRPr="009C34F0" w:rsidRDefault="000D3DCF" w:rsidP="00B27FA1">
      <w:pPr>
        <w:pStyle w:val="Heading6"/>
      </w:pPr>
      <w:r>
        <w:t>Analysis</w:t>
      </w:r>
    </w:p>
    <w:p w14:paraId="08DB0273" w14:textId="3A5B7C72" w:rsidR="000D3DCF" w:rsidRPr="009C34F0" w:rsidRDefault="000D3DCF" w:rsidP="00A01981">
      <w:r w:rsidRPr="00E2624C">
        <w:t xml:space="preserve">The Scheme Actuary provides forecasts of NDIS expenditure in the Annual Financial Sustainability Report. These forecasts are peer reviewed annually by the Australian Government Actuary and </w:t>
      </w:r>
      <w:r>
        <w:t>the NDIA’s actuarial forecast model was</w:t>
      </w:r>
      <w:r w:rsidRPr="00E2624C">
        <w:t xml:space="preserve"> reviewed by actuarial consultancy Taylor Fry in 2022. The assumption is made that</w:t>
      </w:r>
      <w:r>
        <w:t>,</w:t>
      </w:r>
      <w:r w:rsidRPr="00E2624C">
        <w:t xml:space="preserve"> if contributors</w:t>
      </w:r>
      <w:r w:rsidRPr="008C5B5A">
        <w:t xml:space="preserve"> to the NDIS</w:t>
      </w:r>
      <w:r w:rsidRPr="00E2624C">
        <w:t xml:space="preserve"> agree to the budget and the forecast, the </w:t>
      </w:r>
      <w:r>
        <w:t>’</w:t>
      </w:r>
      <w:r w:rsidRPr="00E2624C">
        <w:t>state of financial sustainability</w:t>
      </w:r>
      <w:r>
        <w:t>’</w:t>
      </w:r>
      <w:r w:rsidRPr="00E2624C">
        <w:t xml:space="preserve"> has been met for the reporting period.</w:t>
      </w:r>
    </w:p>
    <w:p w14:paraId="1EF2D00A" w14:textId="6423D35E" w:rsidR="00247078" w:rsidRDefault="000D3DCF" w:rsidP="00247078">
      <w:pPr>
        <w:rPr>
          <w:b/>
          <w:bCs/>
          <w:lang w:val="en-GB"/>
        </w:rPr>
      </w:pPr>
      <w:r w:rsidRPr="00F86FC3">
        <w:rPr>
          <w:lang w:val="en-GB"/>
        </w:rPr>
        <w:t>For 2023</w:t>
      </w:r>
      <w:r w:rsidRPr="00A15A18">
        <w:t>–</w:t>
      </w:r>
      <w:r w:rsidRPr="00F86FC3">
        <w:rPr>
          <w:lang w:val="en-GB"/>
        </w:rPr>
        <w:t>24, Program 1.1 expenditure was $41.8 billion</w:t>
      </w:r>
      <w:r>
        <w:rPr>
          <w:lang w:val="en-GB"/>
        </w:rPr>
        <w:t xml:space="preserve"> </w:t>
      </w:r>
      <w:r>
        <w:rPr>
          <w:rFonts w:ascii="Symbol" w:eastAsia="Symbol" w:hAnsi="Symbol" w:cs="Symbol"/>
          <w:lang w:val="en-GB"/>
        </w:rPr>
        <w:sym w:font="Symbol" w:char="F02D"/>
      </w:r>
      <w:r w:rsidRPr="00F86FC3">
        <w:rPr>
          <w:lang w:val="en-GB"/>
        </w:rPr>
        <w:t xml:space="preserve"> 1.2% more than expected</w:t>
      </w:r>
      <w:r w:rsidRPr="002B4A35">
        <w:rPr>
          <w:lang w:val="en-GB"/>
        </w:rPr>
        <w:t>.</w:t>
      </w:r>
      <w:r w:rsidRPr="00F86FC3">
        <w:rPr>
          <w:lang w:val="en-GB"/>
        </w:rPr>
        <w:t xml:space="preserve"> This was due to higher payments to </w:t>
      </w:r>
      <w:r w:rsidRPr="00114123">
        <w:rPr>
          <w:lang w:val="en-GB"/>
        </w:rPr>
        <w:t>participants</w:t>
      </w:r>
      <w:r>
        <w:rPr>
          <w:lang w:val="en-GB"/>
        </w:rPr>
        <w:t>,</w:t>
      </w:r>
      <w:r w:rsidRPr="00114123">
        <w:rPr>
          <w:lang w:val="en-GB"/>
        </w:rPr>
        <w:t xml:space="preserve"> </w:t>
      </w:r>
      <w:r>
        <w:rPr>
          <w:lang w:val="en-GB"/>
        </w:rPr>
        <w:t xml:space="preserve">particularly those </w:t>
      </w:r>
      <w:r w:rsidRPr="00114123">
        <w:rPr>
          <w:lang w:val="en-GB"/>
        </w:rPr>
        <w:t xml:space="preserve">without </w:t>
      </w:r>
      <w:r>
        <w:rPr>
          <w:lang w:val="en-GB"/>
        </w:rPr>
        <w:t>s</w:t>
      </w:r>
      <w:r w:rsidRPr="002B4A35">
        <w:rPr>
          <w:lang w:val="en-GB"/>
        </w:rPr>
        <w:t xml:space="preserve">upported </w:t>
      </w:r>
      <w:r>
        <w:rPr>
          <w:lang w:val="en-GB"/>
        </w:rPr>
        <w:t>i</w:t>
      </w:r>
      <w:r w:rsidRPr="002B4A35">
        <w:rPr>
          <w:lang w:val="en-GB"/>
        </w:rPr>
        <w:t xml:space="preserve">ndependent </w:t>
      </w:r>
      <w:r>
        <w:rPr>
          <w:lang w:val="en-GB"/>
        </w:rPr>
        <w:t>l</w:t>
      </w:r>
      <w:r w:rsidRPr="002B4A35">
        <w:rPr>
          <w:lang w:val="en-GB"/>
        </w:rPr>
        <w:t>iving</w:t>
      </w:r>
      <w:r w:rsidRPr="00F86FC3">
        <w:rPr>
          <w:lang w:val="en-GB"/>
        </w:rPr>
        <w:t xml:space="preserve"> supports. The target of 100% was not achieved.</w:t>
      </w:r>
      <w:r w:rsidRPr="002B4A35">
        <w:rPr>
          <w:lang w:val="en-GB"/>
        </w:rPr>
        <w:t xml:space="preserve"> </w:t>
      </w:r>
      <w:r>
        <w:rPr>
          <w:lang w:val="en-GB"/>
        </w:rPr>
        <w:t>NDIS</w:t>
      </w:r>
      <w:r w:rsidRPr="00F86FC3">
        <w:rPr>
          <w:lang w:val="en-GB"/>
        </w:rPr>
        <w:t xml:space="preserve"> growth </w:t>
      </w:r>
      <w:r w:rsidRPr="002B4A35">
        <w:rPr>
          <w:lang w:val="en-GB"/>
        </w:rPr>
        <w:t>was</w:t>
      </w:r>
      <w:r w:rsidRPr="00F86FC3">
        <w:rPr>
          <w:lang w:val="en-GB"/>
        </w:rPr>
        <w:t xml:space="preserve"> 19% over the 12 months ending 30 June 2024, reduced from 23% over the previous year. Additional growth in payments </w:t>
      </w:r>
      <w:r w:rsidRPr="002B4A35">
        <w:rPr>
          <w:lang w:val="en-GB"/>
        </w:rPr>
        <w:t>was</w:t>
      </w:r>
      <w:r w:rsidRPr="00F86FC3">
        <w:rPr>
          <w:lang w:val="en-GB"/>
        </w:rPr>
        <w:t xml:space="preserve"> the </w:t>
      </w:r>
      <w:r w:rsidRPr="002B4A35">
        <w:rPr>
          <w:lang w:val="en-GB"/>
        </w:rPr>
        <w:t>main</w:t>
      </w:r>
      <w:r w:rsidRPr="00F86FC3">
        <w:rPr>
          <w:lang w:val="en-GB"/>
        </w:rPr>
        <w:t xml:space="preserve"> factor, with signs of moderation observed.</w:t>
      </w:r>
      <w:r w:rsidR="00247078">
        <w:rPr>
          <w:b/>
          <w:bCs/>
          <w:lang w:val="en-GB"/>
        </w:rPr>
        <w:br w:type="page"/>
      </w:r>
    </w:p>
    <w:p w14:paraId="09940C24" w14:textId="1FF8982E" w:rsidR="000D3DCF" w:rsidRPr="00A33264" w:rsidRDefault="000D3DCF" w:rsidP="001C74C2">
      <w:pPr>
        <w:rPr>
          <w:b/>
          <w:bCs/>
          <w:lang w:val="en-GB"/>
        </w:rPr>
      </w:pPr>
      <w:r w:rsidRPr="00A33264">
        <w:rPr>
          <w:b/>
          <w:bCs/>
          <w:lang w:val="en-GB"/>
        </w:rPr>
        <w:lastRenderedPageBreak/>
        <w:t>Participant perception of choice and control over their life (independence)</w:t>
      </w:r>
    </w:p>
    <w:tbl>
      <w:tblPr>
        <w:tblStyle w:val="GridTable4"/>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20" w:firstRow="1" w:lastRow="0" w:firstColumn="0" w:lastColumn="0" w:noHBand="0" w:noVBand="1"/>
      </w:tblPr>
      <w:tblGrid>
        <w:gridCol w:w="3685"/>
        <w:gridCol w:w="1361"/>
        <w:gridCol w:w="1361"/>
        <w:gridCol w:w="1361"/>
        <w:gridCol w:w="1361"/>
      </w:tblGrid>
      <w:tr w:rsidR="000D3DCF" w:rsidRPr="00A33264" w14:paraId="60048CC3" w14:textId="77777777" w:rsidTr="001C0A6D">
        <w:trPr>
          <w:cnfStyle w:val="100000000000" w:firstRow="1" w:lastRow="0" w:firstColumn="0" w:lastColumn="0" w:oddVBand="0" w:evenVBand="0" w:oddHBand="0" w:evenHBand="0" w:firstRowFirstColumn="0" w:firstRowLastColumn="0" w:lastRowFirstColumn="0" w:lastRowLastColumn="0"/>
          <w:cantSplit/>
        </w:trPr>
        <w:tc>
          <w:tcPr>
            <w:tcW w:w="3685" w:type="dxa"/>
            <w:shd w:val="clear" w:color="auto" w:fill="A1CE63"/>
          </w:tcPr>
          <w:p w14:paraId="0FA27D06" w14:textId="553FDCF5" w:rsidR="000D3DCF" w:rsidRPr="00A33264" w:rsidRDefault="000D3DCF" w:rsidP="001C74C2">
            <w:pPr>
              <w:pStyle w:val="TableBody"/>
              <w:rPr>
                <w:color w:val="auto"/>
                <w:lang w:val="en-GB"/>
              </w:rPr>
            </w:pPr>
            <w:bookmarkStart w:id="81" w:name="ColumnTitle_PerformanceMeasure2"/>
            <w:bookmarkEnd w:id="81"/>
            <w:r w:rsidRPr="00A33264">
              <w:rPr>
                <w:color w:val="auto"/>
                <w:lang w:val="en-GB"/>
              </w:rPr>
              <w:t xml:space="preserve">Performance </w:t>
            </w:r>
            <w:r>
              <w:rPr>
                <w:color w:val="auto"/>
                <w:lang w:val="en-GB"/>
              </w:rPr>
              <w:t>m</w:t>
            </w:r>
            <w:r w:rsidRPr="00A33264">
              <w:rPr>
                <w:color w:val="auto"/>
                <w:lang w:val="en-GB"/>
              </w:rPr>
              <w:t>easure</w:t>
            </w:r>
          </w:p>
        </w:tc>
        <w:tc>
          <w:tcPr>
            <w:tcW w:w="1361" w:type="dxa"/>
            <w:shd w:val="clear" w:color="auto" w:fill="A1CE63"/>
          </w:tcPr>
          <w:p w14:paraId="67A30EA4" w14:textId="77777777" w:rsidR="000D3DCF" w:rsidRPr="00A33264" w:rsidRDefault="000D3DCF" w:rsidP="00BB40DF">
            <w:pPr>
              <w:pStyle w:val="TableBody"/>
              <w:jc w:val="right"/>
              <w:rPr>
                <w:color w:val="auto"/>
                <w:lang w:val="en-GB"/>
              </w:rPr>
            </w:pPr>
            <w:r w:rsidRPr="00A33264">
              <w:rPr>
                <w:color w:val="auto"/>
                <w:lang w:val="en-GB"/>
              </w:rPr>
              <w:t>2023</w:t>
            </w:r>
            <w:r w:rsidRPr="00A15A18">
              <w:rPr>
                <w:color w:val="auto"/>
              </w:rPr>
              <w:t>–</w:t>
            </w:r>
            <w:r w:rsidRPr="00A33264">
              <w:rPr>
                <w:color w:val="auto"/>
                <w:lang w:val="en-GB"/>
              </w:rPr>
              <w:t>24 Target</w:t>
            </w:r>
          </w:p>
        </w:tc>
        <w:tc>
          <w:tcPr>
            <w:tcW w:w="1361" w:type="dxa"/>
            <w:shd w:val="clear" w:color="auto" w:fill="A1CE63"/>
          </w:tcPr>
          <w:p w14:paraId="7575A402" w14:textId="77777777" w:rsidR="000D3DCF" w:rsidRPr="00A33264" w:rsidRDefault="000D3DCF" w:rsidP="00BB40DF">
            <w:pPr>
              <w:pStyle w:val="TableBody"/>
              <w:jc w:val="right"/>
              <w:rPr>
                <w:color w:val="auto"/>
                <w:lang w:val="en-GB"/>
              </w:rPr>
            </w:pPr>
            <w:r w:rsidRPr="00A33264">
              <w:rPr>
                <w:color w:val="auto"/>
                <w:lang w:val="en-GB"/>
              </w:rPr>
              <w:t>2023</w:t>
            </w:r>
            <w:r w:rsidRPr="00A15A18">
              <w:rPr>
                <w:color w:val="auto"/>
              </w:rPr>
              <w:t>–</w:t>
            </w:r>
            <w:r w:rsidRPr="00A33264">
              <w:rPr>
                <w:color w:val="auto"/>
                <w:lang w:val="en-GB"/>
              </w:rPr>
              <w:t>24 Result</w:t>
            </w:r>
          </w:p>
        </w:tc>
        <w:tc>
          <w:tcPr>
            <w:tcW w:w="1361" w:type="dxa"/>
            <w:shd w:val="clear" w:color="auto" w:fill="A1CE63"/>
          </w:tcPr>
          <w:p w14:paraId="3D21D949" w14:textId="77777777" w:rsidR="000D3DCF" w:rsidRPr="00A33264" w:rsidRDefault="000D3DCF" w:rsidP="00BB40DF">
            <w:pPr>
              <w:pStyle w:val="TableBody"/>
              <w:jc w:val="right"/>
              <w:rPr>
                <w:color w:val="auto"/>
                <w:lang w:val="en-GB"/>
              </w:rPr>
            </w:pPr>
            <w:r>
              <w:rPr>
                <w:color w:val="auto"/>
                <w:lang w:val="en-GB"/>
              </w:rPr>
              <w:t>2023</w:t>
            </w:r>
            <w:r w:rsidRPr="00A15A18">
              <w:rPr>
                <w:color w:val="auto"/>
              </w:rPr>
              <w:t>–</w:t>
            </w:r>
            <w:r>
              <w:rPr>
                <w:color w:val="auto"/>
                <w:lang w:val="en-GB"/>
              </w:rPr>
              <w:t>24 O</w:t>
            </w:r>
            <w:r w:rsidRPr="00A33264">
              <w:rPr>
                <w:color w:val="auto"/>
                <w:lang w:val="en-GB"/>
              </w:rPr>
              <w:t>utcome</w:t>
            </w:r>
          </w:p>
        </w:tc>
        <w:tc>
          <w:tcPr>
            <w:tcW w:w="1361" w:type="dxa"/>
            <w:shd w:val="clear" w:color="auto" w:fill="A1CE63"/>
          </w:tcPr>
          <w:p w14:paraId="5699A966" w14:textId="77777777" w:rsidR="000D3DCF" w:rsidRPr="00A01981" w:rsidRDefault="000D3DCF" w:rsidP="00BB40DF">
            <w:pPr>
              <w:pStyle w:val="TableBody"/>
              <w:jc w:val="right"/>
              <w:rPr>
                <w:color w:val="auto"/>
                <w:lang w:val="en-GB"/>
              </w:rPr>
            </w:pPr>
            <w:r>
              <w:rPr>
                <w:color w:val="auto"/>
                <w:lang w:val="en-GB"/>
              </w:rPr>
              <w:t>2022</w:t>
            </w:r>
            <w:r w:rsidRPr="00A15A18">
              <w:rPr>
                <w:color w:val="auto"/>
              </w:rPr>
              <w:t>–</w:t>
            </w:r>
            <w:r>
              <w:rPr>
                <w:color w:val="auto"/>
                <w:lang w:val="en-GB"/>
              </w:rPr>
              <w:t>23 Result</w:t>
            </w:r>
          </w:p>
        </w:tc>
      </w:tr>
      <w:tr w:rsidR="000D3DCF" w:rsidRPr="00A33264" w14:paraId="7F329189" w14:textId="77777777" w:rsidTr="00A01981">
        <w:trPr>
          <w:cnfStyle w:val="000000100000" w:firstRow="0" w:lastRow="0" w:firstColumn="0" w:lastColumn="0" w:oddVBand="0" w:evenVBand="0" w:oddHBand="1" w:evenHBand="0" w:firstRowFirstColumn="0" w:firstRowLastColumn="0" w:lastRowFirstColumn="0" w:lastRowLastColumn="0"/>
          <w:cantSplit/>
        </w:trPr>
        <w:tc>
          <w:tcPr>
            <w:tcW w:w="3685" w:type="dxa"/>
            <w:shd w:val="clear" w:color="auto" w:fill="E5F1D4"/>
          </w:tcPr>
          <w:p w14:paraId="29990575" w14:textId="0E0C950C" w:rsidR="000D3DCF" w:rsidRPr="00A33264" w:rsidRDefault="000D3DCF" w:rsidP="001C74C2">
            <w:pPr>
              <w:pStyle w:val="TableBody"/>
              <w:rPr>
                <w:lang w:val="en-GB"/>
              </w:rPr>
            </w:pPr>
            <w:r w:rsidRPr="00A33264">
              <w:rPr>
                <w:lang w:val="en-GB"/>
              </w:rPr>
              <w:t>Participant perception of choice and control over their life (independence)</w:t>
            </w:r>
          </w:p>
        </w:tc>
        <w:tc>
          <w:tcPr>
            <w:tcW w:w="1361" w:type="dxa"/>
            <w:shd w:val="clear" w:color="auto" w:fill="E5F1D4"/>
          </w:tcPr>
          <w:p w14:paraId="6E733391" w14:textId="77777777" w:rsidR="000D3DCF" w:rsidRPr="00A33264" w:rsidRDefault="000D3DCF" w:rsidP="00BB40DF">
            <w:pPr>
              <w:pStyle w:val="TableBody"/>
              <w:jc w:val="right"/>
              <w:rPr>
                <w:lang w:val="en-GB"/>
              </w:rPr>
            </w:pPr>
            <w:r w:rsidRPr="00A33264">
              <w:rPr>
                <w:lang w:val="en-GB"/>
              </w:rPr>
              <w:t>75%</w:t>
            </w:r>
          </w:p>
        </w:tc>
        <w:tc>
          <w:tcPr>
            <w:tcW w:w="1361" w:type="dxa"/>
            <w:shd w:val="clear" w:color="auto" w:fill="E5F1D4"/>
          </w:tcPr>
          <w:p w14:paraId="548E2840" w14:textId="77777777" w:rsidR="000D3DCF" w:rsidRPr="00A33264" w:rsidRDefault="000D3DCF" w:rsidP="00BB40DF">
            <w:pPr>
              <w:pStyle w:val="TableBody"/>
              <w:jc w:val="right"/>
              <w:rPr>
                <w:lang w:val="en-GB"/>
              </w:rPr>
            </w:pPr>
            <w:r w:rsidRPr="00A33264">
              <w:rPr>
                <w:lang w:val="en-GB"/>
              </w:rPr>
              <w:t>7</w:t>
            </w:r>
            <w:r>
              <w:rPr>
                <w:lang w:val="en-GB"/>
              </w:rPr>
              <w:t>8.9</w:t>
            </w:r>
            <w:r w:rsidRPr="00A33264">
              <w:rPr>
                <w:lang w:val="en-GB"/>
              </w:rPr>
              <w:t>%</w:t>
            </w:r>
          </w:p>
        </w:tc>
        <w:tc>
          <w:tcPr>
            <w:tcW w:w="1361" w:type="dxa"/>
            <w:shd w:val="clear" w:color="auto" w:fill="E5F1D4"/>
          </w:tcPr>
          <w:p w14:paraId="6CAB12B6" w14:textId="77777777" w:rsidR="000D3DCF" w:rsidRPr="00A33264" w:rsidRDefault="000D3DCF" w:rsidP="00BB40DF">
            <w:pPr>
              <w:pStyle w:val="TableBody"/>
              <w:jc w:val="right"/>
              <w:rPr>
                <w:lang w:val="en-GB"/>
              </w:rPr>
            </w:pPr>
            <w:r w:rsidRPr="00A33264">
              <w:rPr>
                <w:lang w:val="en-GB"/>
              </w:rPr>
              <w:t>Achieved</w:t>
            </w:r>
          </w:p>
        </w:tc>
        <w:tc>
          <w:tcPr>
            <w:tcW w:w="1361" w:type="dxa"/>
            <w:shd w:val="clear" w:color="auto" w:fill="E5F1D4"/>
          </w:tcPr>
          <w:p w14:paraId="79F9CCCB" w14:textId="77777777" w:rsidR="000D3DCF" w:rsidRPr="00A33264" w:rsidRDefault="000D3DCF" w:rsidP="00BB40DF">
            <w:pPr>
              <w:pStyle w:val="TableBody"/>
              <w:jc w:val="right"/>
              <w:rPr>
                <w:lang w:val="en-GB"/>
              </w:rPr>
            </w:pPr>
            <w:r>
              <w:rPr>
                <w:lang w:val="en-GB"/>
              </w:rPr>
              <w:t>76.8%</w:t>
            </w:r>
          </w:p>
        </w:tc>
      </w:tr>
    </w:tbl>
    <w:p w14:paraId="52063678" w14:textId="77777777" w:rsidR="000D3DCF" w:rsidRDefault="000D3DCF" w:rsidP="00B27FA1">
      <w:pPr>
        <w:pStyle w:val="Heading6"/>
        <w:rPr>
          <w:rFonts w:eastAsia="Arial"/>
        </w:rPr>
      </w:pPr>
      <w:r>
        <w:rPr>
          <w:rFonts w:eastAsia="Arial"/>
        </w:rPr>
        <w:t>Why we measure this</w:t>
      </w:r>
    </w:p>
    <w:p w14:paraId="5364839E" w14:textId="77777777" w:rsidR="000D3DCF" w:rsidRDefault="000D3DCF" w:rsidP="00A01981">
      <w:r w:rsidRPr="009C34F0">
        <w:rPr>
          <w:rFonts w:eastAsia="Arial"/>
          <w:color w:val="000000"/>
        </w:rPr>
        <w:t xml:space="preserve">This measure assesses </w:t>
      </w:r>
      <w:r w:rsidRPr="00F86FC3">
        <w:t xml:space="preserve">the </w:t>
      </w:r>
      <w:r w:rsidRPr="009C34F0">
        <w:t xml:space="preserve">effectiveness of reasonable and necessary supports on participant independence. </w:t>
      </w:r>
    </w:p>
    <w:p w14:paraId="521A1F10" w14:textId="77777777" w:rsidR="000D3DCF" w:rsidRDefault="000D3DCF" w:rsidP="00B27FA1">
      <w:pPr>
        <w:pStyle w:val="Heading6"/>
      </w:pPr>
      <w:r>
        <w:t>How we measure this</w:t>
      </w:r>
    </w:p>
    <w:p w14:paraId="4F267A69" w14:textId="758E75CD" w:rsidR="000D3DCF" w:rsidRPr="009C34F0" w:rsidRDefault="000D3DCF" w:rsidP="00A01981">
      <w:pPr>
        <w:rPr>
          <w:rFonts w:eastAsia="Arial"/>
          <w:color w:val="000000"/>
        </w:rPr>
      </w:pPr>
      <w:r>
        <w:t>We obtain our results for this performance measure by</w:t>
      </w:r>
      <w:r w:rsidRPr="009C34F0" w:rsidDel="0059375C">
        <w:t xml:space="preserve"> </w:t>
      </w:r>
      <w:r w:rsidRPr="009C34F0">
        <w:t>calculat</w:t>
      </w:r>
      <w:r>
        <w:t>ing</w:t>
      </w:r>
      <w:r w:rsidRPr="009C34F0">
        <w:t xml:space="preserve"> the percentage of participants</w:t>
      </w:r>
      <w:r>
        <w:t xml:space="preserve"> (</w:t>
      </w:r>
      <w:r w:rsidRPr="009C34F0">
        <w:t xml:space="preserve">aged 15+ who have been in the </w:t>
      </w:r>
      <w:r>
        <w:t>NDIS</w:t>
      </w:r>
      <w:r w:rsidRPr="009C34F0">
        <w:t xml:space="preserve"> for at least 2 years</w:t>
      </w:r>
      <w:r>
        <w:t>)</w:t>
      </w:r>
      <w:r w:rsidRPr="009C34F0">
        <w:t xml:space="preserve"> who answer ‘yes’ to</w:t>
      </w:r>
      <w:r>
        <w:t xml:space="preserve"> the question</w:t>
      </w:r>
      <w:r w:rsidRPr="009C34F0">
        <w:t xml:space="preserve"> ‘</w:t>
      </w:r>
      <w:r>
        <w:t>H</w:t>
      </w:r>
      <w:r w:rsidRPr="009C34F0">
        <w:t>as the NDIS helped you have more choice and control over your life?’,</w:t>
      </w:r>
      <w:r>
        <w:t xml:space="preserve"> using the participant’s most recent response to</w:t>
      </w:r>
      <w:r w:rsidRPr="009C34F0">
        <w:t xml:space="preserve"> the </w:t>
      </w:r>
      <w:r>
        <w:t xml:space="preserve">NDIS Short Form Outcomes Framework survey. </w:t>
      </w:r>
    </w:p>
    <w:p w14:paraId="1232E092" w14:textId="77777777" w:rsidR="000D3DCF" w:rsidRDefault="000D3DCF" w:rsidP="00B27FA1">
      <w:pPr>
        <w:pStyle w:val="Heading6"/>
        <w:rPr>
          <w:rFonts w:eastAsia="Arial"/>
        </w:rPr>
      </w:pPr>
      <w:r>
        <w:rPr>
          <w:rFonts w:eastAsia="Arial"/>
        </w:rPr>
        <w:t>Analysis</w:t>
      </w:r>
    </w:p>
    <w:p w14:paraId="44DDED06" w14:textId="2ADC11C4" w:rsidR="000D3DCF" w:rsidRDefault="000D3DCF" w:rsidP="00A01981">
      <w:pPr>
        <w:rPr>
          <w:rFonts w:eastAsia="Arial"/>
          <w:color w:val="000000"/>
        </w:rPr>
      </w:pPr>
      <w:r w:rsidRPr="00650B72">
        <w:rPr>
          <w:rFonts w:eastAsia="Yu Mincho"/>
        </w:rPr>
        <w:t xml:space="preserve">The NDIA has observed that participants are reporting greater independence in their NDIS experience, exceeding the target for participant perception of choice and control over their life. The NDIA now offers improved guidance to help participants understand how they can use their plan. </w:t>
      </w:r>
      <w:r w:rsidR="00EF64F4" w:rsidRPr="00650B72">
        <w:rPr>
          <w:rFonts w:eastAsia="Yu Mincho"/>
        </w:rPr>
        <w:t>F</w:t>
      </w:r>
      <w:r w:rsidRPr="00650B72">
        <w:rPr>
          <w:rFonts w:eastAsia="Symbol" w:cs="Arial"/>
        </w:rPr>
        <w:t xml:space="preserve">or example, our </w:t>
      </w:r>
      <w:r w:rsidRPr="00650B72">
        <w:rPr>
          <w:rFonts w:eastAsia="Yu Mincho"/>
        </w:rPr>
        <w:t>‘</w:t>
      </w:r>
      <w:r w:rsidRPr="00650B72">
        <w:rPr>
          <w:rFonts w:eastAsia="Arial"/>
        </w:rPr>
        <w:t>Would We Fund It’</w:t>
      </w:r>
      <w:r w:rsidRPr="00650B72">
        <w:rPr>
          <w:rFonts w:eastAsia="Arial"/>
          <w:color w:val="000000"/>
        </w:rPr>
        <w:t xml:space="preserve"> guideline provides examples of the types of supports we typically fund. Also, NDIA staff are trained to assist participants to understand how to use their supports and exercise choice and control across their journey.</w:t>
      </w:r>
    </w:p>
    <w:p w14:paraId="10DACA90" w14:textId="1EFC5BB3" w:rsidR="000D3DCF" w:rsidRPr="009C34F0" w:rsidRDefault="000D3DCF" w:rsidP="00A01981">
      <w:pPr>
        <w:rPr>
          <w:rFonts w:eastAsia="Arial"/>
          <w:color w:val="000000"/>
        </w:rPr>
      </w:pPr>
      <w:r>
        <w:rPr>
          <w:rFonts w:eastAsia="Arial"/>
          <w:color w:val="000000"/>
        </w:rPr>
        <w:t>T</w:t>
      </w:r>
      <w:r w:rsidRPr="009C34F0">
        <w:rPr>
          <w:rFonts w:eastAsia="Arial"/>
          <w:color w:val="000000"/>
        </w:rPr>
        <w:t xml:space="preserve">he </w:t>
      </w:r>
      <w:r>
        <w:rPr>
          <w:rFonts w:eastAsia="Arial"/>
          <w:color w:val="000000"/>
        </w:rPr>
        <w:t>NDIA</w:t>
      </w:r>
      <w:r w:rsidRPr="009C34F0">
        <w:rPr>
          <w:rFonts w:eastAsia="Arial"/>
          <w:color w:val="000000"/>
        </w:rPr>
        <w:t xml:space="preserve"> uses a </w:t>
      </w:r>
      <w:r>
        <w:rPr>
          <w:rFonts w:eastAsia="Arial"/>
          <w:color w:val="000000"/>
        </w:rPr>
        <w:t>s</w:t>
      </w:r>
      <w:r w:rsidRPr="009C34F0">
        <w:rPr>
          <w:rFonts w:eastAsia="Arial"/>
          <w:color w:val="000000"/>
        </w:rPr>
        <w:t xml:space="preserve">upported </w:t>
      </w:r>
      <w:r>
        <w:rPr>
          <w:rFonts w:eastAsia="Arial"/>
          <w:color w:val="000000"/>
        </w:rPr>
        <w:t>d</w:t>
      </w:r>
      <w:r w:rsidRPr="009C34F0">
        <w:rPr>
          <w:rFonts w:eastAsia="Arial"/>
          <w:color w:val="000000"/>
        </w:rPr>
        <w:t>ecision-</w:t>
      </w:r>
      <w:r>
        <w:rPr>
          <w:rFonts w:eastAsia="Arial"/>
          <w:color w:val="000000"/>
        </w:rPr>
        <w:t>m</w:t>
      </w:r>
      <w:r w:rsidRPr="009C34F0">
        <w:rPr>
          <w:rFonts w:eastAsia="Arial"/>
          <w:color w:val="000000"/>
        </w:rPr>
        <w:t>aking model</w:t>
      </w:r>
      <w:r>
        <w:rPr>
          <w:rFonts w:eastAsia="Arial"/>
          <w:color w:val="000000"/>
        </w:rPr>
        <w:t xml:space="preserve"> to further support participants’ choice and control</w:t>
      </w:r>
      <w:r w:rsidRPr="009C34F0">
        <w:rPr>
          <w:rFonts w:eastAsia="Arial"/>
          <w:color w:val="000000"/>
        </w:rPr>
        <w:t xml:space="preserve">. </w:t>
      </w:r>
      <w:r>
        <w:rPr>
          <w:rFonts w:eastAsia="Arial"/>
          <w:color w:val="000000"/>
        </w:rPr>
        <w:t>The model</w:t>
      </w:r>
      <w:r w:rsidRPr="009C34F0">
        <w:rPr>
          <w:rFonts w:eastAsia="Arial"/>
          <w:color w:val="000000"/>
        </w:rPr>
        <w:t xml:space="preserve"> has 4 main principles that guide how we can improve the </w:t>
      </w:r>
      <w:r>
        <w:rPr>
          <w:rFonts w:eastAsia="Arial"/>
          <w:color w:val="000000"/>
        </w:rPr>
        <w:t>NDIS</w:t>
      </w:r>
      <w:r w:rsidRPr="009C34F0">
        <w:rPr>
          <w:rFonts w:eastAsia="Arial"/>
          <w:color w:val="000000"/>
        </w:rPr>
        <w:t xml:space="preserve"> to better support people with disability to make decisions:</w:t>
      </w:r>
    </w:p>
    <w:p w14:paraId="34999F73" w14:textId="52569C52" w:rsidR="000D3DCF" w:rsidRPr="009C34F0" w:rsidRDefault="000D3DCF" w:rsidP="00A01981">
      <w:pPr>
        <w:pStyle w:val="Bullet1"/>
        <w:rPr>
          <w:rFonts w:eastAsia="Arial"/>
        </w:rPr>
      </w:pPr>
      <w:r>
        <w:rPr>
          <w:rFonts w:eastAsia="Arial"/>
        </w:rPr>
        <w:t>A</w:t>
      </w:r>
      <w:r w:rsidRPr="009C34F0">
        <w:rPr>
          <w:rFonts w:eastAsia="Arial"/>
        </w:rPr>
        <w:t>ll adults have an equal right to make decisions that affect their lives and to have those decisions respected</w:t>
      </w:r>
      <w:r>
        <w:rPr>
          <w:rFonts w:eastAsia="Arial"/>
        </w:rPr>
        <w:t>.</w:t>
      </w:r>
    </w:p>
    <w:p w14:paraId="0486CDE8" w14:textId="5FB7DBC4" w:rsidR="000D3DCF" w:rsidRPr="009C34F0" w:rsidRDefault="000D3DCF" w:rsidP="00A01981">
      <w:pPr>
        <w:pStyle w:val="Bullet1"/>
        <w:rPr>
          <w:rFonts w:eastAsia="Arial"/>
        </w:rPr>
      </w:pPr>
      <w:r>
        <w:rPr>
          <w:rFonts w:eastAsia="Arial"/>
        </w:rPr>
        <w:t>T</w:t>
      </w:r>
      <w:r w:rsidRPr="009C34F0">
        <w:rPr>
          <w:rFonts w:eastAsia="Arial"/>
        </w:rPr>
        <w:t>here must be access to support for people who need help communicating and participating in decisions</w:t>
      </w:r>
      <w:r>
        <w:rPr>
          <w:rFonts w:eastAsia="Arial"/>
        </w:rPr>
        <w:t>.</w:t>
      </w:r>
    </w:p>
    <w:p w14:paraId="4295E990" w14:textId="2B76D036" w:rsidR="000D3DCF" w:rsidRPr="009C34F0" w:rsidRDefault="000D3DCF" w:rsidP="00A01981">
      <w:pPr>
        <w:pStyle w:val="Bullet1"/>
        <w:rPr>
          <w:rFonts w:eastAsia="Arial"/>
        </w:rPr>
      </w:pPr>
      <w:r>
        <w:rPr>
          <w:rFonts w:eastAsia="Arial"/>
        </w:rPr>
        <w:t>D</w:t>
      </w:r>
      <w:r w:rsidRPr="009C34F0">
        <w:rPr>
          <w:rFonts w:eastAsia="Arial"/>
        </w:rPr>
        <w:t>ecisions are directed by a person’s own will, preferences and rights</w:t>
      </w:r>
      <w:r>
        <w:rPr>
          <w:rFonts w:eastAsia="Arial"/>
        </w:rPr>
        <w:t>.</w:t>
      </w:r>
    </w:p>
    <w:p w14:paraId="74882C21" w14:textId="4A6379C4" w:rsidR="00247078" w:rsidRPr="00247078" w:rsidRDefault="000D3DCF" w:rsidP="004047AA">
      <w:pPr>
        <w:pStyle w:val="Bullet1"/>
        <w:spacing w:after="0" w:line="240" w:lineRule="auto"/>
        <w:rPr>
          <w:b/>
          <w:bCs/>
          <w:lang w:val="en-GB"/>
        </w:rPr>
      </w:pPr>
      <w:r w:rsidRPr="00247078">
        <w:rPr>
          <w:rFonts w:eastAsia="Arial"/>
        </w:rPr>
        <w:t>Inclusion of appropriate and effective safeguards against violence, abuse, neglect or exploitation.</w:t>
      </w:r>
      <w:r w:rsidR="00247078" w:rsidRPr="00247078">
        <w:rPr>
          <w:b/>
          <w:bCs/>
          <w:lang w:val="en-GB"/>
        </w:rPr>
        <w:br w:type="page"/>
      </w:r>
    </w:p>
    <w:p w14:paraId="60A419B0" w14:textId="4D709EC8" w:rsidR="000D3DCF" w:rsidRPr="00A33264" w:rsidRDefault="000D3DCF" w:rsidP="001C74C2">
      <w:pPr>
        <w:rPr>
          <w:b/>
          <w:bCs/>
          <w:lang w:val="en-GB"/>
        </w:rPr>
      </w:pPr>
      <w:r w:rsidRPr="00A33264">
        <w:rPr>
          <w:b/>
          <w:bCs/>
          <w:lang w:val="en-GB"/>
        </w:rPr>
        <w:lastRenderedPageBreak/>
        <w:t>Participant perception of choice and control for selecting providers</w:t>
      </w:r>
    </w:p>
    <w:tbl>
      <w:tblPr>
        <w:tblStyle w:val="GridTable4"/>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20" w:firstRow="1" w:lastRow="0" w:firstColumn="0" w:lastColumn="0" w:noHBand="0" w:noVBand="1"/>
      </w:tblPr>
      <w:tblGrid>
        <w:gridCol w:w="3634"/>
        <w:gridCol w:w="1348"/>
        <w:gridCol w:w="1348"/>
        <w:gridCol w:w="1355"/>
        <w:gridCol w:w="1331"/>
      </w:tblGrid>
      <w:tr w:rsidR="000D3DCF" w:rsidRPr="00A33264" w14:paraId="3CA3859F" w14:textId="77777777" w:rsidTr="001C0A6D">
        <w:trPr>
          <w:cnfStyle w:val="100000000000" w:firstRow="1" w:lastRow="0" w:firstColumn="0" w:lastColumn="0" w:oddVBand="0" w:evenVBand="0" w:oddHBand="0" w:evenHBand="0" w:firstRowFirstColumn="0" w:firstRowLastColumn="0" w:lastRowFirstColumn="0" w:lastRowLastColumn="0"/>
          <w:cantSplit/>
        </w:trPr>
        <w:tc>
          <w:tcPr>
            <w:tcW w:w="3634" w:type="dxa"/>
            <w:shd w:val="clear" w:color="auto" w:fill="A1CE63"/>
          </w:tcPr>
          <w:p w14:paraId="127A6BED" w14:textId="12F7D299" w:rsidR="000D3DCF" w:rsidRPr="00A33264" w:rsidRDefault="000D3DCF">
            <w:pPr>
              <w:pStyle w:val="TableBody"/>
              <w:rPr>
                <w:color w:val="auto"/>
                <w:lang w:val="en-GB"/>
              </w:rPr>
            </w:pPr>
            <w:bookmarkStart w:id="82" w:name="ColumnTitle_PerformanceMeasure3"/>
            <w:bookmarkEnd w:id="82"/>
            <w:r w:rsidRPr="00A33264">
              <w:rPr>
                <w:color w:val="auto"/>
                <w:lang w:val="en-GB"/>
              </w:rPr>
              <w:t xml:space="preserve">Performance </w:t>
            </w:r>
            <w:r>
              <w:rPr>
                <w:color w:val="auto"/>
                <w:lang w:val="en-GB"/>
              </w:rPr>
              <w:t>m</w:t>
            </w:r>
            <w:r w:rsidRPr="00A33264">
              <w:rPr>
                <w:color w:val="auto"/>
                <w:lang w:val="en-GB"/>
              </w:rPr>
              <w:t>easure</w:t>
            </w:r>
          </w:p>
        </w:tc>
        <w:tc>
          <w:tcPr>
            <w:tcW w:w="1348" w:type="dxa"/>
            <w:shd w:val="clear" w:color="auto" w:fill="A1CE63"/>
          </w:tcPr>
          <w:p w14:paraId="7D8B27A7" w14:textId="77777777" w:rsidR="000D3DCF" w:rsidRPr="00A33264" w:rsidRDefault="000D3DCF" w:rsidP="00BB40DF">
            <w:pPr>
              <w:pStyle w:val="TableBody"/>
              <w:jc w:val="right"/>
              <w:rPr>
                <w:color w:val="auto"/>
                <w:lang w:val="en-GB"/>
              </w:rPr>
            </w:pPr>
            <w:r w:rsidRPr="00A33264">
              <w:rPr>
                <w:color w:val="auto"/>
                <w:lang w:val="en-GB"/>
              </w:rPr>
              <w:t>2023</w:t>
            </w:r>
            <w:r w:rsidRPr="00A15A18">
              <w:rPr>
                <w:color w:val="auto"/>
              </w:rPr>
              <w:t>–</w:t>
            </w:r>
            <w:r w:rsidRPr="00A33264">
              <w:rPr>
                <w:color w:val="auto"/>
                <w:lang w:val="en-GB"/>
              </w:rPr>
              <w:t>24 Target</w:t>
            </w:r>
          </w:p>
        </w:tc>
        <w:tc>
          <w:tcPr>
            <w:tcW w:w="1348" w:type="dxa"/>
            <w:shd w:val="clear" w:color="auto" w:fill="A1CE63"/>
          </w:tcPr>
          <w:p w14:paraId="5E7D3996" w14:textId="77777777" w:rsidR="000D3DCF" w:rsidRPr="00A33264" w:rsidRDefault="000D3DCF" w:rsidP="00BB40DF">
            <w:pPr>
              <w:pStyle w:val="TableBody"/>
              <w:jc w:val="right"/>
              <w:rPr>
                <w:color w:val="auto"/>
                <w:lang w:val="en-GB"/>
              </w:rPr>
            </w:pPr>
            <w:r w:rsidRPr="00A33264">
              <w:rPr>
                <w:color w:val="auto"/>
                <w:lang w:val="en-GB"/>
              </w:rPr>
              <w:t>2023</w:t>
            </w:r>
            <w:r w:rsidRPr="00A15A18">
              <w:rPr>
                <w:color w:val="auto"/>
              </w:rPr>
              <w:t>–</w:t>
            </w:r>
            <w:r w:rsidRPr="00A33264">
              <w:rPr>
                <w:color w:val="auto"/>
                <w:lang w:val="en-GB"/>
              </w:rPr>
              <w:t>24 Result</w:t>
            </w:r>
          </w:p>
        </w:tc>
        <w:tc>
          <w:tcPr>
            <w:tcW w:w="1355" w:type="dxa"/>
            <w:shd w:val="clear" w:color="auto" w:fill="A1CE63"/>
          </w:tcPr>
          <w:p w14:paraId="05171C84" w14:textId="77777777" w:rsidR="000D3DCF" w:rsidRPr="00A33264" w:rsidRDefault="000D3DCF" w:rsidP="00BB40DF">
            <w:pPr>
              <w:pStyle w:val="TableBody"/>
              <w:jc w:val="right"/>
              <w:rPr>
                <w:color w:val="auto"/>
                <w:lang w:val="en-GB"/>
              </w:rPr>
            </w:pPr>
            <w:r>
              <w:rPr>
                <w:color w:val="auto"/>
                <w:lang w:val="en-GB"/>
              </w:rPr>
              <w:t>2023</w:t>
            </w:r>
            <w:r w:rsidRPr="00A15A18">
              <w:rPr>
                <w:color w:val="auto"/>
              </w:rPr>
              <w:t>–</w:t>
            </w:r>
            <w:r>
              <w:rPr>
                <w:color w:val="auto"/>
                <w:lang w:val="en-GB"/>
              </w:rPr>
              <w:t>24 O</w:t>
            </w:r>
            <w:r w:rsidRPr="00A33264">
              <w:rPr>
                <w:color w:val="auto"/>
                <w:lang w:val="en-GB"/>
              </w:rPr>
              <w:t>utcome</w:t>
            </w:r>
          </w:p>
        </w:tc>
        <w:tc>
          <w:tcPr>
            <w:tcW w:w="1331" w:type="dxa"/>
            <w:shd w:val="clear" w:color="auto" w:fill="A1CE63"/>
          </w:tcPr>
          <w:p w14:paraId="62ADB271" w14:textId="77777777" w:rsidR="000D3DCF" w:rsidRPr="00A01981" w:rsidRDefault="000D3DCF" w:rsidP="00BB40DF">
            <w:pPr>
              <w:pStyle w:val="TableBody"/>
              <w:jc w:val="right"/>
              <w:rPr>
                <w:color w:val="auto"/>
                <w:lang w:val="en-GB"/>
              </w:rPr>
            </w:pPr>
            <w:r>
              <w:rPr>
                <w:color w:val="auto"/>
                <w:lang w:val="en-GB"/>
              </w:rPr>
              <w:t>2022</w:t>
            </w:r>
            <w:r w:rsidRPr="00A15A18">
              <w:rPr>
                <w:color w:val="auto"/>
              </w:rPr>
              <w:t>–</w:t>
            </w:r>
            <w:r>
              <w:rPr>
                <w:color w:val="auto"/>
                <w:lang w:val="en-GB"/>
              </w:rPr>
              <w:t>23 Result</w:t>
            </w:r>
          </w:p>
        </w:tc>
      </w:tr>
      <w:tr w:rsidR="000D3DCF" w:rsidRPr="00A33264" w14:paraId="5466FAE8" w14:textId="77777777" w:rsidTr="00A01981">
        <w:trPr>
          <w:cnfStyle w:val="000000100000" w:firstRow="0" w:lastRow="0" w:firstColumn="0" w:lastColumn="0" w:oddVBand="0" w:evenVBand="0" w:oddHBand="1" w:evenHBand="0" w:firstRowFirstColumn="0" w:firstRowLastColumn="0" w:lastRowFirstColumn="0" w:lastRowLastColumn="0"/>
          <w:cantSplit/>
        </w:trPr>
        <w:tc>
          <w:tcPr>
            <w:tcW w:w="3634" w:type="dxa"/>
            <w:shd w:val="clear" w:color="auto" w:fill="E5F1D4"/>
          </w:tcPr>
          <w:p w14:paraId="684A062B" w14:textId="4856E1EB" w:rsidR="000D3DCF" w:rsidRPr="00A33264" w:rsidRDefault="000D3DCF" w:rsidP="001C74C2">
            <w:pPr>
              <w:pStyle w:val="TableBody"/>
              <w:rPr>
                <w:lang w:val="en-GB"/>
              </w:rPr>
            </w:pPr>
            <w:r w:rsidRPr="00A33264">
              <w:rPr>
                <w:lang w:val="en-GB"/>
              </w:rPr>
              <w:t>Participant perception of choice and control for selecting providers</w:t>
            </w:r>
          </w:p>
        </w:tc>
        <w:tc>
          <w:tcPr>
            <w:tcW w:w="1348" w:type="dxa"/>
            <w:shd w:val="clear" w:color="auto" w:fill="E5F1D4"/>
          </w:tcPr>
          <w:p w14:paraId="7ADB7E8D" w14:textId="77777777" w:rsidR="000D3DCF" w:rsidRPr="00A33264" w:rsidRDefault="000D3DCF" w:rsidP="00BB40DF">
            <w:pPr>
              <w:pStyle w:val="TableBody"/>
              <w:jc w:val="right"/>
              <w:rPr>
                <w:lang w:val="en-GB"/>
              </w:rPr>
            </w:pPr>
            <w:r w:rsidRPr="00A33264">
              <w:rPr>
                <w:lang w:val="en-GB"/>
              </w:rPr>
              <w:t>Above 70%</w:t>
            </w:r>
          </w:p>
        </w:tc>
        <w:tc>
          <w:tcPr>
            <w:tcW w:w="1348" w:type="dxa"/>
            <w:shd w:val="clear" w:color="auto" w:fill="E5F1D4"/>
          </w:tcPr>
          <w:p w14:paraId="5192ECBE" w14:textId="77777777" w:rsidR="000D3DCF" w:rsidRPr="00A33264" w:rsidRDefault="000D3DCF" w:rsidP="00BB40DF">
            <w:pPr>
              <w:pStyle w:val="TableBody"/>
              <w:jc w:val="right"/>
              <w:rPr>
                <w:lang w:val="en-GB"/>
              </w:rPr>
            </w:pPr>
            <w:r w:rsidRPr="00A33264">
              <w:rPr>
                <w:lang w:val="en-GB"/>
              </w:rPr>
              <w:t>53.2%</w:t>
            </w:r>
          </w:p>
        </w:tc>
        <w:tc>
          <w:tcPr>
            <w:tcW w:w="1355" w:type="dxa"/>
            <w:shd w:val="clear" w:color="auto" w:fill="E5F1D4"/>
          </w:tcPr>
          <w:p w14:paraId="0C91293E" w14:textId="77777777" w:rsidR="000D3DCF" w:rsidRPr="00A33264" w:rsidRDefault="000D3DCF" w:rsidP="00BB40DF">
            <w:pPr>
              <w:pStyle w:val="TableBody"/>
              <w:jc w:val="right"/>
              <w:rPr>
                <w:lang w:val="en-GB"/>
              </w:rPr>
            </w:pPr>
            <w:r w:rsidRPr="00A33264">
              <w:rPr>
                <w:lang w:val="en-GB"/>
              </w:rPr>
              <w:t>Not achieved</w:t>
            </w:r>
          </w:p>
        </w:tc>
        <w:tc>
          <w:tcPr>
            <w:tcW w:w="1331" w:type="dxa"/>
            <w:shd w:val="clear" w:color="auto" w:fill="E5F1D4"/>
          </w:tcPr>
          <w:p w14:paraId="37E7D86F" w14:textId="77777777" w:rsidR="000D3DCF" w:rsidRPr="00A33264" w:rsidRDefault="000D3DCF" w:rsidP="00BB40DF">
            <w:pPr>
              <w:pStyle w:val="TableBody"/>
              <w:jc w:val="right"/>
              <w:rPr>
                <w:lang w:val="en-GB"/>
              </w:rPr>
            </w:pPr>
            <w:r>
              <w:rPr>
                <w:lang w:val="en-GB"/>
              </w:rPr>
              <w:t>51.3%</w:t>
            </w:r>
          </w:p>
        </w:tc>
      </w:tr>
    </w:tbl>
    <w:p w14:paraId="0DB4754B" w14:textId="77777777" w:rsidR="000D3DCF" w:rsidRDefault="000D3DCF" w:rsidP="00B27FA1">
      <w:pPr>
        <w:pStyle w:val="Heading6"/>
        <w:rPr>
          <w:rFonts w:eastAsia="Arial"/>
        </w:rPr>
      </w:pPr>
      <w:r>
        <w:rPr>
          <w:rFonts w:eastAsia="Arial"/>
        </w:rPr>
        <w:t>Why we measure this</w:t>
      </w:r>
    </w:p>
    <w:p w14:paraId="5F047E02" w14:textId="6B3FB7FD" w:rsidR="000D3DCF" w:rsidRDefault="000D3DCF" w:rsidP="00A01981">
      <w:r w:rsidRPr="009C34F0">
        <w:rPr>
          <w:rFonts w:eastAsia="Arial"/>
          <w:color w:val="000000"/>
        </w:rPr>
        <w:t>Th</w:t>
      </w:r>
      <w:r>
        <w:rPr>
          <w:rFonts w:eastAsia="Arial"/>
          <w:color w:val="000000"/>
        </w:rPr>
        <w:t>is</w:t>
      </w:r>
      <w:r w:rsidRPr="009C34F0">
        <w:rPr>
          <w:rFonts w:eastAsia="Arial"/>
          <w:color w:val="000000"/>
        </w:rPr>
        <w:t xml:space="preserve"> measure assesses </w:t>
      </w:r>
      <w:r w:rsidRPr="009C34F0">
        <w:t xml:space="preserve">the effectiveness of the </w:t>
      </w:r>
      <w:r>
        <w:t>NDIS</w:t>
      </w:r>
      <w:r w:rsidRPr="009C34F0">
        <w:t xml:space="preserve"> </w:t>
      </w:r>
      <w:r>
        <w:t>in</w:t>
      </w:r>
      <w:r w:rsidRPr="009C34F0">
        <w:t xml:space="preserve"> support</w:t>
      </w:r>
      <w:r>
        <w:t>ing</w:t>
      </w:r>
      <w:r w:rsidRPr="009C34F0">
        <w:t xml:space="preserve"> participant independence during plan implementation. </w:t>
      </w:r>
    </w:p>
    <w:p w14:paraId="4A6302AB" w14:textId="77777777" w:rsidR="000D3DCF" w:rsidRDefault="000D3DCF" w:rsidP="00B27FA1">
      <w:pPr>
        <w:pStyle w:val="Heading6"/>
      </w:pPr>
      <w:r>
        <w:t>How we measure this</w:t>
      </w:r>
    </w:p>
    <w:p w14:paraId="536A4232" w14:textId="3081B96F" w:rsidR="000D3DCF" w:rsidRPr="009C34F0" w:rsidRDefault="000D3DCF" w:rsidP="00A01981">
      <w:pPr>
        <w:rPr>
          <w:rFonts w:eastAsia="Arial"/>
          <w:color w:val="000000"/>
        </w:rPr>
      </w:pPr>
      <w:r>
        <w:t>We obtain our results for this performance measure by</w:t>
      </w:r>
      <w:r w:rsidRPr="009C34F0" w:rsidDel="00C4692F">
        <w:t xml:space="preserve"> </w:t>
      </w:r>
      <w:r w:rsidRPr="009C34F0">
        <w:t>calculat</w:t>
      </w:r>
      <w:r>
        <w:t>ing</w:t>
      </w:r>
      <w:r w:rsidRPr="009C34F0">
        <w:t xml:space="preserve"> the percentage of participants</w:t>
      </w:r>
      <w:r>
        <w:t xml:space="preserve"> (</w:t>
      </w:r>
      <w:r w:rsidRPr="009C34F0">
        <w:t xml:space="preserve">aged 15+ who have been in the </w:t>
      </w:r>
      <w:r>
        <w:t>NDIS</w:t>
      </w:r>
      <w:r w:rsidRPr="009C34F0">
        <w:t xml:space="preserve"> for at least 2 years</w:t>
      </w:r>
      <w:r>
        <w:t>)</w:t>
      </w:r>
      <w:r w:rsidRPr="009C34F0">
        <w:t xml:space="preserve"> who </w:t>
      </w:r>
      <w:r w:rsidRPr="001B085B">
        <w:t>answer ‘yes’ to</w:t>
      </w:r>
      <w:r>
        <w:t xml:space="preserve"> the question</w:t>
      </w:r>
      <w:r w:rsidRPr="001B085B">
        <w:t xml:space="preserve"> ‘</w:t>
      </w:r>
      <w:r>
        <w:t>D</w:t>
      </w:r>
      <w:r w:rsidRPr="001B085B">
        <w:t>o you choose who supports you</w:t>
      </w:r>
      <w:r>
        <w:t>?</w:t>
      </w:r>
      <w:r w:rsidRPr="001B085B">
        <w:t xml:space="preserve">’, </w:t>
      </w:r>
      <w:r>
        <w:t>using the participant’s most recent response to</w:t>
      </w:r>
      <w:r w:rsidRPr="009C34F0">
        <w:t xml:space="preserve"> the </w:t>
      </w:r>
      <w:r>
        <w:t>NDIS Short Form Outcomes Framework survey.</w:t>
      </w:r>
    </w:p>
    <w:p w14:paraId="2E7A5D78" w14:textId="77777777" w:rsidR="000D3DCF" w:rsidRDefault="000D3DCF" w:rsidP="00B27FA1">
      <w:pPr>
        <w:pStyle w:val="Heading6"/>
        <w:rPr>
          <w:rFonts w:eastAsia="Arial"/>
        </w:rPr>
      </w:pPr>
      <w:r>
        <w:rPr>
          <w:rFonts w:eastAsia="Arial"/>
        </w:rPr>
        <w:t>Analysis</w:t>
      </w:r>
    </w:p>
    <w:p w14:paraId="27608E40" w14:textId="739D7051" w:rsidR="000D3DCF" w:rsidRPr="007F270C" w:rsidRDefault="000D3DCF" w:rsidP="00A01981">
      <w:pPr>
        <w:rPr>
          <w:rFonts w:eastAsia="Arial"/>
          <w:color w:val="333333"/>
        </w:rPr>
      </w:pPr>
      <w:r>
        <w:rPr>
          <w:rFonts w:eastAsia="Yu Mincho"/>
        </w:rPr>
        <w:t>In 2023–24</w:t>
      </w:r>
      <w:r w:rsidRPr="00E2624C">
        <w:rPr>
          <w:rFonts w:eastAsia="Yu Mincho"/>
        </w:rPr>
        <w:t xml:space="preserve">, participants’ perception of choice and control in selecting providers was below target. </w:t>
      </w:r>
      <w:r>
        <w:rPr>
          <w:rFonts w:eastAsia="Yu Mincho"/>
        </w:rPr>
        <w:t xml:space="preserve">Participant choice and control may be affected by the fact that in some areas there are </w:t>
      </w:r>
      <w:r>
        <w:rPr>
          <w:rFonts w:eastAsia="Arial"/>
          <w:color w:val="000000"/>
        </w:rPr>
        <w:t>l</w:t>
      </w:r>
      <w:r w:rsidRPr="00E2624C">
        <w:rPr>
          <w:rFonts w:eastAsia="Arial"/>
          <w:color w:val="000000"/>
        </w:rPr>
        <w:t xml:space="preserve">imited </w:t>
      </w:r>
      <w:r>
        <w:rPr>
          <w:rFonts w:eastAsia="Arial"/>
          <w:color w:val="000000"/>
        </w:rPr>
        <w:t xml:space="preserve">numbers of </w:t>
      </w:r>
      <w:r w:rsidRPr="00E2624C">
        <w:rPr>
          <w:rFonts w:eastAsia="Arial"/>
          <w:color w:val="000000"/>
        </w:rPr>
        <w:t>provider</w:t>
      </w:r>
      <w:r>
        <w:rPr>
          <w:rFonts w:eastAsia="Arial"/>
          <w:color w:val="000000"/>
        </w:rPr>
        <w:t>s</w:t>
      </w:r>
      <w:r w:rsidRPr="00E2624C">
        <w:rPr>
          <w:rFonts w:eastAsia="Arial"/>
          <w:color w:val="000000"/>
        </w:rPr>
        <w:t xml:space="preserve">. Participants may </w:t>
      </w:r>
      <w:r>
        <w:rPr>
          <w:rFonts w:eastAsia="Arial"/>
          <w:color w:val="000000"/>
        </w:rPr>
        <w:t>be staying with a</w:t>
      </w:r>
      <w:r w:rsidRPr="00E2624C">
        <w:rPr>
          <w:rFonts w:eastAsia="Arial"/>
          <w:color w:val="000000"/>
        </w:rPr>
        <w:t xml:space="preserve"> provider </w:t>
      </w:r>
      <w:r>
        <w:rPr>
          <w:rFonts w:eastAsia="Arial"/>
          <w:color w:val="000000"/>
        </w:rPr>
        <w:t xml:space="preserve">rather than choosing another one that better suits them because of the </w:t>
      </w:r>
      <w:r w:rsidR="00573E0F">
        <w:rPr>
          <w:rFonts w:eastAsia="Arial"/>
          <w:color w:val="000000"/>
        </w:rPr>
        <w:t xml:space="preserve">perceived </w:t>
      </w:r>
      <w:r w:rsidRPr="00E2624C">
        <w:rPr>
          <w:rFonts w:eastAsia="Arial"/>
          <w:color w:val="333333"/>
        </w:rPr>
        <w:t xml:space="preserve">uncertainty and risk </w:t>
      </w:r>
      <w:r>
        <w:rPr>
          <w:rFonts w:eastAsia="Arial"/>
          <w:color w:val="333333"/>
        </w:rPr>
        <w:t>involved in</w:t>
      </w:r>
      <w:r w:rsidRPr="00E2624C">
        <w:rPr>
          <w:rFonts w:eastAsia="Arial"/>
          <w:color w:val="333333"/>
        </w:rPr>
        <w:t xml:space="preserve"> changing providers.</w:t>
      </w:r>
    </w:p>
    <w:p w14:paraId="3E3DF5EE" w14:textId="42F23791" w:rsidR="000D3DCF" w:rsidRPr="00F86FC3" w:rsidRDefault="000D3DCF" w:rsidP="00A01981">
      <w:pPr>
        <w:rPr>
          <w:rFonts w:eastAsia="Arial"/>
          <w:color w:val="000000"/>
        </w:rPr>
      </w:pPr>
      <w:r w:rsidRPr="00E2624C">
        <w:rPr>
          <w:rFonts w:eastAsia="Yu Mincho"/>
        </w:rPr>
        <w:t xml:space="preserve">NDIA and partner staff continue to be trained to </w:t>
      </w:r>
      <w:r>
        <w:rPr>
          <w:rFonts w:eastAsia="Yu Mincho"/>
        </w:rPr>
        <w:t xml:space="preserve">help </w:t>
      </w:r>
      <w:r w:rsidRPr="00E2624C">
        <w:rPr>
          <w:rFonts w:eastAsia="Yu Mincho"/>
        </w:rPr>
        <w:t>participants understand their supports and exercis</w:t>
      </w:r>
      <w:r>
        <w:rPr>
          <w:rFonts w:eastAsia="Yu Mincho"/>
        </w:rPr>
        <w:t>e</w:t>
      </w:r>
      <w:r w:rsidRPr="00E2624C">
        <w:rPr>
          <w:rFonts w:eastAsia="Yu Mincho"/>
        </w:rPr>
        <w:t xml:space="preserve"> choice and control</w:t>
      </w:r>
      <w:r>
        <w:rPr>
          <w:rFonts w:eastAsia="Yu Mincho"/>
        </w:rPr>
        <w:t xml:space="preserve">. </w:t>
      </w:r>
      <w:r w:rsidRPr="00E2624C">
        <w:rPr>
          <w:rFonts w:eastAsia="Yu Mincho"/>
        </w:rPr>
        <w:t xml:space="preserve">Support </w:t>
      </w:r>
      <w:r>
        <w:rPr>
          <w:rFonts w:eastAsia="Yu Mincho"/>
        </w:rPr>
        <w:t>c</w:t>
      </w:r>
      <w:r w:rsidRPr="00E2624C">
        <w:rPr>
          <w:rFonts w:eastAsia="Yu Mincho"/>
        </w:rPr>
        <w:t xml:space="preserve">oordinators </w:t>
      </w:r>
      <w:r>
        <w:rPr>
          <w:rFonts w:eastAsia="Yu Mincho"/>
        </w:rPr>
        <w:t xml:space="preserve">play </w:t>
      </w:r>
      <w:r w:rsidR="0009788A">
        <w:rPr>
          <w:rFonts w:eastAsia="Yu Mincho"/>
        </w:rPr>
        <w:t xml:space="preserve">a </w:t>
      </w:r>
      <w:r>
        <w:rPr>
          <w:rFonts w:eastAsia="Yu Mincho"/>
        </w:rPr>
        <w:t xml:space="preserve">role </w:t>
      </w:r>
      <w:r w:rsidRPr="00E2624C">
        <w:rPr>
          <w:rFonts w:eastAsia="Yu Mincho"/>
        </w:rPr>
        <w:t xml:space="preserve">in </w:t>
      </w:r>
      <w:r>
        <w:rPr>
          <w:rFonts w:eastAsia="Yu Mincho"/>
        </w:rPr>
        <w:t>helping</w:t>
      </w:r>
      <w:r w:rsidRPr="00E2624C">
        <w:rPr>
          <w:rFonts w:eastAsia="Yu Mincho"/>
        </w:rPr>
        <w:t xml:space="preserve"> participants engage with their NDIS supports </w:t>
      </w:r>
      <w:r>
        <w:rPr>
          <w:rFonts w:eastAsia="Yu Mincho"/>
        </w:rPr>
        <w:t>while their</w:t>
      </w:r>
      <w:r w:rsidRPr="00E2624C">
        <w:rPr>
          <w:rFonts w:eastAsia="Yu Mincho"/>
        </w:rPr>
        <w:t xml:space="preserve"> plan</w:t>
      </w:r>
      <w:r>
        <w:rPr>
          <w:rFonts w:eastAsia="Yu Mincho"/>
        </w:rPr>
        <w:t xml:space="preserve"> is being</w:t>
      </w:r>
      <w:r w:rsidRPr="00E2624C">
        <w:rPr>
          <w:rFonts w:eastAsia="Yu Mincho"/>
        </w:rPr>
        <w:t xml:space="preserve"> implement</w:t>
      </w:r>
      <w:r>
        <w:rPr>
          <w:rFonts w:eastAsia="Yu Mincho"/>
        </w:rPr>
        <w:t>ed</w:t>
      </w:r>
      <w:r w:rsidRPr="00E2624C">
        <w:rPr>
          <w:rFonts w:eastAsia="Yu Mincho"/>
        </w:rPr>
        <w:t>.</w:t>
      </w:r>
    </w:p>
    <w:p w14:paraId="6A108CA4" w14:textId="362B92AC" w:rsidR="000D3DCF" w:rsidRPr="00A33264" w:rsidRDefault="000D3DCF" w:rsidP="009B5EFC">
      <w:pPr>
        <w:rPr>
          <w:b/>
          <w:bCs/>
          <w:lang w:val="en-GB"/>
        </w:rPr>
      </w:pPr>
      <w:r w:rsidRPr="00A33264">
        <w:rPr>
          <w:b/>
          <w:bCs/>
          <w:lang w:val="en-GB"/>
        </w:rPr>
        <w:t>Participant satisfaction with progress toward their goals</w:t>
      </w:r>
    </w:p>
    <w:tbl>
      <w:tblPr>
        <w:tblStyle w:val="GridTable4"/>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20" w:firstRow="1" w:lastRow="0" w:firstColumn="0" w:lastColumn="0" w:noHBand="0" w:noVBand="1"/>
      </w:tblPr>
      <w:tblGrid>
        <w:gridCol w:w="3634"/>
        <w:gridCol w:w="1348"/>
        <w:gridCol w:w="1348"/>
        <w:gridCol w:w="1355"/>
        <w:gridCol w:w="1331"/>
      </w:tblGrid>
      <w:tr w:rsidR="000D3DCF" w:rsidRPr="00A33264" w14:paraId="0B3DFFD6" w14:textId="77777777" w:rsidTr="001C0A6D">
        <w:trPr>
          <w:cnfStyle w:val="100000000000" w:firstRow="1" w:lastRow="0" w:firstColumn="0" w:lastColumn="0" w:oddVBand="0" w:evenVBand="0" w:oddHBand="0" w:evenHBand="0" w:firstRowFirstColumn="0" w:firstRowLastColumn="0" w:lastRowFirstColumn="0" w:lastRowLastColumn="0"/>
          <w:cantSplit/>
        </w:trPr>
        <w:tc>
          <w:tcPr>
            <w:tcW w:w="3634" w:type="dxa"/>
            <w:shd w:val="clear" w:color="auto" w:fill="A1CE63"/>
          </w:tcPr>
          <w:p w14:paraId="17F05FF9" w14:textId="40A6A0CF" w:rsidR="000D3DCF" w:rsidRPr="00A33264" w:rsidRDefault="000D3DCF">
            <w:pPr>
              <w:pStyle w:val="TableBody"/>
              <w:rPr>
                <w:color w:val="auto"/>
                <w:lang w:val="en-GB"/>
              </w:rPr>
            </w:pPr>
            <w:bookmarkStart w:id="83" w:name="ColumnTitle_PerformanceMeasure4"/>
            <w:bookmarkEnd w:id="83"/>
            <w:r w:rsidRPr="00A33264">
              <w:rPr>
                <w:color w:val="auto"/>
                <w:lang w:val="en-GB"/>
              </w:rPr>
              <w:t xml:space="preserve">Performance </w:t>
            </w:r>
            <w:r>
              <w:rPr>
                <w:color w:val="auto"/>
                <w:lang w:val="en-GB"/>
              </w:rPr>
              <w:t>m</w:t>
            </w:r>
            <w:r w:rsidRPr="00A33264">
              <w:rPr>
                <w:color w:val="auto"/>
                <w:lang w:val="en-GB"/>
              </w:rPr>
              <w:t>easure</w:t>
            </w:r>
          </w:p>
        </w:tc>
        <w:tc>
          <w:tcPr>
            <w:tcW w:w="1348" w:type="dxa"/>
            <w:shd w:val="clear" w:color="auto" w:fill="A1CE63"/>
          </w:tcPr>
          <w:p w14:paraId="7B9E989D" w14:textId="77777777" w:rsidR="000D3DCF" w:rsidRPr="00A33264" w:rsidRDefault="000D3DCF" w:rsidP="00BB40DF">
            <w:pPr>
              <w:pStyle w:val="TableBody"/>
              <w:jc w:val="right"/>
              <w:rPr>
                <w:color w:val="auto"/>
                <w:lang w:val="en-GB"/>
              </w:rPr>
            </w:pPr>
            <w:r w:rsidRPr="00A33264">
              <w:rPr>
                <w:color w:val="auto"/>
                <w:lang w:val="en-GB"/>
              </w:rPr>
              <w:t>2023</w:t>
            </w:r>
            <w:r w:rsidRPr="00A15A18">
              <w:rPr>
                <w:color w:val="auto"/>
              </w:rPr>
              <w:t>–</w:t>
            </w:r>
            <w:r w:rsidRPr="00A33264">
              <w:rPr>
                <w:color w:val="auto"/>
                <w:lang w:val="en-GB"/>
              </w:rPr>
              <w:t>24 Target</w:t>
            </w:r>
          </w:p>
        </w:tc>
        <w:tc>
          <w:tcPr>
            <w:tcW w:w="1348" w:type="dxa"/>
            <w:shd w:val="clear" w:color="auto" w:fill="A1CE63"/>
          </w:tcPr>
          <w:p w14:paraId="0E51B1FB" w14:textId="77777777" w:rsidR="000D3DCF" w:rsidRPr="00A33264" w:rsidRDefault="000D3DCF" w:rsidP="00BB40DF">
            <w:pPr>
              <w:pStyle w:val="TableBody"/>
              <w:jc w:val="right"/>
              <w:rPr>
                <w:color w:val="auto"/>
                <w:lang w:val="en-GB"/>
              </w:rPr>
            </w:pPr>
            <w:r w:rsidRPr="00A33264">
              <w:rPr>
                <w:color w:val="auto"/>
                <w:lang w:val="en-GB"/>
              </w:rPr>
              <w:t>2023</w:t>
            </w:r>
            <w:r w:rsidRPr="00A15A18">
              <w:rPr>
                <w:color w:val="auto"/>
              </w:rPr>
              <w:t>–</w:t>
            </w:r>
            <w:r w:rsidRPr="00A33264">
              <w:rPr>
                <w:color w:val="auto"/>
                <w:lang w:val="en-GB"/>
              </w:rPr>
              <w:t>24 Result</w:t>
            </w:r>
          </w:p>
        </w:tc>
        <w:tc>
          <w:tcPr>
            <w:tcW w:w="1355" w:type="dxa"/>
            <w:shd w:val="clear" w:color="auto" w:fill="A1CE63"/>
          </w:tcPr>
          <w:p w14:paraId="6F258FDF" w14:textId="77777777" w:rsidR="000D3DCF" w:rsidRPr="00A33264" w:rsidRDefault="000D3DCF" w:rsidP="00BB40DF">
            <w:pPr>
              <w:pStyle w:val="TableBody"/>
              <w:jc w:val="right"/>
              <w:rPr>
                <w:color w:val="auto"/>
                <w:lang w:val="en-GB"/>
              </w:rPr>
            </w:pPr>
            <w:r>
              <w:rPr>
                <w:color w:val="auto"/>
                <w:lang w:val="en-GB"/>
              </w:rPr>
              <w:t>2023</w:t>
            </w:r>
            <w:r w:rsidRPr="00A15A18">
              <w:rPr>
                <w:color w:val="auto"/>
              </w:rPr>
              <w:t>–</w:t>
            </w:r>
            <w:r>
              <w:rPr>
                <w:color w:val="auto"/>
                <w:lang w:val="en-GB"/>
              </w:rPr>
              <w:t>24 O</w:t>
            </w:r>
            <w:r w:rsidRPr="00A33264">
              <w:rPr>
                <w:color w:val="auto"/>
                <w:lang w:val="en-GB"/>
              </w:rPr>
              <w:t>utcome</w:t>
            </w:r>
          </w:p>
        </w:tc>
        <w:tc>
          <w:tcPr>
            <w:tcW w:w="1331" w:type="dxa"/>
            <w:shd w:val="clear" w:color="auto" w:fill="A1CE63"/>
          </w:tcPr>
          <w:p w14:paraId="0F0D45DE" w14:textId="77777777" w:rsidR="000D3DCF" w:rsidRPr="00A01981" w:rsidRDefault="000D3DCF" w:rsidP="00BB40DF">
            <w:pPr>
              <w:pStyle w:val="TableBody"/>
              <w:jc w:val="right"/>
              <w:rPr>
                <w:color w:val="auto"/>
                <w:lang w:val="en-GB"/>
              </w:rPr>
            </w:pPr>
            <w:r>
              <w:rPr>
                <w:color w:val="auto"/>
                <w:lang w:val="en-GB"/>
              </w:rPr>
              <w:t>2022</w:t>
            </w:r>
            <w:r w:rsidRPr="00A15A18">
              <w:rPr>
                <w:color w:val="auto"/>
              </w:rPr>
              <w:t>–</w:t>
            </w:r>
            <w:r>
              <w:rPr>
                <w:color w:val="auto"/>
                <w:lang w:val="en-GB"/>
              </w:rPr>
              <w:t>23 Result</w:t>
            </w:r>
          </w:p>
        </w:tc>
      </w:tr>
      <w:tr w:rsidR="000D3DCF" w:rsidRPr="00A33264" w14:paraId="4BE1B917" w14:textId="77777777" w:rsidTr="00A01981">
        <w:trPr>
          <w:cnfStyle w:val="000000100000" w:firstRow="0" w:lastRow="0" w:firstColumn="0" w:lastColumn="0" w:oddVBand="0" w:evenVBand="0" w:oddHBand="1" w:evenHBand="0" w:firstRowFirstColumn="0" w:firstRowLastColumn="0" w:lastRowFirstColumn="0" w:lastRowLastColumn="0"/>
          <w:cantSplit/>
        </w:trPr>
        <w:tc>
          <w:tcPr>
            <w:tcW w:w="3634" w:type="dxa"/>
            <w:shd w:val="clear" w:color="auto" w:fill="E5F1D4"/>
          </w:tcPr>
          <w:p w14:paraId="648C7255" w14:textId="53740B40" w:rsidR="000D3DCF" w:rsidRPr="00A33264" w:rsidRDefault="000D3DCF" w:rsidP="001C74C2">
            <w:pPr>
              <w:pStyle w:val="TableBody"/>
              <w:rPr>
                <w:lang w:val="en-GB"/>
              </w:rPr>
            </w:pPr>
            <w:r w:rsidRPr="00A33264">
              <w:rPr>
                <w:lang w:val="en-GB"/>
              </w:rPr>
              <w:t>Participant satisfaction with progress toward their goals</w:t>
            </w:r>
          </w:p>
        </w:tc>
        <w:tc>
          <w:tcPr>
            <w:tcW w:w="1348" w:type="dxa"/>
            <w:shd w:val="clear" w:color="auto" w:fill="E5F1D4"/>
          </w:tcPr>
          <w:p w14:paraId="7B0B0C8E" w14:textId="77777777" w:rsidR="000D3DCF" w:rsidRPr="00A33264" w:rsidRDefault="000D3DCF" w:rsidP="00BB40DF">
            <w:pPr>
              <w:pStyle w:val="TableBody"/>
              <w:jc w:val="right"/>
              <w:rPr>
                <w:lang w:val="en-GB"/>
              </w:rPr>
            </w:pPr>
            <w:r w:rsidRPr="00A33264">
              <w:rPr>
                <w:lang w:val="en-GB"/>
              </w:rPr>
              <w:t xml:space="preserve">70% </w:t>
            </w:r>
          </w:p>
        </w:tc>
        <w:tc>
          <w:tcPr>
            <w:tcW w:w="1348" w:type="dxa"/>
            <w:shd w:val="clear" w:color="auto" w:fill="E5F1D4"/>
          </w:tcPr>
          <w:p w14:paraId="71ED9014" w14:textId="77777777" w:rsidR="000D3DCF" w:rsidRPr="00A33264" w:rsidRDefault="000D3DCF" w:rsidP="00BB40DF">
            <w:pPr>
              <w:pStyle w:val="TableBody"/>
              <w:jc w:val="right"/>
              <w:rPr>
                <w:lang w:val="en-GB"/>
              </w:rPr>
            </w:pPr>
            <w:r w:rsidRPr="00A33264">
              <w:rPr>
                <w:lang w:val="en-GB"/>
              </w:rPr>
              <w:t>68.5%</w:t>
            </w:r>
          </w:p>
        </w:tc>
        <w:tc>
          <w:tcPr>
            <w:tcW w:w="1355" w:type="dxa"/>
            <w:shd w:val="clear" w:color="auto" w:fill="E5F1D4"/>
          </w:tcPr>
          <w:p w14:paraId="41BD5011" w14:textId="77777777" w:rsidR="000D3DCF" w:rsidRPr="00A33264" w:rsidRDefault="000D3DCF" w:rsidP="00BB40DF">
            <w:pPr>
              <w:pStyle w:val="TableBody"/>
              <w:jc w:val="right"/>
              <w:rPr>
                <w:lang w:val="en-GB"/>
              </w:rPr>
            </w:pPr>
            <w:r w:rsidRPr="00A33264">
              <w:rPr>
                <w:lang w:val="en-GB"/>
              </w:rPr>
              <w:t>Partially achieved</w:t>
            </w:r>
          </w:p>
        </w:tc>
        <w:tc>
          <w:tcPr>
            <w:tcW w:w="1331" w:type="dxa"/>
            <w:shd w:val="clear" w:color="auto" w:fill="E5F1D4"/>
          </w:tcPr>
          <w:p w14:paraId="16B57F4F" w14:textId="77777777" w:rsidR="000D3DCF" w:rsidRPr="00A33264" w:rsidRDefault="000D3DCF" w:rsidP="00BB40DF">
            <w:pPr>
              <w:pStyle w:val="TableBody"/>
              <w:jc w:val="right"/>
              <w:rPr>
                <w:lang w:val="en-GB"/>
              </w:rPr>
            </w:pPr>
            <w:r>
              <w:rPr>
                <w:lang w:val="en-GB"/>
              </w:rPr>
              <w:t>N/A</w:t>
            </w:r>
          </w:p>
        </w:tc>
      </w:tr>
    </w:tbl>
    <w:p w14:paraId="2D867475" w14:textId="77777777" w:rsidR="000D3DCF" w:rsidRDefault="000D3DCF" w:rsidP="00B27FA1">
      <w:pPr>
        <w:pStyle w:val="Heading6"/>
        <w:rPr>
          <w:rFonts w:eastAsia="Yu Mincho"/>
        </w:rPr>
      </w:pPr>
      <w:r>
        <w:rPr>
          <w:rFonts w:eastAsia="Yu Mincho"/>
        </w:rPr>
        <w:t>Why we measure this</w:t>
      </w:r>
    </w:p>
    <w:p w14:paraId="1A2E82D3" w14:textId="23A938EE" w:rsidR="000D3DCF" w:rsidRDefault="000D3DCF" w:rsidP="00A01981">
      <w:r w:rsidRPr="009C34F0">
        <w:rPr>
          <w:rFonts w:eastAsia="Yu Mincho"/>
        </w:rPr>
        <w:t xml:space="preserve">This measure assesses the </w:t>
      </w:r>
      <w:r w:rsidRPr="009C34F0">
        <w:t>effectiveness of reasonable and necessary supports for participants to achieve their goals.</w:t>
      </w:r>
    </w:p>
    <w:p w14:paraId="055D95B9" w14:textId="77777777" w:rsidR="000D3DCF" w:rsidRDefault="000D3DCF" w:rsidP="00B27FA1">
      <w:pPr>
        <w:pStyle w:val="Heading6"/>
      </w:pPr>
      <w:r>
        <w:lastRenderedPageBreak/>
        <w:t>How we measure this</w:t>
      </w:r>
    </w:p>
    <w:p w14:paraId="72458F1B" w14:textId="2DF10A80" w:rsidR="000D3DCF" w:rsidRPr="009C34F0" w:rsidRDefault="000D3DCF" w:rsidP="00A01981">
      <w:pPr>
        <w:rPr>
          <w:rFonts w:eastAsia="Yu Mincho"/>
        </w:rPr>
      </w:pPr>
      <w:r w:rsidRPr="00650B72">
        <w:t xml:space="preserve">We obtain our results for this performance measure by calculating the scaled average of the positive responses to the question </w:t>
      </w:r>
      <w:r w:rsidR="00E804F9">
        <w:t>‘</w:t>
      </w:r>
      <w:r w:rsidRPr="00650B72">
        <w:t>To what extent is your NDIS plan helping you to meet your goals?</w:t>
      </w:r>
      <w:r w:rsidR="00E804F9">
        <w:t>’</w:t>
      </w:r>
      <w:r w:rsidRPr="00650B72">
        <w:t xml:space="preserve"> from the participant satisfaction survey. </w:t>
      </w:r>
      <w:r w:rsidR="0038225E" w:rsidRPr="00650B72">
        <w:t>C</w:t>
      </w:r>
      <w:r w:rsidRPr="00650B72">
        <w:t>hanges</w:t>
      </w:r>
      <w:r w:rsidR="0038225E" w:rsidRPr="00650B72">
        <w:t xml:space="preserve"> were made</w:t>
      </w:r>
      <w:r w:rsidRPr="00650B72">
        <w:t xml:space="preserve"> to the participant satisfaction survey so that it aligns with the new computer system and better supports measurement against the Participant Service Guarantee (PSG) engagement principles. The calculation for this measure was updated to reflect these changes; therefore, this table shows only the result for December 2023 to June 2024. Using the previous methodology, the result of this measure for July to November 2023 was 83.2% and the 2022-23 result was 84.4%.</w:t>
      </w:r>
      <w:r w:rsidR="005E4642">
        <w:t xml:space="preserve"> The 2022–23 result is not shown because it is not comparable.</w:t>
      </w:r>
    </w:p>
    <w:p w14:paraId="718FE1C9" w14:textId="77777777" w:rsidR="000D3DCF" w:rsidRDefault="000D3DCF" w:rsidP="00B27FA1">
      <w:pPr>
        <w:pStyle w:val="Heading6"/>
        <w:rPr>
          <w:rFonts w:eastAsia="Yu Mincho"/>
        </w:rPr>
      </w:pPr>
      <w:r>
        <w:rPr>
          <w:rFonts w:eastAsia="Yu Mincho"/>
        </w:rPr>
        <w:t>Analysis</w:t>
      </w:r>
    </w:p>
    <w:p w14:paraId="37D5DA46" w14:textId="053B10F5" w:rsidR="000D3DCF" w:rsidRPr="009C34F0" w:rsidRDefault="000D3DCF" w:rsidP="00A01981">
      <w:pPr>
        <w:rPr>
          <w:rFonts w:eastAsia="Yu Mincho"/>
        </w:rPr>
      </w:pPr>
      <w:r w:rsidRPr="009C34F0">
        <w:rPr>
          <w:rFonts w:eastAsia="Yu Mincho"/>
        </w:rPr>
        <w:t xml:space="preserve">Over the reporting period, the </w:t>
      </w:r>
      <w:r>
        <w:rPr>
          <w:rFonts w:eastAsia="Yu Mincho"/>
        </w:rPr>
        <w:t>NDIA</w:t>
      </w:r>
      <w:r w:rsidRPr="009C34F0">
        <w:rPr>
          <w:rFonts w:eastAsia="Yu Mincho"/>
        </w:rPr>
        <w:t xml:space="preserve"> has continued to </w:t>
      </w:r>
      <w:r>
        <w:rPr>
          <w:rFonts w:eastAsia="Yu Mincho"/>
        </w:rPr>
        <w:t xml:space="preserve">strive </w:t>
      </w:r>
      <w:r w:rsidR="00303E5F">
        <w:rPr>
          <w:rFonts w:eastAsia="Yu Mincho"/>
        </w:rPr>
        <w:t>to improve</w:t>
      </w:r>
      <w:r w:rsidRPr="009C34F0">
        <w:rPr>
          <w:rFonts w:eastAsia="Yu Mincho"/>
        </w:rPr>
        <w:t xml:space="preserve"> participant satisfaction with</w:t>
      </w:r>
      <w:r>
        <w:rPr>
          <w:rFonts w:eastAsia="Yu Mincho"/>
        </w:rPr>
        <w:t xml:space="preserve"> </w:t>
      </w:r>
      <w:r w:rsidRPr="009C34F0">
        <w:rPr>
          <w:rFonts w:eastAsia="Yu Mincho"/>
        </w:rPr>
        <w:t xml:space="preserve">progress towards their goals. </w:t>
      </w:r>
    </w:p>
    <w:p w14:paraId="728407D3" w14:textId="38D5BBEC" w:rsidR="00617958" w:rsidRDefault="000D3DCF" w:rsidP="00A01981">
      <w:pPr>
        <w:rPr>
          <w:rFonts w:eastAsia="Yu Mincho"/>
        </w:rPr>
      </w:pPr>
      <w:r>
        <w:rPr>
          <w:rFonts w:eastAsia="Arial"/>
          <w:color w:val="000000"/>
        </w:rPr>
        <w:t>NDIA</w:t>
      </w:r>
      <w:r w:rsidRPr="009C34F0">
        <w:rPr>
          <w:rFonts w:eastAsia="Arial"/>
          <w:color w:val="000000"/>
        </w:rPr>
        <w:t xml:space="preserve"> and </w:t>
      </w:r>
      <w:r>
        <w:rPr>
          <w:rFonts w:eastAsia="Arial"/>
          <w:color w:val="000000"/>
        </w:rPr>
        <w:t>p</w:t>
      </w:r>
      <w:r w:rsidRPr="009C34F0">
        <w:rPr>
          <w:rFonts w:eastAsia="Arial"/>
          <w:color w:val="000000"/>
        </w:rPr>
        <w:t xml:space="preserve">artner staff are trained to </w:t>
      </w:r>
      <w:r>
        <w:rPr>
          <w:rFonts w:eastAsia="Arial"/>
          <w:color w:val="000000"/>
        </w:rPr>
        <w:t>have</w:t>
      </w:r>
      <w:r w:rsidRPr="009C34F0">
        <w:rPr>
          <w:rFonts w:eastAsia="Arial"/>
          <w:color w:val="000000"/>
        </w:rPr>
        <w:t xml:space="preserve"> planning conversations and goal discussions</w:t>
      </w:r>
      <w:r>
        <w:rPr>
          <w:rFonts w:eastAsia="Arial"/>
          <w:color w:val="000000"/>
        </w:rPr>
        <w:t xml:space="preserve"> with participants so they understand their supports and can</w:t>
      </w:r>
      <w:r w:rsidRPr="009C34F0">
        <w:rPr>
          <w:rFonts w:eastAsia="Arial"/>
          <w:color w:val="000000"/>
        </w:rPr>
        <w:t xml:space="preserve"> progress towards their goals. </w:t>
      </w:r>
      <w:r w:rsidR="00955DB3" w:rsidRPr="00AA0637">
        <w:rPr>
          <w:rFonts w:eastAsia="Yu Mincho"/>
        </w:rPr>
        <w:t>In early 2024, roles of partner organisations changed, enabling them to increase their capacity to support participants to implement their plans.</w:t>
      </w:r>
    </w:p>
    <w:p w14:paraId="22238BD2" w14:textId="7A92F313" w:rsidR="000D3DCF" w:rsidRPr="009C34F0" w:rsidRDefault="000D3DCF" w:rsidP="00A01981">
      <w:pPr>
        <w:rPr>
          <w:rFonts w:eastAsia="Arial"/>
          <w:color w:val="000000"/>
        </w:rPr>
      </w:pPr>
      <w:r w:rsidRPr="009C34F0">
        <w:rPr>
          <w:rFonts w:eastAsia="Yu Mincho"/>
        </w:rPr>
        <w:t xml:space="preserve">Support </w:t>
      </w:r>
      <w:r>
        <w:rPr>
          <w:rFonts w:eastAsia="Yu Mincho"/>
        </w:rPr>
        <w:t>c</w:t>
      </w:r>
      <w:r w:rsidRPr="009C34F0">
        <w:rPr>
          <w:rFonts w:eastAsia="Yu Mincho"/>
        </w:rPr>
        <w:t xml:space="preserve">oordinators and plan managers are </w:t>
      </w:r>
      <w:r>
        <w:rPr>
          <w:rFonts w:eastAsia="Yu Mincho"/>
        </w:rPr>
        <w:t xml:space="preserve">also </w:t>
      </w:r>
      <w:r w:rsidRPr="009C34F0">
        <w:rPr>
          <w:rFonts w:eastAsia="Yu Mincho"/>
        </w:rPr>
        <w:t xml:space="preserve">important </w:t>
      </w:r>
      <w:r>
        <w:rPr>
          <w:rFonts w:eastAsia="Yu Mincho"/>
        </w:rPr>
        <w:t>in</w:t>
      </w:r>
      <w:r w:rsidRPr="009C34F0">
        <w:rPr>
          <w:rFonts w:eastAsia="Yu Mincho"/>
        </w:rPr>
        <w:t xml:space="preserve"> supporting participants to progress towards their goals. The NDIA is engaging with </w:t>
      </w:r>
      <w:r>
        <w:rPr>
          <w:rFonts w:eastAsia="Yu Mincho"/>
        </w:rPr>
        <w:t>p</w:t>
      </w:r>
      <w:r w:rsidRPr="009C34F0">
        <w:rPr>
          <w:rFonts w:eastAsia="Yu Mincho"/>
        </w:rPr>
        <w:t xml:space="preserve">lan </w:t>
      </w:r>
      <w:r>
        <w:rPr>
          <w:rFonts w:eastAsia="Yu Mincho"/>
        </w:rPr>
        <w:t>m</w:t>
      </w:r>
      <w:r w:rsidRPr="009C34F0">
        <w:rPr>
          <w:rFonts w:eastAsia="Yu Mincho"/>
        </w:rPr>
        <w:t xml:space="preserve">anagers and </w:t>
      </w:r>
      <w:r>
        <w:rPr>
          <w:rFonts w:eastAsia="Yu Mincho"/>
        </w:rPr>
        <w:t>s</w:t>
      </w:r>
      <w:r w:rsidRPr="009C34F0">
        <w:rPr>
          <w:rFonts w:eastAsia="Yu Mincho"/>
        </w:rPr>
        <w:t xml:space="preserve">upport </w:t>
      </w:r>
      <w:r>
        <w:rPr>
          <w:rFonts w:eastAsia="Yu Mincho"/>
        </w:rPr>
        <w:t>c</w:t>
      </w:r>
      <w:r w:rsidRPr="009C34F0">
        <w:rPr>
          <w:rFonts w:eastAsia="Yu Mincho"/>
        </w:rPr>
        <w:t>oordinators to re</w:t>
      </w:r>
      <w:r>
        <w:rPr>
          <w:rFonts w:eastAsia="Yu Mincho"/>
        </w:rPr>
        <w:t>inforce</w:t>
      </w:r>
      <w:r w:rsidRPr="009C34F0">
        <w:rPr>
          <w:rFonts w:eastAsia="Yu Mincho"/>
        </w:rPr>
        <w:t xml:space="preserve"> their </w:t>
      </w:r>
      <w:r>
        <w:rPr>
          <w:rFonts w:eastAsia="Yu Mincho"/>
        </w:rPr>
        <w:t xml:space="preserve">understanding of this aspect of their </w:t>
      </w:r>
      <w:r w:rsidRPr="009C34F0">
        <w:rPr>
          <w:rFonts w:eastAsia="Yu Mincho"/>
        </w:rPr>
        <w:t>role.</w:t>
      </w:r>
    </w:p>
    <w:p w14:paraId="48B7A957" w14:textId="7CE04469" w:rsidR="000D3DCF" w:rsidRPr="00A33264" w:rsidRDefault="000D3DCF" w:rsidP="009B5EFC">
      <w:pPr>
        <w:rPr>
          <w:b/>
          <w:bCs/>
          <w:lang w:val="en-GB"/>
        </w:rPr>
      </w:pPr>
      <w:r w:rsidRPr="0002422C">
        <w:rPr>
          <w:b/>
          <w:bCs/>
          <w:lang w:val="en-GB"/>
        </w:rPr>
        <w:t xml:space="preserve">Participant satisfaction </w:t>
      </w:r>
    </w:p>
    <w:tbl>
      <w:tblPr>
        <w:tblStyle w:val="GridTable4"/>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20" w:firstRow="1" w:lastRow="0" w:firstColumn="0" w:lastColumn="0" w:noHBand="0" w:noVBand="1"/>
      </w:tblPr>
      <w:tblGrid>
        <w:gridCol w:w="3685"/>
        <w:gridCol w:w="1361"/>
        <w:gridCol w:w="1361"/>
        <w:gridCol w:w="1361"/>
        <w:gridCol w:w="1361"/>
      </w:tblGrid>
      <w:tr w:rsidR="000D3DCF" w:rsidRPr="00A33264" w14:paraId="45CBB274" w14:textId="77777777" w:rsidTr="001C0A6D">
        <w:trPr>
          <w:cnfStyle w:val="100000000000" w:firstRow="1" w:lastRow="0" w:firstColumn="0" w:lastColumn="0" w:oddVBand="0" w:evenVBand="0" w:oddHBand="0" w:evenHBand="0" w:firstRowFirstColumn="0" w:firstRowLastColumn="0" w:lastRowFirstColumn="0" w:lastRowLastColumn="0"/>
          <w:cantSplit/>
        </w:trPr>
        <w:tc>
          <w:tcPr>
            <w:tcW w:w="3685" w:type="dxa"/>
            <w:shd w:val="clear" w:color="auto" w:fill="A1CE63"/>
          </w:tcPr>
          <w:p w14:paraId="48E85555" w14:textId="42AD5838" w:rsidR="000D3DCF" w:rsidRPr="00A33264" w:rsidRDefault="000D3DCF">
            <w:pPr>
              <w:pStyle w:val="TableBody"/>
              <w:rPr>
                <w:color w:val="auto"/>
                <w:lang w:val="en-GB"/>
              </w:rPr>
            </w:pPr>
            <w:bookmarkStart w:id="84" w:name="ColumnTitle_PerformanceMeasure5"/>
            <w:bookmarkEnd w:id="84"/>
            <w:r w:rsidRPr="00A33264">
              <w:rPr>
                <w:color w:val="auto"/>
                <w:lang w:val="en-GB"/>
              </w:rPr>
              <w:t xml:space="preserve">Performance </w:t>
            </w:r>
            <w:r>
              <w:rPr>
                <w:color w:val="auto"/>
                <w:lang w:val="en-GB"/>
              </w:rPr>
              <w:t>m</w:t>
            </w:r>
            <w:r w:rsidRPr="00A33264">
              <w:rPr>
                <w:color w:val="auto"/>
                <w:lang w:val="en-GB"/>
              </w:rPr>
              <w:t>easure</w:t>
            </w:r>
          </w:p>
        </w:tc>
        <w:tc>
          <w:tcPr>
            <w:tcW w:w="1361" w:type="dxa"/>
            <w:shd w:val="clear" w:color="auto" w:fill="A1CE63"/>
          </w:tcPr>
          <w:p w14:paraId="141E78D8" w14:textId="77777777" w:rsidR="000D3DCF" w:rsidRPr="00A33264" w:rsidRDefault="000D3DCF" w:rsidP="00BB40DF">
            <w:pPr>
              <w:pStyle w:val="TableBody"/>
              <w:jc w:val="right"/>
              <w:rPr>
                <w:color w:val="auto"/>
                <w:lang w:val="en-GB"/>
              </w:rPr>
            </w:pPr>
            <w:r w:rsidRPr="00A33264">
              <w:rPr>
                <w:color w:val="auto"/>
                <w:lang w:val="en-GB"/>
              </w:rPr>
              <w:t>2023</w:t>
            </w:r>
            <w:r w:rsidRPr="00A15A18">
              <w:rPr>
                <w:color w:val="auto"/>
              </w:rPr>
              <w:t>–</w:t>
            </w:r>
            <w:r w:rsidRPr="00A33264">
              <w:rPr>
                <w:color w:val="auto"/>
                <w:lang w:val="en-GB"/>
              </w:rPr>
              <w:t>24 Target</w:t>
            </w:r>
          </w:p>
        </w:tc>
        <w:tc>
          <w:tcPr>
            <w:tcW w:w="1361" w:type="dxa"/>
            <w:shd w:val="clear" w:color="auto" w:fill="A1CE63"/>
          </w:tcPr>
          <w:p w14:paraId="700EBD93" w14:textId="77777777" w:rsidR="000D3DCF" w:rsidRPr="00A33264" w:rsidRDefault="000D3DCF" w:rsidP="00BB40DF">
            <w:pPr>
              <w:pStyle w:val="TableBody"/>
              <w:jc w:val="right"/>
              <w:rPr>
                <w:color w:val="auto"/>
                <w:lang w:val="en-GB"/>
              </w:rPr>
            </w:pPr>
            <w:r w:rsidRPr="00A33264">
              <w:rPr>
                <w:color w:val="auto"/>
                <w:lang w:val="en-GB"/>
              </w:rPr>
              <w:t>2023</w:t>
            </w:r>
            <w:r w:rsidRPr="00A15A18">
              <w:rPr>
                <w:color w:val="auto"/>
              </w:rPr>
              <w:t>–</w:t>
            </w:r>
            <w:r w:rsidRPr="00A33264">
              <w:rPr>
                <w:color w:val="auto"/>
                <w:lang w:val="en-GB"/>
              </w:rPr>
              <w:t>24 Result</w:t>
            </w:r>
          </w:p>
        </w:tc>
        <w:tc>
          <w:tcPr>
            <w:tcW w:w="1361" w:type="dxa"/>
            <w:shd w:val="clear" w:color="auto" w:fill="A1CE63"/>
          </w:tcPr>
          <w:p w14:paraId="008B98B5" w14:textId="77777777" w:rsidR="000D3DCF" w:rsidRPr="00A33264" w:rsidRDefault="000D3DCF" w:rsidP="00BB40DF">
            <w:pPr>
              <w:pStyle w:val="TableBody"/>
              <w:jc w:val="right"/>
              <w:rPr>
                <w:color w:val="auto"/>
                <w:lang w:val="en-GB"/>
              </w:rPr>
            </w:pPr>
            <w:r>
              <w:rPr>
                <w:color w:val="auto"/>
                <w:lang w:val="en-GB"/>
              </w:rPr>
              <w:t>2023</w:t>
            </w:r>
            <w:r w:rsidRPr="00A15A18">
              <w:rPr>
                <w:color w:val="auto"/>
              </w:rPr>
              <w:t>–</w:t>
            </w:r>
            <w:r>
              <w:rPr>
                <w:color w:val="auto"/>
                <w:lang w:val="en-GB"/>
              </w:rPr>
              <w:t>24 O</w:t>
            </w:r>
            <w:r w:rsidRPr="00A33264">
              <w:rPr>
                <w:color w:val="auto"/>
                <w:lang w:val="en-GB"/>
              </w:rPr>
              <w:t>utcome</w:t>
            </w:r>
          </w:p>
        </w:tc>
        <w:tc>
          <w:tcPr>
            <w:tcW w:w="1361" w:type="dxa"/>
            <w:shd w:val="clear" w:color="auto" w:fill="A1CE63"/>
          </w:tcPr>
          <w:p w14:paraId="066E053D" w14:textId="77777777" w:rsidR="000D3DCF" w:rsidRPr="00A01981" w:rsidRDefault="000D3DCF" w:rsidP="00BB40DF">
            <w:pPr>
              <w:pStyle w:val="TableBody"/>
              <w:jc w:val="right"/>
              <w:rPr>
                <w:color w:val="auto"/>
                <w:lang w:val="en-GB"/>
              </w:rPr>
            </w:pPr>
            <w:r>
              <w:rPr>
                <w:color w:val="auto"/>
                <w:lang w:val="en-GB"/>
              </w:rPr>
              <w:t>2022</w:t>
            </w:r>
            <w:r w:rsidRPr="00A15A18">
              <w:rPr>
                <w:color w:val="auto"/>
              </w:rPr>
              <w:t>–</w:t>
            </w:r>
            <w:r>
              <w:rPr>
                <w:color w:val="auto"/>
                <w:lang w:val="en-GB"/>
              </w:rPr>
              <w:t>23 Result</w:t>
            </w:r>
          </w:p>
        </w:tc>
      </w:tr>
      <w:tr w:rsidR="000D3DCF" w:rsidRPr="00A33264" w14:paraId="672BAB8C" w14:textId="77777777" w:rsidTr="00A01981">
        <w:trPr>
          <w:cnfStyle w:val="000000100000" w:firstRow="0" w:lastRow="0" w:firstColumn="0" w:lastColumn="0" w:oddVBand="0" w:evenVBand="0" w:oddHBand="1" w:evenHBand="0" w:firstRowFirstColumn="0" w:firstRowLastColumn="0" w:lastRowFirstColumn="0" w:lastRowLastColumn="0"/>
          <w:cantSplit/>
        </w:trPr>
        <w:tc>
          <w:tcPr>
            <w:tcW w:w="3685" w:type="dxa"/>
            <w:shd w:val="clear" w:color="auto" w:fill="E5F1D4"/>
          </w:tcPr>
          <w:p w14:paraId="3289E171" w14:textId="0F1E41BA" w:rsidR="000D3DCF" w:rsidRPr="00A33264" w:rsidRDefault="000D3DCF" w:rsidP="001C74C2">
            <w:pPr>
              <w:pStyle w:val="TableBody"/>
              <w:rPr>
                <w:lang w:val="en-GB"/>
              </w:rPr>
            </w:pPr>
            <w:r w:rsidRPr="00A33264">
              <w:rPr>
                <w:lang w:val="en-GB"/>
              </w:rPr>
              <w:t>Participant satisfaction</w:t>
            </w:r>
          </w:p>
        </w:tc>
        <w:tc>
          <w:tcPr>
            <w:tcW w:w="1361" w:type="dxa"/>
            <w:shd w:val="clear" w:color="auto" w:fill="E5F1D4"/>
          </w:tcPr>
          <w:p w14:paraId="6E9A89B5" w14:textId="77777777" w:rsidR="000D3DCF" w:rsidRPr="00A33264" w:rsidRDefault="000D3DCF" w:rsidP="00BB40DF">
            <w:pPr>
              <w:pStyle w:val="TableBody"/>
              <w:jc w:val="right"/>
              <w:rPr>
                <w:lang w:val="en-GB"/>
              </w:rPr>
            </w:pPr>
            <w:r w:rsidRPr="00A33264">
              <w:rPr>
                <w:lang w:val="en-GB"/>
              </w:rPr>
              <w:t>76%</w:t>
            </w:r>
          </w:p>
        </w:tc>
        <w:tc>
          <w:tcPr>
            <w:tcW w:w="1361" w:type="dxa"/>
            <w:shd w:val="clear" w:color="auto" w:fill="E5F1D4"/>
          </w:tcPr>
          <w:p w14:paraId="39A1E6E8" w14:textId="77777777" w:rsidR="000D3DCF" w:rsidRPr="00A33264" w:rsidRDefault="000D3DCF" w:rsidP="00BB40DF">
            <w:pPr>
              <w:pStyle w:val="TableBody"/>
              <w:jc w:val="right"/>
              <w:rPr>
                <w:lang w:val="en-GB"/>
              </w:rPr>
            </w:pPr>
            <w:r w:rsidRPr="00A33264">
              <w:rPr>
                <w:lang w:val="en-GB"/>
              </w:rPr>
              <w:t>68.5%</w:t>
            </w:r>
          </w:p>
        </w:tc>
        <w:tc>
          <w:tcPr>
            <w:tcW w:w="1361" w:type="dxa"/>
            <w:shd w:val="clear" w:color="auto" w:fill="E5F1D4"/>
          </w:tcPr>
          <w:p w14:paraId="13241964" w14:textId="77777777" w:rsidR="000D3DCF" w:rsidRPr="00A33264" w:rsidRDefault="000D3DCF" w:rsidP="00BB40DF">
            <w:pPr>
              <w:pStyle w:val="TableBody"/>
              <w:jc w:val="right"/>
              <w:rPr>
                <w:lang w:val="en-GB"/>
              </w:rPr>
            </w:pPr>
            <w:r w:rsidRPr="00A33264">
              <w:rPr>
                <w:lang w:val="en-GB"/>
              </w:rPr>
              <w:t>Partially achieved</w:t>
            </w:r>
          </w:p>
        </w:tc>
        <w:tc>
          <w:tcPr>
            <w:tcW w:w="1361" w:type="dxa"/>
            <w:shd w:val="clear" w:color="auto" w:fill="E5F1D4"/>
          </w:tcPr>
          <w:p w14:paraId="6AEED343" w14:textId="77777777" w:rsidR="000D3DCF" w:rsidRPr="00A33264" w:rsidRDefault="000D3DCF" w:rsidP="00BB40DF">
            <w:pPr>
              <w:pStyle w:val="TableBody"/>
              <w:jc w:val="right"/>
              <w:rPr>
                <w:lang w:val="en-GB"/>
              </w:rPr>
            </w:pPr>
            <w:r>
              <w:rPr>
                <w:lang w:val="en-GB"/>
              </w:rPr>
              <w:t>74.9%</w:t>
            </w:r>
          </w:p>
        </w:tc>
      </w:tr>
    </w:tbl>
    <w:p w14:paraId="1160FD98" w14:textId="77777777" w:rsidR="000D3DCF" w:rsidRDefault="000D3DCF" w:rsidP="00B27FA1">
      <w:pPr>
        <w:pStyle w:val="Heading6"/>
        <w:rPr>
          <w:rFonts w:eastAsia="Yu Mincho"/>
        </w:rPr>
      </w:pPr>
      <w:r>
        <w:rPr>
          <w:rFonts w:eastAsia="Yu Mincho"/>
        </w:rPr>
        <w:t>Why we measure this</w:t>
      </w:r>
    </w:p>
    <w:p w14:paraId="602CEC6E" w14:textId="2DF9BAF5" w:rsidR="00247078" w:rsidRDefault="000D3DCF" w:rsidP="00247078">
      <w:pPr>
        <w:rPr>
          <w:bCs/>
          <w:color w:val="6B2876" w:themeColor="text1"/>
          <w:sz w:val="26"/>
          <w:szCs w:val="28"/>
        </w:rPr>
      </w:pPr>
      <w:r w:rsidRPr="009C34F0">
        <w:rPr>
          <w:rFonts w:eastAsia="Yu Mincho"/>
        </w:rPr>
        <w:t xml:space="preserve">This measure assesses the </w:t>
      </w:r>
      <w:r w:rsidRPr="009C34F0">
        <w:t xml:space="preserve">effectiveness of the </w:t>
      </w:r>
      <w:r>
        <w:t>NDIS</w:t>
      </w:r>
      <w:r w:rsidRPr="009C34F0">
        <w:t xml:space="preserve"> in supporting participant independence in a safe environment across the 4 </w:t>
      </w:r>
      <w:r>
        <w:t>moments</w:t>
      </w:r>
      <w:r w:rsidRPr="009C34F0">
        <w:t xml:space="preserve"> of the participant pathway</w:t>
      </w:r>
      <w:r w:rsidR="00C85292">
        <w:t xml:space="preserve">: </w:t>
      </w:r>
      <w:r>
        <w:t xml:space="preserve">apply for </w:t>
      </w:r>
      <w:r w:rsidR="00A86D72">
        <w:t xml:space="preserve">the </w:t>
      </w:r>
      <w:r>
        <w:t>NDIS, plan approval, plan implementation and plan reassessment</w:t>
      </w:r>
      <w:r w:rsidRPr="009C34F0">
        <w:t>.</w:t>
      </w:r>
    </w:p>
    <w:p w14:paraId="3CBAA4FC" w14:textId="6543414C" w:rsidR="000D3DCF" w:rsidRDefault="000D3DCF" w:rsidP="00B27FA1">
      <w:pPr>
        <w:pStyle w:val="Heading6"/>
      </w:pPr>
      <w:r>
        <w:t>How we measure this</w:t>
      </w:r>
    </w:p>
    <w:p w14:paraId="5F5830DC" w14:textId="2C47C887" w:rsidR="000D3DCF" w:rsidRDefault="000D3DCF" w:rsidP="00A01981">
      <w:r>
        <w:t>We obtain our results for this performance measure by</w:t>
      </w:r>
      <w:r w:rsidRPr="009C34F0">
        <w:t xml:space="preserve"> calculat</w:t>
      </w:r>
      <w:r>
        <w:t>ing</w:t>
      </w:r>
      <w:r w:rsidRPr="009C34F0">
        <w:t xml:space="preserve"> the weighted average of the results </w:t>
      </w:r>
      <w:r>
        <w:t>reported in the 4</w:t>
      </w:r>
      <w:r w:rsidRPr="009C34F0">
        <w:t xml:space="preserve"> </w:t>
      </w:r>
      <w:r>
        <w:t>q</w:t>
      </w:r>
      <w:r w:rsidRPr="009C34F0">
        <w:t xml:space="preserve">uarterly </w:t>
      </w:r>
      <w:r>
        <w:t>r</w:t>
      </w:r>
      <w:r w:rsidRPr="009C34F0">
        <w:t>eport</w:t>
      </w:r>
      <w:r>
        <w:t>s</w:t>
      </w:r>
      <w:r w:rsidRPr="009C34F0">
        <w:t xml:space="preserve"> </w:t>
      </w:r>
      <w:r>
        <w:t xml:space="preserve">to the Ministerial Council </w:t>
      </w:r>
      <w:r w:rsidRPr="009C34F0">
        <w:t>on the percentage of</w:t>
      </w:r>
      <w:r>
        <w:t xml:space="preserve"> responses of</w:t>
      </w:r>
      <w:r w:rsidRPr="009C34F0">
        <w:t xml:space="preserve"> ‘good’ and ‘very good’ to the participant satisfaction </w:t>
      </w:r>
      <w:r w:rsidRPr="009C34F0">
        <w:lastRenderedPageBreak/>
        <w:t xml:space="preserve">survey question about a participant’s experience across the stages of the </w:t>
      </w:r>
      <w:r>
        <w:t>NDIS</w:t>
      </w:r>
      <w:r w:rsidRPr="009C34F0">
        <w:t xml:space="preserve"> pathway. </w:t>
      </w:r>
    </w:p>
    <w:p w14:paraId="5557558A" w14:textId="330C32DE" w:rsidR="000D3DCF" w:rsidRPr="009C34F0" w:rsidRDefault="000D3DCF" w:rsidP="00A01981">
      <w:r>
        <w:t>In December 2023 the NDIS made c</w:t>
      </w:r>
      <w:r w:rsidRPr="009C34F0">
        <w:t xml:space="preserve">hanges to the participant satisfaction survey </w:t>
      </w:r>
      <w:r>
        <w:t>so that it</w:t>
      </w:r>
      <w:r w:rsidRPr="009244FE">
        <w:t xml:space="preserve"> align</w:t>
      </w:r>
      <w:r>
        <w:t>s</w:t>
      </w:r>
      <w:r w:rsidRPr="009244FE">
        <w:t xml:space="preserve"> with the new computer system and better support</w:t>
      </w:r>
      <w:r>
        <w:t>s</w:t>
      </w:r>
      <w:r w:rsidRPr="009244FE">
        <w:t xml:space="preserve"> measurement against the PSG </w:t>
      </w:r>
      <w:r>
        <w:t>e</w:t>
      </w:r>
      <w:r w:rsidRPr="009244FE">
        <w:t xml:space="preserve">ngagement </w:t>
      </w:r>
      <w:r>
        <w:t>p</w:t>
      </w:r>
      <w:r w:rsidRPr="009244FE">
        <w:t>rinciples.</w:t>
      </w:r>
      <w:r>
        <w:t xml:space="preserve"> </w:t>
      </w:r>
      <w:r w:rsidRPr="00AF7353">
        <w:t xml:space="preserve">The new survey questions </w:t>
      </w:r>
      <w:r>
        <w:t xml:space="preserve">were </w:t>
      </w:r>
      <w:r w:rsidRPr="00AF7353">
        <w:t>mapped against the old questions to ensure results remained comparable</w:t>
      </w:r>
      <w:r>
        <w:t>.</w:t>
      </w:r>
      <w:r w:rsidRPr="009C34F0">
        <w:t xml:space="preserve"> </w:t>
      </w:r>
    </w:p>
    <w:p w14:paraId="1279855F" w14:textId="77777777" w:rsidR="000D3DCF" w:rsidRDefault="000D3DCF" w:rsidP="00B27FA1">
      <w:pPr>
        <w:pStyle w:val="Heading6"/>
      </w:pPr>
      <w:r>
        <w:t>Analysis</w:t>
      </w:r>
    </w:p>
    <w:p w14:paraId="5AFE591D" w14:textId="7AB5F30E" w:rsidR="000D3DCF" w:rsidRPr="009C34F0" w:rsidRDefault="000D3DCF" w:rsidP="00A01981">
      <w:pPr>
        <w:rPr>
          <w:rFonts w:eastAsia="Yu Mincho"/>
        </w:rPr>
      </w:pPr>
      <w:r>
        <w:t>In 2023</w:t>
      </w:r>
      <w:r>
        <w:rPr>
          <w:rFonts w:ascii="Symbol" w:eastAsia="Symbol" w:hAnsi="Symbol" w:cs="Symbol"/>
        </w:rPr>
        <w:t>-</w:t>
      </w:r>
      <w:r>
        <w:t>24</w:t>
      </w:r>
      <w:r w:rsidRPr="009C34F0">
        <w:t xml:space="preserve"> the NDIA made significant change</w:t>
      </w:r>
      <w:r>
        <w:t>s</w:t>
      </w:r>
      <w:r w:rsidRPr="009C34F0">
        <w:t xml:space="preserve"> to improve participant access and the planning pathway. </w:t>
      </w:r>
      <w:r>
        <w:t xml:space="preserve">Some delays caused by these </w:t>
      </w:r>
      <w:r w:rsidRPr="009C34F0">
        <w:t>change</w:t>
      </w:r>
      <w:r>
        <w:t>s</w:t>
      </w:r>
      <w:r w:rsidRPr="009C34F0">
        <w:t xml:space="preserve"> may have contributed to a reduction in participant satisfaction with access and planning</w:t>
      </w:r>
      <w:r w:rsidRPr="009C34F0">
        <w:rPr>
          <w:rFonts w:eastAsia="Yu Mincho"/>
        </w:rPr>
        <w:t>.</w:t>
      </w:r>
    </w:p>
    <w:p w14:paraId="6AAD91F0" w14:textId="3F2DB1C0" w:rsidR="000D3DCF" w:rsidRDefault="006122E2" w:rsidP="00A01981">
      <w:pPr>
        <w:rPr>
          <w:rFonts w:eastAsia="Yu Mincho"/>
        </w:rPr>
      </w:pPr>
      <w:r>
        <w:rPr>
          <w:rFonts w:eastAsia="Yu Mincho"/>
        </w:rPr>
        <w:t>The NDIA began rolling out a new computer system and process</w:t>
      </w:r>
      <w:r w:rsidR="009748B5">
        <w:rPr>
          <w:rFonts w:eastAsia="Yu Mincho"/>
        </w:rPr>
        <w:t xml:space="preserve">es across Australia from 30 October 2023. </w:t>
      </w:r>
      <w:r w:rsidR="000D3DCF">
        <w:rPr>
          <w:rFonts w:eastAsia="Yu Mincho"/>
        </w:rPr>
        <w:t>The changes</w:t>
      </w:r>
      <w:r w:rsidR="000D3DCF" w:rsidRPr="3A410DD6">
        <w:rPr>
          <w:rFonts w:eastAsia="Yu Mincho"/>
        </w:rPr>
        <w:t xml:space="preserve"> increased </w:t>
      </w:r>
      <w:r w:rsidR="000D3DCF">
        <w:rPr>
          <w:rFonts w:eastAsia="Yu Mincho"/>
        </w:rPr>
        <w:t xml:space="preserve">internal </w:t>
      </w:r>
      <w:r w:rsidR="000D3DCF" w:rsidRPr="3A410DD6">
        <w:rPr>
          <w:rFonts w:eastAsia="Yu Mincho"/>
        </w:rPr>
        <w:t>workload</w:t>
      </w:r>
      <w:r w:rsidR="000D3DCF">
        <w:rPr>
          <w:rFonts w:eastAsia="Yu Mincho"/>
        </w:rPr>
        <w:t>s</w:t>
      </w:r>
      <w:r w:rsidR="000D3DCF" w:rsidRPr="3A410DD6">
        <w:rPr>
          <w:rFonts w:eastAsia="Yu Mincho"/>
        </w:rPr>
        <w:t xml:space="preserve"> </w:t>
      </w:r>
      <w:r w:rsidR="000D3DCF">
        <w:rPr>
          <w:rFonts w:eastAsia="Yu Mincho"/>
        </w:rPr>
        <w:t>and</w:t>
      </w:r>
      <w:r w:rsidR="000D3DCF" w:rsidRPr="3A410DD6">
        <w:rPr>
          <w:rFonts w:eastAsia="Yu Mincho"/>
        </w:rPr>
        <w:t xml:space="preserve"> delayed </w:t>
      </w:r>
      <w:r w:rsidR="000D3DCF">
        <w:rPr>
          <w:rFonts w:eastAsia="Yu Mincho"/>
        </w:rPr>
        <w:t xml:space="preserve">some </w:t>
      </w:r>
      <w:r w:rsidR="000D3DCF" w:rsidRPr="3A410DD6">
        <w:rPr>
          <w:rFonts w:eastAsia="Yu Mincho"/>
        </w:rPr>
        <w:t>services</w:t>
      </w:r>
      <w:r w:rsidR="000D3DCF">
        <w:rPr>
          <w:rFonts w:eastAsia="Yu Mincho"/>
        </w:rPr>
        <w:t xml:space="preserve">. These delays, combined with higher demand for access and </w:t>
      </w:r>
      <w:r w:rsidR="00D30B56">
        <w:rPr>
          <w:rFonts w:eastAsia="Yu Mincho"/>
        </w:rPr>
        <w:t xml:space="preserve">the significantly higher number of </w:t>
      </w:r>
      <w:r w:rsidR="001962E9">
        <w:rPr>
          <w:rFonts w:eastAsia="Yu Mincho"/>
        </w:rPr>
        <w:t>participants seeking a review of their NDIS</w:t>
      </w:r>
      <w:r w:rsidR="00DC6D57">
        <w:rPr>
          <w:rFonts w:eastAsia="Yu Mincho"/>
        </w:rPr>
        <w:t xml:space="preserve"> </w:t>
      </w:r>
      <w:r w:rsidR="00B61B25">
        <w:rPr>
          <w:rFonts w:eastAsia="Yu Mincho"/>
        </w:rPr>
        <w:t>plans,</w:t>
      </w:r>
      <w:r w:rsidR="000D3DCF" w:rsidRPr="3A410DD6">
        <w:rPr>
          <w:rFonts w:eastAsia="Yu Mincho"/>
        </w:rPr>
        <w:t xml:space="preserve"> affect</w:t>
      </w:r>
      <w:r w:rsidR="000D3DCF">
        <w:rPr>
          <w:rFonts w:eastAsia="Yu Mincho"/>
        </w:rPr>
        <w:t>ed</w:t>
      </w:r>
      <w:r w:rsidR="000D3DCF" w:rsidRPr="3A410DD6">
        <w:rPr>
          <w:rFonts w:eastAsia="Yu Mincho"/>
        </w:rPr>
        <w:t xml:space="preserve"> participant satisfaction. </w:t>
      </w:r>
      <w:r w:rsidR="000D3DCF">
        <w:rPr>
          <w:rFonts w:eastAsia="Yu Mincho"/>
        </w:rPr>
        <w:t>Also</w:t>
      </w:r>
      <w:r w:rsidR="000D3DCF" w:rsidRPr="3A410DD6">
        <w:rPr>
          <w:rFonts w:eastAsia="Yu Mincho"/>
        </w:rPr>
        <w:t xml:space="preserve">, ongoing media coverage of the NDIS Review, legislative reforms, and the </w:t>
      </w:r>
      <w:r w:rsidR="000D3DCF" w:rsidRPr="002703A5">
        <w:rPr>
          <w:rFonts w:eastAsia="Yu Mincho"/>
        </w:rPr>
        <w:t>Royal Commission into Violence, Abuse, Neglect and Exploitation of People with Disability</w:t>
      </w:r>
      <w:r w:rsidR="000D3DCF" w:rsidRPr="3A410DD6">
        <w:rPr>
          <w:rFonts w:eastAsia="Yu Mincho"/>
        </w:rPr>
        <w:t>, along with expectations of future responses, may be impacting satisfaction levels.</w:t>
      </w:r>
    </w:p>
    <w:p w14:paraId="1FC48D50" w14:textId="611B2EA0" w:rsidR="000D3DCF" w:rsidRPr="00F86FC3" w:rsidRDefault="000D3DCF" w:rsidP="00A01981">
      <w:pPr>
        <w:rPr>
          <w:rFonts w:eastAsia="Yu Mincho"/>
        </w:rPr>
      </w:pPr>
      <w:r w:rsidRPr="00076C1A">
        <w:rPr>
          <w:rFonts w:eastAsia="Yu Mincho"/>
        </w:rPr>
        <w:t>To tackle the current challenges</w:t>
      </w:r>
      <w:r>
        <w:rPr>
          <w:rFonts w:eastAsia="Yu Mincho"/>
        </w:rPr>
        <w:t xml:space="preserve"> and boost participant satisfaction</w:t>
      </w:r>
      <w:r w:rsidRPr="00076C1A">
        <w:rPr>
          <w:rFonts w:eastAsia="Yu Mincho"/>
        </w:rPr>
        <w:t xml:space="preserve">, the NDIA </w:t>
      </w:r>
      <w:r>
        <w:rPr>
          <w:rFonts w:eastAsia="Yu Mincho"/>
        </w:rPr>
        <w:t>is</w:t>
      </w:r>
      <w:r w:rsidRPr="00076C1A">
        <w:rPr>
          <w:rFonts w:eastAsia="Yu Mincho"/>
        </w:rPr>
        <w:t xml:space="preserve"> prioriti</w:t>
      </w:r>
      <w:r>
        <w:rPr>
          <w:rFonts w:eastAsia="Yu Mincho"/>
        </w:rPr>
        <w:t>s</w:t>
      </w:r>
      <w:r w:rsidRPr="00076C1A">
        <w:rPr>
          <w:rFonts w:eastAsia="Yu Mincho"/>
        </w:rPr>
        <w:t xml:space="preserve">ing </w:t>
      </w:r>
      <w:r>
        <w:rPr>
          <w:rFonts w:eastAsia="Yu Mincho"/>
        </w:rPr>
        <w:t>f</w:t>
      </w:r>
      <w:r w:rsidRPr="00076C1A">
        <w:rPr>
          <w:rFonts w:eastAsia="Yu Mincho"/>
        </w:rPr>
        <w:t xml:space="preserve">irst </w:t>
      </w:r>
      <w:r>
        <w:rPr>
          <w:rFonts w:eastAsia="Yu Mincho"/>
        </w:rPr>
        <w:t>p</w:t>
      </w:r>
      <w:r w:rsidRPr="00076C1A">
        <w:rPr>
          <w:rFonts w:eastAsia="Yu Mincho"/>
        </w:rPr>
        <w:t xml:space="preserve">lans and </w:t>
      </w:r>
      <w:r>
        <w:rPr>
          <w:rFonts w:eastAsia="Yu Mincho"/>
        </w:rPr>
        <w:t>u</w:t>
      </w:r>
      <w:r w:rsidRPr="00076C1A">
        <w:rPr>
          <w:rFonts w:eastAsia="Yu Mincho"/>
        </w:rPr>
        <w:t xml:space="preserve">nscheduled </w:t>
      </w:r>
      <w:r>
        <w:rPr>
          <w:rFonts w:eastAsia="Yu Mincho"/>
        </w:rPr>
        <w:t>r</w:t>
      </w:r>
      <w:r w:rsidRPr="00076C1A">
        <w:rPr>
          <w:rFonts w:eastAsia="Yu Mincho"/>
        </w:rPr>
        <w:t>eassessments</w:t>
      </w:r>
      <w:r w:rsidR="001E2737">
        <w:rPr>
          <w:rFonts w:eastAsia="Yu Mincho"/>
        </w:rPr>
        <w:t>,</w:t>
      </w:r>
      <w:r w:rsidRPr="00076C1A">
        <w:rPr>
          <w:rFonts w:eastAsia="Yu Mincho"/>
        </w:rPr>
        <w:t xml:space="preserve"> </w:t>
      </w:r>
      <w:r>
        <w:rPr>
          <w:rFonts w:eastAsia="Yu Mincho"/>
        </w:rPr>
        <w:t xml:space="preserve">and </w:t>
      </w:r>
      <w:r w:rsidRPr="00076C1A">
        <w:rPr>
          <w:rFonts w:eastAsia="Yu Mincho"/>
        </w:rPr>
        <w:t xml:space="preserve">holding co-design workshops </w:t>
      </w:r>
      <w:r>
        <w:rPr>
          <w:rFonts w:eastAsia="Yu Mincho"/>
        </w:rPr>
        <w:t>to engage participants</w:t>
      </w:r>
      <w:r w:rsidRPr="00076C1A">
        <w:rPr>
          <w:rFonts w:eastAsia="Yu Mincho"/>
        </w:rPr>
        <w:t>.</w:t>
      </w:r>
      <w:r w:rsidRPr="00F86FC3">
        <w:rPr>
          <w:rFonts w:eastAsia="Yu Mincho"/>
        </w:rPr>
        <w:t xml:space="preserve"> </w:t>
      </w:r>
      <w:r>
        <w:rPr>
          <w:rFonts w:eastAsia="Yu Mincho"/>
        </w:rPr>
        <w:t>We are also providing s</w:t>
      </w:r>
      <w:r w:rsidRPr="00076C1A">
        <w:rPr>
          <w:rFonts w:eastAsia="Yu Mincho"/>
        </w:rPr>
        <w:t>taff training to ease the transition to a new business system</w:t>
      </w:r>
      <w:r>
        <w:rPr>
          <w:rFonts w:eastAsia="Yu Mincho"/>
        </w:rPr>
        <w:t xml:space="preserve"> and</w:t>
      </w:r>
      <w:r w:rsidRPr="00076C1A">
        <w:rPr>
          <w:rFonts w:eastAsia="Yu Mincho"/>
        </w:rPr>
        <w:t xml:space="preserve"> enhance staff confidence.</w:t>
      </w:r>
    </w:p>
    <w:p w14:paraId="526E09D5" w14:textId="3412E18B" w:rsidR="000D3DCF" w:rsidRPr="00A33264" w:rsidRDefault="000D3DCF" w:rsidP="009B5EFC">
      <w:pPr>
        <w:rPr>
          <w:b/>
          <w:bCs/>
          <w:lang w:val="en-GB"/>
        </w:rPr>
      </w:pPr>
      <w:r w:rsidRPr="00A33264">
        <w:rPr>
          <w:b/>
          <w:bCs/>
          <w:lang w:val="en-GB"/>
        </w:rPr>
        <w:t xml:space="preserve">Participant social and community engagement </w:t>
      </w:r>
    </w:p>
    <w:tbl>
      <w:tblPr>
        <w:tblStyle w:val="GridTable4"/>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20" w:firstRow="1" w:lastRow="0" w:firstColumn="0" w:lastColumn="0" w:noHBand="0" w:noVBand="1"/>
      </w:tblPr>
      <w:tblGrid>
        <w:gridCol w:w="3685"/>
        <w:gridCol w:w="1361"/>
        <w:gridCol w:w="1361"/>
        <w:gridCol w:w="1361"/>
        <w:gridCol w:w="1361"/>
      </w:tblGrid>
      <w:tr w:rsidR="000D3DCF" w:rsidRPr="00A33264" w14:paraId="0AF0794C" w14:textId="77777777" w:rsidTr="001C0A6D">
        <w:trPr>
          <w:cnfStyle w:val="100000000000" w:firstRow="1" w:lastRow="0" w:firstColumn="0" w:lastColumn="0" w:oddVBand="0" w:evenVBand="0" w:oddHBand="0" w:evenHBand="0" w:firstRowFirstColumn="0" w:firstRowLastColumn="0" w:lastRowFirstColumn="0" w:lastRowLastColumn="0"/>
          <w:cantSplit/>
        </w:trPr>
        <w:tc>
          <w:tcPr>
            <w:tcW w:w="3685" w:type="dxa"/>
            <w:shd w:val="clear" w:color="auto" w:fill="A1CE63"/>
          </w:tcPr>
          <w:p w14:paraId="627C0D10" w14:textId="77777777" w:rsidR="000D3DCF" w:rsidRPr="00A33264" w:rsidRDefault="000D3DCF">
            <w:pPr>
              <w:pStyle w:val="TableBody"/>
              <w:rPr>
                <w:color w:val="auto"/>
                <w:lang w:val="en-GB"/>
              </w:rPr>
            </w:pPr>
            <w:bookmarkStart w:id="85" w:name="ColumnTitle_PerformanceMeasure6"/>
            <w:bookmarkEnd w:id="85"/>
            <w:r w:rsidRPr="00A33264">
              <w:rPr>
                <w:color w:val="auto"/>
                <w:lang w:val="en-GB"/>
              </w:rPr>
              <w:t>Performance Measure</w:t>
            </w:r>
          </w:p>
        </w:tc>
        <w:tc>
          <w:tcPr>
            <w:tcW w:w="1361" w:type="dxa"/>
            <w:shd w:val="clear" w:color="auto" w:fill="A1CE63"/>
          </w:tcPr>
          <w:p w14:paraId="4C0E131A" w14:textId="77777777" w:rsidR="000D3DCF" w:rsidRPr="00A33264" w:rsidRDefault="000D3DCF" w:rsidP="00BB40DF">
            <w:pPr>
              <w:pStyle w:val="TableBody"/>
              <w:jc w:val="right"/>
              <w:rPr>
                <w:color w:val="auto"/>
                <w:lang w:val="en-GB"/>
              </w:rPr>
            </w:pPr>
            <w:r w:rsidRPr="00A33264">
              <w:rPr>
                <w:color w:val="auto"/>
                <w:lang w:val="en-GB"/>
              </w:rPr>
              <w:t>2023</w:t>
            </w:r>
            <w:r w:rsidRPr="00A15A18">
              <w:rPr>
                <w:color w:val="auto"/>
              </w:rPr>
              <w:t>–</w:t>
            </w:r>
            <w:r w:rsidRPr="00A33264">
              <w:rPr>
                <w:color w:val="auto"/>
                <w:lang w:val="en-GB"/>
              </w:rPr>
              <w:t>24 Target</w:t>
            </w:r>
          </w:p>
        </w:tc>
        <w:tc>
          <w:tcPr>
            <w:tcW w:w="1361" w:type="dxa"/>
            <w:shd w:val="clear" w:color="auto" w:fill="A1CE63"/>
          </w:tcPr>
          <w:p w14:paraId="52FFA2B0" w14:textId="77777777" w:rsidR="000D3DCF" w:rsidRPr="00A33264" w:rsidRDefault="000D3DCF" w:rsidP="00BB40DF">
            <w:pPr>
              <w:pStyle w:val="TableBody"/>
              <w:jc w:val="right"/>
              <w:rPr>
                <w:color w:val="auto"/>
                <w:lang w:val="en-GB"/>
              </w:rPr>
            </w:pPr>
            <w:r w:rsidRPr="00A33264">
              <w:rPr>
                <w:color w:val="auto"/>
                <w:lang w:val="en-GB"/>
              </w:rPr>
              <w:t>2023</w:t>
            </w:r>
            <w:r w:rsidRPr="00A15A18">
              <w:rPr>
                <w:color w:val="auto"/>
              </w:rPr>
              <w:t>–</w:t>
            </w:r>
            <w:r w:rsidRPr="00A33264">
              <w:rPr>
                <w:color w:val="auto"/>
                <w:lang w:val="en-GB"/>
              </w:rPr>
              <w:t>24 Result</w:t>
            </w:r>
          </w:p>
        </w:tc>
        <w:tc>
          <w:tcPr>
            <w:tcW w:w="1361" w:type="dxa"/>
            <w:shd w:val="clear" w:color="auto" w:fill="A1CE63"/>
          </w:tcPr>
          <w:p w14:paraId="34111666" w14:textId="77777777" w:rsidR="000D3DCF" w:rsidRPr="00A33264" w:rsidRDefault="000D3DCF" w:rsidP="00BB40DF">
            <w:pPr>
              <w:pStyle w:val="TableBody"/>
              <w:jc w:val="right"/>
              <w:rPr>
                <w:color w:val="auto"/>
                <w:lang w:val="en-GB"/>
              </w:rPr>
            </w:pPr>
            <w:r>
              <w:rPr>
                <w:color w:val="auto"/>
                <w:lang w:val="en-GB"/>
              </w:rPr>
              <w:t>2023</w:t>
            </w:r>
            <w:r w:rsidRPr="00A15A18">
              <w:rPr>
                <w:color w:val="auto"/>
              </w:rPr>
              <w:t>–</w:t>
            </w:r>
            <w:r>
              <w:rPr>
                <w:color w:val="auto"/>
                <w:lang w:val="en-GB"/>
              </w:rPr>
              <w:t xml:space="preserve">24 </w:t>
            </w:r>
            <w:r w:rsidRPr="00A33264">
              <w:rPr>
                <w:color w:val="auto"/>
                <w:lang w:val="en-GB"/>
              </w:rPr>
              <w:t>Outcome</w:t>
            </w:r>
          </w:p>
        </w:tc>
        <w:tc>
          <w:tcPr>
            <w:tcW w:w="1361" w:type="dxa"/>
            <w:shd w:val="clear" w:color="auto" w:fill="A1CE63"/>
          </w:tcPr>
          <w:p w14:paraId="0E952671" w14:textId="77777777" w:rsidR="000D3DCF" w:rsidRPr="00A01981" w:rsidRDefault="000D3DCF" w:rsidP="00BB40DF">
            <w:pPr>
              <w:pStyle w:val="TableBody"/>
              <w:jc w:val="right"/>
              <w:rPr>
                <w:color w:val="auto"/>
                <w:lang w:val="en-GB"/>
              </w:rPr>
            </w:pPr>
            <w:r>
              <w:rPr>
                <w:color w:val="auto"/>
                <w:lang w:val="en-GB"/>
              </w:rPr>
              <w:t>2022</w:t>
            </w:r>
            <w:r w:rsidRPr="00A15A18">
              <w:rPr>
                <w:color w:val="auto"/>
              </w:rPr>
              <w:t>–</w:t>
            </w:r>
            <w:r>
              <w:rPr>
                <w:color w:val="auto"/>
                <w:lang w:val="en-GB"/>
              </w:rPr>
              <w:t>23 Result</w:t>
            </w:r>
          </w:p>
        </w:tc>
      </w:tr>
      <w:tr w:rsidR="000D3DCF" w:rsidRPr="00A33264" w14:paraId="51A3D143" w14:textId="77777777" w:rsidTr="00A01981">
        <w:trPr>
          <w:cnfStyle w:val="000000100000" w:firstRow="0" w:lastRow="0" w:firstColumn="0" w:lastColumn="0" w:oddVBand="0" w:evenVBand="0" w:oddHBand="1" w:evenHBand="0" w:firstRowFirstColumn="0" w:firstRowLastColumn="0" w:lastRowFirstColumn="0" w:lastRowLastColumn="0"/>
          <w:cantSplit/>
        </w:trPr>
        <w:tc>
          <w:tcPr>
            <w:tcW w:w="3685" w:type="dxa"/>
            <w:shd w:val="clear" w:color="auto" w:fill="E5F1D4"/>
          </w:tcPr>
          <w:p w14:paraId="466A0D95" w14:textId="6EB6B8F1" w:rsidR="000D3DCF" w:rsidRPr="00A33264" w:rsidRDefault="000D3DCF" w:rsidP="001C74C2">
            <w:pPr>
              <w:pStyle w:val="TableBody"/>
              <w:rPr>
                <w:lang w:val="en-GB"/>
              </w:rPr>
            </w:pPr>
            <w:r w:rsidRPr="00A33264">
              <w:rPr>
                <w:lang w:val="en-GB"/>
              </w:rPr>
              <w:t xml:space="preserve">Participant </w:t>
            </w:r>
            <w:r>
              <w:rPr>
                <w:lang w:val="en-GB"/>
              </w:rPr>
              <w:t>s</w:t>
            </w:r>
            <w:r w:rsidRPr="00A33264">
              <w:rPr>
                <w:lang w:val="en-GB"/>
              </w:rPr>
              <w:t xml:space="preserve">ocial </w:t>
            </w:r>
            <w:r>
              <w:rPr>
                <w:lang w:val="en-GB"/>
              </w:rPr>
              <w:t>and</w:t>
            </w:r>
            <w:r w:rsidRPr="00A33264">
              <w:rPr>
                <w:lang w:val="en-GB"/>
              </w:rPr>
              <w:t xml:space="preserve"> </w:t>
            </w:r>
            <w:r>
              <w:rPr>
                <w:lang w:val="en-GB"/>
              </w:rPr>
              <w:t>c</w:t>
            </w:r>
            <w:r w:rsidRPr="00A33264">
              <w:rPr>
                <w:lang w:val="en-GB"/>
              </w:rPr>
              <w:t xml:space="preserve">ommunity </w:t>
            </w:r>
            <w:r>
              <w:rPr>
                <w:lang w:val="en-GB"/>
              </w:rPr>
              <w:t>e</w:t>
            </w:r>
            <w:r w:rsidRPr="00A33264">
              <w:rPr>
                <w:lang w:val="en-GB"/>
              </w:rPr>
              <w:t xml:space="preserve">ngagement </w:t>
            </w:r>
          </w:p>
        </w:tc>
        <w:tc>
          <w:tcPr>
            <w:tcW w:w="1361" w:type="dxa"/>
            <w:shd w:val="clear" w:color="auto" w:fill="E5F1D4"/>
          </w:tcPr>
          <w:p w14:paraId="6D97F713" w14:textId="77777777" w:rsidR="000D3DCF" w:rsidRPr="00A33264" w:rsidRDefault="000D3DCF" w:rsidP="00BB40DF">
            <w:pPr>
              <w:pStyle w:val="TableBody"/>
              <w:jc w:val="right"/>
              <w:rPr>
                <w:lang w:val="en-GB"/>
              </w:rPr>
            </w:pPr>
            <w:r w:rsidRPr="00A33264">
              <w:rPr>
                <w:lang w:val="en-GB"/>
              </w:rPr>
              <w:t>46%</w:t>
            </w:r>
          </w:p>
        </w:tc>
        <w:tc>
          <w:tcPr>
            <w:tcW w:w="1361" w:type="dxa"/>
            <w:shd w:val="clear" w:color="auto" w:fill="E5F1D4"/>
          </w:tcPr>
          <w:p w14:paraId="79EE8DF5" w14:textId="77777777" w:rsidR="000D3DCF" w:rsidRPr="00A33264" w:rsidRDefault="000D3DCF" w:rsidP="00BB40DF">
            <w:pPr>
              <w:pStyle w:val="TableBody"/>
              <w:jc w:val="right"/>
              <w:rPr>
                <w:lang w:val="en-GB"/>
              </w:rPr>
            </w:pPr>
            <w:r w:rsidRPr="00A33264">
              <w:rPr>
                <w:lang w:val="en-GB"/>
              </w:rPr>
              <w:t>41.2%</w:t>
            </w:r>
          </w:p>
        </w:tc>
        <w:tc>
          <w:tcPr>
            <w:tcW w:w="1361" w:type="dxa"/>
            <w:shd w:val="clear" w:color="auto" w:fill="E5F1D4"/>
          </w:tcPr>
          <w:p w14:paraId="4FC8EC29" w14:textId="77777777" w:rsidR="000D3DCF" w:rsidRPr="00A33264" w:rsidRDefault="000D3DCF" w:rsidP="00BB40DF">
            <w:pPr>
              <w:pStyle w:val="TableBody"/>
              <w:jc w:val="right"/>
              <w:rPr>
                <w:lang w:val="en-GB"/>
              </w:rPr>
            </w:pPr>
            <w:r w:rsidRPr="00A33264">
              <w:rPr>
                <w:lang w:val="en-GB"/>
              </w:rPr>
              <w:t>Not achieved</w:t>
            </w:r>
          </w:p>
        </w:tc>
        <w:tc>
          <w:tcPr>
            <w:tcW w:w="1361" w:type="dxa"/>
            <w:shd w:val="clear" w:color="auto" w:fill="E5F1D4"/>
          </w:tcPr>
          <w:p w14:paraId="6A18B9FB" w14:textId="77777777" w:rsidR="000D3DCF" w:rsidRPr="00A33264" w:rsidRDefault="000D3DCF" w:rsidP="00BB40DF">
            <w:pPr>
              <w:pStyle w:val="TableBody"/>
              <w:jc w:val="right"/>
              <w:rPr>
                <w:lang w:val="en-GB"/>
              </w:rPr>
            </w:pPr>
            <w:r>
              <w:rPr>
                <w:lang w:val="en-GB"/>
              </w:rPr>
              <w:t>41.8%</w:t>
            </w:r>
          </w:p>
        </w:tc>
      </w:tr>
    </w:tbl>
    <w:p w14:paraId="149FD394" w14:textId="77777777" w:rsidR="000D3DCF" w:rsidRDefault="000D3DCF" w:rsidP="00B27FA1">
      <w:pPr>
        <w:pStyle w:val="Heading6"/>
        <w:rPr>
          <w:rFonts w:eastAsia="Yu Mincho"/>
        </w:rPr>
      </w:pPr>
      <w:r>
        <w:rPr>
          <w:rFonts w:eastAsia="Yu Mincho"/>
        </w:rPr>
        <w:t>Why we measure this</w:t>
      </w:r>
    </w:p>
    <w:p w14:paraId="52849F3E" w14:textId="77777777" w:rsidR="000D3DCF" w:rsidRDefault="000D3DCF" w:rsidP="007145B8">
      <w:r w:rsidRPr="009C34F0">
        <w:rPr>
          <w:rFonts w:eastAsia="Arial"/>
          <w:color w:val="000000"/>
        </w:rPr>
        <w:t xml:space="preserve">This measure assesses </w:t>
      </w:r>
      <w:r w:rsidRPr="009C34F0">
        <w:t xml:space="preserve">the effectiveness of the </w:t>
      </w:r>
      <w:r>
        <w:t>NDIS</w:t>
      </w:r>
      <w:r w:rsidRPr="009C34F0">
        <w:t xml:space="preserve"> in increasing participant social and community participation. </w:t>
      </w:r>
    </w:p>
    <w:p w14:paraId="44DDFC7E" w14:textId="77777777" w:rsidR="000D3DCF" w:rsidRDefault="000D3DCF" w:rsidP="00B27FA1">
      <w:pPr>
        <w:pStyle w:val="Heading6"/>
      </w:pPr>
      <w:r>
        <w:t>How we measure this</w:t>
      </w:r>
    </w:p>
    <w:p w14:paraId="132C47FD" w14:textId="757A1704" w:rsidR="000D3DCF" w:rsidRPr="009C34F0" w:rsidRDefault="000D3DCF" w:rsidP="007145B8">
      <w:pPr>
        <w:rPr>
          <w:rFonts w:eastAsia="Arial"/>
          <w:color w:val="000000"/>
        </w:rPr>
      </w:pPr>
      <w:r>
        <w:t>We obtain our results for this performance measure by</w:t>
      </w:r>
      <w:r w:rsidRPr="009C34F0">
        <w:t xml:space="preserve"> calculat</w:t>
      </w:r>
      <w:r>
        <w:t>ing</w:t>
      </w:r>
      <w:r w:rsidRPr="009C34F0">
        <w:t xml:space="preserve"> the percentage of participants aged 15+ who have been in the </w:t>
      </w:r>
      <w:r>
        <w:t>NDIS</w:t>
      </w:r>
      <w:r w:rsidRPr="009C34F0">
        <w:t xml:space="preserve"> for at least </w:t>
      </w:r>
      <w:r>
        <w:t>2</w:t>
      </w:r>
      <w:r w:rsidRPr="009C34F0">
        <w:t xml:space="preserve"> years and respond ‘yes’ to </w:t>
      </w:r>
      <w:r>
        <w:t xml:space="preserve">the question ‘Have you </w:t>
      </w:r>
      <w:r w:rsidRPr="009C34F0">
        <w:t>be</w:t>
      </w:r>
      <w:r>
        <w:t>en</w:t>
      </w:r>
      <w:r w:rsidRPr="009C34F0">
        <w:t xml:space="preserve"> actively involved in a community, cultural or </w:t>
      </w:r>
      <w:r w:rsidRPr="009C34F0">
        <w:lastRenderedPageBreak/>
        <w:t>religious group in the last 12 months</w:t>
      </w:r>
      <w:r>
        <w:t>?’</w:t>
      </w:r>
      <w:r w:rsidRPr="009C34F0">
        <w:t xml:space="preserve"> </w:t>
      </w:r>
      <w:r>
        <w:t>in</w:t>
      </w:r>
      <w:r w:rsidRPr="009C34F0">
        <w:t xml:space="preserve"> the NDIS Short Form Outcomes Framework survey. </w:t>
      </w:r>
      <w:r>
        <w:t xml:space="preserve">The </w:t>
      </w:r>
      <w:r w:rsidRPr="009C34F0">
        <w:t>survey measure</w:t>
      </w:r>
      <w:r>
        <w:t>s</w:t>
      </w:r>
      <w:r w:rsidRPr="009C34F0">
        <w:t xml:space="preserve"> the outcomes of participants</w:t>
      </w:r>
      <w:r>
        <w:t>,</w:t>
      </w:r>
      <w:r w:rsidRPr="009C34F0">
        <w:t xml:space="preserve"> and their families and carers</w:t>
      </w:r>
      <w:r>
        <w:t>,</w:t>
      </w:r>
      <w:r w:rsidRPr="009C34F0">
        <w:t xml:space="preserve"> who are part of the NDIS.</w:t>
      </w:r>
    </w:p>
    <w:p w14:paraId="24D28310" w14:textId="77777777" w:rsidR="000D3DCF" w:rsidRDefault="000D3DCF" w:rsidP="00B27FA1">
      <w:pPr>
        <w:pStyle w:val="Heading6"/>
      </w:pPr>
      <w:r>
        <w:t>Analysis</w:t>
      </w:r>
    </w:p>
    <w:p w14:paraId="3AFAC199" w14:textId="1AF3D07D" w:rsidR="000D3DCF" w:rsidRPr="009C34F0" w:rsidRDefault="000D3DCF" w:rsidP="007145B8">
      <w:pPr>
        <w:rPr>
          <w:rFonts w:eastAsia="Arial"/>
          <w:color w:val="000000"/>
        </w:rPr>
      </w:pPr>
      <w:r w:rsidRPr="009C34F0">
        <w:rPr>
          <w:rFonts w:eastAsia="Arial"/>
          <w:color w:val="000000"/>
        </w:rPr>
        <w:t xml:space="preserve">The </w:t>
      </w:r>
      <w:r>
        <w:rPr>
          <w:rFonts w:eastAsia="Arial"/>
          <w:color w:val="000000"/>
        </w:rPr>
        <w:t>NDIS</w:t>
      </w:r>
      <w:r w:rsidRPr="009C34F0">
        <w:rPr>
          <w:rFonts w:eastAsia="Arial"/>
          <w:color w:val="000000"/>
        </w:rPr>
        <w:t xml:space="preserve"> support</w:t>
      </w:r>
      <w:r>
        <w:rPr>
          <w:rFonts w:eastAsia="Arial"/>
          <w:color w:val="000000"/>
        </w:rPr>
        <w:t>s</w:t>
      </w:r>
      <w:r w:rsidRPr="009C34F0">
        <w:rPr>
          <w:rFonts w:eastAsia="Arial"/>
          <w:color w:val="000000"/>
        </w:rPr>
        <w:t xml:space="preserve"> participants in their pursuit of goals for social and economic participation. </w:t>
      </w:r>
      <w:r w:rsidR="00960363" w:rsidRPr="00AA0637">
        <w:rPr>
          <w:rFonts w:eastAsia="Arial"/>
          <w:color w:val="000000"/>
        </w:rPr>
        <w:t xml:space="preserve">Staff are experienced in supporting participants to use their plan to </w:t>
      </w:r>
      <w:r w:rsidR="0016450F">
        <w:rPr>
          <w:rFonts w:eastAsia="Arial"/>
          <w:color w:val="000000"/>
        </w:rPr>
        <w:t>help</w:t>
      </w:r>
      <w:r w:rsidR="00960363" w:rsidRPr="00AA0637">
        <w:rPr>
          <w:rFonts w:eastAsia="Arial"/>
          <w:color w:val="000000"/>
        </w:rPr>
        <w:t xml:space="preserve"> them meet their social and community engagement goals.</w:t>
      </w:r>
      <w:r w:rsidRPr="009C34F0">
        <w:rPr>
          <w:rFonts w:eastAsia="Arial"/>
          <w:color w:val="000000"/>
        </w:rPr>
        <w:t xml:space="preserve"> </w:t>
      </w:r>
      <w:r>
        <w:rPr>
          <w:rFonts w:eastAsia="Arial"/>
          <w:color w:val="000000"/>
        </w:rPr>
        <w:t>Also</w:t>
      </w:r>
      <w:r w:rsidRPr="009C34F0">
        <w:rPr>
          <w:rFonts w:eastAsia="Arial"/>
          <w:color w:val="000000"/>
        </w:rPr>
        <w:t xml:space="preserve">, </w:t>
      </w:r>
      <w:r w:rsidRPr="003131F3">
        <w:rPr>
          <w:rFonts w:eastAsia="Arial"/>
        </w:rPr>
        <w:t>NDIS local area coordination partners</w:t>
      </w:r>
      <w:r w:rsidRPr="009C34F0">
        <w:rPr>
          <w:rFonts w:eastAsia="Arial"/>
          <w:color w:val="000000"/>
        </w:rPr>
        <w:t xml:space="preserve"> and early childhood partners support participants to link to funded and other social and community service providers in their local areas.</w:t>
      </w:r>
    </w:p>
    <w:p w14:paraId="40E1DAAE" w14:textId="44C40563" w:rsidR="000D3DCF" w:rsidRPr="009C34F0" w:rsidRDefault="000D3DCF" w:rsidP="007145B8">
      <w:pPr>
        <w:rPr>
          <w:lang w:val="en-GB"/>
        </w:rPr>
      </w:pPr>
      <w:r w:rsidRPr="009C34F0">
        <w:rPr>
          <w:rFonts w:eastAsia="Yu Mincho"/>
        </w:rPr>
        <w:t xml:space="preserve">The NDIA is continuing to engage with </w:t>
      </w:r>
      <w:r>
        <w:rPr>
          <w:rFonts w:eastAsia="Yu Mincho"/>
        </w:rPr>
        <w:t>p</w:t>
      </w:r>
      <w:r w:rsidRPr="009C34F0">
        <w:rPr>
          <w:rFonts w:eastAsia="Yu Mincho"/>
        </w:rPr>
        <w:t xml:space="preserve">lan </w:t>
      </w:r>
      <w:r>
        <w:rPr>
          <w:rFonts w:eastAsia="Yu Mincho"/>
        </w:rPr>
        <w:t>m</w:t>
      </w:r>
      <w:r w:rsidRPr="009C34F0">
        <w:rPr>
          <w:rFonts w:eastAsia="Yu Mincho"/>
        </w:rPr>
        <w:t xml:space="preserve">anagers and </w:t>
      </w:r>
      <w:r>
        <w:rPr>
          <w:rFonts w:eastAsia="Yu Mincho"/>
        </w:rPr>
        <w:t>s</w:t>
      </w:r>
      <w:r w:rsidRPr="009C34F0">
        <w:rPr>
          <w:rFonts w:eastAsia="Yu Mincho"/>
        </w:rPr>
        <w:t xml:space="preserve">upport </w:t>
      </w:r>
      <w:r>
        <w:rPr>
          <w:rFonts w:eastAsia="Yu Mincho"/>
        </w:rPr>
        <w:t>c</w:t>
      </w:r>
      <w:r w:rsidRPr="009C34F0">
        <w:rPr>
          <w:rFonts w:eastAsia="Yu Mincho"/>
        </w:rPr>
        <w:t xml:space="preserve">oordinators to </w:t>
      </w:r>
      <w:r>
        <w:rPr>
          <w:rFonts w:eastAsia="Yu Mincho"/>
        </w:rPr>
        <w:t>ensure they are</w:t>
      </w:r>
      <w:r w:rsidRPr="009C34F0">
        <w:rPr>
          <w:rFonts w:eastAsia="Yu Mincho"/>
        </w:rPr>
        <w:t xml:space="preserve"> supporting participants to engage with </w:t>
      </w:r>
      <w:r>
        <w:rPr>
          <w:rFonts w:eastAsia="Yu Mincho"/>
        </w:rPr>
        <w:t xml:space="preserve">both </w:t>
      </w:r>
      <w:r w:rsidRPr="009C34F0">
        <w:rPr>
          <w:rFonts w:eastAsia="Yu Mincho"/>
        </w:rPr>
        <w:t>their NDIS supports</w:t>
      </w:r>
      <w:r>
        <w:rPr>
          <w:rFonts w:eastAsia="Yu Mincho"/>
        </w:rPr>
        <w:t xml:space="preserve"> and</w:t>
      </w:r>
      <w:r w:rsidRPr="009C34F0">
        <w:rPr>
          <w:rFonts w:eastAsia="Yu Mincho"/>
        </w:rPr>
        <w:t xml:space="preserve"> mainstream supports and activities.</w:t>
      </w:r>
    </w:p>
    <w:p w14:paraId="338F25B8" w14:textId="12FB6BCC" w:rsidR="000D3DCF" w:rsidRPr="00A33264" w:rsidRDefault="000D3DCF" w:rsidP="009B5EFC">
      <w:pPr>
        <w:rPr>
          <w:b/>
          <w:bCs/>
          <w:lang w:val="en-GB"/>
        </w:rPr>
      </w:pPr>
      <w:r w:rsidRPr="00A33264">
        <w:rPr>
          <w:b/>
          <w:bCs/>
          <w:lang w:val="en-GB"/>
        </w:rPr>
        <w:t xml:space="preserve">Participant employment </w:t>
      </w:r>
    </w:p>
    <w:tbl>
      <w:tblPr>
        <w:tblStyle w:val="GridTable4"/>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20" w:firstRow="1" w:lastRow="0" w:firstColumn="0" w:lastColumn="0" w:noHBand="0" w:noVBand="1"/>
      </w:tblPr>
      <w:tblGrid>
        <w:gridCol w:w="3634"/>
        <w:gridCol w:w="1348"/>
        <w:gridCol w:w="1348"/>
        <w:gridCol w:w="1355"/>
        <w:gridCol w:w="1331"/>
      </w:tblGrid>
      <w:tr w:rsidR="000D3DCF" w:rsidRPr="00A33264" w14:paraId="45FF79BA" w14:textId="77777777" w:rsidTr="001C0A6D">
        <w:trPr>
          <w:cnfStyle w:val="100000000000" w:firstRow="1" w:lastRow="0" w:firstColumn="0" w:lastColumn="0" w:oddVBand="0" w:evenVBand="0" w:oddHBand="0" w:evenHBand="0" w:firstRowFirstColumn="0" w:firstRowLastColumn="0" w:lastRowFirstColumn="0" w:lastRowLastColumn="0"/>
          <w:cantSplit/>
        </w:trPr>
        <w:tc>
          <w:tcPr>
            <w:tcW w:w="3634" w:type="dxa"/>
            <w:shd w:val="clear" w:color="auto" w:fill="A1CE63"/>
          </w:tcPr>
          <w:p w14:paraId="15A6DBE3" w14:textId="52632B41" w:rsidR="000D3DCF" w:rsidRPr="00A33264" w:rsidRDefault="000D3DCF">
            <w:pPr>
              <w:pStyle w:val="TableBody"/>
              <w:rPr>
                <w:color w:val="auto"/>
                <w:lang w:val="en-GB"/>
              </w:rPr>
            </w:pPr>
            <w:bookmarkStart w:id="86" w:name="ColumnTitle_PerformanceMeasure7"/>
            <w:bookmarkEnd w:id="86"/>
            <w:r w:rsidRPr="00A33264">
              <w:rPr>
                <w:color w:val="auto"/>
                <w:lang w:val="en-GB"/>
              </w:rPr>
              <w:t xml:space="preserve">Performance </w:t>
            </w:r>
            <w:r>
              <w:rPr>
                <w:color w:val="auto"/>
                <w:lang w:val="en-GB"/>
              </w:rPr>
              <w:t>m</w:t>
            </w:r>
            <w:r w:rsidRPr="00A33264">
              <w:rPr>
                <w:color w:val="auto"/>
                <w:lang w:val="en-GB"/>
              </w:rPr>
              <w:t>easure</w:t>
            </w:r>
          </w:p>
        </w:tc>
        <w:tc>
          <w:tcPr>
            <w:tcW w:w="1348" w:type="dxa"/>
            <w:shd w:val="clear" w:color="auto" w:fill="A1CE63"/>
          </w:tcPr>
          <w:p w14:paraId="3D4E575A" w14:textId="77777777" w:rsidR="000D3DCF" w:rsidRPr="00A33264" w:rsidRDefault="000D3DCF" w:rsidP="00BB40DF">
            <w:pPr>
              <w:pStyle w:val="TableBody"/>
              <w:jc w:val="right"/>
              <w:rPr>
                <w:color w:val="auto"/>
                <w:lang w:val="en-GB"/>
              </w:rPr>
            </w:pPr>
            <w:r w:rsidRPr="00A33264">
              <w:rPr>
                <w:color w:val="auto"/>
                <w:lang w:val="en-GB"/>
              </w:rPr>
              <w:t>2023</w:t>
            </w:r>
            <w:r w:rsidRPr="00A15A18">
              <w:rPr>
                <w:color w:val="auto"/>
              </w:rPr>
              <w:t>–</w:t>
            </w:r>
            <w:r w:rsidRPr="00A33264">
              <w:rPr>
                <w:color w:val="auto"/>
                <w:lang w:val="en-GB"/>
              </w:rPr>
              <w:t>24 Target</w:t>
            </w:r>
          </w:p>
        </w:tc>
        <w:tc>
          <w:tcPr>
            <w:tcW w:w="1348" w:type="dxa"/>
            <w:shd w:val="clear" w:color="auto" w:fill="A1CE63"/>
          </w:tcPr>
          <w:p w14:paraId="0179E0E8" w14:textId="77777777" w:rsidR="000D3DCF" w:rsidRPr="00A33264" w:rsidRDefault="000D3DCF" w:rsidP="00BB40DF">
            <w:pPr>
              <w:pStyle w:val="TableBody"/>
              <w:jc w:val="right"/>
              <w:rPr>
                <w:color w:val="auto"/>
                <w:lang w:val="en-GB"/>
              </w:rPr>
            </w:pPr>
            <w:r w:rsidRPr="00A33264">
              <w:rPr>
                <w:color w:val="auto"/>
                <w:lang w:val="en-GB"/>
              </w:rPr>
              <w:t>2023</w:t>
            </w:r>
            <w:r w:rsidRPr="00A15A18">
              <w:rPr>
                <w:color w:val="auto"/>
              </w:rPr>
              <w:t>–</w:t>
            </w:r>
            <w:r w:rsidRPr="00A33264">
              <w:rPr>
                <w:color w:val="auto"/>
                <w:lang w:val="en-GB"/>
              </w:rPr>
              <w:t>24 Result</w:t>
            </w:r>
          </w:p>
        </w:tc>
        <w:tc>
          <w:tcPr>
            <w:tcW w:w="1355" w:type="dxa"/>
            <w:shd w:val="clear" w:color="auto" w:fill="A1CE63"/>
          </w:tcPr>
          <w:p w14:paraId="3BB5C327" w14:textId="77777777" w:rsidR="000D3DCF" w:rsidRPr="00A33264" w:rsidRDefault="000D3DCF" w:rsidP="00BB40DF">
            <w:pPr>
              <w:pStyle w:val="TableBody"/>
              <w:jc w:val="right"/>
              <w:rPr>
                <w:color w:val="auto"/>
                <w:lang w:val="en-GB"/>
              </w:rPr>
            </w:pPr>
            <w:r>
              <w:rPr>
                <w:color w:val="auto"/>
                <w:lang w:val="en-GB"/>
              </w:rPr>
              <w:t>2023</w:t>
            </w:r>
            <w:r w:rsidRPr="00A15A18">
              <w:rPr>
                <w:color w:val="auto"/>
              </w:rPr>
              <w:t>–</w:t>
            </w:r>
            <w:r>
              <w:rPr>
                <w:color w:val="auto"/>
                <w:lang w:val="en-GB"/>
              </w:rPr>
              <w:t xml:space="preserve">24 </w:t>
            </w:r>
            <w:r w:rsidRPr="00A33264">
              <w:rPr>
                <w:color w:val="auto"/>
                <w:lang w:val="en-GB"/>
              </w:rPr>
              <w:t>Outcome</w:t>
            </w:r>
          </w:p>
        </w:tc>
        <w:tc>
          <w:tcPr>
            <w:tcW w:w="1331" w:type="dxa"/>
            <w:shd w:val="clear" w:color="auto" w:fill="A1CE63"/>
          </w:tcPr>
          <w:p w14:paraId="470C82B7" w14:textId="77777777" w:rsidR="000D3DCF" w:rsidRPr="007145B8" w:rsidRDefault="000D3DCF" w:rsidP="00BB40DF">
            <w:pPr>
              <w:pStyle w:val="TableBody"/>
              <w:jc w:val="right"/>
              <w:rPr>
                <w:color w:val="auto"/>
                <w:lang w:val="en-GB"/>
              </w:rPr>
            </w:pPr>
            <w:r>
              <w:rPr>
                <w:color w:val="auto"/>
                <w:lang w:val="en-GB"/>
              </w:rPr>
              <w:t>2022</w:t>
            </w:r>
            <w:r w:rsidRPr="00A15A18">
              <w:rPr>
                <w:color w:val="auto"/>
              </w:rPr>
              <w:t>–</w:t>
            </w:r>
            <w:r>
              <w:rPr>
                <w:color w:val="auto"/>
                <w:lang w:val="en-GB"/>
              </w:rPr>
              <w:t>23 Result</w:t>
            </w:r>
          </w:p>
        </w:tc>
      </w:tr>
      <w:tr w:rsidR="000D3DCF" w:rsidRPr="00A33264" w14:paraId="50CD72DD" w14:textId="77777777" w:rsidTr="007145B8">
        <w:trPr>
          <w:cnfStyle w:val="000000100000" w:firstRow="0" w:lastRow="0" w:firstColumn="0" w:lastColumn="0" w:oddVBand="0" w:evenVBand="0" w:oddHBand="1" w:evenHBand="0" w:firstRowFirstColumn="0" w:firstRowLastColumn="0" w:lastRowFirstColumn="0" w:lastRowLastColumn="0"/>
          <w:cantSplit/>
        </w:trPr>
        <w:tc>
          <w:tcPr>
            <w:tcW w:w="3634" w:type="dxa"/>
            <w:shd w:val="clear" w:color="auto" w:fill="E5F1D4"/>
          </w:tcPr>
          <w:p w14:paraId="74EDA6D7" w14:textId="4813D4EB" w:rsidR="000D3DCF" w:rsidRPr="00A33264" w:rsidRDefault="000D3DCF" w:rsidP="001C74C2">
            <w:pPr>
              <w:pStyle w:val="TableBody"/>
              <w:tabs>
                <w:tab w:val="left" w:pos="3864"/>
              </w:tabs>
              <w:rPr>
                <w:lang w:val="en-GB"/>
              </w:rPr>
            </w:pPr>
            <w:r w:rsidRPr="00A33264">
              <w:rPr>
                <w:lang w:val="en-GB"/>
              </w:rPr>
              <w:t xml:space="preserve">Participant </w:t>
            </w:r>
            <w:r>
              <w:rPr>
                <w:lang w:val="en-GB"/>
              </w:rPr>
              <w:t>e</w:t>
            </w:r>
            <w:r w:rsidRPr="00A33264">
              <w:rPr>
                <w:lang w:val="en-GB"/>
              </w:rPr>
              <w:t>mployment</w:t>
            </w:r>
          </w:p>
        </w:tc>
        <w:tc>
          <w:tcPr>
            <w:tcW w:w="1348" w:type="dxa"/>
            <w:shd w:val="clear" w:color="auto" w:fill="E5F1D4"/>
          </w:tcPr>
          <w:p w14:paraId="5C2670E0" w14:textId="77777777" w:rsidR="000D3DCF" w:rsidRPr="00A33264" w:rsidRDefault="000D3DCF" w:rsidP="00BB40DF">
            <w:pPr>
              <w:pStyle w:val="TableBody"/>
              <w:jc w:val="right"/>
              <w:rPr>
                <w:lang w:val="en-GB"/>
              </w:rPr>
            </w:pPr>
            <w:r w:rsidRPr="00A33264">
              <w:rPr>
                <w:lang w:val="en-GB"/>
              </w:rPr>
              <w:t>26%</w:t>
            </w:r>
          </w:p>
        </w:tc>
        <w:tc>
          <w:tcPr>
            <w:tcW w:w="1348" w:type="dxa"/>
            <w:shd w:val="clear" w:color="auto" w:fill="E5F1D4"/>
          </w:tcPr>
          <w:p w14:paraId="49C53B6F" w14:textId="77777777" w:rsidR="000D3DCF" w:rsidRPr="00A33264" w:rsidRDefault="000D3DCF" w:rsidP="00BB40DF">
            <w:pPr>
              <w:pStyle w:val="TableBody"/>
              <w:jc w:val="right"/>
              <w:rPr>
                <w:lang w:val="en-GB"/>
              </w:rPr>
            </w:pPr>
            <w:r w:rsidRPr="00A33264">
              <w:rPr>
                <w:lang w:val="en-GB"/>
              </w:rPr>
              <w:t>22.9%</w:t>
            </w:r>
          </w:p>
        </w:tc>
        <w:tc>
          <w:tcPr>
            <w:tcW w:w="1355" w:type="dxa"/>
            <w:shd w:val="clear" w:color="auto" w:fill="E5F1D4"/>
          </w:tcPr>
          <w:p w14:paraId="2E85E70B" w14:textId="77777777" w:rsidR="000D3DCF" w:rsidRPr="00A33264" w:rsidRDefault="000D3DCF" w:rsidP="00BB40DF">
            <w:pPr>
              <w:pStyle w:val="TableBody"/>
              <w:jc w:val="right"/>
              <w:rPr>
                <w:lang w:val="en-GB"/>
              </w:rPr>
            </w:pPr>
            <w:r w:rsidRPr="00A33264">
              <w:rPr>
                <w:lang w:val="en-GB"/>
              </w:rPr>
              <w:t>Not achieved</w:t>
            </w:r>
          </w:p>
        </w:tc>
        <w:tc>
          <w:tcPr>
            <w:tcW w:w="1331" w:type="dxa"/>
            <w:shd w:val="clear" w:color="auto" w:fill="E5F1D4"/>
          </w:tcPr>
          <w:p w14:paraId="61FD630A" w14:textId="77777777" w:rsidR="000D3DCF" w:rsidRPr="00A33264" w:rsidRDefault="000D3DCF" w:rsidP="00BB40DF">
            <w:pPr>
              <w:pStyle w:val="TableBody"/>
              <w:jc w:val="right"/>
              <w:rPr>
                <w:lang w:val="en-GB"/>
              </w:rPr>
            </w:pPr>
            <w:r>
              <w:rPr>
                <w:lang w:val="en-GB"/>
              </w:rPr>
              <w:t>22.6%</w:t>
            </w:r>
          </w:p>
        </w:tc>
      </w:tr>
    </w:tbl>
    <w:p w14:paraId="74BC6844" w14:textId="77777777" w:rsidR="000D3DCF" w:rsidRDefault="000D3DCF" w:rsidP="00B27FA1">
      <w:pPr>
        <w:pStyle w:val="Heading6"/>
        <w:rPr>
          <w:rFonts w:eastAsia="Yu Mincho"/>
        </w:rPr>
      </w:pPr>
      <w:r>
        <w:rPr>
          <w:rFonts w:eastAsia="Yu Mincho"/>
        </w:rPr>
        <w:t>Why we measure this</w:t>
      </w:r>
    </w:p>
    <w:p w14:paraId="7AF8ECB0" w14:textId="77777777" w:rsidR="000D3DCF" w:rsidRDefault="000D3DCF" w:rsidP="007145B8">
      <w:r w:rsidRPr="009C34F0">
        <w:rPr>
          <w:rFonts w:eastAsia="Arial"/>
          <w:color w:val="000000"/>
        </w:rPr>
        <w:t xml:space="preserve">This measure </w:t>
      </w:r>
      <w:r w:rsidRPr="009C34F0">
        <w:t xml:space="preserve">assesses the effectiveness of the </w:t>
      </w:r>
      <w:r>
        <w:t>NDIS</w:t>
      </w:r>
      <w:r w:rsidRPr="009C34F0">
        <w:t xml:space="preserve"> in increasing participant employment through reasonable and necessary supports. </w:t>
      </w:r>
    </w:p>
    <w:p w14:paraId="3A9D2309" w14:textId="77777777" w:rsidR="000D3DCF" w:rsidRDefault="000D3DCF" w:rsidP="00B27FA1">
      <w:pPr>
        <w:pStyle w:val="Heading6"/>
      </w:pPr>
      <w:r>
        <w:t>How we measure this</w:t>
      </w:r>
    </w:p>
    <w:p w14:paraId="3780D425" w14:textId="60862131" w:rsidR="00247078" w:rsidRDefault="000D3DCF" w:rsidP="00247078">
      <w:pPr>
        <w:rPr>
          <w:bCs/>
          <w:color w:val="6B2876" w:themeColor="text1"/>
          <w:sz w:val="26"/>
          <w:szCs w:val="28"/>
        </w:rPr>
      </w:pPr>
      <w:r>
        <w:t xml:space="preserve">We obtain our results for this performance measure by </w:t>
      </w:r>
      <w:r w:rsidRPr="009C34F0">
        <w:t>tak</w:t>
      </w:r>
      <w:r>
        <w:t>ing</w:t>
      </w:r>
      <w:r w:rsidRPr="009C34F0">
        <w:t xml:space="preserve"> the percentage of participants who have been in the </w:t>
      </w:r>
      <w:r>
        <w:t>NDIS</w:t>
      </w:r>
      <w:r w:rsidRPr="009C34F0">
        <w:t xml:space="preserve"> for at least 2 years</w:t>
      </w:r>
      <w:r>
        <w:t xml:space="preserve"> and are</w:t>
      </w:r>
      <w:r w:rsidRPr="009C34F0">
        <w:t xml:space="preserve"> aged 15 to 64 (working age) </w:t>
      </w:r>
      <w:r>
        <w:t>who</w:t>
      </w:r>
      <w:r w:rsidRPr="009C34F0">
        <w:t xml:space="preserve"> respond ‘yes’ to </w:t>
      </w:r>
      <w:r>
        <w:t xml:space="preserve">the question ‘Do you </w:t>
      </w:r>
      <w:r w:rsidRPr="009C34F0">
        <w:t>hav</w:t>
      </w:r>
      <w:r>
        <w:t>e</w:t>
      </w:r>
      <w:r w:rsidRPr="009C34F0">
        <w:t xml:space="preserve"> a paid job</w:t>
      </w:r>
      <w:r>
        <w:t>?’ in</w:t>
      </w:r>
      <w:r w:rsidRPr="009C34F0">
        <w:t xml:space="preserve"> the most recent short form outcomes questionnaire quarterly survey.</w:t>
      </w:r>
    </w:p>
    <w:p w14:paraId="2D2326F4" w14:textId="4A0B8883" w:rsidR="000D3DCF" w:rsidRDefault="000D3DCF" w:rsidP="00B27FA1">
      <w:pPr>
        <w:pStyle w:val="Heading6"/>
      </w:pPr>
      <w:r>
        <w:t>Analysis</w:t>
      </w:r>
    </w:p>
    <w:p w14:paraId="389A24D9" w14:textId="62B31A48" w:rsidR="000D3DCF" w:rsidRPr="00361A40" w:rsidRDefault="00366862" w:rsidP="007145B8">
      <w:pPr>
        <w:rPr>
          <w:rFonts w:eastAsia="Yu Mincho"/>
        </w:rPr>
      </w:pPr>
      <w:r>
        <w:rPr>
          <w:rFonts w:eastAsia="Yu Mincho"/>
        </w:rPr>
        <w:t>T</w:t>
      </w:r>
      <w:r w:rsidRPr="00C860A3">
        <w:rPr>
          <w:rFonts w:eastAsia="Yu Mincho"/>
        </w:rPr>
        <w:t xml:space="preserve">he factors affecting employment outcomes are varied and subject to </w:t>
      </w:r>
      <w:r w:rsidR="00032BF4" w:rsidRPr="00C860A3">
        <w:rPr>
          <w:rFonts w:eastAsia="Yu Mincho"/>
        </w:rPr>
        <w:t>whole</w:t>
      </w:r>
      <w:r w:rsidR="00032BF4">
        <w:rPr>
          <w:rFonts w:eastAsia="Yu Mincho"/>
        </w:rPr>
        <w:t>-</w:t>
      </w:r>
      <w:r w:rsidR="00032BF4" w:rsidRPr="00C860A3">
        <w:rPr>
          <w:rFonts w:eastAsia="Yu Mincho"/>
        </w:rPr>
        <w:t>of</w:t>
      </w:r>
      <w:r w:rsidR="00032BF4">
        <w:rPr>
          <w:rFonts w:eastAsia="Yu Mincho"/>
        </w:rPr>
        <w:t>-</w:t>
      </w:r>
      <w:r w:rsidR="00032BF4" w:rsidRPr="00C860A3">
        <w:rPr>
          <w:rFonts w:eastAsia="Yu Mincho"/>
        </w:rPr>
        <w:t>economy</w:t>
      </w:r>
      <w:r w:rsidR="008A3FDF">
        <w:rPr>
          <w:rFonts w:eastAsia="Yu Mincho"/>
        </w:rPr>
        <w:t xml:space="preserve"> </w:t>
      </w:r>
      <w:r w:rsidRPr="00C860A3">
        <w:rPr>
          <w:rFonts w:eastAsia="Yu Mincho"/>
        </w:rPr>
        <w:t>considerations</w:t>
      </w:r>
      <w:r>
        <w:rPr>
          <w:rFonts w:eastAsia="Yu Mincho"/>
        </w:rPr>
        <w:t xml:space="preserve">, </w:t>
      </w:r>
      <w:r w:rsidR="000D3DCF" w:rsidRPr="00650B72">
        <w:rPr>
          <w:rFonts w:eastAsia="Yu Mincho"/>
        </w:rPr>
        <w:t>and other programs</w:t>
      </w:r>
      <w:r w:rsidR="0082689B">
        <w:rPr>
          <w:rFonts w:eastAsia="Yu Mincho"/>
        </w:rPr>
        <w:t>,</w:t>
      </w:r>
      <w:r w:rsidR="000D3DCF" w:rsidRPr="00650B72">
        <w:rPr>
          <w:rFonts w:eastAsia="Yu Mincho"/>
        </w:rPr>
        <w:t xml:space="preserve"> </w:t>
      </w:r>
      <w:r w:rsidR="000D3DCF" w:rsidRPr="00650B72">
        <w:t xml:space="preserve">such as </w:t>
      </w:r>
      <w:r w:rsidR="009764F0" w:rsidRPr="00451281">
        <w:t>Disability Employment Services</w:t>
      </w:r>
      <w:r w:rsidR="005163B5">
        <w:t xml:space="preserve">, </w:t>
      </w:r>
      <w:r w:rsidR="009764F0" w:rsidRPr="00451281">
        <w:t>a key activity of the</w:t>
      </w:r>
      <w:r w:rsidR="009764F0">
        <w:t xml:space="preserve"> DSS</w:t>
      </w:r>
      <w:r w:rsidR="009764F0" w:rsidRPr="00451281">
        <w:t xml:space="preserve"> Disability and Carers </w:t>
      </w:r>
      <w:r w:rsidR="003D6898">
        <w:t>Program.</w:t>
      </w:r>
      <w:r w:rsidR="00EE4A81" w:rsidRPr="00EE4A81">
        <w:rPr>
          <w:rStyle w:val="FootnoteReference"/>
        </w:rPr>
        <w:t xml:space="preserve"> </w:t>
      </w:r>
      <w:r w:rsidR="00EE4A81">
        <w:rPr>
          <w:rStyle w:val="FootnoteReference"/>
        </w:rPr>
        <w:footnoteReference w:id="2"/>
      </w:r>
      <w:r w:rsidR="003D6898">
        <w:t xml:space="preserve"> NDIS</w:t>
      </w:r>
      <w:r w:rsidR="003D6898" w:rsidRPr="002E4564">
        <w:rPr>
          <w:rFonts w:eastAsia="Arial"/>
          <w:color w:val="000000"/>
        </w:rPr>
        <w:t xml:space="preserve"> </w:t>
      </w:r>
      <w:r w:rsidR="00182114" w:rsidRPr="00AA0637">
        <w:rPr>
          <w:rFonts w:eastAsia="Arial"/>
          <w:color w:val="000000"/>
        </w:rPr>
        <w:t>particip</w:t>
      </w:r>
      <w:r w:rsidR="00182114" w:rsidRPr="00182114">
        <w:rPr>
          <w:rFonts w:eastAsia="Arial"/>
          <w:color w:val="000000"/>
        </w:rPr>
        <w:t xml:space="preserve">ants have varying levels of access to </w:t>
      </w:r>
      <w:r w:rsidR="00182114" w:rsidRPr="00182114">
        <w:rPr>
          <w:rFonts w:eastAsia="Arial"/>
        </w:rPr>
        <w:t>Disability Employment Services</w:t>
      </w:r>
      <w:r w:rsidR="00182114" w:rsidRPr="00182114">
        <w:rPr>
          <w:rFonts w:eastAsia="Arial"/>
          <w:color w:val="000000"/>
        </w:rPr>
        <w:t>.</w:t>
      </w:r>
    </w:p>
    <w:p w14:paraId="51525518" w14:textId="3384B300" w:rsidR="000D3DCF" w:rsidRDefault="000D3DCF" w:rsidP="007145B8">
      <w:pPr>
        <w:rPr>
          <w:rFonts w:eastAsia="Yu Mincho"/>
        </w:rPr>
      </w:pPr>
      <w:r w:rsidRPr="009C34F0">
        <w:rPr>
          <w:rFonts w:eastAsia="Arial"/>
          <w:color w:val="000000"/>
        </w:rPr>
        <w:lastRenderedPageBreak/>
        <w:t xml:space="preserve">NDIA staff are trained to </w:t>
      </w:r>
      <w:r>
        <w:rPr>
          <w:rFonts w:eastAsia="Arial"/>
          <w:color w:val="000000"/>
        </w:rPr>
        <w:t>have planning conversations and goal discussions to assist</w:t>
      </w:r>
      <w:r w:rsidRPr="009C34F0">
        <w:rPr>
          <w:rFonts w:eastAsia="Arial"/>
          <w:color w:val="000000"/>
        </w:rPr>
        <w:t xml:space="preserve"> participants </w:t>
      </w:r>
      <w:r>
        <w:rPr>
          <w:rFonts w:eastAsia="Arial"/>
          <w:color w:val="000000"/>
        </w:rPr>
        <w:t>to</w:t>
      </w:r>
      <w:r w:rsidRPr="009C34F0">
        <w:rPr>
          <w:rFonts w:eastAsia="Arial"/>
          <w:color w:val="000000"/>
        </w:rPr>
        <w:t xml:space="preserve"> understand their </w:t>
      </w:r>
      <w:r>
        <w:rPr>
          <w:rFonts w:eastAsia="Arial"/>
          <w:color w:val="000000"/>
        </w:rPr>
        <w:t xml:space="preserve">NDIS </w:t>
      </w:r>
      <w:r w:rsidRPr="009C34F0">
        <w:rPr>
          <w:rFonts w:eastAsia="Arial"/>
          <w:color w:val="000000"/>
        </w:rPr>
        <w:t>supports</w:t>
      </w:r>
      <w:r>
        <w:rPr>
          <w:rFonts w:eastAsia="Arial"/>
          <w:color w:val="000000"/>
        </w:rPr>
        <w:t>,</w:t>
      </w:r>
      <w:r w:rsidRPr="009C34F0">
        <w:rPr>
          <w:rFonts w:eastAsia="Arial"/>
          <w:color w:val="000000"/>
        </w:rPr>
        <w:t xml:space="preserve"> </w:t>
      </w:r>
      <w:r>
        <w:rPr>
          <w:rFonts w:eastAsia="Arial"/>
          <w:color w:val="000000"/>
        </w:rPr>
        <w:t>including</w:t>
      </w:r>
      <w:r w:rsidRPr="009C34F0">
        <w:rPr>
          <w:rFonts w:eastAsia="Arial"/>
          <w:color w:val="000000"/>
        </w:rPr>
        <w:t xml:space="preserve"> employment supports</w:t>
      </w:r>
      <w:r>
        <w:rPr>
          <w:rFonts w:eastAsia="Arial"/>
          <w:color w:val="000000"/>
        </w:rPr>
        <w:t xml:space="preserve"> that can help them achieve</w:t>
      </w:r>
      <w:r w:rsidRPr="009C34F0">
        <w:rPr>
          <w:rFonts w:eastAsia="Arial"/>
          <w:color w:val="000000"/>
        </w:rPr>
        <w:t xml:space="preserve"> their goals. </w:t>
      </w:r>
      <w:r w:rsidRPr="009C34F0">
        <w:rPr>
          <w:rFonts w:eastAsia="Yu Mincho"/>
        </w:rPr>
        <w:t xml:space="preserve">The NDIA is continuing to engage with </w:t>
      </w:r>
      <w:r>
        <w:rPr>
          <w:rFonts w:eastAsia="Yu Mincho"/>
        </w:rPr>
        <w:t>p</w:t>
      </w:r>
      <w:r w:rsidRPr="009C34F0">
        <w:rPr>
          <w:rFonts w:eastAsia="Yu Mincho"/>
        </w:rPr>
        <w:t xml:space="preserve">lan </w:t>
      </w:r>
      <w:r>
        <w:rPr>
          <w:rFonts w:eastAsia="Yu Mincho"/>
        </w:rPr>
        <w:t>m</w:t>
      </w:r>
      <w:r w:rsidRPr="009C34F0">
        <w:rPr>
          <w:rFonts w:eastAsia="Yu Mincho"/>
        </w:rPr>
        <w:t xml:space="preserve">anagers and </w:t>
      </w:r>
      <w:r>
        <w:rPr>
          <w:rFonts w:eastAsia="Yu Mincho"/>
        </w:rPr>
        <w:t>s</w:t>
      </w:r>
      <w:r w:rsidRPr="009C34F0">
        <w:rPr>
          <w:rFonts w:eastAsia="Yu Mincho"/>
        </w:rPr>
        <w:t xml:space="preserve">upport </w:t>
      </w:r>
      <w:r>
        <w:rPr>
          <w:rFonts w:eastAsia="Yu Mincho"/>
        </w:rPr>
        <w:t>c</w:t>
      </w:r>
      <w:r w:rsidRPr="009C34F0">
        <w:rPr>
          <w:rFonts w:eastAsia="Yu Mincho"/>
        </w:rPr>
        <w:t xml:space="preserve">oordinators to </w:t>
      </w:r>
      <w:r>
        <w:rPr>
          <w:rFonts w:eastAsia="Yu Mincho"/>
        </w:rPr>
        <w:t>emphasise</w:t>
      </w:r>
      <w:r w:rsidRPr="009C34F0">
        <w:rPr>
          <w:rFonts w:eastAsia="Yu Mincho"/>
        </w:rPr>
        <w:t xml:space="preserve"> their role in supporting participants to </w:t>
      </w:r>
      <w:r>
        <w:rPr>
          <w:rFonts w:eastAsia="Yu Mincho"/>
        </w:rPr>
        <w:t>meet their employment goals</w:t>
      </w:r>
      <w:r w:rsidRPr="009C34F0">
        <w:rPr>
          <w:rFonts w:eastAsia="Yu Mincho"/>
        </w:rPr>
        <w:t>.</w:t>
      </w:r>
    </w:p>
    <w:p w14:paraId="5E9758E0" w14:textId="12B72504" w:rsidR="000D3DCF" w:rsidRPr="00A33264" w:rsidRDefault="000D3DCF" w:rsidP="001C74C2">
      <w:pPr>
        <w:rPr>
          <w:b/>
          <w:bCs/>
          <w:lang w:val="en-GB"/>
        </w:rPr>
      </w:pPr>
      <w:r w:rsidRPr="00A33264">
        <w:rPr>
          <w:b/>
          <w:bCs/>
          <w:lang w:val="en-GB"/>
        </w:rPr>
        <w:t>Children who have benefited from the Scheme and no longer need support</w:t>
      </w:r>
    </w:p>
    <w:tbl>
      <w:tblPr>
        <w:tblStyle w:val="GridTable4"/>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20" w:firstRow="1" w:lastRow="0" w:firstColumn="0" w:lastColumn="0" w:noHBand="0" w:noVBand="1"/>
      </w:tblPr>
      <w:tblGrid>
        <w:gridCol w:w="3633"/>
        <w:gridCol w:w="1347"/>
        <w:gridCol w:w="1352"/>
        <w:gridCol w:w="1355"/>
        <w:gridCol w:w="1329"/>
      </w:tblGrid>
      <w:tr w:rsidR="000D3DCF" w:rsidRPr="00A33264" w14:paraId="5C8AAC2D" w14:textId="77777777" w:rsidTr="001C0A6D">
        <w:trPr>
          <w:cnfStyle w:val="100000000000" w:firstRow="1" w:lastRow="0" w:firstColumn="0" w:lastColumn="0" w:oddVBand="0" w:evenVBand="0" w:oddHBand="0" w:evenHBand="0" w:firstRowFirstColumn="0" w:firstRowLastColumn="0" w:lastRowFirstColumn="0" w:lastRowLastColumn="0"/>
          <w:cantSplit/>
        </w:trPr>
        <w:tc>
          <w:tcPr>
            <w:tcW w:w="3633" w:type="dxa"/>
            <w:shd w:val="clear" w:color="auto" w:fill="A1CE63"/>
          </w:tcPr>
          <w:p w14:paraId="6F397D70" w14:textId="1F058FE9" w:rsidR="000D3DCF" w:rsidRPr="00A33264" w:rsidRDefault="000D3DCF">
            <w:pPr>
              <w:pStyle w:val="TableBody"/>
              <w:rPr>
                <w:color w:val="auto"/>
                <w:lang w:val="en-GB"/>
              </w:rPr>
            </w:pPr>
            <w:bookmarkStart w:id="87" w:name="ColumnTitle_PerformanceMeasure8"/>
            <w:bookmarkEnd w:id="87"/>
            <w:r w:rsidRPr="00A33264">
              <w:rPr>
                <w:color w:val="auto"/>
                <w:lang w:val="en-GB"/>
              </w:rPr>
              <w:t xml:space="preserve">Performance </w:t>
            </w:r>
            <w:r>
              <w:rPr>
                <w:color w:val="auto"/>
                <w:lang w:val="en-GB"/>
              </w:rPr>
              <w:t>m</w:t>
            </w:r>
            <w:r w:rsidRPr="00A33264">
              <w:rPr>
                <w:color w:val="auto"/>
                <w:lang w:val="en-GB"/>
              </w:rPr>
              <w:t>easure</w:t>
            </w:r>
          </w:p>
        </w:tc>
        <w:tc>
          <w:tcPr>
            <w:tcW w:w="1347" w:type="dxa"/>
            <w:shd w:val="clear" w:color="auto" w:fill="A1CE63"/>
          </w:tcPr>
          <w:p w14:paraId="0B8E1964" w14:textId="77777777" w:rsidR="000D3DCF" w:rsidRPr="00A33264" w:rsidRDefault="000D3DCF" w:rsidP="00BB40DF">
            <w:pPr>
              <w:pStyle w:val="TableBody"/>
              <w:jc w:val="right"/>
              <w:rPr>
                <w:color w:val="auto"/>
                <w:lang w:val="en-GB"/>
              </w:rPr>
            </w:pPr>
            <w:r w:rsidRPr="00A33264">
              <w:rPr>
                <w:color w:val="auto"/>
                <w:lang w:val="en-GB"/>
              </w:rPr>
              <w:t>2023</w:t>
            </w:r>
            <w:r w:rsidRPr="00A15A18">
              <w:rPr>
                <w:color w:val="auto"/>
              </w:rPr>
              <w:t>–</w:t>
            </w:r>
            <w:r w:rsidRPr="00A33264">
              <w:rPr>
                <w:color w:val="auto"/>
                <w:lang w:val="en-GB"/>
              </w:rPr>
              <w:t>24 Target</w:t>
            </w:r>
          </w:p>
        </w:tc>
        <w:tc>
          <w:tcPr>
            <w:tcW w:w="1352" w:type="dxa"/>
            <w:shd w:val="clear" w:color="auto" w:fill="A1CE63"/>
          </w:tcPr>
          <w:p w14:paraId="6570D3CA" w14:textId="77777777" w:rsidR="000D3DCF" w:rsidRPr="00A33264" w:rsidRDefault="000D3DCF" w:rsidP="00BB40DF">
            <w:pPr>
              <w:pStyle w:val="TableBody"/>
              <w:jc w:val="right"/>
              <w:rPr>
                <w:color w:val="auto"/>
                <w:lang w:val="en-GB"/>
              </w:rPr>
            </w:pPr>
            <w:r w:rsidRPr="00A33264">
              <w:rPr>
                <w:color w:val="auto"/>
                <w:lang w:val="en-GB"/>
              </w:rPr>
              <w:t>2023</w:t>
            </w:r>
            <w:r w:rsidRPr="00A15A18">
              <w:rPr>
                <w:color w:val="auto"/>
              </w:rPr>
              <w:t>–</w:t>
            </w:r>
            <w:r w:rsidRPr="00A33264">
              <w:rPr>
                <w:color w:val="auto"/>
                <w:lang w:val="en-GB"/>
              </w:rPr>
              <w:t>24 Result</w:t>
            </w:r>
          </w:p>
        </w:tc>
        <w:tc>
          <w:tcPr>
            <w:tcW w:w="1355" w:type="dxa"/>
            <w:shd w:val="clear" w:color="auto" w:fill="A1CE63"/>
          </w:tcPr>
          <w:p w14:paraId="3479CAA5" w14:textId="77777777" w:rsidR="000D3DCF" w:rsidRPr="00A33264" w:rsidRDefault="000D3DCF" w:rsidP="00BB40DF">
            <w:pPr>
              <w:pStyle w:val="TableBody"/>
              <w:jc w:val="right"/>
              <w:rPr>
                <w:color w:val="auto"/>
                <w:lang w:val="en-GB"/>
              </w:rPr>
            </w:pPr>
            <w:r>
              <w:rPr>
                <w:color w:val="auto"/>
                <w:lang w:val="en-GB"/>
              </w:rPr>
              <w:t>2023</w:t>
            </w:r>
            <w:r w:rsidRPr="00A15A18">
              <w:rPr>
                <w:color w:val="auto"/>
              </w:rPr>
              <w:t>–</w:t>
            </w:r>
            <w:r>
              <w:rPr>
                <w:color w:val="auto"/>
                <w:lang w:val="en-GB"/>
              </w:rPr>
              <w:t xml:space="preserve">24 </w:t>
            </w:r>
            <w:r w:rsidRPr="00A33264">
              <w:rPr>
                <w:color w:val="auto"/>
                <w:lang w:val="en-GB"/>
              </w:rPr>
              <w:t>Outcome</w:t>
            </w:r>
          </w:p>
        </w:tc>
        <w:tc>
          <w:tcPr>
            <w:tcW w:w="1329" w:type="dxa"/>
            <w:shd w:val="clear" w:color="auto" w:fill="A1CE63"/>
          </w:tcPr>
          <w:p w14:paraId="3F5FE2C0" w14:textId="77777777" w:rsidR="000D3DCF" w:rsidRPr="007145B8" w:rsidRDefault="000D3DCF" w:rsidP="00BB40DF">
            <w:pPr>
              <w:pStyle w:val="TableBody"/>
              <w:jc w:val="right"/>
              <w:rPr>
                <w:color w:val="auto"/>
                <w:lang w:val="en-GB"/>
              </w:rPr>
            </w:pPr>
            <w:r>
              <w:rPr>
                <w:color w:val="auto"/>
                <w:lang w:val="en-GB"/>
              </w:rPr>
              <w:t>2022</w:t>
            </w:r>
            <w:r w:rsidRPr="00A15A18">
              <w:rPr>
                <w:color w:val="auto"/>
              </w:rPr>
              <w:t>–</w:t>
            </w:r>
            <w:r>
              <w:rPr>
                <w:color w:val="auto"/>
                <w:lang w:val="en-GB"/>
              </w:rPr>
              <w:t>23 Result</w:t>
            </w:r>
          </w:p>
        </w:tc>
      </w:tr>
      <w:tr w:rsidR="000D3DCF" w:rsidRPr="00A33264" w14:paraId="1C1A7C59" w14:textId="77777777" w:rsidTr="007145B8">
        <w:trPr>
          <w:cnfStyle w:val="000000100000" w:firstRow="0" w:lastRow="0" w:firstColumn="0" w:lastColumn="0" w:oddVBand="0" w:evenVBand="0" w:oddHBand="1" w:evenHBand="0" w:firstRowFirstColumn="0" w:firstRowLastColumn="0" w:lastRowFirstColumn="0" w:lastRowLastColumn="0"/>
          <w:cantSplit/>
        </w:trPr>
        <w:tc>
          <w:tcPr>
            <w:tcW w:w="3633" w:type="dxa"/>
            <w:shd w:val="clear" w:color="auto" w:fill="E5F1D4"/>
          </w:tcPr>
          <w:p w14:paraId="4EFC1EAD" w14:textId="236731F6" w:rsidR="000D3DCF" w:rsidRPr="00A33264" w:rsidRDefault="000D3DCF" w:rsidP="001C74C2">
            <w:pPr>
              <w:pStyle w:val="TableBody"/>
              <w:rPr>
                <w:lang w:val="en-GB"/>
              </w:rPr>
            </w:pPr>
            <w:r w:rsidRPr="00A33264">
              <w:rPr>
                <w:lang w:val="en-GB"/>
              </w:rPr>
              <w:t>Children who have benefited from the Scheme and no longer need support</w:t>
            </w:r>
            <w:r w:rsidR="00BC1502">
              <w:rPr>
                <w:lang w:val="en-GB"/>
              </w:rPr>
              <w:t>s</w:t>
            </w:r>
          </w:p>
        </w:tc>
        <w:tc>
          <w:tcPr>
            <w:tcW w:w="1347" w:type="dxa"/>
            <w:shd w:val="clear" w:color="auto" w:fill="E5F1D4"/>
          </w:tcPr>
          <w:p w14:paraId="3931B501" w14:textId="77777777" w:rsidR="000D3DCF" w:rsidRPr="00A33264" w:rsidRDefault="000D3DCF" w:rsidP="00BB40DF">
            <w:pPr>
              <w:pStyle w:val="TableBody"/>
              <w:jc w:val="right"/>
              <w:rPr>
                <w:lang w:val="en-GB"/>
              </w:rPr>
            </w:pPr>
            <w:r w:rsidRPr="00A33264">
              <w:rPr>
                <w:rFonts w:eastAsia="Times New Roman"/>
                <w:lang w:val="en-GB" w:eastAsia="en-AU"/>
              </w:rPr>
              <w:t>6%</w:t>
            </w:r>
          </w:p>
        </w:tc>
        <w:tc>
          <w:tcPr>
            <w:tcW w:w="1352" w:type="dxa"/>
            <w:shd w:val="clear" w:color="auto" w:fill="E5F1D4"/>
          </w:tcPr>
          <w:p w14:paraId="42F9BF41" w14:textId="77777777" w:rsidR="000D3DCF" w:rsidRPr="00A33264" w:rsidRDefault="000D3DCF" w:rsidP="00BB40DF">
            <w:pPr>
              <w:pStyle w:val="TableBody"/>
              <w:jc w:val="right"/>
              <w:rPr>
                <w:lang w:val="en-GB"/>
              </w:rPr>
            </w:pPr>
            <w:r w:rsidRPr="00A33264">
              <w:rPr>
                <w:lang w:val="en-GB"/>
              </w:rPr>
              <w:t>Data not available</w:t>
            </w:r>
          </w:p>
        </w:tc>
        <w:tc>
          <w:tcPr>
            <w:tcW w:w="1355" w:type="dxa"/>
            <w:shd w:val="clear" w:color="auto" w:fill="E5F1D4"/>
          </w:tcPr>
          <w:p w14:paraId="022AFCEE" w14:textId="77777777" w:rsidR="000D3DCF" w:rsidRPr="00A33264" w:rsidRDefault="000D3DCF" w:rsidP="00BB40DF">
            <w:pPr>
              <w:pStyle w:val="TableBody"/>
              <w:jc w:val="right"/>
              <w:rPr>
                <w:lang w:val="en-GB"/>
              </w:rPr>
            </w:pPr>
            <w:r w:rsidRPr="00A33264">
              <w:rPr>
                <w:lang w:val="en-GB"/>
              </w:rPr>
              <w:t>Data not available</w:t>
            </w:r>
          </w:p>
        </w:tc>
        <w:tc>
          <w:tcPr>
            <w:tcW w:w="1329" w:type="dxa"/>
            <w:shd w:val="clear" w:color="auto" w:fill="E5F1D4"/>
          </w:tcPr>
          <w:p w14:paraId="4635E18B" w14:textId="77777777" w:rsidR="000D3DCF" w:rsidRPr="00A33264" w:rsidRDefault="000D3DCF" w:rsidP="00BB40DF">
            <w:pPr>
              <w:pStyle w:val="TableBody"/>
              <w:jc w:val="right"/>
              <w:rPr>
                <w:lang w:val="en-GB"/>
              </w:rPr>
            </w:pPr>
            <w:r>
              <w:rPr>
                <w:lang w:val="en-GB"/>
              </w:rPr>
              <w:t>4.7%</w:t>
            </w:r>
          </w:p>
        </w:tc>
      </w:tr>
    </w:tbl>
    <w:p w14:paraId="3F212D8F" w14:textId="77777777" w:rsidR="000D3DCF" w:rsidRDefault="000D3DCF" w:rsidP="00B27FA1">
      <w:pPr>
        <w:pStyle w:val="Heading6"/>
        <w:rPr>
          <w:rFonts w:eastAsia="Yu Mincho"/>
        </w:rPr>
      </w:pPr>
      <w:r>
        <w:rPr>
          <w:rFonts w:eastAsia="Yu Mincho"/>
        </w:rPr>
        <w:t>Why we measure this</w:t>
      </w:r>
    </w:p>
    <w:p w14:paraId="76DDAEDF" w14:textId="630592EB" w:rsidR="000D3DCF" w:rsidRDefault="000D3DCF" w:rsidP="007145B8">
      <w:r w:rsidRPr="009C34F0">
        <w:t xml:space="preserve">This measure assesses the effectiveness of the </w:t>
      </w:r>
      <w:r>
        <w:t>e</w:t>
      </w:r>
      <w:r w:rsidRPr="009C34F0">
        <w:t xml:space="preserve">arly </w:t>
      </w:r>
      <w:r>
        <w:t>c</w:t>
      </w:r>
      <w:r w:rsidRPr="009C34F0">
        <w:t xml:space="preserve">hildhood </w:t>
      </w:r>
      <w:r>
        <w:t>a</w:t>
      </w:r>
      <w:r w:rsidRPr="009C34F0">
        <w:t xml:space="preserve">pproach and embedding the insurance-based model. </w:t>
      </w:r>
    </w:p>
    <w:p w14:paraId="318A9EBE" w14:textId="77777777" w:rsidR="000D3DCF" w:rsidRDefault="000D3DCF" w:rsidP="00B27FA1">
      <w:pPr>
        <w:pStyle w:val="Heading6"/>
      </w:pPr>
      <w:r>
        <w:t>How we measure this</w:t>
      </w:r>
    </w:p>
    <w:p w14:paraId="2DF8B112" w14:textId="1A4A4E5F" w:rsidR="000D3DCF" w:rsidRPr="009C34F0" w:rsidRDefault="000D3DCF" w:rsidP="007145B8">
      <w:r>
        <w:t>We obtain our results for this performance measure by</w:t>
      </w:r>
      <w:r w:rsidRPr="009C34F0">
        <w:t xml:space="preserve"> calculat</w:t>
      </w:r>
      <w:r>
        <w:t>ing</w:t>
      </w:r>
      <w:r w:rsidRPr="009C34F0">
        <w:t xml:space="preserve"> the number of participants aged </w:t>
      </w:r>
      <w:r>
        <w:t>0</w:t>
      </w:r>
      <w:r w:rsidRPr="009C34F0">
        <w:t xml:space="preserve"> to 14 who have benefited from the </w:t>
      </w:r>
      <w:r>
        <w:t>NDIS</w:t>
      </w:r>
      <w:r w:rsidRPr="009C34F0">
        <w:t xml:space="preserve">’ </w:t>
      </w:r>
      <w:r>
        <w:t>e</w:t>
      </w:r>
      <w:r w:rsidRPr="009C34F0">
        <w:t xml:space="preserve">arly </w:t>
      </w:r>
      <w:r>
        <w:t>c</w:t>
      </w:r>
      <w:r w:rsidRPr="009C34F0">
        <w:t xml:space="preserve">hildhood </w:t>
      </w:r>
      <w:r>
        <w:t>a</w:t>
      </w:r>
      <w:r w:rsidRPr="009C34F0">
        <w:t xml:space="preserve">pproach and who no longer receive </w:t>
      </w:r>
      <w:r>
        <w:t>s</w:t>
      </w:r>
      <w:r w:rsidRPr="009C34F0">
        <w:t>upports (under Program 1.1).</w:t>
      </w:r>
    </w:p>
    <w:p w14:paraId="38ADD568" w14:textId="77777777" w:rsidR="000D3DCF" w:rsidRDefault="000D3DCF" w:rsidP="00B27FA1">
      <w:pPr>
        <w:pStyle w:val="Heading6"/>
      </w:pPr>
      <w:r>
        <w:t>Analysis</w:t>
      </w:r>
    </w:p>
    <w:p w14:paraId="1839B363" w14:textId="14B44CFD" w:rsidR="00247078" w:rsidRDefault="000D3DCF" w:rsidP="00247078">
      <w:pPr>
        <w:rPr>
          <w:rFonts w:eastAsia="Arial"/>
        </w:rPr>
      </w:pPr>
      <w:r w:rsidRPr="009C34F0">
        <w:rPr>
          <w:rFonts w:eastAsia="Yu Mincho"/>
        </w:rPr>
        <w:t xml:space="preserve">Data </w:t>
      </w:r>
      <w:r w:rsidR="004D584E">
        <w:rPr>
          <w:rFonts w:eastAsia="Yu Mincho"/>
        </w:rPr>
        <w:t xml:space="preserve">on the transition of children from the early childhood approach to the </w:t>
      </w:r>
      <w:r w:rsidR="00CA3328">
        <w:rPr>
          <w:rFonts w:eastAsia="Yu Mincho"/>
        </w:rPr>
        <w:t>NDIS</w:t>
      </w:r>
      <w:r w:rsidR="004D584E">
        <w:rPr>
          <w:rFonts w:eastAsia="Yu Mincho"/>
        </w:rPr>
        <w:t xml:space="preserve"> or alternative pathways </w:t>
      </w:r>
      <w:r w:rsidRPr="009C34F0">
        <w:rPr>
          <w:rFonts w:eastAsia="Yu Mincho"/>
        </w:rPr>
        <w:t xml:space="preserve">is not available </w:t>
      </w:r>
      <w:r>
        <w:rPr>
          <w:rFonts w:eastAsia="Yu Mincho"/>
        </w:rPr>
        <w:t xml:space="preserve">for </w:t>
      </w:r>
      <w:r w:rsidRPr="009C34F0">
        <w:rPr>
          <w:rFonts w:eastAsia="DengXian"/>
        </w:rPr>
        <w:t xml:space="preserve">this reporting period due to the rollout of the </w:t>
      </w:r>
      <w:r w:rsidR="00BD71AB">
        <w:rPr>
          <w:rFonts w:eastAsia="DengXian"/>
        </w:rPr>
        <w:t xml:space="preserve">NDIA’s </w:t>
      </w:r>
      <w:r w:rsidRPr="009C34F0">
        <w:rPr>
          <w:rFonts w:eastAsia="DengXian"/>
        </w:rPr>
        <w:t>new computer system</w:t>
      </w:r>
      <w:r w:rsidRPr="009C34F0">
        <w:rPr>
          <w:rFonts w:eastAsia="Arial"/>
        </w:rPr>
        <w:t xml:space="preserve">. </w:t>
      </w:r>
    </w:p>
    <w:p w14:paraId="137DC55C" w14:textId="5B0926EC" w:rsidR="00AA02E5" w:rsidRDefault="000D3DCF" w:rsidP="00AA02E5">
      <w:pPr>
        <w:rPr>
          <w:b/>
          <w:bCs/>
          <w:lang w:val="en-GB"/>
        </w:rPr>
      </w:pPr>
      <w:r w:rsidRPr="009C34F0">
        <w:rPr>
          <w:rFonts w:eastAsia="Arial"/>
        </w:rPr>
        <w:t xml:space="preserve">The NDIA has a nationally consistent early childhood approach for children younger than 6 with developmental delay or younger than 9 with disability. </w:t>
      </w:r>
      <w:r>
        <w:rPr>
          <w:rFonts w:eastAsia="Arial"/>
        </w:rPr>
        <w:t>A</w:t>
      </w:r>
      <w:r w:rsidRPr="00980C6B">
        <w:rPr>
          <w:rFonts w:eastAsia="Arial"/>
        </w:rPr>
        <w:t xml:space="preserve"> child</w:t>
      </w:r>
      <w:r>
        <w:rPr>
          <w:rFonts w:eastAsia="Arial"/>
        </w:rPr>
        <w:t xml:space="preserve"> may leave the NDIS but maintain linkages with mainstream and community services or continue to receive supports through a local area coordinator or planner when the child turns 9. </w:t>
      </w:r>
      <w:r w:rsidRPr="009C34F0">
        <w:rPr>
          <w:rFonts w:eastAsia="Yu Mincho"/>
        </w:rPr>
        <w:t>Children receiving NDIS supports are engaged with</w:t>
      </w:r>
      <w:r w:rsidRPr="009C34F0">
        <w:rPr>
          <w:rFonts w:eastAsia="Arial"/>
        </w:rPr>
        <w:t xml:space="preserve"> </w:t>
      </w:r>
      <w:r>
        <w:rPr>
          <w:rFonts w:eastAsia="Arial"/>
        </w:rPr>
        <w:t>early childhood</w:t>
      </w:r>
      <w:r w:rsidRPr="009C34F0">
        <w:rPr>
          <w:rFonts w:eastAsia="Arial"/>
        </w:rPr>
        <w:t xml:space="preserve"> partners.</w:t>
      </w:r>
      <w:r w:rsidR="00AA02E5">
        <w:rPr>
          <w:b/>
          <w:bCs/>
          <w:lang w:val="en-GB"/>
        </w:rPr>
        <w:br w:type="page"/>
      </w:r>
    </w:p>
    <w:p w14:paraId="4B8CA7BF" w14:textId="63FA46DF" w:rsidR="000D3DCF" w:rsidRPr="00A33264" w:rsidRDefault="000D3DCF" w:rsidP="009B5EFC">
      <w:pPr>
        <w:rPr>
          <w:b/>
          <w:bCs/>
          <w:lang w:val="en-GB"/>
        </w:rPr>
      </w:pPr>
      <w:r w:rsidRPr="00A33264">
        <w:rPr>
          <w:b/>
          <w:bCs/>
          <w:lang w:val="en-GB"/>
        </w:rPr>
        <w:lastRenderedPageBreak/>
        <w:t xml:space="preserve">No </w:t>
      </w:r>
      <w:r>
        <w:rPr>
          <w:b/>
          <w:bCs/>
          <w:lang w:val="en-GB"/>
        </w:rPr>
        <w:t>person</w:t>
      </w:r>
      <w:r w:rsidRPr="00A33264">
        <w:rPr>
          <w:b/>
          <w:bCs/>
          <w:lang w:val="en-GB"/>
        </w:rPr>
        <w:t xml:space="preserve"> under the age of 65 </w:t>
      </w:r>
      <w:r>
        <w:rPr>
          <w:b/>
          <w:bCs/>
          <w:lang w:val="en-GB"/>
        </w:rPr>
        <w:t>is</w:t>
      </w:r>
      <w:r w:rsidRPr="00A33264">
        <w:rPr>
          <w:b/>
          <w:bCs/>
          <w:lang w:val="en-GB"/>
        </w:rPr>
        <w:t xml:space="preserve"> living in residential aged care</w:t>
      </w:r>
      <w:r>
        <w:rPr>
          <w:b/>
          <w:bCs/>
          <w:lang w:val="en-GB"/>
        </w:rPr>
        <w:t>,</w:t>
      </w:r>
      <w:r w:rsidRPr="00A33264">
        <w:rPr>
          <w:b/>
          <w:bCs/>
          <w:lang w:val="en-GB"/>
        </w:rPr>
        <w:t xml:space="preserve"> unless there are exceptional circumstances</w:t>
      </w:r>
      <w:r>
        <w:rPr>
          <w:b/>
          <w:bCs/>
          <w:lang w:val="en-GB"/>
        </w:rPr>
        <w:t>,</w:t>
      </w:r>
      <w:r w:rsidRPr="00A33264">
        <w:rPr>
          <w:b/>
          <w:bCs/>
          <w:lang w:val="en-GB"/>
        </w:rPr>
        <w:t xml:space="preserve"> by </w:t>
      </w:r>
      <w:r w:rsidR="0045672F">
        <w:rPr>
          <w:b/>
          <w:bCs/>
          <w:lang w:val="en-GB"/>
        </w:rPr>
        <w:t xml:space="preserve">the </w:t>
      </w:r>
      <w:r w:rsidRPr="00A33264">
        <w:rPr>
          <w:b/>
          <w:bCs/>
          <w:lang w:val="en-GB"/>
        </w:rPr>
        <w:t xml:space="preserve">end </w:t>
      </w:r>
      <w:r>
        <w:rPr>
          <w:b/>
          <w:bCs/>
          <w:lang w:val="en-GB"/>
        </w:rPr>
        <w:t xml:space="preserve">of </w:t>
      </w:r>
      <w:r w:rsidRPr="00A33264">
        <w:rPr>
          <w:b/>
          <w:bCs/>
          <w:lang w:val="en-GB"/>
        </w:rPr>
        <w:t>2025</w:t>
      </w:r>
    </w:p>
    <w:tbl>
      <w:tblPr>
        <w:tblStyle w:val="GridTable4"/>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20" w:firstRow="1" w:lastRow="0" w:firstColumn="0" w:lastColumn="0" w:noHBand="0" w:noVBand="1"/>
      </w:tblPr>
      <w:tblGrid>
        <w:gridCol w:w="3631"/>
        <w:gridCol w:w="1359"/>
        <w:gridCol w:w="1346"/>
        <w:gridCol w:w="1354"/>
        <w:gridCol w:w="1326"/>
      </w:tblGrid>
      <w:tr w:rsidR="000D3DCF" w:rsidRPr="00A33264" w14:paraId="6F7B9F27" w14:textId="77777777" w:rsidTr="001C0A6D">
        <w:trPr>
          <w:cnfStyle w:val="100000000000" w:firstRow="1" w:lastRow="0" w:firstColumn="0" w:lastColumn="0" w:oddVBand="0" w:evenVBand="0" w:oddHBand="0" w:evenHBand="0" w:firstRowFirstColumn="0" w:firstRowLastColumn="0" w:lastRowFirstColumn="0" w:lastRowLastColumn="0"/>
          <w:cantSplit/>
        </w:trPr>
        <w:tc>
          <w:tcPr>
            <w:tcW w:w="3631" w:type="dxa"/>
            <w:shd w:val="clear" w:color="auto" w:fill="A1CE63"/>
          </w:tcPr>
          <w:p w14:paraId="6E0C3768" w14:textId="67940DDF" w:rsidR="000D3DCF" w:rsidRPr="00A33264" w:rsidRDefault="000D3DCF">
            <w:pPr>
              <w:pStyle w:val="TableBody"/>
              <w:rPr>
                <w:color w:val="auto"/>
                <w:lang w:val="en-GB"/>
              </w:rPr>
            </w:pPr>
            <w:bookmarkStart w:id="88" w:name="ColumnTitle_PerformanceMeasure9"/>
            <w:bookmarkEnd w:id="88"/>
            <w:r w:rsidRPr="00A33264">
              <w:rPr>
                <w:color w:val="auto"/>
                <w:lang w:val="en-GB"/>
              </w:rPr>
              <w:t xml:space="preserve">Performance </w:t>
            </w:r>
            <w:r>
              <w:rPr>
                <w:color w:val="auto"/>
                <w:lang w:val="en-GB"/>
              </w:rPr>
              <w:t>m</w:t>
            </w:r>
            <w:r w:rsidRPr="00A33264">
              <w:rPr>
                <w:color w:val="auto"/>
                <w:lang w:val="en-GB"/>
              </w:rPr>
              <w:t>easure</w:t>
            </w:r>
          </w:p>
        </w:tc>
        <w:tc>
          <w:tcPr>
            <w:tcW w:w="1359" w:type="dxa"/>
            <w:shd w:val="clear" w:color="auto" w:fill="A1CE63"/>
          </w:tcPr>
          <w:p w14:paraId="65B675A2" w14:textId="77777777" w:rsidR="000D3DCF" w:rsidRPr="00A33264" w:rsidRDefault="000D3DCF" w:rsidP="00BB40DF">
            <w:pPr>
              <w:pStyle w:val="TableBody"/>
              <w:jc w:val="right"/>
              <w:rPr>
                <w:color w:val="auto"/>
                <w:lang w:val="en-GB"/>
              </w:rPr>
            </w:pPr>
            <w:r w:rsidRPr="00A33264">
              <w:rPr>
                <w:color w:val="auto"/>
                <w:lang w:val="en-GB"/>
              </w:rPr>
              <w:t>2023</w:t>
            </w:r>
            <w:r w:rsidRPr="00A15A18">
              <w:rPr>
                <w:color w:val="auto"/>
              </w:rPr>
              <w:t>–</w:t>
            </w:r>
            <w:r w:rsidRPr="00A33264">
              <w:rPr>
                <w:color w:val="auto"/>
                <w:lang w:val="en-GB"/>
              </w:rPr>
              <w:t>24 Target</w:t>
            </w:r>
          </w:p>
        </w:tc>
        <w:tc>
          <w:tcPr>
            <w:tcW w:w="1346" w:type="dxa"/>
            <w:shd w:val="clear" w:color="auto" w:fill="A1CE63"/>
          </w:tcPr>
          <w:p w14:paraId="23CBB493" w14:textId="77777777" w:rsidR="000D3DCF" w:rsidRPr="00A33264" w:rsidRDefault="000D3DCF" w:rsidP="00BB40DF">
            <w:pPr>
              <w:pStyle w:val="TableBody"/>
              <w:jc w:val="right"/>
              <w:rPr>
                <w:color w:val="auto"/>
                <w:lang w:val="en-GB"/>
              </w:rPr>
            </w:pPr>
            <w:r w:rsidRPr="00A33264">
              <w:rPr>
                <w:color w:val="auto"/>
                <w:lang w:val="en-GB"/>
              </w:rPr>
              <w:t>2023</w:t>
            </w:r>
            <w:r w:rsidRPr="00A15A18">
              <w:rPr>
                <w:color w:val="auto"/>
              </w:rPr>
              <w:t>–</w:t>
            </w:r>
            <w:r w:rsidRPr="00A33264">
              <w:rPr>
                <w:color w:val="auto"/>
                <w:lang w:val="en-GB"/>
              </w:rPr>
              <w:t>24 Result</w:t>
            </w:r>
          </w:p>
        </w:tc>
        <w:tc>
          <w:tcPr>
            <w:tcW w:w="1354" w:type="dxa"/>
            <w:shd w:val="clear" w:color="auto" w:fill="A1CE63"/>
          </w:tcPr>
          <w:p w14:paraId="58DB3462" w14:textId="77777777" w:rsidR="000D3DCF" w:rsidRPr="00A33264" w:rsidRDefault="000D3DCF" w:rsidP="00BB40DF">
            <w:pPr>
              <w:pStyle w:val="TableBody"/>
              <w:jc w:val="right"/>
              <w:rPr>
                <w:color w:val="auto"/>
                <w:lang w:val="en-GB"/>
              </w:rPr>
            </w:pPr>
            <w:r>
              <w:rPr>
                <w:color w:val="auto"/>
                <w:lang w:val="en-GB"/>
              </w:rPr>
              <w:t>2023</w:t>
            </w:r>
            <w:r w:rsidRPr="00A15A18">
              <w:rPr>
                <w:color w:val="auto"/>
              </w:rPr>
              <w:t>–</w:t>
            </w:r>
            <w:r>
              <w:rPr>
                <w:color w:val="auto"/>
                <w:lang w:val="en-GB"/>
              </w:rPr>
              <w:t xml:space="preserve">24 </w:t>
            </w:r>
            <w:r w:rsidRPr="00A33264">
              <w:rPr>
                <w:color w:val="auto"/>
                <w:lang w:val="en-GB"/>
              </w:rPr>
              <w:t>Outcome</w:t>
            </w:r>
          </w:p>
        </w:tc>
        <w:tc>
          <w:tcPr>
            <w:tcW w:w="1326" w:type="dxa"/>
            <w:shd w:val="clear" w:color="auto" w:fill="A1CE63"/>
          </w:tcPr>
          <w:p w14:paraId="6C756A4B" w14:textId="77777777" w:rsidR="000D3DCF" w:rsidRPr="007145B8" w:rsidRDefault="000D3DCF" w:rsidP="00BB40DF">
            <w:pPr>
              <w:pStyle w:val="TableBody"/>
              <w:jc w:val="right"/>
              <w:rPr>
                <w:color w:val="auto"/>
                <w:lang w:val="en-GB"/>
              </w:rPr>
            </w:pPr>
            <w:r>
              <w:rPr>
                <w:color w:val="auto"/>
                <w:lang w:val="en-GB"/>
              </w:rPr>
              <w:t>2022</w:t>
            </w:r>
            <w:r w:rsidRPr="00A15A18">
              <w:rPr>
                <w:color w:val="auto"/>
              </w:rPr>
              <w:t>–</w:t>
            </w:r>
            <w:r>
              <w:rPr>
                <w:color w:val="auto"/>
                <w:lang w:val="en-GB"/>
              </w:rPr>
              <w:t>23 Result</w:t>
            </w:r>
          </w:p>
        </w:tc>
      </w:tr>
      <w:tr w:rsidR="000D3DCF" w:rsidRPr="00A33264" w14:paraId="0732CF7B" w14:textId="77777777" w:rsidTr="007145B8">
        <w:trPr>
          <w:cnfStyle w:val="000000100000" w:firstRow="0" w:lastRow="0" w:firstColumn="0" w:lastColumn="0" w:oddVBand="0" w:evenVBand="0" w:oddHBand="1" w:evenHBand="0" w:firstRowFirstColumn="0" w:firstRowLastColumn="0" w:lastRowFirstColumn="0" w:lastRowLastColumn="0"/>
          <w:cantSplit/>
        </w:trPr>
        <w:tc>
          <w:tcPr>
            <w:tcW w:w="3631" w:type="dxa"/>
            <w:shd w:val="clear" w:color="auto" w:fill="E5F1D4"/>
          </w:tcPr>
          <w:p w14:paraId="74958830" w14:textId="2168EAC8" w:rsidR="000D3DCF" w:rsidRPr="00A33264" w:rsidRDefault="000D3DCF" w:rsidP="001C74C2">
            <w:pPr>
              <w:pStyle w:val="TableBody"/>
              <w:tabs>
                <w:tab w:val="left" w:pos="960"/>
              </w:tabs>
              <w:rPr>
                <w:lang w:val="en-GB"/>
              </w:rPr>
            </w:pPr>
            <w:r w:rsidRPr="00A33264">
              <w:rPr>
                <w:lang w:val="en-GB"/>
              </w:rPr>
              <w:t xml:space="preserve">No person under the age of 65 is living in residential aged care, unless there are exceptional circumstances, by </w:t>
            </w:r>
            <w:r w:rsidR="00910F0D">
              <w:rPr>
                <w:lang w:val="en-GB"/>
              </w:rPr>
              <w:t xml:space="preserve">the </w:t>
            </w:r>
            <w:r w:rsidRPr="00A33264">
              <w:rPr>
                <w:lang w:val="en-GB"/>
              </w:rPr>
              <w:t xml:space="preserve">end </w:t>
            </w:r>
            <w:r>
              <w:rPr>
                <w:lang w:val="en-GB"/>
              </w:rPr>
              <w:t xml:space="preserve">of </w:t>
            </w:r>
            <w:r w:rsidRPr="00A33264">
              <w:rPr>
                <w:lang w:val="en-GB"/>
              </w:rPr>
              <w:t>2025</w:t>
            </w:r>
          </w:p>
        </w:tc>
        <w:tc>
          <w:tcPr>
            <w:tcW w:w="1359" w:type="dxa"/>
            <w:shd w:val="clear" w:color="auto" w:fill="E5F1D4"/>
          </w:tcPr>
          <w:p w14:paraId="27967E5E" w14:textId="77777777" w:rsidR="000D3DCF" w:rsidRPr="00A33264" w:rsidRDefault="000D3DCF" w:rsidP="00BB40DF">
            <w:pPr>
              <w:pStyle w:val="TableBody"/>
              <w:jc w:val="right"/>
              <w:rPr>
                <w:lang w:val="en-GB"/>
              </w:rPr>
            </w:pPr>
            <w:r w:rsidRPr="00A33264">
              <w:rPr>
                <w:lang w:val="en-GB"/>
              </w:rPr>
              <w:t>&lt;1% of NDIS participants</w:t>
            </w:r>
          </w:p>
        </w:tc>
        <w:tc>
          <w:tcPr>
            <w:tcW w:w="1346" w:type="dxa"/>
            <w:shd w:val="clear" w:color="auto" w:fill="E5F1D4"/>
          </w:tcPr>
          <w:p w14:paraId="537AA966" w14:textId="77777777" w:rsidR="000D3DCF" w:rsidRPr="00A33264" w:rsidRDefault="000D3DCF" w:rsidP="00BB40DF">
            <w:pPr>
              <w:pStyle w:val="TableBody"/>
              <w:jc w:val="right"/>
              <w:rPr>
                <w:lang w:val="en-GB"/>
              </w:rPr>
            </w:pPr>
            <w:r w:rsidRPr="00A33264">
              <w:rPr>
                <w:lang w:val="en-GB"/>
              </w:rPr>
              <w:t>0.4%</w:t>
            </w:r>
          </w:p>
        </w:tc>
        <w:tc>
          <w:tcPr>
            <w:tcW w:w="1354" w:type="dxa"/>
            <w:shd w:val="clear" w:color="auto" w:fill="E5F1D4"/>
          </w:tcPr>
          <w:p w14:paraId="23C19250" w14:textId="77777777" w:rsidR="000D3DCF" w:rsidRPr="00A33264" w:rsidRDefault="000D3DCF" w:rsidP="00BB40DF">
            <w:pPr>
              <w:pStyle w:val="TableBody"/>
              <w:jc w:val="right"/>
              <w:rPr>
                <w:lang w:val="en-GB"/>
              </w:rPr>
            </w:pPr>
            <w:r w:rsidRPr="00A33264">
              <w:rPr>
                <w:lang w:val="en-GB"/>
              </w:rPr>
              <w:t>Achieved</w:t>
            </w:r>
          </w:p>
        </w:tc>
        <w:tc>
          <w:tcPr>
            <w:tcW w:w="1326" w:type="dxa"/>
            <w:shd w:val="clear" w:color="auto" w:fill="E5F1D4"/>
          </w:tcPr>
          <w:p w14:paraId="5416BBE3" w14:textId="77777777" w:rsidR="000D3DCF" w:rsidRPr="00A33264" w:rsidRDefault="000D3DCF" w:rsidP="00BB40DF">
            <w:pPr>
              <w:pStyle w:val="TableBody"/>
              <w:jc w:val="right"/>
              <w:rPr>
                <w:lang w:val="en-GB"/>
              </w:rPr>
            </w:pPr>
            <w:r>
              <w:rPr>
                <w:lang w:val="en-GB"/>
              </w:rPr>
              <w:t>0.59%</w:t>
            </w:r>
          </w:p>
        </w:tc>
      </w:tr>
    </w:tbl>
    <w:p w14:paraId="434E5742" w14:textId="77777777" w:rsidR="000D3DCF" w:rsidRDefault="000D3DCF" w:rsidP="00B27FA1">
      <w:pPr>
        <w:pStyle w:val="Heading6"/>
        <w:rPr>
          <w:rFonts w:eastAsia="Yu Mincho"/>
        </w:rPr>
      </w:pPr>
      <w:r>
        <w:rPr>
          <w:rFonts w:eastAsia="Yu Mincho"/>
        </w:rPr>
        <w:t>Why we measure this</w:t>
      </w:r>
    </w:p>
    <w:p w14:paraId="2F7653F2" w14:textId="303083DA" w:rsidR="000D3DCF" w:rsidRDefault="000D3DCF" w:rsidP="007145B8">
      <w:pPr>
        <w:spacing w:after="200"/>
        <w:rPr>
          <w:rFonts w:eastAsia="Arial"/>
        </w:rPr>
      </w:pPr>
      <w:r w:rsidRPr="009C34F0">
        <w:rPr>
          <w:rFonts w:eastAsia="Arial"/>
        </w:rPr>
        <w:t xml:space="preserve">This measure assesses the effectiveness of the </w:t>
      </w:r>
      <w:r w:rsidR="00234EFF">
        <w:rPr>
          <w:rFonts w:eastAsia="Arial"/>
        </w:rPr>
        <w:t>whole-of-g</w:t>
      </w:r>
      <w:r w:rsidR="00234EFF" w:rsidRPr="009C34F0">
        <w:rPr>
          <w:rFonts w:eastAsia="Arial"/>
        </w:rPr>
        <w:t xml:space="preserve">overnment effort </w:t>
      </w:r>
      <w:r w:rsidRPr="009C34F0">
        <w:rPr>
          <w:rFonts w:eastAsia="Arial"/>
        </w:rPr>
        <w:t>to reduce the number of young people living in residential aged care, consistent with</w:t>
      </w:r>
      <w:r w:rsidRPr="003131F3">
        <w:rPr>
          <w:rFonts w:eastAsia="Arial"/>
        </w:rPr>
        <w:t xml:space="preserve"> the Royal Commission into Aged Care Quality and Safety</w:t>
      </w:r>
      <w:r w:rsidRPr="009C34F0">
        <w:rPr>
          <w:rFonts w:eastAsia="Arial"/>
        </w:rPr>
        <w:t xml:space="preserve">. </w:t>
      </w:r>
    </w:p>
    <w:p w14:paraId="697F4400" w14:textId="77777777" w:rsidR="000D3DCF" w:rsidRDefault="000D3DCF" w:rsidP="00B27FA1">
      <w:pPr>
        <w:pStyle w:val="Heading6"/>
      </w:pPr>
      <w:r>
        <w:t>How we measure this</w:t>
      </w:r>
    </w:p>
    <w:p w14:paraId="5260B314" w14:textId="2938A7EC" w:rsidR="000D3DCF" w:rsidRPr="009C34F0" w:rsidRDefault="000D3DCF" w:rsidP="007145B8">
      <w:pPr>
        <w:spacing w:after="200"/>
        <w:rPr>
          <w:rFonts w:eastAsia="Arial"/>
        </w:rPr>
      </w:pPr>
      <w:r>
        <w:rPr>
          <w:rFonts w:eastAsia="Arial"/>
        </w:rPr>
        <w:t>T</w:t>
      </w:r>
      <w:r w:rsidRPr="009C34F0">
        <w:rPr>
          <w:rFonts w:eastAsia="Arial"/>
        </w:rPr>
        <w:t xml:space="preserve">he work </w:t>
      </w:r>
      <w:r>
        <w:rPr>
          <w:rFonts w:eastAsia="Arial"/>
        </w:rPr>
        <w:t>of</w:t>
      </w:r>
      <w:r w:rsidRPr="009C34F0">
        <w:rPr>
          <w:rFonts w:eastAsia="Arial"/>
        </w:rPr>
        <w:t xml:space="preserve"> the Younger People in Residential Aged Care</w:t>
      </w:r>
      <w:r>
        <w:rPr>
          <w:rFonts w:eastAsia="Arial"/>
        </w:rPr>
        <w:t xml:space="preserve"> </w:t>
      </w:r>
      <w:r w:rsidRPr="009C34F0">
        <w:rPr>
          <w:rFonts w:eastAsia="Arial"/>
        </w:rPr>
        <w:t>(YPIRAC) Joint Agency Taskforce</w:t>
      </w:r>
      <w:r>
        <w:rPr>
          <w:rFonts w:eastAsia="Arial"/>
        </w:rPr>
        <w:t xml:space="preserve"> contributes to achievement of this measure</w:t>
      </w:r>
      <w:r w:rsidRPr="009C34F0">
        <w:rPr>
          <w:rFonts w:eastAsia="Arial"/>
        </w:rPr>
        <w:t xml:space="preserve">. The </w:t>
      </w:r>
      <w:r w:rsidR="00240D50">
        <w:rPr>
          <w:rFonts w:eastAsia="Arial"/>
        </w:rPr>
        <w:t>G</w:t>
      </w:r>
      <w:r w:rsidRPr="009C34F0">
        <w:rPr>
          <w:rFonts w:eastAsia="Arial"/>
        </w:rPr>
        <w:t xml:space="preserve">overnment has outlined 3 exceptional circumstances for approval and entry of a younger person to residential aged care, where it is their preference. </w:t>
      </w:r>
      <w:r w:rsidR="00A348E9">
        <w:rPr>
          <w:rFonts w:eastAsia="Arial"/>
        </w:rPr>
        <w:t>These are:</w:t>
      </w:r>
    </w:p>
    <w:p w14:paraId="62C2E280" w14:textId="234D89C8" w:rsidR="000D3DCF" w:rsidRPr="009C34F0" w:rsidRDefault="000D3DCF" w:rsidP="007145B8">
      <w:pPr>
        <w:pStyle w:val="Bullet1"/>
        <w:rPr>
          <w:rFonts w:eastAsia="MS PGothic"/>
          <w:lang w:val="en-US"/>
        </w:rPr>
      </w:pPr>
      <w:r>
        <w:t xml:space="preserve">a </w:t>
      </w:r>
      <w:r w:rsidRPr="009C34F0">
        <w:t xml:space="preserve">First Nations </w:t>
      </w:r>
      <w:r>
        <w:t>person and</w:t>
      </w:r>
      <w:r w:rsidRPr="009C34F0">
        <w:t xml:space="preserve"> aged 50–64</w:t>
      </w:r>
    </w:p>
    <w:p w14:paraId="69783957" w14:textId="70AB7FD1" w:rsidR="000D3DCF" w:rsidRPr="009C34F0" w:rsidRDefault="000D3DCF" w:rsidP="007145B8">
      <w:pPr>
        <w:pStyle w:val="Bullet1"/>
      </w:pPr>
      <w:r>
        <w:t>a</w:t>
      </w:r>
      <w:r w:rsidRPr="009C34F0">
        <w:t xml:space="preserve"> person who is homeless, or at risk of becoming homeless, and aged 50–64</w:t>
      </w:r>
    </w:p>
    <w:p w14:paraId="443CAD93" w14:textId="7E535DAC" w:rsidR="000D3DCF" w:rsidRPr="009C34F0" w:rsidRDefault="000D3DCF" w:rsidP="007145B8">
      <w:pPr>
        <w:pStyle w:val="Bullet1"/>
      </w:pPr>
      <w:r>
        <w:t>m</w:t>
      </w:r>
      <w:r w:rsidRPr="009C34F0">
        <w:t>aintaining family connections (Department of Health and Aged Care 2023).</w:t>
      </w:r>
    </w:p>
    <w:p w14:paraId="0BCF7EA2" w14:textId="09271709" w:rsidR="00247078" w:rsidRDefault="000D3DCF" w:rsidP="00247078">
      <w:pPr>
        <w:spacing w:before="240"/>
        <w:rPr>
          <w:bCs/>
          <w:color w:val="6B2876" w:themeColor="text1"/>
          <w:sz w:val="26"/>
          <w:szCs w:val="28"/>
        </w:rPr>
      </w:pPr>
      <w:r>
        <w:rPr>
          <w:rFonts w:eastAsia="Arial"/>
        </w:rPr>
        <w:t xml:space="preserve">NDIS participant data is used for this measure rather than </w:t>
      </w:r>
      <w:r w:rsidRPr="009C34F0">
        <w:rPr>
          <w:rFonts w:eastAsia="Arial"/>
        </w:rPr>
        <w:t xml:space="preserve">Australian Institute of Health and Welfare (AIHW) data. </w:t>
      </w:r>
      <w:r>
        <w:t xml:space="preserve">We obtain our results for this performance measure by </w:t>
      </w:r>
      <w:r w:rsidR="00CD531A">
        <w:rPr>
          <w:rFonts w:eastAsia="Arial"/>
        </w:rPr>
        <w:t>calculating</w:t>
      </w:r>
      <w:r w:rsidRPr="009C34F0">
        <w:rPr>
          <w:rFonts w:eastAsia="Arial"/>
        </w:rPr>
        <w:t xml:space="preserve"> the proportion of active </w:t>
      </w:r>
      <w:bookmarkStart w:id="89" w:name="_Hlk177053474"/>
      <w:r w:rsidRPr="009C34F0">
        <w:rPr>
          <w:rFonts w:eastAsia="Arial"/>
        </w:rPr>
        <w:t>participants aged under 65 in residential aged care</w:t>
      </w:r>
      <w:bookmarkEnd w:id="89"/>
      <w:r w:rsidRPr="009C34F0">
        <w:rPr>
          <w:rFonts w:eastAsia="Arial"/>
        </w:rPr>
        <w:t xml:space="preserve"> exclud</w:t>
      </w:r>
      <w:r>
        <w:rPr>
          <w:rFonts w:eastAsia="Arial"/>
        </w:rPr>
        <w:t>ing</w:t>
      </w:r>
      <w:r w:rsidRPr="009C34F0">
        <w:rPr>
          <w:rFonts w:eastAsia="Arial"/>
        </w:rPr>
        <w:t xml:space="preserve"> </w:t>
      </w:r>
      <w:r w:rsidR="00CD531A">
        <w:rPr>
          <w:rFonts w:eastAsia="Arial"/>
        </w:rPr>
        <w:t>any</w:t>
      </w:r>
      <w:r>
        <w:rPr>
          <w:rFonts w:eastAsia="Arial"/>
        </w:rPr>
        <w:t xml:space="preserve"> </w:t>
      </w:r>
      <w:r w:rsidRPr="009C34F0">
        <w:rPr>
          <w:rFonts w:eastAsia="Arial"/>
        </w:rPr>
        <w:t>First Nations people aged 50</w:t>
      </w:r>
      <w:r w:rsidRPr="00A15A18">
        <w:t>–</w:t>
      </w:r>
      <w:r w:rsidRPr="009C34F0">
        <w:rPr>
          <w:rFonts w:eastAsia="Arial"/>
        </w:rPr>
        <w:t>64</w:t>
      </w:r>
      <w:r w:rsidR="00154C22">
        <w:rPr>
          <w:rFonts w:eastAsia="Arial"/>
        </w:rPr>
        <w:t xml:space="preserve"> (</w:t>
      </w:r>
      <w:r w:rsidR="003E2B5D">
        <w:rPr>
          <w:rFonts w:eastAsia="Arial"/>
        </w:rPr>
        <w:t xml:space="preserve">133 for </w:t>
      </w:r>
      <w:r w:rsidR="00780F55">
        <w:rPr>
          <w:rFonts w:eastAsia="Arial"/>
        </w:rPr>
        <w:t>2023–24</w:t>
      </w:r>
      <w:r w:rsidRPr="009C34F0">
        <w:rPr>
          <w:rFonts w:eastAsia="Arial"/>
        </w:rPr>
        <w:t>.</w:t>
      </w:r>
      <w:r>
        <w:t xml:space="preserve"> </w:t>
      </w:r>
      <w:r w:rsidRPr="009C34F0">
        <w:t xml:space="preserve">This exclusion is in line with the published approach by AIHW </w:t>
      </w:r>
      <w:r>
        <w:rPr>
          <w:rFonts w:ascii="Symbol" w:eastAsia="Symbol" w:hAnsi="Symbol" w:cs="Symbol"/>
        </w:rPr>
        <w:t>-</w:t>
      </w:r>
      <w:r w:rsidRPr="009C34F0">
        <w:t xml:space="preserve"> </w:t>
      </w:r>
      <w:r>
        <w:t>‘</w:t>
      </w:r>
      <w:r w:rsidRPr="00BB40DF">
        <w:t>Changes to YPIRAC reporting from the June 2024 release onwards</w:t>
      </w:r>
      <w:r>
        <w:t>’</w:t>
      </w:r>
      <w:r w:rsidR="00E8696F">
        <w:t>)</w:t>
      </w:r>
      <w:r w:rsidRPr="00BB40DF">
        <w:t>.</w:t>
      </w:r>
    </w:p>
    <w:p w14:paraId="227B9F02" w14:textId="37F9F8ED" w:rsidR="000D3DCF" w:rsidRDefault="000D3DCF" w:rsidP="00B27FA1">
      <w:pPr>
        <w:pStyle w:val="Heading6"/>
      </w:pPr>
      <w:r>
        <w:t>Analysis</w:t>
      </w:r>
    </w:p>
    <w:p w14:paraId="7B8FDFD2" w14:textId="682FC941" w:rsidR="000D3DCF" w:rsidRPr="009C34F0" w:rsidRDefault="000D3DCF" w:rsidP="007145B8">
      <w:pPr>
        <w:spacing w:before="240"/>
        <w:rPr>
          <w:rFonts w:eastAsia="Arial"/>
        </w:rPr>
      </w:pPr>
      <w:r w:rsidRPr="009C34F0">
        <w:rPr>
          <w:rFonts w:eastAsia="Arial"/>
        </w:rPr>
        <w:t xml:space="preserve">The </w:t>
      </w:r>
      <w:r w:rsidR="00B87A70">
        <w:rPr>
          <w:rFonts w:eastAsia="Arial"/>
        </w:rPr>
        <w:t>G</w:t>
      </w:r>
      <w:r w:rsidRPr="009C34F0">
        <w:rPr>
          <w:rFonts w:eastAsia="Arial"/>
        </w:rPr>
        <w:t xml:space="preserve">overnment’s </w:t>
      </w:r>
      <w:r>
        <w:rPr>
          <w:rFonts w:eastAsia="Arial"/>
        </w:rPr>
        <w:t>YPIRAC</w:t>
      </w:r>
      <w:r w:rsidRPr="009C34F0">
        <w:rPr>
          <w:rFonts w:eastAsia="Arial"/>
        </w:rPr>
        <w:t xml:space="preserve"> target states that ‘no person under the age of 65 will be living in aged care by 2025 unless there are exceptional circumstances</w:t>
      </w:r>
      <w:r>
        <w:rPr>
          <w:rFonts w:eastAsia="Arial"/>
        </w:rPr>
        <w:t>’</w:t>
      </w:r>
      <w:r w:rsidRPr="009C34F0">
        <w:rPr>
          <w:rFonts w:eastAsia="Arial"/>
        </w:rPr>
        <w:t xml:space="preserve">. The target of ‘less than 1%’ recognises that </w:t>
      </w:r>
      <w:r>
        <w:rPr>
          <w:rFonts w:eastAsia="Arial"/>
        </w:rPr>
        <w:t>only</w:t>
      </w:r>
      <w:r w:rsidRPr="009C34F0">
        <w:rPr>
          <w:rFonts w:eastAsia="Arial"/>
        </w:rPr>
        <w:t xml:space="preserve"> a very small proportion of </w:t>
      </w:r>
      <w:r>
        <w:rPr>
          <w:rFonts w:eastAsia="Arial"/>
        </w:rPr>
        <w:t>NDIS</w:t>
      </w:r>
      <w:r w:rsidRPr="009C34F0">
        <w:rPr>
          <w:rFonts w:eastAsia="Arial"/>
        </w:rPr>
        <w:t xml:space="preserve"> participants </w:t>
      </w:r>
      <w:r>
        <w:rPr>
          <w:rFonts w:eastAsia="Arial"/>
        </w:rPr>
        <w:t xml:space="preserve">aged </w:t>
      </w:r>
      <w:r w:rsidRPr="009C34F0">
        <w:rPr>
          <w:rFonts w:eastAsia="Arial"/>
        </w:rPr>
        <w:t>under 65 years would reside in aged care.</w:t>
      </w:r>
    </w:p>
    <w:p w14:paraId="598A8229" w14:textId="43497E5F" w:rsidR="000D3DCF" w:rsidRPr="009C34F0" w:rsidRDefault="000D3DCF" w:rsidP="007145B8">
      <w:pPr>
        <w:rPr>
          <w:lang w:val="en-GB"/>
        </w:rPr>
      </w:pPr>
      <w:r>
        <w:rPr>
          <w:rFonts w:eastAsia="Arial"/>
        </w:rPr>
        <w:t>On 30</w:t>
      </w:r>
      <w:r w:rsidRPr="009C34F0">
        <w:rPr>
          <w:rFonts w:eastAsia="Arial"/>
        </w:rPr>
        <w:t xml:space="preserve"> June 2024 there were 1,049 participants aged under 65 in residential aged care</w:t>
      </w:r>
      <w:r>
        <w:rPr>
          <w:rFonts w:eastAsia="Arial"/>
        </w:rPr>
        <w:t>.</w:t>
      </w:r>
      <w:r w:rsidRPr="009C34F0">
        <w:rPr>
          <w:rFonts w:eastAsia="Arial"/>
        </w:rPr>
        <w:t xml:space="preserve"> </w:t>
      </w:r>
      <w:r>
        <w:rPr>
          <w:rFonts w:eastAsia="Arial"/>
        </w:rPr>
        <w:t>O</w:t>
      </w:r>
      <w:r w:rsidRPr="009C34F0">
        <w:rPr>
          <w:rFonts w:eastAsia="Arial"/>
        </w:rPr>
        <w:t xml:space="preserve">f </w:t>
      </w:r>
      <w:r>
        <w:rPr>
          <w:rFonts w:eastAsia="Arial"/>
        </w:rPr>
        <w:t>those</w:t>
      </w:r>
      <w:r w:rsidRPr="009C34F0">
        <w:rPr>
          <w:rFonts w:eastAsia="Arial"/>
        </w:rPr>
        <w:t>, approximately two</w:t>
      </w:r>
      <w:r w:rsidR="0053144C">
        <w:rPr>
          <w:rFonts w:eastAsia="Arial"/>
        </w:rPr>
        <w:t>-</w:t>
      </w:r>
      <w:r w:rsidRPr="009C34F0">
        <w:rPr>
          <w:rFonts w:eastAsia="Arial"/>
        </w:rPr>
        <w:t>thirds have indicated</w:t>
      </w:r>
      <w:r>
        <w:rPr>
          <w:rFonts w:eastAsia="Arial"/>
        </w:rPr>
        <w:t xml:space="preserve"> they had</w:t>
      </w:r>
      <w:r w:rsidRPr="009C34F0">
        <w:rPr>
          <w:rFonts w:eastAsia="Arial"/>
        </w:rPr>
        <w:t xml:space="preserve"> ‘no goal to move’ </w:t>
      </w:r>
      <w:r w:rsidRPr="009C34F0">
        <w:rPr>
          <w:rFonts w:eastAsia="Arial"/>
        </w:rPr>
        <w:lastRenderedPageBreak/>
        <w:t>due to personal or exceptional circumstances. This is within the target of ‘less than 1% of persons under the age of 65 living in a residential aged care facility</w:t>
      </w:r>
      <w:r>
        <w:rPr>
          <w:rFonts w:eastAsia="Arial"/>
        </w:rPr>
        <w:t>’</w:t>
      </w:r>
      <w:r w:rsidRPr="009C34F0">
        <w:rPr>
          <w:rFonts w:eastAsia="Arial"/>
        </w:rPr>
        <w:t xml:space="preserve">. </w:t>
      </w:r>
      <w:r w:rsidR="00776E16">
        <w:rPr>
          <w:rFonts w:eastAsia="Arial"/>
        </w:rPr>
        <w:t>The NDIA</w:t>
      </w:r>
      <w:r>
        <w:rPr>
          <w:rFonts w:eastAsia="Arial"/>
        </w:rPr>
        <w:t xml:space="preserve"> will continue e</w:t>
      </w:r>
      <w:r w:rsidRPr="009C34F0">
        <w:rPr>
          <w:rFonts w:eastAsia="Arial"/>
        </w:rPr>
        <w:t>fforts to reduce this cohort to the smallest number possible</w:t>
      </w:r>
      <w:r>
        <w:rPr>
          <w:rFonts w:eastAsia="Arial"/>
        </w:rPr>
        <w:t>,</w:t>
      </w:r>
      <w:r w:rsidRPr="009C34F0">
        <w:rPr>
          <w:rFonts w:eastAsia="Arial"/>
        </w:rPr>
        <w:t xml:space="preserve"> taking into consideration personal circumstances.</w:t>
      </w:r>
    </w:p>
    <w:p w14:paraId="31B036F0" w14:textId="77777777" w:rsidR="000D3DCF" w:rsidRPr="00A33264" w:rsidRDefault="000D3DCF" w:rsidP="001C74C2">
      <w:pPr>
        <w:rPr>
          <w:b/>
          <w:bCs/>
          <w:lang w:val="en-GB"/>
        </w:rPr>
      </w:pPr>
      <w:r w:rsidRPr="00A33264">
        <w:rPr>
          <w:b/>
          <w:bCs/>
          <w:lang w:val="en-GB"/>
        </w:rPr>
        <w:t>Socioeconomic equity</w:t>
      </w:r>
    </w:p>
    <w:tbl>
      <w:tblPr>
        <w:tblStyle w:val="GridTable4"/>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20" w:firstRow="1" w:lastRow="0" w:firstColumn="0" w:lastColumn="0" w:noHBand="0" w:noVBand="1"/>
      </w:tblPr>
      <w:tblGrid>
        <w:gridCol w:w="3637"/>
        <w:gridCol w:w="1347"/>
        <w:gridCol w:w="1347"/>
        <w:gridCol w:w="1355"/>
        <w:gridCol w:w="1330"/>
      </w:tblGrid>
      <w:tr w:rsidR="000D3DCF" w:rsidRPr="00A33264" w14:paraId="73DB4EE5" w14:textId="77777777" w:rsidTr="001C0A6D">
        <w:trPr>
          <w:cnfStyle w:val="100000000000" w:firstRow="1" w:lastRow="0" w:firstColumn="0" w:lastColumn="0" w:oddVBand="0" w:evenVBand="0" w:oddHBand="0" w:evenHBand="0" w:firstRowFirstColumn="0" w:firstRowLastColumn="0" w:lastRowFirstColumn="0" w:lastRowLastColumn="0"/>
          <w:cantSplit/>
        </w:trPr>
        <w:tc>
          <w:tcPr>
            <w:tcW w:w="3637" w:type="dxa"/>
            <w:shd w:val="clear" w:color="auto" w:fill="A1CE63"/>
          </w:tcPr>
          <w:p w14:paraId="50385912" w14:textId="58355C9F" w:rsidR="000D3DCF" w:rsidRPr="00A33264" w:rsidRDefault="000D3DCF">
            <w:pPr>
              <w:pStyle w:val="TableBody"/>
              <w:rPr>
                <w:color w:val="auto"/>
                <w:lang w:val="en-GB"/>
              </w:rPr>
            </w:pPr>
            <w:bookmarkStart w:id="90" w:name="ColumnTitle_PerformanceMeasure10"/>
            <w:bookmarkEnd w:id="90"/>
            <w:r w:rsidRPr="00A33264">
              <w:rPr>
                <w:color w:val="auto"/>
                <w:lang w:val="en-GB"/>
              </w:rPr>
              <w:t xml:space="preserve">Performance </w:t>
            </w:r>
            <w:r>
              <w:rPr>
                <w:color w:val="auto"/>
                <w:lang w:val="en-GB"/>
              </w:rPr>
              <w:t>m</w:t>
            </w:r>
            <w:r w:rsidRPr="00A33264">
              <w:rPr>
                <w:color w:val="auto"/>
                <w:lang w:val="en-GB"/>
              </w:rPr>
              <w:t>easure</w:t>
            </w:r>
          </w:p>
        </w:tc>
        <w:tc>
          <w:tcPr>
            <w:tcW w:w="1347" w:type="dxa"/>
            <w:shd w:val="clear" w:color="auto" w:fill="A1CE63"/>
          </w:tcPr>
          <w:p w14:paraId="1CBDF71C" w14:textId="77777777" w:rsidR="000D3DCF" w:rsidRPr="00A15A18" w:rsidRDefault="000D3DCF" w:rsidP="00BB40DF">
            <w:pPr>
              <w:pStyle w:val="TableBody"/>
              <w:jc w:val="right"/>
              <w:rPr>
                <w:color w:val="auto"/>
                <w:lang w:val="en-GB"/>
              </w:rPr>
            </w:pPr>
            <w:r w:rsidRPr="00A15A18">
              <w:rPr>
                <w:color w:val="auto"/>
                <w:lang w:val="en-GB"/>
              </w:rPr>
              <w:t>2023</w:t>
            </w:r>
            <w:r w:rsidRPr="00A15A18">
              <w:rPr>
                <w:color w:val="auto"/>
              </w:rPr>
              <w:t>–</w:t>
            </w:r>
            <w:r w:rsidRPr="00A15A18">
              <w:rPr>
                <w:color w:val="auto"/>
                <w:lang w:val="en-GB"/>
              </w:rPr>
              <w:t>24 Target</w:t>
            </w:r>
          </w:p>
        </w:tc>
        <w:tc>
          <w:tcPr>
            <w:tcW w:w="1347" w:type="dxa"/>
            <w:shd w:val="clear" w:color="auto" w:fill="A1CE63"/>
          </w:tcPr>
          <w:p w14:paraId="3EBDB268" w14:textId="77777777" w:rsidR="000D3DCF" w:rsidRPr="00A15A18" w:rsidRDefault="000D3DCF" w:rsidP="00BB40DF">
            <w:pPr>
              <w:pStyle w:val="TableBody"/>
              <w:jc w:val="right"/>
              <w:rPr>
                <w:color w:val="auto"/>
                <w:lang w:val="en-GB"/>
              </w:rPr>
            </w:pPr>
            <w:r w:rsidRPr="00A15A18">
              <w:rPr>
                <w:color w:val="auto"/>
                <w:lang w:val="en-GB"/>
              </w:rPr>
              <w:t>2023</w:t>
            </w:r>
            <w:r w:rsidRPr="00A15A18">
              <w:rPr>
                <w:color w:val="auto"/>
              </w:rPr>
              <w:t>–</w:t>
            </w:r>
            <w:r w:rsidRPr="00A15A18">
              <w:rPr>
                <w:color w:val="auto"/>
                <w:lang w:val="en-GB"/>
              </w:rPr>
              <w:t>24 Result</w:t>
            </w:r>
          </w:p>
        </w:tc>
        <w:tc>
          <w:tcPr>
            <w:tcW w:w="1355" w:type="dxa"/>
            <w:shd w:val="clear" w:color="auto" w:fill="A1CE63"/>
          </w:tcPr>
          <w:p w14:paraId="0E721354" w14:textId="77777777" w:rsidR="000D3DCF" w:rsidRPr="00A15A18" w:rsidRDefault="000D3DCF" w:rsidP="00BB40DF">
            <w:pPr>
              <w:pStyle w:val="TableBody"/>
              <w:jc w:val="right"/>
              <w:rPr>
                <w:color w:val="auto"/>
                <w:lang w:val="en-GB"/>
              </w:rPr>
            </w:pPr>
            <w:r w:rsidRPr="00A15A18">
              <w:rPr>
                <w:color w:val="auto"/>
                <w:lang w:val="en-GB"/>
              </w:rPr>
              <w:t>2023</w:t>
            </w:r>
            <w:r w:rsidRPr="00A15A18">
              <w:rPr>
                <w:color w:val="auto"/>
              </w:rPr>
              <w:t>–</w:t>
            </w:r>
            <w:r w:rsidRPr="00A15A18">
              <w:rPr>
                <w:color w:val="auto"/>
                <w:lang w:val="en-GB"/>
              </w:rPr>
              <w:t>24 Outcome</w:t>
            </w:r>
          </w:p>
        </w:tc>
        <w:tc>
          <w:tcPr>
            <w:tcW w:w="1330" w:type="dxa"/>
            <w:shd w:val="clear" w:color="auto" w:fill="A1CE63"/>
          </w:tcPr>
          <w:p w14:paraId="495C454C" w14:textId="77777777" w:rsidR="000D3DCF" w:rsidRPr="00A15A18" w:rsidRDefault="000D3DCF" w:rsidP="00BB40DF">
            <w:pPr>
              <w:pStyle w:val="TableBody"/>
              <w:jc w:val="right"/>
              <w:rPr>
                <w:color w:val="auto"/>
                <w:lang w:val="en-GB"/>
              </w:rPr>
            </w:pPr>
            <w:r w:rsidRPr="00A15A18">
              <w:rPr>
                <w:color w:val="auto"/>
                <w:lang w:val="en-GB"/>
              </w:rPr>
              <w:t>2022</w:t>
            </w:r>
            <w:r w:rsidRPr="00A15A18">
              <w:rPr>
                <w:color w:val="auto"/>
              </w:rPr>
              <w:t>–</w:t>
            </w:r>
            <w:r w:rsidRPr="00A15A18">
              <w:rPr>
                <w:color w:val="auto"/>
                <w:lang w:val="en-GB"/>
              </w:rPr>
              <w:t>23 Result</w:t>
            </w:r>
          </w:p>
        </w:tc>
      </w:tr>
      <w:tr w:rsidR="000D3DCF" w:rsidRPr="00A33264" w14:paraId="7436A266" w14:textId="77777777" w:rsidTr="007145B8">
        <w:trPr>
          <w:cnfStyle w:val="000000100000" w:firstRow="0" w:lastRow="0" w:firstColumn="0" w:lastColumn="0" w:oddVBand="0" w:evenVBand="0" w:oddHBand="1" w:evenHBand="0" w:firstRowFirstColumn="0" w:firstRowLastColumn="0" w:lastRowFirstColumn="0" w:lastRowLastColumn="0"/>
          <w:cantSplit/>
        </w:trPr>
        <w:tc>
          <w:tcPr>
            <w:tcW w:w="3637" w:type="dxa"/>
            <w:shd w:val="clear" w:color="auto" w:fill="E5F1D4"/>
          </w:tcPr>
          <w:p w14:paraId="3F6EA2AC" w14:textId="122F24FE" w:rsidR="000D3DCF" w:rsidRPr="00A33264" w:rsidRDefault="000D3DCF" w:rsidP="00241CD7">
            <w:pPr>
              <w:pStyle w:val="TableBody"/>
              <w:rPr>
                <w:lang w:val="en-GB"/>
              </w:rPr>
            </w:pPr>
            <w:r w:rsidRPr="00A33264">
              <w:rPr>
                <w:lang w:val="en-GB"/>
              </w:rPr>
              <w:t>Socioeconomic equity</w:t>
            </w:r>
          </w:p>
        </w:tc>
        <w:tc>
          <w:tcPr>
            <w:tcW w:w="1347" w:type="dxa"/>
            <w:shd w:val="clear" w:color="auto" w:fill="E5F1D4"/>
          </w:tcPr>
          <w:p w14:paraId="12638784" w14:textId="77777777" w:rsidR="000D3DCF" w:rsidRPr="00A33264" w:rsidRDefault="000D3DCF" w:rsidP="00BB40DF">
            <w:pPr>
              <w:pStyle w:val="TableBody"/>
              <w:jc w:val="right"/>
              <w:rPr>
                <w:lang w:val="en-GB"/>
              </w:rPr>
            </w:pPr>
            <w:r w:rsidRPr="00A33264">
              <w:rPr>
                <w:lang w:val="en-GB"/>
              </w:rPr>
              <w:t>104%</w:t>
            </w:r>
          </w:p>
        </w:tc>
        <w:tc>
          <w:tcPr>
            <w:tcW w:w="1347" w:type="dxa"/>
            <w:shd w:val="clear" w:color="auto" w:fill="E5F1D4"/>
          </w:tcPr>
          <w:p w14:paraId="0F527D11" w14:textId="77777777" w:rsidR="000D3DCF" w:rsidRPr="00A33264" w:rsidRDefault="000D3DCF" w:rsidP="00BB40DF">
            <w:pPr>
              <w:pStyle w:val="TableBody"/>
              <w:jc w:val="right"/>
              <w:rPr>
                <w:lang w:val="en-GB"/>
              </w:rPr>
            </w:pPr>
            <w:r w:rsidRPr="00A33264">
              <w:rPr>
                <w:lang w:val="en-GB"/>
              </w:rPr>
              <w:t>99.9%</w:t>
            </w:r>
          </w:p>
        </w:tc>
        <w:tc>
          <w:tcPr>
            <w:tcW w:w="1355" w:type="dxa"/>
            <w:shd w:val="clear" w:color="auto" w:fill="E5F1D4"/>
          </w:tcPr>
          <w:p w14:paraId="6A94ABCC" w14:textId="77777777" w:rsidR="000D3DCF" w:rsidRPr="00A33264" w:rsidRDefault="000D3DCF" w:rsidP="00BB40DF">
            <w:pPr>
              <w:pStyle w:val="TableBody"/>
              <w:jc w:val="right"/>
              <w:rPr>
                <w:lang w:val="en-GB"/>
              </w:rPr>
            </w:pPr>
            <w:r w:rsidRPr="00A33264">
              <w:rPr>
                <w:lang w:val="en-GB"/>
              </w:rPr>
              <w:t>Achieved</w:t>
            </w:r>
          </w:p>
        </w:tc>
        <w:tc>
          <w:tcPr>
            <w:tcW w:w="1330" w:type="dxa"/>
            <w:shd w:val="clear" w:color="auto" w:fill="E5F1D4"/>
          </w:tcPr>
          <w:p w14:paraId="648F9AE8" w14:textId="77777777" w:rsidR="000D3DCF" w:rsidRPr="00A33264" w:rsidRDefault="000D3DCF" w:rsidP="00BB40DF">
            <w:pPr>
              <w:pStyle w:val="TableBody"/>
              <w:jc w:val="right"/>
              <w:rPr>
                <w:lang w:val="en-GB"/>
              </w:rPr>
            </w:pPr>
            <w:r>
              <w:rPr>
                <w:lang w:val="en-GB"/>
              </w:rPr>
              <w:t>101.7%</w:t>
            </w:r>
          </w:p>
        </w:tc>
      </w:tr>
    </w:tbl>
    <w:p w14:paraId="6F012760" w14:textId="77777777" w:rsidR="000D3DCF" w:rsidRDefault="000D3DCF" w:rsidP="00B27FA1">
      <w:pPr>
        <w:pStyle w:val="Heading6"/>
        <w:rPr>
          <w:rFonts w:eastAsia="Yu Mincho"/>
        </w:rPr>
      </w:pPr>
      <w:r>
        <w:rPr>
          <w:rFonts w:eastAsia="Yu Mincho"/>
        </w:rPr>
        <w:t>Why we measure this</w:t>
      </w:r>
    </w:p>
    <w:p w14:paraId="1A5085B0" w14:textId="35AAE6F6" w:rsidR="000D3DCF" w:rsidRDefault="000D3DCF" w:rsidP="007145B8">
      <w:r w:rsidRPr="009C34F0">
        <w:rPr>
          <w:rFonts w:eastAsia="Yu Mincho"/>
          <w:lang w:val="en-US"/>
        </w:rPr>
        <w:t xml:space="preserve">The purpose of this performance measure is to assess the effectiveness </w:t>
      </w:r>
      <w:r w:rsidRPr="009C34F0">
        <w:t>of Australian Government activities to stimulate the market</w:t>
      </w:r>
      <w:r>
        <w:t xml:space="preserve"> and</w:t>
      </w:r>
      <w:r w:rsidRPr="009C34F0">
        <w:t xml:space="preserve"> enable participants to have value for money and equitable access to supports. </w:t>
      </w:r>
    </w:p>
    <w:p w14:paraId="1E257580" w14:textId="77777777" w:rsidR="000D3DCF" w:rsidRDefault="000D3DCF" w:rsidP="00B27FA1">
      <w:pPr>
        <w:pStyle w:val="Heading6"/>
      </w:pPr>
      <w:r>
        <w:t>How we measure this</w:t>
      </w:r>
    </w:p>
    <w:p w14:paraId="18C260D0" w14:textId="3BAB6BF1" w:rsidR="00247078" w:rsidRDefault="000D3DCF" w:rsidP="00247078">
      <w:pPr>
        <w:rPr>
          <w:rStyle w:val="ui-provider"/>
        </w:rPr>
      </w:pPr>
      <w:r>
        <w:t>We obtain our results for this performance measure by</w:t>
      </w:r>
      <w:r w:rsidRPr="009C34F0" w:rsidDel="004A7328">
        <w:t xml:space="preserve"> </w:t>
      </w:r>
      <w:r w:rsidRPr="009C34F0">
        <w:t>us</w:t>
      </w:r>
      <w:r>
        <w:t>ing</w:t>
      </w:r>
      <w:r w:rsidRPr="009C34F0">
        <w:t xml:space="preserve"> a participant’s residential address to allocate them to a socioeconomic decile based on the 2021 A</w:t>
      </w:r>
      <w:r>
        <w:t xml:space="preserve">ustralian </w:t>
      </w:r>
      <w:r w:rsidRPr="009C34F0">
        <w:t>B</w:t>
      </w:r>
      <w:r>
        <w:t xml:space="preserve">ureau of </w:t>
      </w:r>
      <w:r w:rsidRPr="009C34F0">
        <w:t>S</w:t>
      </w:r>
      <w:r>
        <w:t>tatistics (ABS)</w:t>
      </w:r>
      <w:r w:rsidRPr="009C34F0">
        <w:t xml:space="preserve"> Index of Education and Occupation (IEO) index classification. The annual result is calculated using the 2021 Socio</w:t>
      </w:r>
      <w:r w:rsidR="00E92EBD">
        <w:t>e</w:t>
      </w:r>
      <w:r w:rsidRPr="009C34F0">
        <w:t>conomic Index</w:t>
      </w:r>
      <w:r>
        <w:t>es</w:t>
      </w:r>
      <w:r w:rsidRPr="009C34F0">
        <w:t xml:space="preserve"> </w:t>
      </w:r>
      <w:r>
        <w:t>f</w:t>
      </w:r>
      <w:r w:rsidRPr="009C34F0">
        <w:t>or Areas</w:t>
      </w:r>
      <w:r>
        <w:t xml:space="preserve"> (SE</w:t>
      </w:r>
      <w:r w:rsidR="00441014">
        <w:t>I</w:t>
      </w:r>
      <w:r>
        <w:t>FA)</w:t>
      </w:r>
      <w:r w:rsidRPr="009C34F0">
        <w:t xml:space="preserve"> IEO </w:t>
      </w:r>
      <w:r>
        <w:t>d</w:t>
      </w:r>
      <w:r w:rsidRPr="009C34F0">
        <w:t>ecile data for the whole period. The 2022</w:t>
      </w:r>
      <w:r w:rsidRPr="00A15A18">
        <w:t>–</w:t>
      </w:r>
      <w:r w:rsidRPr="009C34F0">
        <w:t>23 annual result was calculated using the 2016</w:t>
      </w:r>
      <w:r>
        <w:t xml:space="preserve"> ABS</w:t>
      </w:r>
      <w:r w:rsidRPr="009C34F0">
        <w:t xml:space="preserve"> </w:t>
      </w:r>
      <w:r>
        <w:t>SEIFA</w:t>
      </w:r>
      <w:r w:rsidRPr="009C34F0">
        <w:t xml:space="preserve"> IEO </w:t>
      </w:r>
      <w:r>
        <w:t>d</w:t>
      </w:r>
      <w:r w:rsidRPr="009C34F0">
        <w:t xml:space="preserve">ecile data. We calculate the average annual plan budget for participants in the top 2 deciles divided by the average annual plan budget for participants in the bottom 2 deciles. </w:t>
      </w:r>
      <w:r w:rsidRPr="009C34F0">
        <w:rPr>
          <w:rFonts w:eastAsia="Yu Mincho"/>
          <w:lang w:val="en-US"/>
        </w:rPr>
        <w:t xml:space="preserve">This measure aims to ensure that plan budgets are </w:t>
      </w:r>
      <w:proofErr w:type="gramStart"/>
      <w:r w:rsidRPr="009C34F0">
        <w:rPr>
          <w:rFonts w:eastAsia="Yu Mincho"/>
          <w:lang w:val="en-US"/>
        </w:rPr>
        <w:t>reasonably consistent</w:t>
      </w:r>
      <w:proofErr w:type="gramEnd"/>
      <w:r w:rsidRPr="009C34F0">
        <w:rPr>
          <w:rFonts w:eastAsia="Yu Mincho"/>
          <w:lang w:val="en-US"/>
        </w:rPr>
        <w:t xml:space="preserve"> across different socioeconomic areas within Australia. </w:t>
      </w:r>
    </w:p>
    <w:p w14:paraId="7CE92EB6" w14:textId="18B205B0" w:rsidR="00AA02E5" w:rsidRDefault="000D3DCF" w:rsidP="00AA02E5">
      <w:pPr>
        <w:rPr>
          <w:bCs/>
          <w:color w:val="6B2876" w:themeColor="text1"/>
          <w:sz w:val="26"/>
          <w:szCs w:val="28"/>
        </w:rPr>
      </w:pPr>
      <w:r>
        <w:rPr>
          <w:rStyle w:val="ui-provider"/>
        </w:rPr>
        <w:t>The measure compares the average annualised plan budget of active participants aged 0</w:t>
      </w:r>
      <w:r w:rsidRPr="00A15A18">
        <w:t>–</w:t>
      </w:r>
      <w:r>
        <w:rPr>
          <w:rStyle w:val="ui-provider"/>
        </w:rPr>
        <w:t>64 without supported independent living (mix-adjusted for age profile) in the top 2 IEO deciles with the average annualised plan budget of active participants not receiving supported independent living (mix-adjusted for age profile) in the bottom 2 IEO deciles.</w:t>
      </w:r>
      <w:r w:rsidRPr="00561A72">
        <w:rPr>
          <w:rStyle w:val="FootnoteReference"/>
        </w:rPr>
        <w:footnoteReference w:id="3"/>
      </w:r>
      <w:r w:rsidR="00A16CD1">
        <w:rPr>
          <w:rStyle w:val="ui-provider"/>
        </w:rPr>
        <w:t xml:space="preserve"> </w:t>
      </w:r>
      <w:r>
        <w:rPr>
          <w:rStyle w:val="ui-provider"/>
        </w:rPr>
        <w:t>A result above 100% indicates that participants in higher socioeconomic areas have higher average plan budgets than those in lower socioeconomic areas.</w:t>
      </w:r>
      <w:r w:rsidR="00AA02E5">
        <w:br w:type="page"/>
      </w:r>
    </w:p>
    <w:p w14:paraId="4EB06FE7" w14:textId="3A58D4D1" w:rsidR="000D3DCF" w:rsidRDefault="000D3DCF" w:rsidP="00B27FA1">
      <w:pPr>
        <w:pStyle w:val="Heading6"/>
      </w:pPr>
      <w:r>
        <w:lastRenderedPageBreak/>
        <w:t>Analysis</w:t>
      </w:r>
    </w:p>
    <w:p w14:paraId="61C1BF5E" w14:textId="0B616F50" w:rsidR="000D3DCF" w:rsidRPr="009C34F0" w:rsidRDefault="000D3DCF" w:rsidP="007145B8">
      <w:pPr>
        <w:rPr>
          <w:rFonts w:eastAsia="Yu Mincho"/>
          <w:lang w:val="en-US"/>
        </w:rPr>
      </w:pPr>
      <w:r w:rsidRPr="009C34F0">
        <w:rPr>
          <w:rFonts w:eastAsia="Yu Mincho"/>
          <w:lang w:val="en-US"/>
        </w:rPr>
        <w:t>For the 2023</w:t>
      </w:r>
      <w:r w:rsidRPr="00A15A18">
        <w:t>–</w:t>
      </w:r>
      <w:r w:rsidRPr="009C34F0">
        <w:rPr>
          <w:rFonts w:eastAsia="Yu Mincho"/>
          <w:lang w:val="en-US"/>
        </w:rPr>
        <w:t>24 period, socioeconomic equity was 99.9%</w:t>
      </w:r>
      <w:r>
        <w:rPr>
          <w:rFonts w:eastAsia="Yu Mincho"/>
          <w:lang w:val="en-US"/>
        </w:rPr>
        <w:t xml:space="preserve"> </w:t>
      </w:r>
      <w:r>
        <w:rPr>
          <w:rFonts w:ascii="Symbol" w:eastAsia="Symbol" w:hAnsi="Symbol" w:cs="Symbol"/>
          <w:lang w:val="en-US"/>
        </w:rPr>
        <w:sym w:font="Symbol" w:char="F02D"/>
      </w:r>
      <w:r>
        <w:rPr>
          <w:rFonts w:ascii="Symbol" w:eastAsia="Symbol" w:hAnsi="Symbol" w:cs="Symbol"/>
          <w:lang w:val="en-US"/>
        </w:rPr>
        <w:t xml:space="preserve"> </w:t>
      </w:r>
      <w:r>
        <w:rPr>
          <w:rFonts w:eastAsia="Yu Mincho"/>
          <w:lang w:val="en-US"/>
        </w:rPr>
        <w:t>4.1% lower than the target</w:t>
      </w:r>
      <w:r w:rsidRPr="009C34F0">
        <w:rPr>
          <w:rFonts w:eastAsia="Yu Mincho"/>
          <w:lang w:val="en-US"/>
        </w:rPr>
        <w:t>.</w:t>
      </w:r>
      <w:r>
        <w:rPr>
          <w:rFonts w:eastAsia="Yu Mincho"/>
          <w:lang w:val="en-US"/>
        </w:rPr>
        <w:t xml:space="preserve"> </w:t>
      </w:r>
      <w:r>
        <w:rPr>
          <w:rStyle w:val="ui-provider"/>
        </w:rPr>
        <w:t>The result is below 100%, indicating that participants in higher socioeconomic areas have lower average plan budgets than those in lower socioeconomic areas.</w:t>
      </w:r>
      <w:r w:rsidRPr="009C34F0">
        <w:rPr>
          <w:rFonts w:eastAsia="Yu Mincho"/>
          <w:lang w:val="en-US"/>
        </w:rPr>
        <w:t xml:space="preserve"> </w:t>
      </w:r>
    </w:p>
    <w:p w14:paraId="60D759CE" w14:textId="46C045DD" w:rsidR="000D3DCF" w:rsidRPr="009C34F0" w:rsidRDefault="004C6771" w:rsidP="007145B8">
      <w:pPr>
        <w:rPr>
          <w:rFonts w:eastAsia="Arial"/>
          <w:color w:val="000000"/>
          <w:lang w:val="en-US"/>
        </w:rPr>
      </w:pPr>
      <w:r w:rsidRPr="0098744B">
        <w:rPr>
          <w:rFonts w:eastAsia="Yu Mincho"/>
        </w:rPr>
        <w:t xml:space="preserve">The NDIS is a needs-based system that </w:t>
      </w:r>
      <w:r>
        <w:rPr>
          <w:rFonts w:eastAsia="Yu Mincho"/>
        </w:rPr>
        <w:t>does not consider</w:t>
      </w:r>
      <w:r w:rsidRPr="0098744B">
        <w:rPr>
          <w:rFonts w:eastAsia="Yu Mincho"/>
        </w:rPr>
        <w:t xml:space="preserve"> socioeconomic status when determining eligibility or funding. NDIA staff are trained to base planning decisions solely on the participant's support needs</w:t>
      </w:r>
      <w:r w:rsidR="0055206C">
        <w:rPr>
          <w:rFonts w:eastAsia="Yu Mincho"/>
        </w:rPr>
        <w:t>. Planning decision</w:t>
      </w:r>
      <w:r w:rsidR="00491D4B">
        <w:rPr>
          <w:rFonts w:eastAsia="Yu Mincho"/>
        </w:rPr>
        <w:t xml:space="preserve">s are validated </w:t>
      </w:r>
      <w:r w:rsidRPr="0098744B">
        <w:rPr>
          <w:rFonts w:eastAsia="Yu Mincho"/>
        </w:rPr>
        <w:t xml:space="preserve"> through internal quality checks and ongoing improvements</w:t>
      </w:r>
      <w:r w:rsidR="003B527D">
        <w:rPr>
          <w:rFonts w:eastAsia="Yu Mincho"/>
        </w:rPr>
        <w:t>.</w:t>
      </w:r>
    </w:p>
    <w:p w14:paraId="409D19D0" w14:textId="5B77BB6D" w:rsidR="000D3DCF" w:rsidRPr="009C34F0" w:rsidRDefault="000D3DCF" w:rsidP="007145B8">
      <w:pPr>
        <w:rPr>
          <w:rFonts w:eastAsia="Yu Mincho"/>
        </w:rPr>
      </w:pPr>
      <w:r w:rsidRPr="009C34F0">
        <w:rPr>
          <w:rFonts w:eastAsia="Yu Mincho"/>
        </w:rPr>
        <w:t xml:space="preserve">Specialist NDIA planning teams work with participants who live in remote and very remote locations to support equitable planning decisions. </w:t>
      </w:r>
    </w:p>
    <w:p w14:paraId="65F42291" w14:textId="1B5E3285" w:rsidR="000D3DCF" w:rsidRPr="009C34F0" w:rsidRDefault="000D3DCF" w:rsidP="007145B8">
      <w:pPr>
        <w:rPr>
          <w:rFonts w:eastAsia="Yu Mincho"/>
        </w:rPr>
      </w:pPr>
      <w:r w:rsidRPr="009C34F0">
        <w:rPr>
          <w:rFonts w:eastAsia="Yu Mincho"/>
        </w:rPr>
        <w:t>At present</w:t>
      </w:r>
      <w:r>
        <w:rPr>
          <w:rFonts w:eastAsia="Yu Mincho"/>
        </w:rPr>
        <w:t>,</w:t>
      </w:r>
      <w:r w:rsidRPr="009C34F0">
        <w:rPr>
          <w:rFonts w:eastAsia="Yu Mincho"/>
        </w:rPr>
        <w:t xml:space="preserve"> the NDIA uses </w:t>
      </w:r>
      <w:bookmarkStart w:id="91" w:name="_Int_V6JvRy4D"/>
      <w:r w:rsidRPr="009C34F0">
        <w:rPr>
          <w:rFonts w:eastAsia="Yu Mincho"/>
        </w:rPr>
        <w:t>a number of</w:t>
      </w:r>
      <w:bookmarkEnd w:id="91"/>
      <w:r w:rsidRPr="009C34F0">
        <w:rPr>
          <w:rFonts w:eastAsia="Yu Mincho"/>
        </w:rPr>
        <w:t xml:space="preserve"> controls to ensure the consistency of planning across all participants</w:t>
      </w:r>
      <w:r>
        <w:rPr>
          <w:rFonts w:eastAsia="Yu Mincho"/>
        </w:rPr>
        <w:t>,</w:t>
      </w:r>
      <w:r w:rsidRPr="009C34F0">
        <w:rPr>
          <w:rFonts w:eastAsia="Yu Mincho"/>
        </w:rPr>
        <w:t xml:space="preserve"> including:</w:t>
      </w:r>
    </w:p>
    <w:p w14:paraId="61DF04FE" w14:textId="0E5DD4DE" w:rsidR="000D3DCF" w:rsidRPr="009C34F0" w:rsidRDefault="000D3DCF" w:rsidP="007145B8">
      <w:pPr>
        <w:pStyle w:val="Bullet1"/>
        <w:rPr>
          <w:rFonts w:eastAsia="Yu Mincho"/>
        </w:rPr>
      </w:pPr>
      <w:r>
        <w:rPr>
          <w:rFonts w:eastAsia="Yu Mincho"/>
        </w:rPr>
        <w:t>d</w:t>
      </w:r>
      <w:r w:rsidRPr="009C34F0">
        <w:rPr>
          <w:rFonts w:eastAsia="Yu Mincho"/>
        </w:rPr>
        <w:t>elegation controls for participant plans outside of expected ranges</w:t>
      </w:r>
    </w:p>
    <w:p w14:paraId="43CF68D4" w14:textId="30FF4A21" w:rsidR="000D3DCF" w:rsidRPr="009C34F0" w:rsidRDefault="000D3DCF" w:rsidP="007145B8">
      <w:pPr>
        <w:pStyle w:val="Bullet1"/>
        <w:rPr>
          <w:rFonts w:eastAsia="Yu Mincho"/>
        </w:rPr>
      </w:pPr>
      <w:r>
        <w:rPr>
          <w:rFonts w:eastAsia="Yu Mincho"/>
        </w:rPr>
        <w:t>p</w:t>
      </w:r>
      <w:r w:rsidRPr="009C34F0">
        <w:rPr>
          <w:rFonts w:eastAsia="Yu Mincho"/>
        </w:rPr>
        <w:t>re</w:t>
      </w:r>
      <w:r>
        <w:rPr>
          <w:rFonts w:eastAsia="Yu Mincho"/>
        </w:rPr>
        <w:t>-</w:t>
      </w:r>
      <w:r w:rsidRPr="009C34F0">
        <w:rPr>
          <w:rFonts w:eastAsia="Yu Mincho"/>
        </w:rPr>
        <w:t xml:space="preserve"> and </w:t>
      </w:r>
      <w:r w:rsidR="00974D58" w:rsidRPr="009C34F0">
        <w:rPr>
          <w:rFonts w:eastAsia="Yu Mincho"/>
        </w:rPr>
        <w:t>post</w:t>
      </w:r>
      <w:r w:rsidR="00974D58">
        <w:rPr>
          <w:rFonts w:eastAsia="Yu Mincho"/>
        </w:rPr>
        <w:t>-</w:t>
      </w:r>
      <w:r w:rsidR="00974D58" w:rsidRPr="009C34F0">
        <w:rPr>
          <w:rFonts w:eastAsia="Yu Mincho"/>
        </w:rPr>
        <w:t>quality</w:t>
      </w:r>
      <w:r w:rsidRPr="009C34F0">
        <w:rPr>
          <w:rFonts w:eastAsia="Yu Mincho"/>
        </w:rPr>
        <w:t xml:space="preserve"> checking</w:t>
      </w:r>
    </w:p>
    <w:p w14:paraId="06F55DB8" w14:textId="04D5BF8B" w:rsidR="000D3DCF" w:rsidRPr="00AA0637" w:rsidRDefault="000D3DCF" w:rsidP="007145B8">
      <w:pPr>
        <w:pStyle w:val="Bullet1"/>
      </w:pPr>
      <w:r>
        <w:rPr>
          <w:rFonts w:eastAsia="Yu Mincho"/>
        </w:rPr>
        <w:t>t</w:t>
      </w:r>
      <w:r w:rsidRPr="009C34F0">
        <w:rPr>
          <w:rFonts w:eastAsia="Yu Mincho"/>
        </w:rPr>
        <w:t>argeted plan reviews for participants.</w:t>
      </w:r>
    </w:p>
    <w:p w14:paraId="1F6B5AE9" w14:textId="77777777" w:rsidR="00E124A7" w:rsidRPr="006E01C4" w:rsidRDefault="00E124A7" w:rsidP="00AA0637">
      <w:pPr>
        <w:pStyle w:val="Bullet1"/>
        <w:numPr>
          <w:ilvl w:val="0"/>
          <w:numId w:val="0"/>
        </w:numPr>
        <w:rPr>
          <w:rFonts w:eastAsia="Yu Mincho"/>
        </w:rPr>
      </w:pPr>
      <w:r w:rsidRPr="009C34F0">
        <w:rPr>
          <w:rFonts w:eastAsia="Yu Mincho"/>
        </w:rPr>
        <w:t xml:space="preserve">Participants </w:t>
      </w:r>
      <w:r>
        <w:rPr>
          <w:rFonts w:eastAsia="Yu Mincho"/>
        </w:rPr>
        <w:t xml:space="preserve">receive </w:t>
      </w:r>
      <w:r w:rsidRPr="009C34F0">
        <w:rPr>
          <w:rFonts w:eastAsia="Yu Mincho"/>
        </w:rPr>
        <w:t xml:space="preserve">a price-based loading to their plans to reflect higher operational costs. </w:t>
      </w:r>
      <w:r w:rsidRPr="006E01C4">
        <w:rPr>
          <w:rFonts w:eastAsia="Yu Mincho"/>
        </w:rPr>
        <w:t>Remoteness is classified using the Department of Health and Aged Care Modified Monash Model.</w:t>
      </w:r>
    </w:p>
    <w:p w14:paraId="0E190103" w14:textId="0DEC455A" w:rsidR="000D3DCF" w:rsidRPr="00BB40DF" w:rsidRDefault="000D3DCF" w:rsidP="00BB40DF">
      <w:pPr>
        <w:pStyle w:val="Heading4"/>
      </w:pPr>
      <w:r w:rsidRPr="00BB40DF">
        <w:t>Program 1.2 performance statement</w:t>
      </w:r>
    </w:p>
    <w:p w14:paraId="70488729" w14:textId="77777777" w:rsidR="000D3DCF" w:rsidRPr="00A33264" w:rsidRDefault="000D3DCF" w:rsidP="001F5A8E">
      <w:pPr>
        <w:pStyle w:val="Heading5"/>
        <w:rPr>
          <w:lang w:val="en-GB"/>
        </w:rPr>
      </w:pPr>
      <w:r w:rsidRPr="00A33264">
        <w:rPr>
          <w:lang w:val="en-GB"/>
        </w:rPr>
        <w:t>Program 1.2 – Agency costs</w:t>
      </w:r>
    </w:p>
    <w:p w14:paraId="29761D24" w14:textId="0FB9C7A2" w:rsidR="000D3DCF" w:rsidRPr="00A33264" w:rsidRDefault="000D3DCF" w:rsidP="001F5A8E">
      <w:pPr>
        <w:rPr>
          <w:lang w:val="en-GB"/>
        </w:rPr>
      </w:pPr>
      <w:r w:rsidRPr="00A33264">
        <w:rPr>
          <w:lang w:val="en-GB"/>
        </w:rPr>
        <w:t xml:space="preserve">The </w:t>
      </w:r>
      <w:r>
        <w:rPr>
          <w:lang w:val="en-GB"/>
        </w:rPr>
        <w:t>NDIA’s</w:t>
      </w:r>
      <w:r w:rsidRPr="00A33264">
        <w:rPr>
          <w:lang w:val="en-GB"/>
        </w:rPr>
        <w:t xml:space="preserve"> costs program ensures efficient and effective use of operating resources to implement </w:t>
      </w:r>
      <w:r>
        <w:rPr>
          <w:lang w:val="en-GB"/>
        </w:rPr>
        <w:t>our</w:t>
      </w:r>
      <w:r w:rsidRPr="00A33264">
        <w:rPr>
          <w:lang w:val="en-GB"/>
        </w:rPr>
        <w:t xml:space="preserve"> outcomes</w:t>
      </w:r>
      <w:r>
        <w:rPr>
          <w:lang w:val="en-GB"/>
        </w:rPr>
        <w:t>.</w:t>
      </w:r>
      <w:r w:rsidRPr="00A33264">
        <w:rPr>
          <w:lang w:val="en-GB"/>
        </w:rPr>
        <w:t xml:space="preserve"> </w:t>
      </w:r>
      <w:r>
        <w:rPr>
          <w:lang w:val="en-GB"/>
        </w:rPr>
        <w:t>I</w:t>
      </w:r>
      <w:r w:rsidRPr="00A33264">
        <w:rPr>
          <w:lang w:val="en-GB"/>
        </w:rPr>
        <w:t>t is the primary delivery mechanism for the implementation of the NDIS. The NDIA is responsible for assessing applicants to the NDIS and developing plans, for those who are eligible, based on insurance principles, and administering the payments made under Program 1.1 Reasonable and necessary supports for participants.</w:t>
      </w:r>
    </w:p>
    <w:p w14:paraId="3348C1A0" w14:textId="26436B4C" w:rsidR="000D3DCF" w:rsidRPr="00A33264" w:rsidRDefault="000D3DCF" w:rsidP="001F5A8E">
      <w:pPr>
        <w:pStyle w:val="Heading5"/>
        <w:rPr>
          <w:lang w:val="en-GB"/>
        </w:rPr>
      </w:pPr>
      <w:r w:rsidRPr="00A33264">
        <w:rPr>
          <w:lang w:val="en-GB"/>
        </w:rPr>
        <w:t xml:space="preserve">Key </w:t>
      </w:r>
      <w:r>
        <w:rPr>
          <w:lang w:val="en-GB"/>
        </w:rPr>
        <w:t>a</w:t>
      </w:r>
      <w:r w:rsidRPr="00A33264">
        <w:rPr>
          <w:lang w:val="en-GB"/>
        </w:rPr>
        <w:t>ctivity 2 – Develop a high-performing NDIA for participants</w:t>
      </w:r>
    </w:p>
    <w:p w14:paraId="0938DEE9" w14:textId="77777777" w:rsidR="000D3DCF" w:rsidRPr="00A33264" w:rsidRDefault="000D3DCF" w:rsidP="001F5A8E">
      <w:pPr>
        <w:rPr>
          <w:b/>
          <w:bCs/>
          <w:lang w:val="en-GB"/>
        </w:rPr>
      </w:pPr>
      <w:r w:rsidRPr="00A33264">
        <w:rPr>
          <w:b/>
          <w:bCs/>
          <w:lang w:val="en-GB"/>
        </w:rPr>
        <w:t xml:space="preserve">Why this </w:t>
      </w:r>
      <w:r>
        <w:rPr>
          <w:b/>
          <w:bCs/>
          <w:lang w:val="en-GB"/>
        </w:rPr>
        <w:t>matters</w:t>
      </w:r>
    </w:p>
    <w:p w14:paraId="65CC4491" w14:textId="037815A2" w:rsidR="000D3DCF" w:rsidRPr="009C34F0" w:rsidRDefault="000D3DCF" w:rsidP="007145B8">
      <w:r>
        <w:t>In 2023</w:t>
      </w:r>
      <w:r>
        <w:rPr>
          <w:rFonts w:ascii="Symbol" w:eastAsia="Symbol" w:hAnsi="Symbol" w:cs="Symbol"/>
        </w:rPr>
        <w:sym w:font="Symbol" w:char="F02D"/>
      </w:r>
      <w:r>
        <w:t xml:space="preserve">24 </w:t>
      </w:r>
      <w:r w:rsidRPr="009C34F0">
        <w:t xml:space="preserve">the </w:t>
      </w:r>
      <w:r>
        <w:t>NDIA</w:t>
      </w:r>
      <w:r w:rsidRPr="009C34F0">
        <w:t xml:space="preserve"> has focused on:</w:t>
      </w:r>
    </w:p>
    <w:p w14:paraId="686F6A28" w14:textId="77777777" w:rsidR="000D3DCF" w:rsidRPr="009C34F0" w:rsidRDefault="000D3DCF" w:rsidP="007145B8">
      <w:pPr>
        <w:pStyle w:val="Bullet1"/>
      </w:pPr>
      <w:r w:rsidRPr="009C34F0">
        <w:t>delivering a quality experience in line with the Participant Service Charter, Participant Service Guarantee and Participant Service Improvement Plan</w:t>
      </w:r>
    </w:p>
    <w:p w14:paraId="15486790" w14:textId="30E2A538" w:rsidR="000D3DCF" w:rsidRPr="009C34F0" w:rsidRDefault="000D3DCF" w:rsidP="007145B8">
      <w:pPr>
        <w:pStyle w:val="Bullet1"/>
      </w:pPr>
      <w:r w:rsidRPr="009C34F0">
        <w:t>developing a market with high</w:t>
      </w:r>
      <w:r>
        <w:t>-</w:t>
      </w:r>
      <w:r w:rsidRPr="009C34F0">
        <w:t>quality, competitive and innovative supports and services for participants</w:t>
      </w:r>
    </w:p>
    <w:p w14:paraId="15B9A96D" w14:textId="77777777" w:rsidR="000D3DCF" w:rsidRPr="009C34F0" w:rsidRDefault="000D3DCF" w:rsidP="007145B8">
      <w:pPr>
        <w:pStyle w:val="Bullet1"/>
      </w:pPr>
      <w:r w:rsidRPr="009C34F0">
        <w:lastRenderedPageBreak/>
        <w:t>enhancing sector and community sentiment and confidence through co-design, transparency and better communications</w:t>
      </w:r>
    </w:p>
    <w:p w14:paraId="0EA57139" w14:textId="77777777" w:rsidR="000D3DCF" w:rsidRPr="009C34F0" w:rsidRDefault="000D3DCF" w:rsidP="007145B8">
      <w:pPr>
        <w:pStyle w:val="Bullet1"/>
      </w:pPr>
      <w:r w:rsidRPr="009C34F0">
        <w:t>enhancing the efficiency and effectiveness of the NDIA</w:t>
      </w:r>
    </w:p>
    <w:p w14:paraId="7BF55B24" w14:textId="77777777" w:rsidR="000D3DCF" w:rsidRPr="009C34F0" w:rsidRDefault="000D3DCF" w:rsidP="007145B8">
      <w:pPr>
        <w:pStyle w:val="Bullet1"/>
      </w:pPr>
      <w:r w:rsidRPr="009C34F0">
        <w:t>maintaining strong staff engagement and wellbeing through a time of transformation</w:t>
      </w:r>
    </w:p>
    <w:p w14:paraId="0EB66034" w14:textId="01E9261F" w:rsidR="000D3DCF" w:rsidRPr="009C34F0" w:rsidRDefault="000D3DCF" w:rsidP="007145B8">
      <w:pPr>
        <w:pStyle w:val="Bullet1"/>
      </w:pPr>
      <w:r w:rsidRPr="009C34F0">
        <w:t>protect</w:t>
      </w:r>
      <w:r>
        <w:t>ing</w:t>
      </w:r>
      <w:r w:rsidRPr="009C34F0">
        <w:t xml:space="preserve"> the </w:t>
      </w:r>
      <w:r>
        <w:t>NDIS</w:t>
      </w:r>
      <w:r w:rsidRPr="009C34F0">
        <w:t xml:space="preserve"> from noncompliant and fraudulent practices through a control</w:t>
      </w:r>
      <w:r>
        <w:t>led</w:t>
      </w:r>
      <w:r w:rsidRPr="009C34F0">
        <w:t xml:space="preserve"> environment.</w:t>
      </w:r>
    </w:p>
    <w:p w14:paraId="05956291" w14:textId="77777777" w:rsidR="000D3DCF" w:rsidRPr="009C34F0" w:rsidRDefault="000D3DCF" w:rsidP="007145B8">
      <w:r w:rsidRPr="009C34F0">
        <w:t xml:space="preserve">To support this the </w:t>
      </w:r>
      <w:r>
        <w:t>NDIA</w:t>
      </w:r>
      <w:r w:rsidRPr="009C34F0">
        <w:t xml:space="preserve"> has also continued to prioritise:</w:t>
      </w:r>
    </w:p>
    <w:p w14:paraId="4EF30694" w14:textId="7D893F01" w:rsidR="000D3DCF" w:rsidRPr="00AA02E5" w:rsidRDefault="000D3DCF" w:rsidP="00AA02E5">
      <w:pPr>
        <w:pStyle w:val="Bullet1"/>
      </w:pPr>
      <w:r w:rsidRPr="00AA02E5">
        <w:t>ensuring people with disability are at the centre of improving the NDIS through its partnership in co-design</w:t>
      </w:r>
    </w:p>
    <w:p w14:paraId="5C50348E" w14:textId="487C69DE" w:rsidR="000D3DCF" w:rsidRPr="00AA02E5" w:rsidRDefault="000D3DCF" w:rsidP="00AA02E5">
      <w:pPr>
        <w:pStyle w:val="Bullet1"/>
      </w:pPr>
      <w:r w:rsidRPr="00AA02E5">
        <w:t>improving the efficiency of NDIA’s operating capability through investment in underlying digital systems and processes, including continued enhancement of integrity controls</w:t>
      </w:r>
    </w:p>
    <w:p w14:paraId="0BFD0ECB" w14:textId="1532B842" w:rsidR="000D3DCF" w:rsidRPr="00AA02E5" w:rsidRDefault="000D3DCF" w:rsidP="00AA02E5">
      <w:pPr>
        <w:pStyle w:val="Bullet1"/>
      </w:pPr>
      <w:r w:rsidRPr="00AA02E5">
        <w:t>increasing the consistency, transparency and rigour of our decision-making through clearer policies, operational guidelines and controls</w:t>
      </w:r>
    </w:p>
    <w:p w14:paraId="062D481C" w14:textId="2A0E9655" w:rsidR="000D3DCF" w:rsidRPr="00AA02E5" w:rsidRDefault="000D3DCF" w:rsidP="00AA02E5">
      <w:pPr>
        <w:pStyle w:val="Bullet1"/>
      </w:pPr>
      <w:r w:rsidRPr="00AA02E5">
        <w:t>improving alternative dispute resolution processes for participants appealing NDIS decisions</w:t>
      </w:r>
    </w:p>
    <w:p w14:paraId="1233FCCB" w14:textId="30E5041F" w:rsidR="000D3DCF" w:rsidRPr="00AA02E5" w:rsidRDefault="000D3DCF" w:rsidP="00AA02E5">
      <w:pPr>
        <w:pStyle w:val="Bullet1"/>
      </w:pPr>
      <w:r w:rsidRPr="00AA02E5">
        <w:t>reducing the number of NDIS participants who remain in hospital when they are medically ready to be discharged and reducing the number of younger people in residential aged care</w:t>
      </w:r>
    </w:p>
    <w:p w14:paraId="6F75A813" w14:textId="7D93F7E8" w:rsidR="000D3DCF" w:rsidRPr="00AA02E5" w:rsidRDefault="000D3DCF" w:rsidP="00AA02E5">
      <w:pPr>
        <w:pStyle w:val="Bullet1"/>
      </w:pPr>
      <w:r w:rsidRPr="00AA02E5">
        <w:t>identifying market gaps and barriers, including assisting communities in specific geographical locations, including remote and very remote, to strengthen local supply solutions</w:t>
      </w:r>
    </w:p>
    <w:p w14:paraId="0FBDC0D0" w14:textId="0D207E83" w:rsidR="000D3DCF" w:rsidRPr="00AA02E5" w:rsidRDefault="000D3DCF" w:rsidP="00AA02E5">
      <w:pPr>
        <w:pStyle w:val="Bullet1"/>
      </w:pPr>
      <w:r w:rsidRPr="00AA02E5">
        <w:t>protecting the NDIS from noncompliant and fraudulent practices</w:t>
      </w:r>
    </w:p>
    <w:p w14:paraId="2DFF9EC0" w14:textId="07F4787A" w:rsidR="00247078" w:rsidRDefault="000D3DCF" w:rsidP="00AA02E5">
      <w:pPr>
        <w:pStyle w:val="Bullet1"/>
      </w:pPr>
      <w:r w:rsidRPr="00AA02E5">
        <w:t>increasing efforts to support children and young people in the NDIS. We are building a strong practice model to drive better outcomes, including reviewing how it is working with mainstream partners and providing a voice for children and their families in design and delivery of plans</w:t>
      </w:r>
      <w:r>
        <w:t>.</w:t>
      </w:r>
    </w:p>
    <w:p w14:paraId="51DCCEEB" w14:textId="1EFAF78C" w:rsidR="00AA02E5" w:rsidRDefault="000D3DCF" w:rsidP="00AA02E5">
      <w:pPr>
        <w:rPr>
          <w:b/>
          <w:color w:val="6B2876" w:themeColor="text1"/>
          <w:sz w:val="28"/>
          <w:lang w:val="en-GB"/>
        </w:rPr>
      </w:pPr>
      <w:r w:rsidRPr="009C34F0">
        <w:t xml:space="preserve">The NDIA performance measures for key activity 2 act as a set when assessing achievement. </w:t>
      </w:r>
      <w:r w:rsidRPr="009C34F0">
        <w:rPr>
          <w:rStyle w:val="ui-provider"/>
        </w:rPr>
        <w:t>This section provides analysis of performance for each performance measure from the NDIA Corporate Plan 2023</w:t>
      </w:r>
      <w:r w:rsidRPr="00A15A18">
        <w:t>–</w:t>
      </w:r>
      <w:r>
        <w:rPr>
          <w:rStyle w:val="ui-provider"/>
        </w:rPr>
        <w:t>2027</w:t>
      </w:r>
      <w:r w:rsidRPr="009C34F0">
        <w:rPr>
          <w:rStyle w:val="ui-provider"/>
        </w:rPr>
        <w:t xml:space="preserve"> </w:t>
      </w:r>
      <w:r>
        <w:rPr>
          <w:rStyle w:val="ui-provider"/>
        </w:rPr>
        <w:t>along</w:t>
      </w:r>
      <w:r w:rsidRPr="009C34F0">
        <w:rPr>
          <w:rStyle w:val="ui-provider"/>
        </w:rPr>
        <w:t xml:space="preserve"> with a table for each measure </w:t>
      </w:r>
      <w:r>
        <w:rPr>
          <w:rStyle w:val="ui-provider"/>
        </w:rPr>
        <w:t>that shows</w:t>
      </w:r>
      <w:r w:rsidRPr="009C34F0">
        <w:rPr>
          <w:rStyle w:val="ui-provider"/>
        </w:rPr>
        <w:t xml:space="preserve"> the result and the outcome</w:t>
      </w:r>
      <w:r>
        <w:rPr>
          <w:rStyle w:val="ui-provider"/>
        </w:rPr>
        <w:t>.</w:t>
      </w:r>
      <w:r w:rsidRPr="009C34F0">
        <w:rPr>
          <w:rStyle w:val="ui-provider"/>
        </w:rPr>
        <w:t xml:space="preserve"> </w:t>
      </w:r>
      <w:r>
        <w:rPr>
          <w:rStyle w:val="ui-provider"/>
        </w:rPr>
        <w:t xml:space="preserve">Outcomes are </w:t>
      </w:r>
      <w:r w:rsidRPr="009C34F0">
        <w:rPr>
          <w:rStyle w:val="ui-provider"/>
        </w:rPr>
        <w:t xml:space="preserve">simplified to </w:t>
      </w:r>
      <w:r>
        <w:rPr>
          <w:rStyle w:val="ui-provider"/>
        </w:rPr>
        <w:t>‘</w:t>
      </w:r>
      <w:r w:rsidRPr="009C34F0">
        <w:rPr>
          <w:rStyle w:val="ui-provider"/>
        </w:rPr>
        <w:t>achieved</w:t>
      </w:r>
      <w:r>
        <w:rPr>
          <w:rStyle w:val="ui-provider"/>
        </w:rPr>
        <w:t>’</w:t>
      </w:r>
      <w:r w:rsidRPr="009C34F0">
        <w:rPr>
          <w:rStyle w:val="ui-provider"/>
        </w:rPr>
        <w:t xml:space="preserve">, </w:t>
      </w:r>
      <w:r>
        <w:rPr>
          <w:rStyle w:val="ui-provider"/>
        </w:rPr>
        <w:t>‘</w:t>
      </w:r>
      <w:r w:rsidRPr="009C34F0">
        <w:rPr>
          <w:rStyle w:val="ui-provider"/>
        </w:rPr>
        <w:t>partially achieved</w:t>
      </w:r>
      <w:r>
        <w:rPr>
          <w:rStyle w:val="ui-provider"/>
        </w:rPr>
        <w:t>’</w:t>
      </w:r>
      <w:r w:rsidRPr="009C34F0">
        <w:rPr>
          <w:rStyle w:val="ui-provider"/>
        </w:rPr>
        <w:t xml:space="preserve"> </w:t>
      </w:r>
      <w:r>
        <w:rPr>
          <w:rStyle w:val="ui-provider"/>
        </w:rPr>
        <w:t>and</w:t>
      </w:r>
      <w:r w:rsidRPr="009C34F0">
        <w:rPr>
          <w:rStyle w:val="ui-provider"/>
        </w:rPr>
        <w:t xml:space="preserve"> </w:t>
      </w:r>
      <w:r>
        <w:rPr>
          <w:rStyle w:val="ui-provider"/>
        </w:rPr>
        <w:t>‘</w:t>
      </w:r>
      <w:r w:rsidRPr="009C34F0">
        <w:rPr>
          <w:rStyle w:val="ui-provider"/>
        </w:rPr>
        <w:t>not achieved</w:t>
      </w:r>
      <w:r>
        <w:rPr>
          <w:rStyle w:val="ui-provider"/>
        </w:rPr>
        <w:t>’</w:t>
      </w:r>
      <w:r w:rsidRPr="009C34F0">
        <w:rPr>
          <w:rStyle w:val="ui-provider"/>
        </w:rPr>
        <w:t xml:space="preserve">. The analysis of performance </w:t>
      </w:r>
      <w:r>
        <w:rPr>
          <w:rStyle w:val="ui-provider"/>
        </w:rPr>
        <w:t>gives</w:t>
      </w:r>
      <w:r w:rsidRPr="009C34F0">
        <w:rPr>
          <w:rStyle w:val="ui-provider"/>
        </w:rPr>
        <w:t xml:space="preserve"> detail </w:t>
      </w:r>
      <w:r>
        <w:rPr>
          <w:rStyle w:val="ui-provider"/>
        </w:rPr>
        <w:t>about</w:t>
      </w:r>
      <w:r w:rsidRPr="009C34F0">
        <w:rPr>
          <w:rStyle w:val="ui-provider"/>
        </w:rPr>
        <w:t xml:space="preserve"> impacts on the achievement of key activity targets.</w:t>
      </w:r>
      <w:r w:rsidR="00AA02E5">
        <w:rPr>
          <w:lang w:val="en-GB"/>
        </w:rPr>
        <w:br w:type="page"/>
      </w:r>
    </w:p>
    <w:p w14:paraId="3C85B1E3" w14:textId="48BE9166" w:rsidR="000D3DCF" w:rsidRPr="00A33264" w:rsidRDefault="000D3DCF" w:rsidP="001F5A8E">
      <w:pPr>
        <w:pStyle w:val="Heading5"/>
        <w:rPr>
          <w:lang w:val="en-GB"/>
        </w:rPr>
      </w:pPr>
      <w:r w:rsidRPr="00A33264">
        <w:rPr>
          <w:lang w:val="en-GB"/>
        </w:rPr>
        <w:lastRenderedPageBreak/>
        <w:t>Analysis of performance</w:t>
      </w:r>
    </w:p>
    <w:p w14:paraId="70061A71" w14:textId="77777777" w:rsidR="000D3DCF" w:rsidRPr="00A33264" w:rsidRDefault="000D3DCF" w:rsidP="001F5A8E">
      <w:pPr>
        <w:rPr>
          <w:b/>
          <w:bCs/>
          <w:lang w:val="en-GB"/>
        </w:rPr>
      </w:pPr>
      <w:r w:rsidRPr="00A33264">
        <w:rPr>
          <w:b/>
          <w:bCs/>
          <w:lang w:val="en-GB"/>
        </w:rPr>
        <w:t>Participant Service Guarantee timeframes</w:t>
      </w:r>
    </w:p>
    <w:tbl>
      <w:tblPr>
        <w:tblStyle w:val="GridTable4"/>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20" w:firstRow="1" w:lastRow="0" w:firstColumn="0" w:lastColumn="0" w:noHBand="0" w:noVBand="1"/>
      </w:tblPr>
      <w:tblGrid>
        <w:gridCol w:w="3685"/>
        <w:gridCol w:w="1361"/>
        <w:gridCol w:w="1361"/>
        <w:gridCol w:w="1361"/>
        <w:gridCol w:w="1361"/>
      </w:tblGrid>
      <w:tr w:rsidR="00ED0351" w:rsidRPr="00ED0351" w14:paraId="2086977B" w14:textId="77777777" w:rsidTr="001C0A6D">
        <w:trPr>
          <w:cnfStyle w:val="100000000000" w:firstRow="1" w:lastRow="0" w:firstColumn="0" w:lastColumn="0" w:oddVBand="0" w:evenVBand="0" w:oddHBand="0" w:evenHBand="0" w:firstRowFirstColumn="0" w:firstRowLastColumn="0" w:lastRowFirstColumn="0" w:lastRowLastColumn="0"/>
          <w:cantSplit/>
        </w:trPr>
        <w:tc>
          <w:tcPr>
            <w:tcW w:w="3685" w:type="dxa"/>
            <w:shd w:val="clear" w:color="auto" w:fill="009EAD"/>
          </w:tcPr>
          <w:p w14:paraId="35315E1B" w14:textId="5B580780" w:rsidR="000D3DCF" w:rsidRPr="00ED0351" w:rsidRDefault="000D3DCF">
            <w:pPr>
              <w:pStyle w:val="TableBody"/>
              <w:rPr>
                <w:color w:val="auto"/>
                <w:lang w:val="en-GB"/>
              </w:rPr>
            </w:pPr>
            <w:bookmarkStart w:id="92" w:name="ColumnTitle_PerformanceMeasure11"/>
            <w:bookmarkEnd w:id="92"/>
            <w:r w:rsidRPr="00ED0351">
              <w:rPr>
                <w:color w:val="auto"/>
                <w:lang w:val="en-GB"/>
              </w:rPr>
              <w:t>Performance measure</w:t>
            </w:r>
          </w:p>
        </w:tc>
        <w:tc>
          <w:tcPr>
            <w:tcW w:w="1361" w:type="dxa"/>
            <w:shd w:val="clear" w:color="auto" w:fill="009EAD"/>
          </w:tcPr>
          <w:p w14:paraId="41F411CB" w14:textId="77777777" w:rsidR="000D3DCF" w:rsidRPr="00ED0351" w:rsidRDefault="000D3DCF" w:rsidP="00BB40DF">
            <w:pPr>
              <w:pStyle w:val="TableBody"/>
              <w:jc w:val="right"/>
              <w:rPr>
                <w:color w:val="auto"/>
                <w:lang w:val="en-GB"/>
              </w:rPr>
            </w:pPr>
            <w:r w:rsidRPr="00ED0351">
              <w:rPr>
                <w:color w:val="auto"/>
                <w:lang w:val="en-GB"/>
              </w:rPr>
              <w:t>2023</w:t>
            </w:r>
            <w:r w:rsidRPr="00ED0351">
              <w:rPr>
                <w:color w:val="auto"/>
              </w:rPr>
              <w:t>–</w:t>
            </w:r>
            <w:r w:rsidRPr="00ED0351">
              <w:rPr>
                <w:color w:val="auto"/>
                <w:lang w:val="en-GB"/>
              </w:rPr>
              <w:t>24 Target</w:t>
            </w:r>
          </w:p>
        </w:tc>
        <w:tc>
          <w:tcPr>
            <w:tcW w:w="1361" w:type="dxa"/>
            <w:shd w:val="clear" w:color="auto" w:fill="009EAD"/>
          </w:tcPr>
          <w:p w14:paraId="4B5B665F" w14:textId="77777777" w:rsidR="000D3DCF" w:rsidRPr="00ED0351" w:rsidRDefault="000D3DCF" w:rsidP="00BB40DF">
            <w:pPr>
              <w:pStyle w:val="TableBody"/>
              <w:jc w:val="right"/>
              <w:rPr>
                <w:color w:val="auto"/>
                <w:lang w:val="en-GB"/>
              </w:rPr>
            </w:pPr>
            <w:r w:rsidRPr="00ED0351">
              <w:rPr>
                <w:color w:val="auto"/>
                <w:lang w:val="en-GB"/>
              </w:rPr>
              <w:t>2023</w:t>
            </w:r>
            <w:r w:rsidRPr="00ED0351">
              <w:rPr>
                <w:color w:val="auto"/>
              </w:rPr>
              <w:t>–</w:t>
            </w:r>
            <w:r w:rsidRPr="00ED0351">
              <w:rPr>
                <w:color w:val="auto"/>
                <w:lang w:val="en-GB"/>
              </w:rPr>
              <w:t>24 Result</w:t>
            </w:r>
          </w:p>
        </w:tc>
        <w:tc>
          <w:tcPr>
            <w:tcW w:w="1361" w:type="dxa"/>
            <w:shd w:val="clear" w:color="auto" w:fill="009EAD"/>
          </w:tcPr>
          <w:p w14:paraId="0C732B3F" w14:textId="77777777" w:rsidR="000D3DCF" w:rsidRPr="00ED0351" w:rsidRDefault="000D3DCF" w:rsidP="00BB40DF">
            <w:pPr>
              <w:pStyle w:val="TableBody"/>
              <w:jc w:val="right"/>
              <w:rPr>
                <w:color w:val="auto"/>
                <w:lang w:val="en-GB"/>
              </w:rPr>
            </w:pPr>
            <w:r w:rsidRPr="00ED0351">
              <w:rPr>
                <w:color w:val="auto"/>
                <w:lang w:val="en-GB"/>
              </w:rPr>
              <w:t>2023</w:t>
            </w:r>
            <w:r w:rsidRPr="00ED0351">
              <w:rPr>
                <w:color w:val="auto"/>
              </w:rPr>
              <w:t>–</w:t>
            </w:r>
            <w:r w:rsidRPr="00ED0351">
              <w:rPr>
                <w:color w:val="auto"/>
                <w:lang w:val="en-GB"/>
              </w:rPr>
              <w:t>24 Outcome</w:t>
            </w:r>
          </w:p>
        </w:tc>
        <w:tc>
          <w:tcPr>
            <w:tcW w:w="1361" w:type="dxa"/>
            <w:shd w:val="clear" w:color="auto" w:fill="009EAD"/>
          </w:tcPr>
          <w:p w14:paraId="394ED678" w14:textId="77777777" w:rsidR="000D3DCF" w:rsidRPr="00ED0351" w:rsidRDefault="000D3DCF" w:rsidP="00BB40DF">
            <w:pPr>
              <w:pStyle w:val="TableBody"/>
              <w:jc w:val="right"/>
              <w:rPr>
                <w:color w:val="auto"/>
                <w:lang w:val="en-GB"/>
              </w:rPr>
            </w:pPr>
            <w:r w:rsidRPr="00ED0351">
              <w:rPr>
                <w:color w:val="auto"/>
                <w:lang w:val="en-GB"/>
              </w:rPr>
              <w:t>2022</w:t>
            </w:r>
            <w:r w:rsidRPr="00ED0351">
              <w:rPr>
                <w:color w:val="auto"/>
              </w:rPr>
              <w:t>–</w:t>
            </w:r>
            <w:r w:rsidRPr="00ED0351">
              <w:rPr>
                <w:color w:val="auto"/>
                <w:lang w:val="en-GB"/>
              </w:rPr>
              <w:t>23 Result</w:t>
            </w:r>
          </w:p>
        </w:tc>
      </w:tr>
      <w:tr w:rsidR="000D3DCF" w:rsidRPr="00A33264" w14:paraId="33CD266D" w14:textId="77777777" w:rsidTr="007145B8">
        <w:trPr>
          <w:cnfStyle w:val="000000100000" w:firstRow="0" w:lastRow="0" w:firstColumn="0" w:lastColumn="0" w:oddVBand="0" w:evenVBand="0" w:oddHBand="1" w:evenHBand="0" w:firstRowFirstColumn="0" w:firstRowLastColumn="0" w:lastRowFirstColumn="0" w:lastRowLastColumn="0"/>
          <w:cantSplit/>
        </w:trPr>
        <w:tc>
          <w:tcPr>
            <w:tcW w:w="3685" w:type="dxa"/>
            <w:shd w:val="clear" w:color="auto" w:fill="C5E4E8"/>
          </w:tcPr>
          <w:p w14:paraId="666E1403" w14:textId="27AAC5F5" w:rsidR="000D3DCF" w:rsidRPr="00A33264" w:rsidRDefault="000D3DCF" w:rsidP="001F5A8E">
            <w:pPr>
              <w:pStyle w:val="TableBody"/>
              <w:rPr>
                <w:lang w:val="en-GB"/>
              </w:rPr>
            </w:pPr>
            <w:r w:rsidRPr="00A33264">
              <w:rPr>
                <w:lang w:val="en-GB"/>
              </w:rPr>
              <w:t xml:space="preserve">Participant Service Guarantee </w:t>
            </w:r>
            <w:r>
              <w:rPr>
                <w:lang w:val="en-GB"/>
              </w:rPr>
              <w:t>t</w:t>
            </w:r>
            <w:r w:rsidRPr="00A33264">
              <w:rPr>
                <w:lang w:val="en-GB"/>
              </w:rPr>
              <w:t xml:space="preserve">imeframes met 95% of the time </w:t>
            </w:r>
          </w:p>
        </w:tc>
        <w:tc>
          <w:tcPr>
            <w:tcW w:w="1361" w:type="dxa"/>
            <w:shd w:val="clear" w:color="auto" w:fill="C5E4E8"/>
          </w:tcPr>
          <w:p w14:paraId="28029820" w14:textId="77777777" w:rsidR="000D3DCF" w:rsidRPr="00A33264" w:rsidRDefault="000D3DCF" w:rsidP="00BB40DF">
            <w:pPr>
              <w:pStyle w:val="TableBody"/>
              <w:jc w:val="right"/>
              <w:rPr>
                <w:lang w:val="en-GB"/>
              </w:rPr>
            </w:pPr>
            <w:r w:rsidRPr="00A33264">
              <w:rPr>
                <w:lang w:val="en-GB"/>
              </w:rPr>
              <w:t>80%</w:t>
            </w:r>
          </w:p>
        </w:tc>
        <w:tc>
          <w:tcPr>
            <w:tcW w:w="1361" w:type="dxa"/>
            <w:shd w:val="clear" w:color="auto" w:fill="C5E4E8"/>
          </w:tcPr>
          <w:p w14:paraId="0692BFB9" w14:textId="77777777" w:rsidR="000D3DCF" w:rsidRPr="00A33264" w:rsidRDefault="000D3DCF" w:rsidP="00BB40DF">
            <w:pPr>
              <w:pStyle w:val="TableBody"/>
              <w:jc w:val="right"/>
              <w:rPr>
                <w:lang w:val="en-GB"/>
              </w:rPr>
            </w:pPr>
            <w:r w:rsidRPr="00A33264">
              <w:rPr>
                <w:lang w:val="en-GB" w:eastAsia="en-AU"/>
              </w:rPr>
              <w:t>32.9%</w:t>
            </w:r>
          </w:p>
        </w:tc>
        <w:tc>
          <w:tcPr>
            <w:tcW w:w="1361" w:type="dxa"/>
            <w:shd w:val="clear" w:color="auto" w:fill="C5E4E8"/>
          </w:tcPr>
          <w:p w14:paraId="46D1C33F" w14:textId="77777777" w:rsidR="000D3DCF" w:rsidRPr="00A33264" w:rsidRDefault="000D3DCF" w:rsidP="00BB40DF">
            <w:pPr>
              <w:pStyle w:val="TableBody"/>
              <w:jc w:val="right"/>
              <w:rPr>
                <w:lang w:val="en-GB"/>
              </w:rPr>
            </w:pPr>
            <w:r w:rsidRPr="00A33264">
              <w:rPr>
                <w:lang w:val="en-GB" w:eastAsia="en-AU"/>
              </w:rPr>
              <w:t>Not achieved</w:t>
            </w:r>
          </w:p>
        </w:tc>
        <w:tc>
          <w:tcPr>
            <w:tcW w:w="1361" w:type="dxa"/>
            <w:shd w:val="clear" w:color="auto" w:fill="C5E4E8"/>
          </w:tcPr>
          <w:p w14:paraId="783C13B6" w14:textId="77777777" w:rsidR="000D3DCF" w:rsidRPr="00A33264" w:rsidRDefault="000D3DCF" w:rsidP="00BB40DF">
            <w:pPr>
              <w:pStyle w:val="TableBody"/>
              <w:jc w:val="right"/>
              <w:rPr>
                <w:lang w:val="en-GB" w:eastAsia="en-AU"/>
              </w:rPr>
            </w:pPr>
            <w:r>
              <w:rPr>
                <w:lang w:eastAsia="en-AU"/>
              </w:rPr>
              <w:t>64.7%</w:t>
            </w:r>
            <w:r>
              <w:rPr>
                <w:rStyle w:val="FootnoteReference"/>
                <w:rFonts w:eastAsia="MS Mincho"/>
                <w:lang w:eastAsia="en-AU"/>
              </w:rPr>
              <w:footnoteReference w:id="4"/>
            </w:r>
          </w:p>
        </w:tc>
      </w:tr>
    </w:tbl>
    <w:p w14:paraId="6048006F" w14:textId="77777777" w:rsidR="000D3DCF" w:rsidRDefault="000D3DCF" w:rsidP="00B27FA1">
      <w:pPr>
        <w:pStyle w:val="Heading6"/>
        <w:rPr>
          <w:rFonts w:eastAsia="Yu Mincho"/>
        </w:rPr>
      </w:pPr>
      <w:r>
        <w:rPr>
          <w:rFonts w:eastAsia="Yu Mincho"/>
        </w:rPr>
        <w:t>Why we measure this</w:t>
      </w:r>
    </w:p>
    <w:p w14:paraId="45457E30" w14:textId="4CCBAF07" w:rsidR="000D3DCF" w:rsidRDefault="000D3DCF" w:rsidP="007145B8">
      <w:pPr>
        <w:rPr>
          <w:rFonts w:eastAsia="DengXian"/>
        </w:rPr>
      </w:pPr>
      <w:r w:rsidRPr="009C34F0">
        <w:rPr>
          <w:rFonts w:eastAsia="DengXian"/>
        </w:rPr>
        <w:t>This measure assesses the efficiency (proxy) of our services and effectiveness in implementing the Participant Service Improvement Plan 2022</w:t>
      </w:r>
      <w:r w:rsidRPr="003131F3">
        <w:t>–</w:t>
      </w:r>
      <w:r w:rsidRPr="009C34F0">
        <w:rPr>
          <w:rFonts w:eastAsia="DengXian"/>
        </w:rPr>
        <w:t>23</w:t>
      </w:r>
      <w:r>
        <w:rPr>
          <w:rFonts w:eastAsia="DengXian"/>
        </w:rPr>
        <w:t xml:space="preserve"> (PSIP)</w:t>
      </w:r>
      <w:r w:rsidRPr="009C34F0">
        <w:rPr>
          <w:rFonts w:eastAsia="DengXian"/>
        </w:rPr>
        <w:t xml:space="preserve"> (</w:t>
      </w:r>
      <w:r>
        <w:rPr>
          <w:rFonts w:eastAsia="DengXian"/>
        </w:rPr>
        <w:t xml:space="preserve">see </w:t>
      </w:r>
      <w:r w:rsidRPr="009C34F0">
        <w:t>PSIP 2022</w:t>
      </w:r>
      <w:r w:rsidRPr="003131F3">
        <w:t>–</w:t>
      </w:r>
      <w:r w:rsidRPr="009C34F0">
        <w:t>23, p 4)</w:t>
      </w:r>
      <w:r w:rsidRPr="009C34F0">
        <w:rPr>
          <w:rFonts w:eastAsia="DengXian"/>
        </w:rPr>
        <w:t xml:space="preserve">. </w:t>
      </w:r>
    </w:p>
    <w:p w14:paraId="1606C571" w14:textId="77777777" w:rsidR="000D3DCF" w:rsidRDefault="000D3DCF" w:rsidP="00B27FA1">
      <w:pPr>
        <w:pStyle w:val="Heading6"/>
      </w:pPr>
      <w:r>
        <w:t>How we measure this</w:t>
      </w:r>
    </w:p>
    <w:p w14:paraId="1CD136E7" w14:textId="3D066D9E" w:rsidR="000D3DCF" w:rsidRDefault="000D3DCF" w:rsidP="007145B8">
      <w:pPr>
        <w:rPr>
          <w:rFonts w:eastAsia="DengXian"/>
        </w:rPr>
      </w:pPr>
      <w:r>
        <w:rPr>
          <w:rFonts w:eastAsia="DengXian"/>
        </w:rPr>
        <w:t>We obtain our results for this performance measure by</w:t>
      </w:r>
      <w:r w:rsidRPr="009C34F0">
        <w:rPr>
          <w:rFonts w:eastAsia="DengXian"/>
        </w:rPr>
        <w:t xml:space="preserve"> calculat</w:t>
      </w:r>
      <w:r>
        <w:rPr>
          <w:rFonts w:eastAsia="DengXian"/>
        </w:rPr>
        <w:t>ing</w:t>
      </w:r>
      <w:r w:rsidRPr="009C34F0">
        <w:rPr>
          <w:rFonts w:eastAsia="DengXian"/>
        </w:rPr>
        <w:t xml:space="preserve"> the average </w:t>
      </w:r>
      <w:r>
        <w:rPr>
          <w:rFonts w:eastAsia="DengXian"/>
        </w:rPr>
        <w:t>of the</w:t>
      </w:r>
      <w:r w:rsidRPr="009C34F0">
        <w:rPr>
          <w:rFonts w:eastAsia="DengXian"/>
        </w:rPr>
        <w:t xml:space="preserve"> results </w:t>
      </w:r>
      <w:r>
        <w:rPr>
          <w:rFonts w:eastAsia="DengXian"/>
        </w:rPr>
        <w:t>reported in</w:t>
      </w:r>
      <w:r w:rsidRPr="009C34F0">
        <w:rPr>
          <w:rFonts w:eastAsia="DengXian"/>
        </w:rPr>
        <w:t xml:space="preserve"> the</w:t>
      </w:r>
      <w:r>
        <w:rPr>
          <w:rFonts w:eastAsia="DengXian"/>
        </w:rPr>
        <w:t xml:space="preserve"> 4</w:t>
      </w:r>
      <w:r w:rsidRPr="009C34F0">
        <w:rPr>
          <w:rFonts w:eastAsia="DengXian"/>
        </w:rPr>
        <w:t xml:space="preserve"> </w:t>
      </w:r>
      <w:r>
        <w:rPr>
          <w:rFonts w:eastAsia="DengXian"/>
        </w:rPr>
        <w:t>q</w:t>
      </w:r>
      <w:r w:rsidRPr="009C34F0">
        <w:rPr>
          <w:rFonts w:eastAsia="DengXian"/>
        </w:rPr>
        <w:t xml:space="preserve">uarterly </w:t>
      </w:r>
      <w:r>
        <w:rPr>
          <w:rFonts w:eastAsia="DengXian"/>
        </w:rPr>
        <w:t>r</w:t>
      </w:r>
      <w:r w:rsidRPr="009C34F0">
        <w:rPr>
          <w:rFonts w:eastAsia="DengXian"/>
        </w:rPr>
        <w:t>eport</w:t>
      </w:r>
      <w:r>
        <w:rPr>
          <w:rFonts w:eastAsia="DengXian"/>
        </w:rPr>
        <w:t>s</w:t>
      </w:r>
      <w:r w:rsidRPr="009C34F0">
        <w:rPr>
          <w:rFonts w:eastAsia="DengXian"/>
        </w:rPr>
        <w:t xml:space="preserve"> to </w:t>
      </w:r>
      <w:r>
        <w:rPr>
          <w:rFonts w:eastAsia="DengXian"/>
        </w:rPr>
        <w:t>the Ministerial Council of when</w:t>
      </w:r>
      <w:r w:rsidRPr="009C34F0">
        <w:rPr>
          <w:rFonts w:eastAsia="DengXian"/>
        </w:rPr>
        <w:t xml:space="preserve"> the PSG timeframes have been met. An individual PSG metric is considered to have been met overall if 95% or more of tasks being measured meet the target.</w:t>
      </w:r>
    </w:p>
    <w:p w14:paraId="52624B52" w14:textId="1CF77819" w:rsidR="00247078" w:rsidRDefault="000D3DCF" w:rsidP="00247078">
      <w:pPr>
        <w:rPr>
          <w:bCs/>
          <w:color w:val="6B2876" w:themeColor="text1"/>
          <w:sz w:val="26"/>
          <w:szCs w:val="28"/>
        </w:rPr>
      </w:pPr>
      <w:r w:rsidRPr="00470BB1">
        <w:rPr>
          <w:rFonts w:eastAsia="DengXian"/>
        </w:rPr>
        <w:t xml:space="preserve">The national implementation of the new computer system affected </w:t>
      </w:r>
      <w:r>
        <w:rPr>
          <w:rFonts w:eastAsia="DengXian"/>
        </w:rPr>
        <w:t>quarter 2</w:t>
      </w:r>
      <w:r w:rsidRPr="00470BB1">
        <w:rPr>
          <w:rFonts w:eastAsia="DengXian"/>
        </w:rPr>
        <w:t xml:space="preserve"> </w:t>
      </w:r>
      <w:r w:rsidR="00C03571" w:rsidRPr="00470BB1">
        <w:rPr>
          <w:rFonts w:eastAsia="DengXian"/>
        </w:rPr>
        <w:t>2023</w:t>
      </w:r>
      <w:r w:rsidR="00C03571">
        <w:rPr>
          <w:rFonts w:eastAsia="DengXian"/>
        </w:rPr>
        <w:t>–</w:t>
      </w:r>
      <w:r w:rsidR="00C03571" w:rsidRPr="00470BB1">
        <w:rPr>
          <w:rFonts w:eastAsia="DengXian"/>
        </w:rPr>
        <w:t>24</w:t>
      </w:r>
      <w:r w:rsidRPr="00470BB1">
        <w:rPr>
          <w:rFonts w:eastAsia="DengXian"/>
        </w:rPr>
        <w:t xml:space="preserve"> data, which was only available and calculated for October 2023. Results were rounded up to the nearest per</w:t>
      </w:r>
      <w:r>
        <w:rPr>
          <w:rFonts w:eastAsia="DengXian"/>
        </w:rPr>
        <w:t xml:space="preserve"> </w:t>
      </w:r>
      <w:r w:rsidRPr="00470BB1">
        <w:rPr>
          <w:rFonts w:eastAsia="DengXian"/>
        </w:rPr>
        <w:t>cent if the gap to target was less than 50 cases (PSG 5 was the sole PSG that met this criterion).</w:t>
      </w:r>
    </w:p>
    <w:p w14:paraId="603A49F3" w14:textId="55D7C9B7" w:rsidR="000D3DCF" w:rsidRDefault="000D3DCF" w:rsidP="00B27FA1">
      <w:pPr>
        <w:pStyle w:val="Heading6"/>
      </w:pPr>
      <w:r>
        <w:t>Analysis</w:t>
      </w:r>
    </w:p>
    <w:p w14:paraId="3733CE5D" w14:textId="0F44692F" w:rsidR="000D3DCF" w:rsidRPr="009C34F0" w:rsidRDefault="000D3DCF" w:rsidP="00565716">
      <w:r w:rsidRPr="009C34F0">
        <w:rPr>
          <w:rFonts w:eastAsia="DengXian"/>
        </w:rPr>
        <w:t xml:space="preserve">The NDIA </w:t>
      </w:r>
      <w:r>
        <w:rPr>
          <w:rFonts w:eastAsia="DengXian"/>
        </w:rPr>
        <w:t>started</w:t>
      </w:r>
      <w:r w:rsidRPr="009C34F0">
        <w:rPr>
          <w:rFonts w:eastAsia="DengXian"/>
        </w:rPr>
        <w:t xml:space="preserve"> measuring performance against the PSG timeframes in 2020</w:t>
      </w:r>
      <w:r w:rsidRPr="003131F3">
        <w:t>–</w:t>
      </w:r>
      <w:r w:rsidRPr="009C34F0">
        <w:rPr>
          <w:rFonts w:eastAsia="DengXian"/>
        </w:rPr>
        <w:t xml:space="preserve">21 </w:t>
      </w:r>
      <w:r>
        <w:rPr>
          <w:rFonts w:eastAsia="DengXian"/>
        </w:rPr>
        <w:t>before</w:t>
      </w:r>
      <w:r w:rsidRPr="009C34F0">
        <w:rPr>
          <w:rFonts w:eastAsia="DengXian"/>
        </w:rPr>
        <w:t xml:space="preserve"> the Participant Service Charter and Guarantee legislation</w:t>
      </w:r>
      <w:r>
        <w:rPr>
          <w:rFonts w:eastAsia="DengXian"/>
        </w:rPr>
        <w:t xml:space="preserve"> was passed in Parliament</w:t>
      </w:r>
      <w:r w:rsidRPr="009C34F0">
        <w:rPr>
          <w:rFonts w:eastAsia="DengXian"/>
        </w:rPr>
        <w:t xml:space="preserve"> in April 2022 (</w:t>
      </w:r>
      <w:hyperlink r:id="rId29" w:history="1">
        <w:r w:rsidRPr="009C34F0">
          <w:rPr>
            <w:rStyle w:val="Hyperlink"/>
          </w:rPr>
          <w:t>NDIA Annual Report 2020-21</w:t>
        </w:r>
      </w:hyperlink>
      <w:r w:rsidRPr="009C34F0">
        <w:t xml:space="preserve"> </w:t>
      </w:r>
      <w:r w:rsidR="008B3B11">
        <w:t xml:space="preserve">, </w:t>
      </w:r>
      <w:r w:rsidRPr="009C34F0">
        <w:t>p</w:t>
      </w:r>
      <w:r w:rsidR="00832F77">
        <w:t xml:space="preserve"> </w:t>
      </w:r>
      <w:r w:rsidRPr="009C34F0">
        <w:t>125</w:t>
      </w:r>
      <w:r w:rsidRPr="009C34F0">
        <w:rPr>
          <w:rFonts w:eastAsia="DengXian"/>
        </w:rPr>
        <w:t>).</w:t>
      </w:r>
      <w:r w:rsidRPr="009C34F0">
        <w:t xml:space="preserve"> </w:t>
      </w:r>
      <w:r>
        <w:t>Eight</w:t>
      </w:r>
      <w:r w:rsidRPr="009C34F0">
        <w:t xml:space="preserve"> of 20 PSG timeframes are </w:t>
      </w:r>
      <w:r>
        <w:t xml:space="preserve">set out in the </w:t>
      </w:r>
      <w:r w:rsidRPr="009C34F0">
        <w:t>legislat</w:t>
      </w:r>
      <w:r>
        <w:t>ion</w:t>
      </w:r>
      <w:r w:rsidRPr="009C34F0">
        <w:t xml:space="preserve">. The 8 specified PSG timeframes </w:t>
      </w:r>
      <w:r>
        <w:t>below use</w:t>
      </w:r>
      <w:r w:rsidRPr="009C34F0">
        <w:t xml:space="preserve"> the reported description of the service being guaranteed in the </w:t>
      </w:r>
      <w:r w:rsidRPr="00AA0637">
        <w:rPr>
          <w:rStyle w:val="Hyperlink"/>
          <w:color w:val="auto"/>
          <w:u w:val="none"/>
        </w:rPr>
        <w:t>q</w:t>
      </w:r>
      <w:r w:rsidRPr="00BB40DF">
        <w:t xml:space="preserve">uarterly </w:t>
      </w:r>
      <w:r>
        <w:t>r</w:t>
      </w:r>
      <w:r w:rsidRPr="00BB40DF">
        <w:t>eport</w:t>
      </w:r>
      <w:r>
        <w:t>s</w:t>
      </w:r>
      <w:r w:rsidRPr="00BB40DF">
        <w:t xml:space="preserve"> to </w:t>
      </w:r>
      <w:r>
        <w:t>the Ministerial Council</w:t>
      </w:r>
      <w:r w:rsidRPr="009C34F0">
        <w:t xml:space="preserve">: </w:t>
      </w:r>
    </w:p>
    <w:p w14:paraId="59808C84" w14:textId="3EB66B8B" w:rsidR="000D3DCF" w:rsidRPr="009C34F0" w:rsidRDefault="000D3DCF" w:rsidP="000D3DCF">
      <w:pPr>
        <w:pStyle w:val="Bullet1"/>
        <w:numPr>
          <w:ilvl w:val="0"/>
          <w:numId w:val="20"/>
        </w:numPr>
        <w:ind w:left="714" w:hanging="357"/>
        <w:rPr>
          <w:rFonts w:cs="Arial"/>
        </w:rPr>
      </w:pPr>
      <w:r w:rsidRPr="009C34F0">
        <w:rPr>
          <w:rFonts w:cs="Arial"/>
        </w:rPr>
        <w:t>Make an access decision, or request for more information, after an access request has been received within 21 days</w:t>
      </w:r>
      <w:r>
        <w:rPr>
          <w:rFonts w:cs="Arial"/>
        </w:rPr>
        <w:t>.</w:t>
      </w:r>
    </w:p>
    <w:p w14:paraId="339B8FC7" w14:textId="77488C82" w:rsidR="000D3DCF" w:rsidRPr="009C34F0" w:rsidRDefault="000D3DCF" w:rsidP="000D3DCF">
      <w:pPr>
        <w:pStyle w:val="Bullet1"/>
        <w:numPr>
          <w:ilvl w:val="0"/>
          <w:numId w:val="20"/>
        </w:numPr>
        <w:ind w:left="714" w:hanging="357"/>
        <w:rPr>
          <w:rFonts w:cs="Arial"/>
        </w:rPr>
      </w:pPr>
      <w:r w:rsidRPr="009C34F0">
        <w:rPr>
          <w:rFonts w:cs="Arial"/>
        </w:rPr>
        <w:t>Allow sufficient time to provide information within 90 days</w:t>
      </w:r>
      <w:r>
        <w:rPr>
          <w:rFonts w:cs="Arial"/>
        </w:rPr>
        <w:t>.</w:t>
      </w:r>
    </w:p>
    <w:p w14:paraId="71E78761" w14:textId="724776AC" w:rsidR="000D3DCF" w:rsidRPr="009C34F0" w:rsidRDefault="000D3DCF" w:rsidP="000D3DCF">
      <w:pPr>
        <w:pStyle w:val="Bullet1"/>
        <w:numPr>
          <w:ilvl w:val="0"/>
          <w:numId w:val="20"/>
        </w:numPr>
        <w:ind w:left="714" w:hanging="357"/>
        <w:rPr>
          <w:rFonts w:cs="Arial"/>
        </w:rPr>
      </w:pPr>
      <w:r w:rsidRPr="009C34F0">
        <w:rPr>
          <w:rFonts w:cs="Arial"/>
        </w:rPr>
        <w:t xml:space="preserve">Make an </w:t>
      </w:r>
      <w:r>
        <w:rPr>
          <w:rFonts w:cs="Arial"/>
        </w:rPr>
        <w:t>a</w:t>
      </w:r>
      <w:r w:rsidRPr="009C34F0">
        <w:rPr>
          <w:rFonts w:cs="Arial"/>
        </w:rPr>
        <w:t>ccess decision after more information has been provided within 14 days</w:t>
      </w:r>
      <w:r>
        <w:rPr>
          <w:rFonts w:cs="Arial"/>
        </w:rPr>
        <w:t>.</w:t>
      </w:r>
    </w:p>
    <w:p w14:paraId="5A417605" w14:textId="3AA09BEC" w:rsidR="000D3DCF" w:rsidRPr="009C34F0" w:rsidRDefault="000D3DCF" w:rsidP="000D3DCF">
      <w:pPr>
        <w:pStyle w:val="Bullet1"/>
        <w:numPr>
          <w:ilvl w:val="0"/>
          <w:numId w:val="20"/>
        </w:numPr>
        <w:ind w:left="714" w:hanging="357"/>
        <w:rPr>
          <w:rFonts w:cs="Arial"/>
        </w:rPr>
      </w:pPr>
      <w:r w:rsidRPr="009C34F0">
        <w:rPr>
          <w:rFonts w:cs="Arial"/>
        </w:rPr>
        <w:t>Commence facilitating the preparation of a plan</w:t>
      </w:r>
      <w:r>
        <w:rPr>
          <w:rFonts w:cs="Arial"/>
        </w:rPr>
        <w:t>,</w:t>
      </w:r>
      <w:r w:rsidRPr="009C34F0">
        <w:rPr>
          <w:rFonts w:cs="Arial"/>
        </w:rPr>
        <w:t xml:space="preserve"> after an access decision has been made within 21 days</w:t>
      </w:r>
      <w:r>
        <w:rPr>
          <w:rFonts w:cs="Arial"/>
        </w:rPr>
        <w:t>.</w:t>
      </w:r>
    </w:p>
    <w:p w14:paraId="1C59794E" w14:textId="3E8A74E4" w:rsidR="000D3DCF" w:rsidRPr="009C34F0" w:rsidRDefault="000D3DCF" w:rsidP="000D3DCF">
      <w:pPr>
        <w:pStyle w:val="Bullet1"/>
        <w:numPr>
          <w:ilvl w:val="0"/>
          <w:numId w:val="20"/>
        </w:numPr>
        <w:ind w:left="714" w:hanging="357"/>
        <w:rPr>
          <w:rFonts w:cs="Arial"/>
        </w:rPr>
      </w:pPr>
      <w:r w:rsidRPr="009C34F0">
        <w:rPr>
          <w:rFonts w:cs="Arial"/>
        </w:rPr>
        <w:lastRenderedPageBreak/>
        <w:t>Provide a copy of the plan to a participant, after a plan is approved within 7 days</w:t>
      </w:r>
      <w:r>
        <w:rPr>
          <w:rFonts w:cs="Arial"/>
        </w:rPr>
        <w:t>.</w:t>
      </w:r>
    </w:p>
    <w:p w14:paraId="2F8F76DC" w14:textId="0CD3C49F" w:rsidR="000D3DCF" w:rsidRPr="009C34F0" w:rsidRDefault="000D3DCF" w:rsidP="000D3DCF">
      <w:pPr>
        <w:pStyle w:val="Bullet1"/>
        <w:numPr>
          <w:ilvl w:val="0"/>
          <w:numId w:val="20"/>
        </w:numPr>
        <w:ind w:left="714" w:hanging="357"/>
        <w:rPr>
          <w:rFonts w:cs="Arial"/>
        </w:rPr>
      </w:pPr>
      <w:r w:rsidRPr="009C34F0">
        <w:rPr>
          <w:rFonts w:cs="Arial"/>
        </w:rPr>
        <w:t xml:space="preserve">Decide whether to undertake a </w:t>
      </w:r>
      <w:r>
        <w:rPr>
          <w:rFonts w:cs="Arial"/>
        </w:rPr>
        <w:t>p</w:t>
      </w:r>
      <w:r w:rsidRPr="009C34F0">
        <w:rPr>
          <w:rFonts w:cs="Arial"/>
        </w:rPr>
        <w:t>articipant</w:t>
      </w:r>
      <w:r>
        <w:rPr>
          <w:rFonts w:cs="Arial"/>
        </w:rPr>
        <w:t>-</w:t>
      </w:r>
      <w:r w:rsidRPr="009C34F0">
        <w:rPr>
          <w:rFonts w:cs="Arial"/>
        </w:rPr>
        <w:t>requested plan reassessment, after the request is received within 21 days</w:t>
      </w:r>
      <w:r>
        <w:rPr>
          <w:rFonts w:cs="Arial"/>
        </w:rPr>
        <w:t>.</w:t>
      </w:r>
    </w:p>
    <w:p w14:paraId="2DCFA160" w14:textId="332AC6A1" w:rsidR="000D3DCF" w:rsidRPr="009C34F0" w:rsidRDefault="000D3DCF" w:rsidP="000D3DCF">
      <w:pPr>
        <w:pStyle w:val="Bullet1"/>
        <w:numPr>
          <w:ilvl w:val="0"/>
          <w:numId w:val="20"/>
        </w:numPr>
        <w:ind w:left="714" w:hanging="357"/>
        <w:rPr>
          <w:rFonts w:cs="Arial"/>
        </w:rPr>
      </w:pPr>
      <w:r w:rsidRPr="009C34F0">
        <w:rPr>
          <w:rFonts w:cs="Arial"/>
        </w:rPr>
        <w:t xml:space="preserve">Amend a plan after the receipt of information that triggers the plan amendment process </w:t>
      </w:r>
      <w:r>
        <w:rPr>
          <w:rFonts w:cs="Arial"/>
        </w:rPr>
        <w:t xml:space="preserve">within </w:t>
      </w:r>
      <w:r w:rsidRPr="009C34F0">
        <w:rPr>
          <w:rFonts w:cs="Arial"/>
        </w:rPr>
        <w:t>28 days</w:t>
      </w:r>
      <w:r>
        <w:rPr>
          <w:rFonts w:cs="Arial"/>
        </w:rPr>
        <w:t>.</w:t>
      </w:r>
    </w:p>
    <w:p w14:paraId="116EB658" w14:textId="77777777" w:rsidR="000D3DCF" w:rsidRPr="009C34F0" w:rsidRDefault="000D3DCF" w:rsidP="000D3DCF">
      <w:pPr>
        <w:pStyle w:val="Bullet1"/>
        <w:numPr>
          <w:ilvl w:val="0"/>
          <w:numId w:val="20"/>
        </w:numPr>
        <w:ind w:left="714" w:hanging="357"/>
        <w:rPr>
          <w:rFonts w:cs="Arial"/>
        </w:rPr>
      </w:pPr>
      <w:r w:rsidRPr="009C34F0">
        <w:rPr>
          <w:rFonts w:cs="Arial"/>
        </w:rPr>
        <w:t>Provide a copy of the plan to a participant, after the plan is amended within 7 days.</w:t>
      </w:r>
    </w:p>
    <w:p w14:paraId="5F5618F8" w14:textId="0A0FC0C7" w:rsidR="000D3DCF" w:rsidRPr="009C34F0" w:rsidRDefault="000D3DCF" w:rsidP="007145B8">
      <w:pPr>
        <w:rPr>
          <w:color w:val="222222"/>
          <w:lang w:eastAsia="en-AU"/>
        </w:rPr>
      </w:pPr>
      <w:r w:rsidRPr="003131F3">
        <w:t xml:space="preserve">NDIA </w:t>
      </w:r>
      <w:r>
        <w:t>a</w:t>
      </w:r>
      <w:r w:rsidRPr="003131F3">
        <w:t xml:space="preserve">nnual </w:t>
      </w:r>
      <w:r>
        <w:t>r</w:t>
      </w:r>
      <w:r w:rsidRPr="003131F3">
        <w:t>eports</w:t>
      </w:r>
      <w:r w:rsidRPr="009C34F0">
        <w:rPr>
          <w:rFonts w:eastAsia="DengXian"/>
        </w:rPr>
        <w:t xml:space="preserve"> over 2020</w:t>
      </w:r>
      <w:r w:rsidRPr="003131F3">
        <w:t>–</w:t>
      </w:r>
      <w:r>
        <w:t>20</w:t>
      </w:r>
      <w:r w:rsidRPr="009C34F0">
        <w:rPr>
          <w:rFonts w:eastAsia="DengXian"/>
        </w:rPr>
        <w:t>23</w:t>
      </w:r>
      <w:r>
        <w:rPr>
          <w:rFonts w:eastAsia="DengXian"/>
        </w:rPr>
        <w:t xml:space="preserve"> </w:t>
      </w:r>
      <w:r w:rsidRPr="009C34F0">
        <w:rPr>
          <w:rFonts w:eastAsia="DengXian"/>
        </w:rPr>
        <w:t xml:space="preserve">show </w:t>
      </w:r>
      <w:r>
        <w:rPr>
          <w:rFonts w:eastAsia="DengXian"/>
        </w:rPr>
        <w:t xml:space="preserve">we have made </w:t>
      </w:r>
      <w:r w:rsidRPr="009C34F0">
        <w:rPr>
          <w:rFonts w:eastAsia="DengXian"/>
        </w:rPr>
        <w:t xml:space="preserve">progress </w:t>
      </w:r>
      <w:r>
        <w:rPr>
          <w:rFonts w:eastAsia="DengXian"/>
        </w:rPr>
        <w:t>toward</w:t>
      </w:r>
      <w:r w:rsidRPr="009C34F0">
        <w:rPr>
          <w:rFonts w:eastAsia="DengXian"/>
        </w:rPr>
        <w:t xml:space="preserve"> achieving the target. </w:t>
      </w:r>
      <w:r>
        <w:rPr>
          <w:rFonts w:eastAsia="DengXian"/>
        </w:rPr>
        <w:t>Our p</w:t>
      </w:r>
      <w:r w:rsidRPr="009C34F0">
        <w:rPr>
          <w:rFonts w:eastAsia="DengXian"/>
        </w:rPr>
        <w:t>erformance in 2023</w:t>
      </w:r>
      <w:r w:rsidRPr="003131F3">
        <w:t>–</w:t>
      </w:r>
      <w:r w:rsidRPr="009C34F0">
        <w:rPr>
          <w:rFonts w:eastAsia="DengXian"/>
        </w:rPr>
        <w:t>24 has been impacted by the adaptation to the new computer system and processes, as well as the significantly higher than average number of participants seeking a review of their NDIS plans</w:t>
      </w:r>
      <w:r w:rsidRPr="00F86FC3">
        <w:rPr>
          <w:rFonts w:eastAsia="DengXian"/>
        </w:rPr>
        <w:t>.</w:t>
      </w:r>
      <w:r>
        <w:rPr>
          <w:color w:val="222222"/>
          <w:lang w:eastAsia="en-AU"/>
        </w:rPr>
        <w:t xml:space="preserve"> Also, t</w:t>
      </w:r>
      <w:r w:rsidRPr="009C34F0">
        <w:rPr>
          <w:color w:val="222222"/>
          <w:lang w:eastAsia="en-AU"/>
        </w:rPr>
        <w:t>he NDIA receiv</w:t>
      </w:r>
      <w:r>
        <w:rPr>
          <w:color w:val="222222"/>
          <w:lang w:eastAsia="en-AU"/>
        </w:rPr>
        <w:t>ed</w:t>
      </w:r>
      <w:r w:rsidRPr="009C34F0">
        <w:rPr>
          <w:color w:val="222222"/>
          <w:lang w:eastAsia="en-AU"/>
        </w:rPr>
        <w:t xml:space="preserve"> </w:t>
      </w:r>
      <w:r w:rsidRPr="009C34F0">
        <w:rPr>
          <w:color w:val="222222"/>
        </w:rPr>
        <w:t>almost double the volume of request</w:t>
      </w:r>
      <w:r>
        <w:rPr>
          <w:color w:val="222222"/>
        </w:rPr>
        <w:t>s</w:t>
      </w:r>
      <w:r w:rsidRPr="009C34F0">
        <w:rPr>
          <w:color w:val="222222"/>
        </w:rPr>
        <w:t xml:space="preserve"> from participants asking for a change to their NDIS plan. This increased volume has impacted the time it is taking to make </w:t>
      </w:r>
      <w:r w:rsidRPr="009C34F0">
        <w:rPr>
          <w:lang w:eastAsia="en-AU"/>
        </w:rPr>
        <w:t xml:space="preserve">access and planning decisions </w:t>
      </w:r>
      <w:r>
        <w:rPr>
          <w:lang w:eastAsia="en-AU"/>
        </w:rPr>
        <w:t>and</w:t>
      </w:r>
      <w:r w:rsidRPr="009C34F0">
        <w:rPr>
          <w:lang w:eastAsia="en-AU"/>
        </w:rPr>
        <w:t xml:space="preserve"> has</w:t>
      </w:r>
      <w:r>
        <w:rPr>
          <w:lang w:eastAsia="en-AU"/>
        </w:rPr>
        <w:t xml:space="preserve"> therefore</w:t>
      </w:r>
      <w:r w:rsidRPr="009C34F0">
        <w:rPr>
          <w:lang w:eastAsia="en-AU"/>
        </w:rPr>
        <w:t xml:space="preserve"> affected the </w:t>
      </w:r>
      <w:r>
        <w:rPr>
          <w:lang w:eastAsia="en-AU"/>
        </w:rPr>
        <w:t>NDIA</w:t>
      </w:r>
      <w:r w:rsidRPr="009C34F0">
        <w:rPr>
          <w:lang w:eastAsia="en-AU"/>
        </w:rPr>
        <w:t>’s ability</w:t>
      </w:r>
      <w:r w:rsidRPr="009C34F0">
        <w:rPr>
          <w:color w:val="222222"/>
        </w:rPr>
        <w:t xml:space="preserve"> to meet PSG </w:t>
      </w:r>
      <w:r w:rsidRPr="009C34F0">
        <w:rPr>
          <w:color w:val="222222"/>
          <w:lang w:eastAsia="en-AU"/>
        </w:rPr>
        <w:t>timeframes in recent quarters.</w:t>
      </w:r>
      <w:r w:rsidRPr="009C34F0" w:rsidDel="002B2226">
        <w:rPr>
          <w:color w:val="222222"/>
          <w:vertAlign w:val="superscript"/>
          <w:lang w:eastAsia="en-AU"/>
        </w:rPr>
        <w:t xml:space="preserve"> </w:t>
      </w:r>
    </w:p>
    <w:p w14:paraId="0508DB7B" w14:textId="52A7B3B4" w:rsidR="000D3DCF" w:rsidRPr="009C34F0" w:rsidRDefault="000D3DCF" w:rsidP="007145B8">
      <w:pPr>
        <w:rPr>
          <w:rFonts w:eastAsia="DengXian"/>
        </w:rPr>
      </w:pPr>
      <w:r w:rsidRPr="009C34F0">
        <w:rPr>
          <w:rFonts w:eastAsia="DengXian"/>
        </w:rPr>
        <w:t xml:space="preserve">With the national rollout of the new computer system in </w:t>
      </w:r>
      <w:r>
        <w:rPr>
          <w:rFonts w:eastAsia="DengXian"/>
        </w:rPr>
        <w:t>quarter 2 of</w:t>
      </w:r>
      <w:r w:rsidRPr="009C34F0">
        <w:rPr>
          <w:rFonts w:eastAsia="DengXian"/>
        </w:rPr>
        <w:t xml:space="preserve"> 2023</w:t>
      </w:r>
      <w:r w:rsidRPr="003131F3">
        <w:t>–</w:t>
      </w:r>
      <w:r w:rsidRPr="009C34F0">
        <w:rPr>
          <w:rFonts w:eastAsia="DengXian"/>
        </w:rPr>
        <w:t xml:space="preserve">24, data was not available on a single system to allow calculation of PSG metrics. The NDIA forecast impacts to data availability and </w:t>
      </w:r>
      <w:r>
        <w:rPr>
          <w:rFonts w:eastAsia="DengXian"/>
        </w:rPr>
        <w:t>advised</w:t>
      </w:r>
      <w:r w:rsidRPr="009C34F0">
        <w:rPr>
          <w:rFonts w:eastAsia="DengXian"/>
        </w:rPr>
        <w:t xml:space="preserve"> the Commonwealth Ombudsman </w:t>
      </w:r>
      <w:r>
        <w:rPr>
          <w:rFonts w:eastAsia="DengXian"/>
        </w:rPr>
        <w:t>that</w:t>
      </w:r>
      <w:r w:rsidRPr="009C34F0">
        <w:rPr>
          <w:rFonts w:eastAsia="DengXian"/>
        </w:rPr>
        <w:t xml:space="preserve"> results</w:t>
      </w:r>
      <w:r>
        <w:rPr>
          <w:rFonts w:eastAsia="DengXian"/>
        </w:rPr>
        <w:t xml:space="preserve"> would not be reported</w:t>
      </w:r>
      <w:r w:rsidRPr="009C34F0">
        <w:rPr>
          <w:rFonts w:eastAsia="DengXian"/>
        </w:rPr>
        <w:t xml:space="preserve"> for </w:t>
      </w:r>
      <w:r>
        <w:rPr>
          <w:rFonts w:eastAsia="DengXian"/>
        </w:rPr>
        <w:t>q</w:t>
      </w:r>
      <w:r w:rsidRPr="009C34F0">
        <w:rPr>
          <w:rFonts w:eastAsia="DengXian"/>
        </w:rPr>
        <w:t>uarter 2</w:t>
      </w:r>
      <w:r>
        <w:rPr>
          <w:rFonts w:eastAsia="DengXian"/>
        </w:rPr>
        <w:t xml:space="preserve"> of 2023–24</w:t>
      </w:r>
      <w:r w:rsidRPr="009C34F0">
        <w:rPr>
          <w:rFonts w:eastAsia="DengXian"/>
        </w:rPr>
        <w:t>.</w:t>
      </w:r>
    </w:p>
    <w:p w14:paraId="3FD8BB0D" w14:textId="77D22AA9" w:rsidR="000D3DCF" w:rsidRPr="009C34F0" w:rsidRDefault="000D3DCF" w:rsidP="007145B8">
      <w:pPr>
        <w:rPr>
          <w:rFonts w:eastAsia="DengXian"/>
        </w:rPr>
      </w:pPr>
      <w:r w:rsidRPr="009C34F0">
        <w:rPr>
          <w:rFonts w:eastAsia="DengXian"/>
        </w:rPr>
        <w:t xml:space="preserve">For </w:t>
      </w:r>
      <w:r>
        <w:rPr>
          <w:rFonts w:eastAsia="DengXian"/>
        </w:rPr>
        <w:t>q</w:t>
      </w:r>
      <w:r w:rsidRPr="009C34F0">
        <w:rPr>
          <w:rFonts w:eastAsia="DengXian"/>
        </w:rPr>
        <w:t>uarters 3 and 4 of 2023</w:t>
      </w:r>
      <w:r w:rsidRPr="003131F3">
        <w:t>–</w:t>
      </w:r>
      <w:r w:rsidRPr="009C34F0">
        <w:rPr>
          <w:rFonts w:eastAsia="DengXian"/>
        </w:rPr>
        <w:t xml:space="preserve">24, 10 out of 20 PSG measures were reported compared </w:t>
      </w:r>
      <w:r>
        <w:rPr>
          <w:rFonts w:eastAsia="DengXian"/>
        </w:rPr>
        <w:t>with the</w:t>
      </w:r>
      <w:r w:rsidRPr="009C34F0">
        <w:rPr>
          <w:rFonts w:eastAsia="DengXian"/>
        </w:rPr>
        <w:t xml:space="preserve"> 17 out of 20 available in 2022</w:t>
      </w:r>
      <w:r w:rsidRPr="003131F3">
        <w:t>–</w:t>
      </w:r>
      <w:r w:rsidRPr="009C34F0">
        <w:rPr>
          <w:rFonts w:eastAsia="DengXian"/>
        </w:rPr>
        <w:t xml:space="preserve">23 and </w:t>
      </w:r>
      <w:r>
        <w:rPr>
          <w:rFonts w:eastAsia="DengXian"/>
        </w:rPr>
        <w:t xml:space="preserve">quarter </w:t>
      </w:r>
      <w:r w:rsidRPr="009C34F0">
        <w:rPr>
          <w:rFonts w:eastAsia="DengXian"/>
        </w:rPr>
        <w:t>1 of 2023</w:t>
      </w:r>
      <w:r w:rsidRPr="003131F3">
        <w:t>–</w:t>
      </w:r>
      <w:r w:rsidRPr="009C34F0">
        <w:rPr>
          <w:rFonts w:eastAsia="DengXian"/>
        </w:rPr>
        <w:t xml:space="preserve">24. The NDIA has acknowledged in the </w:t>
      </w:r>
      <w:r>
        <w:rPr>
          <w:rFonts w:eastAsia="DengXian"/>
        </w:rPr>
        <w:t>q</w:t>
      </w:r>
      <w:r w:rsidRPr="003131F3">
        <w:rPr>
          <w:rFonts w:eastAsia="DengXian"/>
        </w:rPr>
        <w:t xml:space="preserve">uarterly </w:t>
      </w:r>
      <w:r>
        <w:rPr>
          <w:rFonts w:eastAsia="DengXian"/>
        </w:rPr>
        <w:t>r</w:t>
      </w:r>
      <w:r w:rsidRPr="003131F3">
        <w:rPr>
          <w:rFonts w:eastAsia="DengXian"/>
        </w:rPr>
        <w:t xml:space="preserve">eports </w:t>
      </w:r>
      <w:r>
        <w:rPr>
          <w:rFonts w:eastAsia="DengXian"/>
        </w:rPr>
        <w:t>for quarters 3 and 4 of</w:t>
      </w:r>
      <w:r w:rsidRPr="003131F3">
        <w:rPr>
          <w:rFonts w:eastAsia="DengXian"/>
        </w:rPr>
        <w:t xml:space="preserve"> 2023</w:t>
      </w:r>
      <w:r w:rsidRPr="003131F3">
        <w:t>–</w:t>
      </w:r>
      <w:r w:rsidRPr="003131F3">
        <w:rPr>
          <w:rFonts w:eastAsia="DengXian"/>
        </w:rPr>
        <w:t>24</w:t>
      </w:r>
      <w:r w:rsidRPr="009C34F0">
        <w:rPr>
          <w:rFonts w:eastAsia="DengXian"/>
        </w:rPr>
        <w:t xml:space="preserve"> that PSG performance is not achieving the guarantee </w:t>
      </w:r>
      <w:r>
        <w:rPr>
          <w:rFonts w:eastAsia="DengXian"/>
        </w:rPr>
        <w:t>in</w:t>
      </w:r>
      <w:r w:rsidRPr="009C34F0">
        <w:rPr>
          <w:rFonts w:eastAsia="DengXian"/>
        </w:rPr>
        <w:t xml:space="preserve"> the areas of </w:t>
      </w:r>
      <w:r>
        <w:rPr>
          <w:rFonts w:eastAsia="DengXian"/>
        </w:rPr>
        <w:t>a</w:t>
      </w:r>
      <w:r w:rsidRPr="009C34F0">
        <w:rPr>
          <w:rFonts w:eastAsia="DengXian"/>
        </w:rPr>
        <w:t xml:space="preserve">ccess, </w:t>
      </w:r>
      <w:r>
        <w:rPr>
          <w:rFonts w:eastAsia="DengXian"/>
        </w:rPr>
        <w:t>f</w:t>
      </w:r>
      <w:r w:rsidRPr="009C34F0">
        <w:rPr>
          <w:rFonts w:eastAsia="DengXian"/>
        </w:rPr>
        <w:t xml:space="preserve">irst </w:t>
      </w:r>
      <w:r>
        <w:rPr>
          <w:rFonts w:eastAsia="DengXian"/>
        </w:rPr>
        <w:t>p</w:t>
      </w:r>
      <w:r w:rsidRPr="009C34F0">
        <w:rPr>
          <w:rFonts w:eastAsia="DengXian"/>
        </w:rPr>
        <w:t xml:space="preserve">lans, </w:t>
      </w:r>
      <w:r>
        <w:rPr>
          <w:rFonts w:eastAsia="DengXian"/>
        </w:rPr>
        <w:t>p</w:t>
      </w:r>
      <w:r w:rsidRPr="009C34F0">
        <w:rPr>
          <w:rFonts w:eastAsia="DengXian"/>
        </w:rPr>
        <w:t xml:space="preserve">lan </w:t>
      </w:r>
      <w:r>
        <w:rPr>
          <w:rFonts w:eastAsia="DengXian"/>
        </w:rPr>
        <w:t>r</w:t>
      </w:r>
      <w:r w:rsidRPr="009C34F0">
        <w:rPr>
          <w:rFonts w:eastAsia="DengXian"/>
        </w:rPr>
        <w:t xml:space="preserve">eassessments and </w:t>
      </w:r>
      <w:r>
        <w:rPr>
          <w:rFonts w:eastAsia="DengXian"/>
        </w:rPr>
        <w:t>r</w:t>
      </w:r>
      <w:r w:rsidRPr="009C34F0">
        <w:rPr>
          <w:rFonts w:eastAsia="DengXian"/>
        </w:rPr>
        <w:t xml:space="preserve">eviewable </w:t>
      </w:r>
      <w:r>
        <w:rPr>
          <w:rFonts w:eastAsia="DengXian"/>
        </w:rPr>
        <w:t>d</w:t>
      </w:r>
      <w:r w:rsidRPr="009C34F0">
        <w:rPr>
          <w:rFonts w:eastAsia="DengXian"/>
        </w:rPr>
        <w:t>ecisions.</w:t>
      </w:r>
    </w:p>
    <w:p w14:paraId="5E343BDB" w14:textId="14E9323A" w:rsidR="00AA02E5" w:rsidRDefault="000D3DCF" w:rsidP="00AA02E5">
      <w:pPr>
        <w:rPr>
          <w:b/>
          <w:bCs/>
          <w:lang w:val="en-GB"/>
        </w:rPr>
      </w:pPr>
      <w:r>
        <w:rPr>
          <w:rFonts w:eastAsia="DengXian"/>
        </w:rPr>
        <w:t>I</w:t>
      </w:r>
      <w:r w:rsidRPr="009C34F0">
        <w:rPr>
          <w:rFonts w:eastAsia="DengXian"/>
        </w:rPr>
        <w:t xml:space="preserve">n the </w:t>
      </w:r>
      <w:r>
        <w:t>q</w:t>
      </w:r>
      <w:r w:rsidRPr="003131F3">
        <w:t xml:space="preserve">uarterly </w:t>
      </w:r>
      <w:r>
        <w:t>r</w:t>
      </w:r>
      <w:r w:rsidRPr="003131F3">
        <w:t xml:space="preserve">eport for </w:t>
      </w:r>
      <w:r>
        <w:t xml:space="preserve">quarter </w:t>
      </w:r>
      <w:r w:rsidRPr="003131F3">
        <w:t xml:space="preserve">3 </w:t>
      </w:r>
      <w:r>
        <w:t xml:space="preserve">of </w:t>
      </w:r>
      <w:r w:rsidRPr="003131F3">
        <w:t>2023–24</w:t>
      </w:r>
      <w:r>
        <w:t>, the NDIA reported</w:t>
      </w:r>
      <w:r w:rsidRPr="009C34F0">
        <w:rPr>
          <w:rFonts w:eastAsia="DengXian"/>
        </w:rPr>
        <w:t xml:space="preserve"> that </w:t>
      </w:r>
      <w:r>
        <w:rPr>
          <w:rFonts w:eastAsia="DengXian"/>
        </w:rPr>
        <w:t xml:space="preserve">in March 2024 </w:t>
      </w:r>
      <w:r w:rsidRPr="009C34F0">
        <w:rPr>
          <w:rFonts w:eastAsia="DengXian"/>
        </w:rPr>
        <w:t>i</w:t>
      </w:r>
      <w:r>
        <w:rPr>
          <w:rFonts w:eastAsia="DengXian"/>
        </w:rPr>
        <w:t>t</w:t>
      </w:r>
      <w:r w:rsidRPr="009C34F0">
        <w:rPr>
          <w:rFonts w:eastAsia="DengXian"/>
        </w:rPr>
        <w:t xml:space="preserve"> had implemented a remediation plan to address the timeframes and improve the participant experience and PSG performance measures. </w:t>
      </w:r>
      <w:r>
        <w:rPr>
          <w:rFonts w:eastAsia="DengXian"/>
        </w:rPr>
        <w:t>Also</w:t>
      </w:r>
      <w:r w:rsidRPr="009C34F0">
        <w:rPr>
          <w:rFonts w:eastAsia="DengXian"/>
        </w:rPr>
        <w:t xml:space="preserve">, system enhancements continue to be rolled out and will continue into the next financial year. </w:t>
      </w:r>
      <w:r>
        <w:rPr>
          <w:rFonts w:eastAsia="DengXian"/>
        </w:rPr>
        <w:t>We expect these enhancements will</w:t>
      </w:r>
      <w:r w:rsidRPr="009C34F0">
        <w:rPr>
          <w:rFonts w:eastAsia="DengXian"/>
        </w:rPr>
        <w:t xml:space="preserve"> improve efficiencies and ensure th</w:t>
      </w:r>
      <w:r>
        <w:rPr>
          <w:rFonts w:eastAsia="DengXian"/>
        </w:rPr>
        <w:t>at</w:t>
      </w:r>
      <w:r w:rsidRPr="009C34F0">
        <w:rPr>
          <w:rFonts w:eastAsia="DengXian"/>
        </w:rPr>
        <w:t xml:space="preserve"> participant experience (satisfaction) improves. The NDIA expects that performance against </w:t>
      </w:r>
      <w:r>
        <w:rPr>
          <w:rFonts w:eastAsia="DengXian"/>
        </w:rPr>
        <w:t xml:space="preserve">some of </w:t>
      </w:r>
      <w:r w:rsidRPr="009C34F0">
        <w:rPr>
          <w:rFonts w:eastAsia="DengXian"/>
        </w:rPr>
        <w:t>the PSG measures will continue to be lower than anticipated into</w:t>
      </w:r>
      <w:r>
        <w:rPr>
          <w:rFonts w:eastAsia="DengXian"/>
        </w:rPr>
        <w:t xml:space="preserve"> the</w:t>
      </w:r>
      <w:r w:rsidRPr="009C34F0">
        <w:rPr>
          <w:rFonts w:eastAsia="DengXian"/>
        </w:rPr>
        <w:t xml:space="preserve"> 2024</w:t>
      </w:r>
      <w:r w:rsidRPr="003131F3">
        <w:t>–</w:t>
      </w:r>
      <w:r w:rsidRPr="009C34F0">
        <w:rPr>
          <w:rFonts w:eastAsia="DengXian"/>
        </w:rPr>
        <w:t xml:space="preserve">25 financial year as </w:t>
      </w:r>
      <w:r>
        <w:rPr>
          <w:rFonts w:eastAsia="DengXian"/>
        </w:rPr>
        <w:t>we</w:t>
      </w:r>
      <w:r w:rsidRPr="009C34F0">
        <w:rPr>
          <w:rFonts w:eastAsia="DengXian"/>
        </w:rPr>
        <w:t xml:space="preserve"> focus on remediating the backlog of participant</w:t>
      </w:r>
      <w:r>
        <w:rPr>
          <w:rFonts w:eastAsia="DengXian"/>
        </w:rPr>
        <w:t>-</w:t>
      </w:r>
      <w:r w:rsidRPr="009C34F0">
        <w:rPr>
          <w:rFonts w:eastAsia="DengXian"/>
        </w:rPr>
        <w:t>requested reviews.</w:t>
      </w:r>
      <w:r w:rsidR="00AA02E5">
        <w:rPr>
          <w:b/>
          <w:bCs/>
          <w:lang w:val="en-GB"/>
        </w:rPr>
        <w:br w:type="page"/>
      </w:r>
    </w:p>
    <w:p w14:paraId="48A884A2" w14:textId="5CC7206F" w:rsidR="000D3DCF" w:rsidRPr="00A33264" w:rsidRDefault="000D3DCF" w:rsidP="009B5EFC">
      <w:pPr>
        <w:rPr>
          <w:b/>
          <w:bCs/>
          <w:lang w:val="en-GB"/>
        </w:rPr>
      </w:pPr>
      <w:r w:rsidRPr="00A33264">
        <w:rPr>
          <w:b/>
          <w:bCs/>
          <w:lang w:val="en-GB"/>
        </w:rPr>
        <w:lastRenderedPageBreak/>
        <w:t>Participant satisfaction</w:t>
      </w:r>
    </w:p>
    <w:tbl>
      <w:tblPr>
        <w:tblStyle w:val="GridTable4"/>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20" w:firstRow="1" w:lastRow="0" w:firstColumn="0" w:lastColumn="0" w:noHBand="0" w:noVBand="1"/>
      </w:tblPr>
      <w:tblGrid>
        <w:gridCol w:w="3634"/>
        <w:gridCol w:w="1348"/>
        <w:gridCol w:w="1348"/>
        <w:gridCol w:w="1355"/>
        <w:gridCol w:w="1331"/>
      </w:tblGrid>
      <w:tr w:rsidR="00EE27A2" w:rsidRPr="00EE27A2" w14:paraId="3FA0F152" w14:textId="77777777" w:rsidTr="001C0A6D">
        <w:trPr>
          <w:cnfStyle w:val="100000000000" w:firstRow="1" w:lastRow="0" w:firstColumn="0" w:lastColumn="0" w:oddVBand="0" w:evenVBand="0" w:oddHBand="0" w:evenHBand="0" w:firstRowFirstColumn="0" w:firstRowLastColumn="0" w:lastRowFirstColumn="0" w:lastRowLastColumn="0"/>
          <w:cantSplit/>
        </w:trPr>
        <w:tc>
          <w:tcPr>
            <w:tcW w:w="3634" w:type="dxa"/>
            <w:shd w:val="clear" w:color="auto" w:fill="009EAD"/>
          </w:tcPr>
          <w:p w14:paraId="03F5143F" w14:textId="2C91B9F8" w:rsidR="000D3DCF" w:rsidRPr="00EE27A2" w:rsidRDefault="000D3DCF">
            <w:pPr>
              <w:pStyle w:val="TableBody"/>
              <w:rPr>
                <w:color w:val="auto"/>
                <w:lang w:val="en-GB"/>
              </w:rPr>
            </w:pPr>
            <w:bookmarkStart w:id="93" w:name="ColumnTitle_PerformanceMeasure12"/>
            <w:bookmarkEnd w:id="93"/>
            <w:r w:rsidRPr="00EE27A2">
              <w:rPr>
                <w:color w:val="auto"/>
                <w:lang w:val="en-GB"/>
              </w:rPr>
              <w:t>Performance measure</w:t>
            </w:r>
          </w:p>
        </w:tc>
        <w:tc>
          <w:tcPr>
            <w:tcW w:w="1348" w:type="dxa"/>
            <w:shd w:val="clear" w:color="auto" w:fill="009EAD"/>
          </w:tcPr>
          <w:p w14:paraId="6C165CBF" w14:textId="77777777" w:rsidR="000D3DCF" w:rsidRPr="00EE27A2" w:rsidRDefault="000D3DCF" w:rsidP="00BB40DF">
            <w:pPr>
              <w:pStyle w:val="TableBody"/>
              <w:jc w:val="right"/>
              <w:rPr>
                <w:color w:val="auto"/>
                <w:lang w:val="en-GB"/>
              </w:rPr>
            </w:pPr>
            <w:r w:rsidRPr="00EE27A2">
              <w:rPr>
                <w:color w:val="auto"/>
                <w:lang w:val="en-GB"/>
              </w:rPr>
              <w:t>2023</w:t>
            </w:r>
            <w:r w:rsidRPr="00EE27A2">
              <w:rPr>
                <w:color w:val="auto"/>
              </w:rPr>
              <w:t>–</w:t>
            </w:r>
            <w:r w:rsidRPr="00EE27A2">
              <w:rPr>
                <w:color w:val="auto"/>
                <w:lang w:val="en-GB"/>
              </w:rPr>
              <w:t>24 Target</w:t>
            </w:r>
          </w:p>
        </w:tc>
        <w:tc>
          <w:tcPr>
            <w:tcW w:w="1348" w:type="dxa"/>
            <w:shd w:val="clear" w:color="auto" w:fill="009EAD"/>
          </w:tcPr>
          <w:p w14:paraId="30F0FD81" w14:textId="77777777" w:rsidR="000D3DCF" w:rsidRPr="00EE27A2" w:rsidRDefault="000D3DCF" w:rsidP="00BB40DF">
            <w:pPr>
              <w:pStyle w:val="TableBody"/>
              <w:jc w:val="right"/>
              <w:rPr>
                <w:color w:val="auto"/>
                <w:lang w:val="en-GB"/>
              </w:rPr>
            </w:pPr>
            <w:r w:rsidRPr="00EE27A2">
              <w:rPr>
                <w:color w:val="auto"/>
                <w:lang w:val="en-GB"/>
              </w:rPr>
              <w:t>2023</w:t>
            </w:r>
            <w:r w:rsidRPr="00EE27A2">
              <w:rPr>
                <w:color w:val="auto"/>
              </w:rPr>
              <w:t>–</w:t>
            </w:r>
            <w:r w:rsidRPr="00EE27A2">
              <w:rPr>
                <w:color w:val="auto"/>
                <w:lang w:val="en-GB"/>
              </w:rPr>
              <w:t>24 Result</w:t>
            </w:r>
          </w:p>
        </w:tc>
        <w:tc>
          <w:tcPr>
            <w:tcW w:w="1355" w:type="dxa"/>
            <w:shd w:val="clear" w:color="auto" w:fill="009EAD"/>
          </w:tcPr>
          <w:p w14:paraId="283A09EB" w14:textId="77777777" w:rsidR="000D3DCF" w:rsidRPr="00EE27A2" w:rsidRDefault="000D3DCF" w:rsidP="00BB40DF">
            <w:pPr>
              <w:pStyle w:val="TableBody"/>
              <w:jc w:val="right"/>
              <w:rPr>
                <w:color w:val="auto"/>
                <w:lang w:val="en-GB"/>
              </w:rPr>
            </w:pPr>
            <w:r w:rsidRPr="00EE27A2">
              <w:rPr>
                <w:color w:val="auto"/>
                <w:lang w:val="en-GB"/>
              </w:rPr>
              <w:t>2023</w:t>
            </w:r>
            <w:r w:rsidRPr="00EE27A2">
              <w:rPr>
                <w:color w:val="auto"/>
              </w:rPr>
              <w:t>–</w:t>
            </w:r>
            <w:r w:rsidRPr="00EE27A2">
              <w:rPr>
                <w:color w:val="auto"/>
                <w:lang w:val="en-GB"/>
              </w:rPr>
              <w:t>24 Outcome</w:t>
            </w:r>
          </w:p>
        </w:tc>
        <w:tc>
          <w:tcPr>
            <w:tcW w:w="1331" w:type="dxa"/>
            <w:shd w:val="clear" w:color="auto" w:fill="009EAD"/>
          </w:tcPr>
          <w:p w14:paraId="559B3DDC" w14:textId="77777777" w:rsidR="000D3DCF" w:rsidRPr="00EE27A2" w:rsidRDefault="000D3DCF" w:rsidP="00BB40DF">
            <w:pPr>
              <w:pStyle w:val="TableBody"/>
              <w:jc w:val="right"/>
              <w:rPr>
                <w:color w:val="auto"/>
                <w:lang w:val="en-GB"/>
              </w:rPr>
            </w:pPr>
            <w:r w:rsidRPr="00EE27A2">
              <w:rPr>
                <w:color w:val="auto"/>
                <w:lang w:val="en-GB"/>
              </w:rPr>
              <w:t>2022</w:t>
            </w:r>
            <w:r w:rsidRPr="00EE27A2">
              <w:rPr>
                <w:color w:val="auto"/>
              </w:rPr>
              <w:t>–</w:t>
            </w:r>
            <w:r w:rsidRPr="00EE27A2">
              <w:rPr>
                <w:color w:val="auto"/>
                <w:lang w:val="en-GB"/>
              </w:rPr>
              <w:t>23 Result</w:t>
            </w:r>
          </w:p>
        </w:tc>
      </w:tr>
      <w:tr w:rsidR="000D3DCF" w:rsidRPr="00A33264" w14:paraId="456261D4" w14:textId="77777777" w:rsidTr="00565716">
        <w:trPr>
          <w:cnfStyle w:val="000000100000" w:firstRow="0" w:lastRow="0" w:firstColumn="0" w:lastColumn="0" w:oddVBand="0" w:evenVBand="0" w:oddHBand="1" w:evenHBand="0" w:firstRowFirstColumn="0" w:firstRowLastColumn="0" w:lastRowFirstColumn="0" w:lastRowLastColumn="0"/>
          <w:cantSplit/>
        </w:trPr>
        <w:tc>
          <w:tcPr>
            <w:tcW w:w="3634" w:type="dxa"/>
            <w:shd w:val="clear" w:color="auto" w:fill="C5E4E8"/>
          </w:tcPr>
          <w:p w14:paraId="1C56ACCF" w14:textId="6D98248D" w:rsidR="000D3DCF" w:rsidRPr="00A33264" w:rsidRDefault="000D3DCF" w:rsidP="001F5A8E">
            <w:pPr>
              <w:pStyle w:val="TableBody"/>
              <w:rPr>
                <w:lang w:val="en-GB"/>
              </w:rPr>
            </w:pPr>
            <w:r w:rsidRPr="00A33264">
              <w:rPr>
                <w:lang w:val="en-GB"/>
              </w:rPr>
              <w:t>Participant satisfaction</w:t>
            </w:r>
          </w:p>
        </w:tc>
        <w:tc>
          <w:tcPr>
            <w:tcW w:w="1348" w:type="dxa"/>
            <w:shd w:val="clear" w:color="auto" w:fill="C5E4E8"/>
          </w:tcPr>
          <w:p w14:paraId="443048C1" w14:textId="77777777" w:rsidR="000D3DCF" w:rsidRPr="00A33264" w:rsidRDefault="000D3DCF" w:rsidP="00BB40DF">
            <w:pPr>
              <w:pStyle w:val="TableBody"/>
              <w:jc w:val="right"/>
              <w:rPr>
                <w:lang w:val="en-GB"/>
              </w:rPr>
            </w:pPr>
            <w:r w:rsidRPr="00A33264">
              <w:rPr>
                <w:lang w:val="en-GB"/>
              </w:rPr>
              <w:t>76%</w:t>
            </w:r>
          </w:p>
        </w:tc>
        <w:tc>
          <w:tcPr>
            <w:tcW w:w="1348" w:type="dxa"/>
            <w:shd w:val="clear" w:color="auto" w:fill="C5E4E8"/>
          </w:tcPr>
          <w:p w14:paraId="0B63FFDD" w14:textId="77777777" w:rsidR="000D3DCF" w:rsidRPr="00A33264" w:rsidRDefault="000D3DCF" w:rsidP="00BB40DF">
            <w:pPr>
              <w:pStyle w:val="TableBody"/>
              <w:jc w:val="right"/>
              <w:rPr>
                <w:lang w:val="en-GB"/>
              </w:rPr>
            </w:pPr>
            <w:r w:rsidRPr="00A33264">
              <w:rPr>
                <w:lang w:val="en-GB" w:eastAsia="en-AU"/>
              </w:rPr>
              <w:t>68.5%</w:t>
            </w:r>
          </w:p>
        </w:tc>
        <w:tc>
          <w:tcPr>
            <w:tcW w:w="1355" w:type="dxa"/>
            <w:shd w:val="clear" w:color="auto" w:fill="C5E4E8"/>
          </w:tcPr>
          <w:p w14:paraId="165B7C68" w14:textId="77777777" w:rsidR="000D3DCF" w:rsidRPr="00A33264" w:rsidRDefault="000D3DCF" w:rsidP="00BB40DF">
            <w:pPr>
              <w:pStyle w:val="TableBody"/>
              <w:jc w:val="right"/>
              <w:rPr>
                <w:lang w:val="en-GB"/>
              </w:rPr>
            </w:pPr>
            <w:r w:rsidRPr="00A33264">
              <w:rPr>
                <w:lang w:val="en-GB" w:eastAsia="en-AU"/>
              </w:rPr>
              <w:t>Partially achieved</w:t>
            </w:r>
          </w:p>
        </w:tc>
        <w:tc>
          <w:tcPr>
            <w:tcW w:w="1331" w:type="dxa"/>
            <w:shd w:val="clear" w:color="auto" w:fill="C5E4E8"/>
          </w:tcPr>
          <w:p w14:paraId="4EC06152" w14:textId="77777777" w:rsidR="000D3DCF" w:rsidRPr="00A33264" w:rsidRDefault="000D3DCF" w:rsidP="00BB40DF">
            <w:pPr>
              <w:pStyle w:val="TableBody"/>
              <w:jc w:val="right"/>
              <w:rPr>
                <w:lang w:val="en-GB" w:eastAsia="en-AU"/>
              </w:rPr>
            </w:pPr>
            <w:r>
              <w:rPr>
                <w:lang w:val="en-GB" w:eastAsia="en-AU"/>
              </w:rPr>
              <w:t>74.9%</w:t>
            </w:r>
          </w:p>
        </w:tc>
      </w:tr>
    </w:tbl>
    <w:p w14:paraId="6A4FD017" w14:textId="77777777" w:rsidR="000D3DCF" w:rsidRDefault="000D3DCF" w:rsidP="00B27FA1">
      <w:pPr>
        <w:pStyle w:val="Heading6"/>
        <w:rPr>
          <w:rFonts w:eastAsia="Yu Mincho"/>
        </w:rPr>
      </w:pPr>
      <w:r>
        <w:rPr>
          <w:rFonts w:eastAsia="Yu Mincho"/>
        </w:rPr>
        <w:t>Why we measure this</w:t>
      </w:r>
    </w:p>
    <w:p w14:paraId="12EEE68A" w14:textId="0D83C8F5" w:rsidR="000D3DCF" w:rsidRDefault="000D3DCF" w:rsidP="00565716">
      <w:r w:rsidRPr="009C34F0">
        <w:t xml:space="preserve">This measure was included under </w:t>
      </w:r>
      <w:r>
        <w:t>k</w:t>
      </w:r>
      <w:r w:rsidRPr="009C34F0">
        <w:t xml:space="preserve">ey activity 2 to assess the effectiveness of the PSIP. The PSIP is </w:t>
      </w:r>
      <w:r>
        <w:t>a</w:t>
      </w:r>
      <w:r w:rsidRPr="009C34F0">
        <w:t xml:space="preserve"> commitment to improve the participant experience and is a contributing factor to participant satisfaction performance</w:t>
      </w:r>
      <w:r w:rsidR="003431CF">
        <w:t>,</w:t>
      </w:r>
      <w:r w:rsidRPr="009C34F0">
        <w:t xml:space="preserve"> which has a target of 76%.</w:t>
      </w:r>
    </w:p>
    <w:p w14:paraId="720EE9FC" w14:textId="77777777" w:rsidR="000D3DCF" w:rsidRDefault="000D3DCF" w:rsidP="00B27FA1">
      <w:pPr>
        <w:pStyle w:val="Heading6"/>
      </w:pPr>
      <w:r>
        <w:t>How we measure this</w:t>
      </w:r>
    </w:p>
    <w:p w14:paraId="41336F0B" w14:textId="6BEE2174" w:rsidR="000D3DCF" w:rsidRPr="009C34F0" w:rsidRDefault="000D3DCF" w:rsidP="00565716">
      <w:r>
        <w:t xml:space="preserve">We obtain our results for this performance measure by </w:t>
      </w:r>
      <w:r w:rsidRPr="009C34F0">
        <w:t>calculat</w:t>
      </w:r>
      <w:r>
        <w:t>ing</w:t>
      </w:r>
      <w:r w:rsidRPr="009C34F0">
        <w:t xml:space="preserve"> the weighted average result of the percentage of ‘good’ and ‘very good’ responses to the participant satisfaction survey question about a participant’s experience across the stages of the </w:t>
      </w:r>
      <w:r>
        <w:t>NDIS</w:t>
      </w:r>
      <w:r w:rsidRPr="009C34F0">
        <w:t xml:space="preserve"> pathway. </w:t>
      </w:r>
      <w:r>
        <w:t>In December 2023 we made c</w:t>
      </w:r>
      <w:r w:rsidRPr="009C34F0">
        <w:t xml:space="preserve">hanges to the participant satisfaction survey </w:t>
      </w:r>
      <w:r>
        <w:t>to align it with the new computer system and to better support measurement against the PSG engagement principles.</w:t>
      </w:r>
      <w:r w:rsidRPr="009C34F0">
        <w:t xml:space="preserve"> </w:t>
      </w:r>
      <w:r w:rsidRPr="00AF7353">
        <w:t xml:space="preserve">The new survey questions </w:t>
      </w:r>
      <w:r>
        <w:t xml:space="preserve">were </w:t>
      </w:r>
      <w:r w:rsidRPr="00AF7353">
        <w:t>mapped against the old questions to ensure results remained comparable</w:t>
      </w:r>
      <w:r>
        <w:t>.</w:t>
      </w:r>
      <w:r w:rsidRPr="009C34F0">
        <w:t xml:space="preserve"> </w:t>
      </w:r>
    </w:p>
    <w:p w14:paraId="6D37D4A2" w14:textId="77777777" w:rsidR="000D3DCF" w:rsidRDefault="000D3DCF" w:rsidP="00B27FA1">
      <w:pPr>
        <w:pStyle w:val="Heading6"/>
      </w:pPr>
      <w:r>
        <w:t>Analysis</w:t>
      </w:r>
    </w:p>
    <w:p w14:paraId="11E52A50" w14:textId="3154CC2E" w:rsidR="000D3DCF" w:rsidRPr="009C34F0" w:rsidRDefault="000D3DCF" w:rsidP="00565716">
      <w:r w:rsidRPr="009C34F0">
        <w:t xml:space="preserve">The result for participant satisfaction has decreased 6.4% from 74.9% reported in </w:t>
      </w:r>
      <w:r w:rsidR="00E65441">
        <w:t xml:space="preserve">the </w:t>
      </w:r>
      <w:r w:rsidRPr="009C34F0">
        <w:t>NDIA Annual Report 2022</w:t>
      </w:r>
      <w:r w:rsidRPr="003131F3">
        <w:t>–</w:t>
      </w:r>
      <w:r w:rsidRPr="009C34F0">
        <w:t>23.</w:t>
      </w:r>
    </w:p>
    <w:p w14:paraId="1F95026D" w14:textId="1EA6571A" w:rsidR="000D3DCF" w:rsidRPr="009C34F0" w:rsidRDefault="000D3DCF" w:rsidP="00565716">
      <w:r w:rsidRPr="009C34F0">
        <w:t xml:space="preserve">The PSIP has 51 commitments, 35 </w:t>
      </w:r>
      <w:r>
        <w:t xml:space="preserve">of which </w:t>
      </w:r>
      <w:r w:rsidRPr="009C34F0">
        <w:t>have been delivered. Of the 35 delivered, 6 occurred in 2023</w:t>
      </w:r>
      <w:r w:rsidRPr="003131F3">
        <w:t>–</w:t>
      </w:r>
      <w:r w:rsidRPr="009C34F0">
        <w:t>24.</w:t>
      </w:r>
    </w:p>
    <w:p w14:paraId="2986C434" w14:textId="5138A39A" w:rsidR="00247078" w:rsidRDefault="000D3DCF" w:rsidP="00247078">
      <w:r w:rsidRPr="009C34F0">
        <w:t>There are 16 open commitments</w:t>
      </w:r>
      <w:r>
        <w:t>. These could have contributed to the decrease in participation and the fact that our</w:t>
      </w:r>
      <w:r w:rsidRPr="009C34F0">
        <w:t xml:space="preserve"> target of 76% </w:t>
      </w:r>
      <w:r>
        <w:t>was not</w:t>
      </w:r>
      <w:r w:rsidRPr="009C34F0">
        <w:t xml:space="preserve"> met.</w:t>
      </w:r>
    </w:p>
    <w:p w14:paraId="121C8E0D" w14:textId="62CB3A41" w:rsidR="000D3DCF" w:rsidRPr="009C34F0" w:rsidRDefault="000D3DCF" w:rsidP="00565716">
      <w:r>
        <w:t>Seven of our</w:t>
      </w:r>
      <w:r w:rsidRPr="009C34F0">
        <w:t xml:space="preserve"> commitments are affected by the NDIS Review </w:t>
      </w:r>
      <w:r>
        <w:t>r</w:t>
      </w:r>
      <w:r w:rsidRPr="009C34F0">
        <w:t xml:space="preserve">eform </w:t>
      </w:r>
      <w:r>
        <w:t>a</w:t>
      </w:r>
      <w:r w:rsidRPr="009C34F0">
        <w:t xml:space="preserve">genda </w:t>
      </w:r>
      <w:r w:rsidRPr="00954A4B">
        <w:rPr>
          <w:rFonts w:ascii="Symbol" w:eastAsia="Symbol" w:hAnsi="Symbol" w:cs="Symbol"/>
        </w:rPr>
        <w:t>-</w:t>
      </w:r>
      <w:r w:rsidRPr="009C34F0">
        <w:t xml:space="preserve"> </w:t>
      </w:r>
      <w:r>
        <w:t>they are being</w:t>
      </w:r>
      <w:r w:rsidRPr="009C34F0">
        <w:t xml:space="preserve"> reviewed to determine if they should be closed. These commitments </w:t>
      </w:r>
      <w:r>
        <w:t xml:space="preserve">were </w:t>
      </w:r>
      <w:r w:rsidRPr="009C34F0">
        <w:t xml:space="preserve">primarily </w:t>
      </w:r>
      <w:r>
        <w:t>to do with</w:t>
      </w:r>
      <w:r w:rsidRPr="009C34F0">
        <w:t xml:space="preserve"> the participant experience in access and planning activities and support for implementing </w:t>
      </w:r>
      <w:r>
        <w:t>participants’</w:t>
      </w:r>
      <w:r w:rsidRPr="009C34F0">
        <w:t xml:space="preserve"> plan</w:t>
      </w:r>
      <w:r>
        <w:t>s</w:t>
      </w:r>
      <w:r w:rsidRPr="009C34F0">
        <w:t>.</w:t>
      </w:r>
    </w:p>
    <w:p w14:paraId="6C823348" w14:textId="4B7ED0FD" w:rsidR="000D3DCF" w:rsidRPr="009C34F0" w:rsidRDefault="000D3DCF" w:rsidP="00565716">
      <w:r>
        <w:t>Eight</w:t>
      </w:r>
      <w:r w:rsidRPr="009C34F0">
        <w:t xml:space="preserve"> commitments are on track for delivery based on the current target date</w:t>
      </w:r>
      <w:r>
        <w:t>.</w:t>
      </w:r>
      <w:r w:rsidRPr="009C34F0">
        <w:t xml:space="preserve"> </w:t>
      </w:r>
      <w:r>
        <w:t>O</w:t>
      </w:r>
      <w:r w:rsidRPr="009C34F0">
        <w:t xml:space="preserve">ne </w:t>
      </w:r>
      <w:r>
        <w:t>commitment</w:t>
      </w:r>
      <w:r w:rsidRPr="009C34F0">
        <w:t xml:space="preserve"> is delayed due </w:t>
      </w:r>
      <w:r w:rsidRPr="00F8384B">
        <w:t xml:space="preserve">to </w:t>
      </w:r>
      <w:r>
        <w:t xml:space="preserve">the </w:t>
      </w:r>
      <w:r w:rsidRPr="00F8384B">
        <w:t>implementation of our new computer system.</w:t>
      </w:r>
    </w:p>
    <w:p w14:paraId="59F63196" w14:textId="687B4349" w:rsidR="000D3DCF" w:rsidRPr="009C34F0" w:rsidRDefault="000D3DCF" w:rsidP="00565716">
      <w:pPr>
        <w:rPr>
          <w:lang w:val="en-GB"/>
        </w:rPr>
      </w:pPr>
      <w:r w:rsidRPr="009C34F0">
        <w:t xml:space="preserve">The timeline for </w:t>
      </w:r>
      <w:r>
        <w:t xml:space="preserve">the </w:t>
      </w:r>
      <w:r w:rsidRPr="009C34F0">
        <w:t xml:space="preserve">delivery of the 19 </w:t>
      </w:r>
      <w:r>
        <w:t>r</w:t>
      </w:r>
      <w:r w:rsidRPr="009C34F0">
        <w:t>eform initiatives</w:t>
      </w:r>
      <w:r>
        <w:t xml:space="preserve"> that came out of the NDIS Review</w:t>
      </w:r>
      <w:r w:rsidRPr="009C34F0">
        <w:t xml:space="preserve"> </w:t>
      </w:r>
      <w:r>
        <w:t xml:space="preserve">could affect </w:t>
      </w:r>
      <w:r w:rsidRPr="009C34F0">
        <w:t>participant</w:t>
      </w:r>
      <w:r>
        <w:t>s’</w:t>
      </w:r>
      <w:r w:rsidRPr="009C34F0">
        <w:t xml:space="preserve"> experience</w:t>
      </w:r>
      <w:r>
        <w:t xml:space="preserve">s of the NDIS </w:t>
      </w:r>
      <w:r w:rsidRPr="009C34F0">
        <w:t>in the future</w:t>
      </w:r>
      <w:r>
        <w:t>.</w:t>
      </w:r>
      <w:r w:rsidRPr="009C34F0">
        <w:t xml:space="preserve"> </w:t>
      </w:r>
      <w:r>
        <w:t>S</w:t>
      </w:r>
      <w:r w:rsidRPr="009C34F0">
        <w:t xml:space="preserve">ome of </w:t>
      </w:r>
      <w:r>
        <w:t>our</w:t>
      </w:r>
      <w:r w:rsidRPr="009C34F0">
        <w:t xml:space="preserve"> </w:t>
      </w:r>
      <w:r w:rsidRPr="009C34F0">
        <w:lastRenderedPageBreak/>
        <w:t xml:space="preserve">commitments </w:t>
      </w:r>
      <w:r>
        <w:t xml:space="preserve">will </w:t>
      </w:r>
      <w:r w:rsidR="00833F75">
        <w:t>no</w:t>
      </w:r>
      <w:r w:rsidRPr="009C34F0">
        <w:t xml:space="preserve"> longer </w:t>
      </w:r>
      <w:r w:rsidR="00833F75">
        <w:t xml:space="preserve">be </w:t>
      </w:r>
      <w:r w:rsidRPr="009C34F0">
        <w:t xml:space="preserve">relevant in the context of the future direction of the </w:t>
      </w:r>
      <w:r>
        <w:t>NDIS</w:t>
      </w:r>
      <w:r w:rsidRPr="009C34F0">
        <w:t>.</w:t>
      </w:r>
    </w:p>
    <w:p w14:paraId="54D93F00" w14:textId="43C5D397" w:rsidR="000D3DCF" w:rsidRPr="00A33264" w:rsidRDefault="000D3DCF" w:rsidP="00CB7991">
      <w:pPr>
        <w:rPr>
          <w:b/>
          <w:bCs/>
          <w:lang w:val="en-GB"/>
        </w:rPr>
      </w:pPr>
      <w:r w:rsidRPr="00A33264">
        <w:rPr>
          <w:b/>
          <w:bCs/>
          <w:lang w:val="en-GB"/>
        </w:rPr>
        <w:t xml:space="preserve">General community sentiment and confidence </w:t>
      </w:r>
    </w:p>
    <w:tbl>
      <w:tblPr>
        <w:tblStyle w:val="GridTable4"/>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20" w:firstRow="1" w:lastRow="0" w:firstColumn="0" w:lastColumn="0" w:noHBand="0" w:noVBand="1"/>
      </w:tblPr>
      <w:tblGrid>
        <w:gridCol w:w="3685"/>
        <w:gridCol w:w="1361"/>
        <w:gridCol w:w="1361"/>
        <w:gridCol w:w="1361"/>
        <w:gridCol w:w="1361"/>
      </w:tblGrid>
      <w:tr w:rsidR="00EE27A2" w:rsidRPr="00EE27A2" w14:paraId="515E96B6" w14:textId="77777777" w:rsidTr="001C0A6D">
        <w:trPr>
          <w:cnfStyle w:val="100000000000" w:firstRow="1" w:lastRow="0" w:firstColumn="0" w:lastColumn="0" w:oddVBand="0" w:evenVBand="0" w:oddHBand="0" w:evenHBand="0" w:firstRowFirstColumn="0" w:firstRowLastColumn="0" w:lastRowFirstColumn="0" w:lastRowLastColumn="0"/>
          <w:cantSplit/>
        </w:trPr>
        <w:tc>
          <w:tcPr>
            <w:tcW w:w="3685" w:type="dxa"/>
            <w:shd w:val="clear" w:color="auto" w:fill="009EAD"/>
          </w:tcPr>
          <w:p w14:paraId="2D52D857" w14:textId="1753218C" w:rsidR="000D3DCF" w:rsidRPr="00EE27A2" w:rsidRDefault="000D3DCF">
            <w:pPr>
              <w:pStyle w:val="TableBody"/>
              <w:rPr>
                <w:color w:val="auto"/>
                <w:lang w:val="en-GB"/>
              </w:rPr>
            </w:pPr>
            <w:bookmarkStart w:id="94" w:name="ColumnTitle_PerformanceMeasure13"/>
            <w:bookmarkEnd w:id="94"/>
            <w:r w:rsidRPr="00EE27A2">
              <w:rPr>
                <w:color w:val="auto"/>
                <w:lang w:val="en-GB"/>
              </w:rPr>
              <w:t>Performance measure</w:t>
            </w:r>
          </w:p>
        </w:tc>
        <w:tc>
          <w:tcPr>
            <w:tcW w:w="1361" w:type="dxa"/>
            <w:shd w:val="clear" w:color="auto" w:fill="009EAD"/>
          </w:tcPr>
          <w:p w14:paraId="5E424650" w14:textId="77777777" w:rsidR="000D3DCF" w:rsidRPr="00EE27A2" w:rsidRDefault="000D3DCF" w:rsidP="00BB40DF">
            <w:pPr>
              <w:pStyle w:val="TableBody"/>
              <w:jc w:val="right"/>
              <w:rPr>
                <w:color w:val="auto"/>
                <w:lang w:val="en-GB"/>
              </w:rPr>
            </w:pPr>
            <w:r w:rsidRPr="00EE27A2">
              <w:rPr>
                <w:color w:val="auto"/>
                <w:lang w:val="en-GB"/>
              </w:rPr>
              <w:t>2023</w:t>
            </w:r>
            <w:r w:rsidRPr="00EE27A2">
              <w:rPr>
                <w:color w:val="auto"/>
              </w:rPr>
              <w:t>–</w:t>
            </w:r>
            <w:r w:rsidRPr="00EE27A2">
              <w:rPr>
                <w:color w:val="auto"/>
                <w:lang w:val="en-GB"/>
              </w:rPr>
              <w:t>24 Target</w:t>
            </w:r>
          </w:p>
        </w:tc>
        <w:tc>
          <w:tcPr>
            <w:tcW w:w="1361" w:type="dxa"/>
            <w:shd w:val="clear" w:color="auto" w:fill="009EAD"/>
          </w:tcPr>
          <w:p w14:paraId="2F905A8F" w14:textId="77777777" w:rsidR="000D3DCF" w:rsidRPr="00EE27A2" w:rsidRDefault="000D3DCF" w:rsidP="00BB40DF">
            <w:pPr>
              <w:pStyle w:val="TableBody"/>
              <w:jc w:val="right"/>
              <w:rPr>
                <w:color w:val="auto"/>
                <w:lang w:val="en-GB"/>
              </w:rPr>
            </w:pPr>
            <w:r w:rsidRPr="00EE27A2">
              <w:rPr>
                <w:color w:val="auto"/>
                <w:lang w:val="en-GB"/>
              </w:rPr>
              <w:t>2023</w:t>
            </w:r>
            <w:r w:rsidRPr="00EE27A2">
              <w:rPr>
                <w:color w:val="auto"/>
              </w:rPr>
              <w:t>–</w:t>
            </w:r>
            <w:r w:rsidRPr="00EE27A2">
              <w:rPr>
                <w:color w:val="auto"/>
                <w:lang w:val="en-GB"/>
              </w:rPr>
              <w:t>24 Result</w:t>
            </w:r>
          </w:p>
        </w:tc>
        <w:tc>
          <w:tcPr>
            <w:tcW w:w="1361" w:type="dxa"/>
            <w:shd w:val="clear" w:color="auto" w:fill="009EAD"/>
          </w:tcPr>
          <w:p w14:paraId="4FEEDE37" w14:textId="77777777" w:rsidR="000D3DCF" w:rsidRPr="00EE27A2" w:rsidRDefault="000D3DCF" w:rsidP="00BB40DF">
            <w:pPr>
              <w:pStyle w:val="TableBody"/>
              <w:jc w:val="right"/>
              <w:rPr>
                <w:color w:val="auto"/>
                <w:lang w:val="en-GB"/>
              </w:rPr>
            </w:pPr>
            <w:r w:rsidRPr="00EE27A2">
              <w:rPr>
                <w:color w:val="auto"/>
                <w:lang w:val="en-GB"/>
              </w:rPr>
              <w:t>2023</w:t>
            </w:r>
            <w:r w:rsidRPr="00EE27A2">
              <w:rPr>
                <w:color w:val="auto"/>
              </w:rPr>
              <w:t>–</w:t>
            </w:r>
            <w:r w:rsidRPr="00EE27A2">
              <w:rPr>
                <w:color w:val="auto"/>
                <w:lang w:val="en-GB"/>
              </w:rPr>
              <w:t>24 Outcome</w:t>
            </w:r>
          </w:p>
        </w:tc>
        <w:tc>
          <w:tcPr>
            <w:tcW w:w="1361" w:type="dxa"/>
            <w:shd w:val="clear" w:color="auto" w:fill="009EAD"/>
          </w:tcPr>
          <w:p w14:paraId="19CFBBA6" w14:textId="77777777" w:rsidR="000D3DCF" w:rsidRPr="00EE27A2" w:rsidRDefault="000D3DCF" w:rsidP="00BB40DF">
            <w:pPr>
              <w:pStyle w:val="TableBody"/>
              <w:jc w:val="right"/>
              <w:rPr>
                <w:color w:val="auto"/>
                <w:lang w:val="en-GB"/>
              </w:rPr>
            </w:pPr>
            <w:r w:rsidRPr="00EE27A2">
              <w:rPr>
                <w:color w:val="auto"/>
                <w:lang w:val="en-GB"/>
              </w:rPr>
              <w:t>2022</w:t>
            </w:r>
            <w:r w:rsidRPr="00EE27A2">
              <w:rPr>
                <w:color w:val="auto"/>
              </w:rPr>
              <w:t>–</w:t>
            </w:r>
            <w:r w:rsidRPr="00EE27A2">
              <w:rPr>
                <w:color w:val="auto"/>
                <w:lang w:val="en-GB"/>
              </w:rPr>
              <w:t>23 Result</w:t>
            </w:r>
          </w:p>
        </w:tc>
      </w:tr>
      <w:tr w:rsidR="000D3DCF" w:rsidRPr="00A33264" w14:paraId="1DC7F6DD" w14:textId="77777777" w:rsidTr="00565716">
        <w:trPr>
          <w:cnfStyle w:val="000000100000" w:firstRow="0" w:lastRow="0" w:firstColumn="0" w:lastColumn="0" w:oddVBand="0" w:evenVBand="0" w:oddHBand="1" w:evenHBand="0" w:firstRowFirstColumn="0" w:firstRowLastColumn="0" w:lastRowFirstColumn="0" w:lastRowLastColumn="0"/>
          <w:cantSplit/>
        </w:trPr>
        <w:tc>
          <w:tcPr>
            <w:tcW w:w="3685" w:type="dxa"/>
            <w:shd w:val="clear" w:color="auto" w:fill="C5E4E8"/>
          </w:tcPr>
          <w:p w14:paraId="34C8A1EE" w14:textId="6B3ABB98" w:rsidR="000D3DCF" w:rsidRPr="00A33264" w:rsidRDefault="000D3DCF" w:rsidP="00CB7991">
            <w:pPr>
              <w:pStyle w:val="TableBody"/>
              <w:rPr>
                <w:lang w:val="en-GB"/>
              </w:rPr>
            </w:pPr>
            <w:r w:rsidRPr="00A33264">
              <w:rPr>
                <w:lang w:val="en-GB"/>
              </w:rPr>
              <w:t xml:space="preserve">General community sentiment and confidence </w:t>
            </w:r>
          </w:p>
        </w:tc>
        <w:tc>
          <w:tcPr>
            <w:tcW w:w="1361" w:type="dxa"/>
            <w:shd w:val="clear" w:color="auto" w:fill="C5E4E8"/>
          </w:tcPr>
          <w:p w14:paraId="0FF8EAD3" w14:textId="77777777" w:rsidR="000D3DCF" w:rsidRPr="00A33264" w:rsidRDefault="000D3DCF" w:rsidP="00BB40DF">
            <w:pPr>
              <w:pStyle w:val="TableBody"/>
              <w:jc w:val="right"/>
              <w:rPr>
                <w:lang w:val="en-GB"/>
              </w:rPr>
            </w:pPr>
            <w:r w:rsidRPr="00A33264">
              <w:rPr>
                <w:lang w:val="en-GB"/>
              </w:rPr>
              <w:t>70%</w:t>
            </w:r>
          </w:p>
        </w:tc>
        <w:tc>
          <w:tcPr>
            <w:tcW w:w="1361" w:type="dxa"/>
            <w:shd w:val="clear" w:color="auto" w:fill="C5E4E8"/>
          </w:tcPr>
          <w:p w14:paraId="5B555F71" w14:textId="77777777" w:rsidR="000D3DCF" w:rsidRPr="00A33264" w:rsidRDefault="000D3DCF" w:rsidP="00BB40DF">
            <w:pPr>
              <w:pStyle w:val="TableBody"/>
              <w:jc w:val="right"/>
              <w:rPr>
                <w:lang w:val="en-GB"/>
              </w:rPr>
            </w:pPr>
            <w:r w:rsidRPr="00A33264">
              <w:rPr>
                <w:lang w:val="en-GB" w:eastAsia="en-AU"/>
              </w:rPr>
              <w:t>65.3%</w:t>
            </w:r>
          </w:p>
        </w:tc>
        <w:tc>
          <w:tcPr>
            <w:tcW w:w="1361" w:type="dxa"/>
            <w:shd w:val="clear" w:color="auto" w:fill="C5E4E8"/>
          </w:tcPr>
          <w:p w14:paraId="753B5421" w14:textId="77777777" w:rsidR="000D3DCF" w:rsidRPr="00A33264" w:rsidRDefault="000D3DCF" w:rsidP="00BB40DF">
            <w:pPr>
              <w:pStyle w:val="TableBody"/>
              <w:jc w:val="right"/>
              <w:rPr>
                <w:lang w:val="en-GB"/>
              </w:rPr>
            </w:pPr>
            <w:r w:rsidRPr="00A33264">
              <w:rPr>
                <w:lang w:val="en-GB" w:eastAsia="en-AU"/>
              </w:rPr>
              <w:t>Partially achieved</w:t>
            </w:r>
          </w:p>
        </w:tc>
        <w:tc>
          <w:tcPr>
            <w:tcW w:w="1361" w:type="dxa"/>
            <w:shd w:val="clear" w:color="auto" w:fill="C5E4E8"/>
          </w:tcPr>
          <w:p w14:paraId="00176D47" w14:textId="77777777" w:rsidR="000D3DCF" w:rsidRPr="00A33264" w:rsidRDefault="000D3DCF" w:rsidP="00BB40DF">
            <w:pPr>
              <w:pStyle w:val="TableBody"/>
              <w:jc w:val="right"/>
              <w:rPr>
                <w:lang w:val="en-GB" w:eastAsia="en-AU"/>
              </w:rPr>
            </w:pPr>
            <w:r>
              <w:rPr>
                <w:lang w:val="en-GB" w:eastAsia="en-AU"/>
              </w:rPr>
              <w:t>66.3%</w:t>
            </w:r>
          </w:p>
        </w:tc>
      </w:tr>
    </w:tbl>
    <w:p w14:paraId="1B564D5D" w14:textId="77777777" w:rsidR="000D3DCF" w:rsidRDefault="000D3DCF" w:rsidP="00B27FA1">
      <w:pPr>
        <w:pStyle w:val="Heading6"/>
        <w:rPr>
          <w:rFonts w:eastAsia="Yu Mincho"/>
        </w:rPr>
      </w:pPr>
      <w:r>
        <w:rPr>
          <w:rFonts w:eastAsia="Yu Mincho"/>
        </w:rPr>
        <w:t>Why we measure this</w:t>
      </w:r>
    </w:p>
    <w:p w14:paraId="58E29810" w14:textId="77777777" w:rsidR="000D3DCF" w:rsidRDefault="000D3DCF" w:rsidP="00565716">
      <w:r w:rsidRPr="009C34F0">
        <w:rPr>
          <w:rStyle w:val="ui-provider"/>
        </w:rPr>
        <w:t xml:space="preserve">This measure </w:t>
      </w:r>
      <w:r w:rsidRPr="009C34F0">
        <w:t xml:space="preserve">assesses the effectiveness of our public engagement. </w:t>
      </w:r>
    </w:p>
    <w:p w14:paraId="07F08F42" w14:textId="77777777" w:rsidR="000D3DCF" w:rsidRDefault="000D3DCF" w:rsidP="00B27FA1">
      <w:pPr>
        <w:pStyle w:val="Heading6"/>
      </w:pPr>
      <w:r>
        <w:t>How we measure this</w:t>
      </w:r>
    </w:p>
    <w:p w14:paraId="32B48A9A" w14:textId="35505385" w:rsidR="000D3DCF" w:rsidRPr="009C34F0" w:rsidRDefault="000D3DCF" w:rsidP="00565716">
      <w:pPr>
        <w:rPr>
          <w:rStyle w:val="ui-provider"/>
        </w:rPr>
      </w:pPr>
      <w:r>
        <w:t xml:space="preserve">We obtain our results for this performance measure by </w:t>
      </w:r>
      <w:r w:rsidRPr="009C34F0">
        <w:t>calculat</w:t>
      </w:r>
      <w:r>
        <w:t>ing</w:t>
      </w:r>
      <w:r w:rsidRPr="009C34F0">
        <w:t xml:space="preserve"> the average of the 12 monthly results from a survey </w:t>
      </w:r>
      <w:r>
        <w:t>of</w:t>
      </w:r>
      <w:r w:rsidRPr="009C34F0">
        <w:t xml:space="preserve"> brand sentiment measures – </w:t>
      </w:r>
      <w:r>
        <w:t>r</w:t>
      </w:r>
      <w:r w:rsidRPr="009C34F0">
        <w:t xml:space="preserve">eputation, </w:t>
      </w:r>
      <w:r>
        <w:t>t</w:t>
      </w:r>
      <w:r w:rsidRPr="009C34F0">
        <w:t xml:space="preserve">rust, </w:t>
      </w:r>
      <w:r>
        <w:t>s</w:t>
      </w:r>
      <w:r w:rsidRPr="009C34F0">
        <w:t xml:space="preserve">upport and </w:t>
      </w:r>
      <w:r>
        <w:t>p</w:t>
      </w:r>
      <w:r w:rsidRPr="009C34F0">
        <w:t xml:space="preserve">ositivity towards the </w:t>
      </w:r>
      <w:r>
        <w:t>NDIS</w:t>
      </w:r>
      <w:r w:rsidRPr="009C34F0">
        <w:t>.</w:t>
      </w:r>
      <w:r>
        <w:t xml:space="preserve"> The survey </w:t>
      </w:r>
      <w:r w:rsidR="00F42AEF">
        <w:t>was</w:t>
      </w:r>
      <w:r>
        <w:t xml:space="preserve"> conducted independently by Hall &amp; Partners</w:t>
      </w:r>
      <w:r w:rsidR="00EB6678" w:rsidRPr="00EB6678">
        <w:t xml:space="preserve"> </w:t>
      </w:r>
      <w:r w:rsidR="00EB6678">
        <w:t>and received</w:t>
      </w:r>
      <w:r w:rsidR="00EB6678" w:rsidRPr="004B3C27">
        <w:t xml:space="preserve"> </w:t>
      </w:r>
      <w:r w:rsidR="00EB6678">
        <w:t>10,000</w:t>
      </w:r>
      <w:r w:rsidR="00EB6678" w:rsidRPr="004B3C27">
        <w:t xml:space="preserve"> responses </w:t>
      </w:r>
      <w:r w:rsidR="00EB6678">
        <w:t xml:space="preserve">in </w:t>
      </w:r>
      <w:r w:rsidR="00E3615E">
        <w:t>2023–24</w:t>
      </w:r>
      <w:r w:rsidR="00EB6678">
        <w:t>.</w:t>
      </w:r>
    </w:p>
    <w:p w14:paraId="5336158E" w14:textId="77777777" w:rsidR="000D3DCF" w:rsidRDefault="000D3DCF" w:rsidP="00B27FA1">
      <w:pPr>
        <w:pStyle w:val="Heading6"/>
      </w:pPr>
      <w:r>
        <w:t>Analysis</w:t>
      </w:r>
    </w:p>
    <w:p w14:paraId="5CE5B9BB" w14:textId="706F931A" w:rsidR="000D3DCF" w:rsidRPr="009C34F0" w:rsidRDefault="000D3DCF" w:rsidP="00565716">
      <w:pPr>
        <w:rPr>
          <w:rStyle w:val="ui-provider"/>
        </w:rPr>
      </w:pPr>
      <w:r w:rsidRPr="009C34F0">
        <w:rPr>
          <w:rStyle w:val="ui-provider"/>
        </w:rPr>
        <w:t xml:space="preserve">Confidence, awareness and sentiment </w:t>
      </w:r>
      <w:r>
        <w:rPr>
          <w:rStyle w:val="ui-provider"/>
        </w:rPr>
        <w:t>measures</w:t>
      </w:r>
      <w:r w:rsidRPr="009C34F0">
        <w:rPr>
          <w:rStyle w:val="ui-provider"/>
        </w:rPr>
        <w:t xml:space="preserve"> are tracked and reported on under </w:t>
      </w:r>
      <w:r>
        <w:rPr>
          <w:rStyle w:val="ui-provider"/>
        </w:rPr>
        <w:t>this measure</w:t>
      </w:r>
      <w:r w:rsidRPr="009C34F0">
        <w:rPr>
          <w:rStyle w:val="ui-provider"/>
        </w:rPr>
        <w:t>.</w:t>
      </w:r>
    </w:p>
    <w:p w14:paraId="74133045" w14:textId="3B8217AF" w:rsidR="000D3DCF" w:rsidRPr="009C34F0" w:rsidRDefault="000D3DCF" w:rsidP="00565716">
      <w:pPr>
        <w:rPr>
          <w:rStyle w:val="ui-provider"/>
        </w:rPr>
      </w:pPr>
      <w:r>
        <w:rPr>
          <w:rStyle w:val="ui-provider"/>
        </w:rPr>
        <w:t>In</w:t>
      </w:r>
      <w:r w:rsidRPr="009C34F0">
        <w:rPr>
          <w:rStyle w:val="ui-provider"/>
        </w:rPr>
        <w:t xml:space="preserve"> 2023</w:t>
      </w:r>
      <w:r w:rsidRPr="003131F3">
        <w:t>–</w:t>
      </w:r>
      <w:r w:rsidRPr="009C34F0">
        <w:rPr>
          <w:rStyle w:val="ui-provider"/>
        </w:rPr>
        <w:t xml:space="preserve">24 awareness of the </w:t>
      </w:r>
      <w:r>
        <w:rPr>
          <w:rStyle w:val="ui-provider"/>
        </w:rPr>
        <w:t>NDIS</w:t>
      </w:r>
      <w:r w:rsidRPr="009C34F0">
        <w:rPr>
          <w:rStyle w:val="ui-provider"/>
        </w:rPr>
        <w:t xml:space="preserve"> increased,</w:t>
      </w:r>
      <w:r>
        <w:rPr>
          <w:rStyle w:val="ui-provider"/>
        </w:rPr>
        <w:t xml:space="preserve"> and</w:t>
      </w:r>
      <w:r w:rsidRPr="009C34F0">
        <w:rPr>
          <w:rStyle w:val="ui-provider"/>
        </w:rPr>
        <w:t xml:space="preserve"> more </w:t>
      </w:r>
      <w:r>
        <w:rPr>
          <w:rStyle w:val="ui-provider"/>
        </w:rPr>
        <w:t>people in</w:t>
      </w:r>
      <w:r w:rsidRPr="009C34F0">
        <w:rPr>
          <w:rStyle w:val="ui-provider"/>
        </w:rPr>
        <w:t xml:space="preserve"> the general community </w:t>
      </w:r>
      <w:r>
        <w:rPr>
          <w:rStyle w:val="ui-provider"/>
        </w:rPr>
        <w:t xml:space="preserve">gained an </w:t>
      </w:r>
      <w:r w:rsidRPr="009C34F0">
        <w:rPr>
          <w:rStyle w:val="ui-provider"/>
        </w:rPr>
        <w:t xml:space="preserve">understanding </w:t>
      </w:r>
      <w:r>
        <w:rPr>
          <w:rStyle w:val="ui-provider"/>
        </w:rPr>
        <w:t xml:space="preserve">of </w:t>
      </w:r>
      <w:r w:rsidRPr="009C34F0">
        <w:rPr>
          <w:rStyle w:val="ui-provider"/>
        </w:rPr>
        <w:t xml:space="preserve">the role of the </w:t>
      </w:r>
      <w:r>
        <w:rPr>
          <w:rStyle w:val="ui-provider"/>
        </w:rPr>
        <w:t>NDIS</w:t>
      </w:r>
      <w:r w:rsidRPr="009C34F0">
        <w:rPr>
          <w:rStyle w:val="ui-provider"/>
        </w:rPr>
        <w:t>.</w:t>
      </w:r>
    </w:p>
    <w:p w14:paraId="1F2FB224" w14:textId="08D36221" w:rsidR="000D3DCF" w:rsidRPr="009C34F0" w:rsidRDefault="000D3DCF" w:rsidP="00565716">
      <w:pPr>
        <w:rPr>
          <w:rStyle w:val="ui-provider"/>
        </w:rPr>
      </w:pPr>
      <w:r w:rsidRPr="009C34F0">
        <w:rPr>
          <w:rStyle w:val="ui-provider"/>
        </w:rPr>
        <w:t>Sentiment during this period remained broadly stable</w:t>
      </w:r>
      <w:r>
        <w:rPr>
          <w:rStyle w:val="ui-provider"/>
        </w:rPr>
        <w:t>,</w:t>
      </w:r>
      <w:r w:rsidRPr="009C34F0">
        <w:rPr>
          <w:rStyle w:val="ui-provider"/>
        </w:rPr>
        <w:t xml:space="preserve"> with some fluctuations toward the end of the financial year. </w:t>
      </w:r>
    </w:p>
    <w:p w14:paraId="03D1D849" w14:textId="060B54F9" w:rsidR="000D3DCF" w:rsidRPr="009C34F0" w:rsidRDefault="000D3DCF" w:rsidP="00565716">
      <w:pPr>
        <w:rPr>
          <w:rStyle w:val="ui-provider"/>
        </w:rPr>
      </w:pPr>
      <w:r>
        <w:rPr>
          <w:rStyle w:val="ui-provider"/>
        </w:rPr>
        <w:t>Positive</w:t>
      </w:r>
      <w:r w:rsidRPr="009C34F0">
        <w:rPr>
          <w:rStyle w:val="ui-provider"/>
        </w:rPr>
        <w:t xml:space="preserve"> perceptions of the </w:t>
      </w:r>
      <w:r>
        <w:rPr>
          <w:rStyle w:val="ui-provider"/>
        </w:rPr>
        <w:t>NDIS</w:t>
      </w:r>
      <w:r w:rsidRPr="009C34F0">
        <w:rPr>
          <w:rStyle w:val="ui-provider"/>
        </w:rPr>
        <w:t xml:space="preserve"> </w:t>
      </w:r>
      <w:r>
        <w:rPr>
          <w:rStyle w:val="ui-provider"/>
        </w:rPr>
        <w:t xml:space="preserve">that consistently </w:t>
      </w:r>
      <w:r w:rsidRPr="009C34F0">
        <w:rPr>
          <w:rStyle w:val="ui-provider"/>
        </w:rPr>
        <w:t xml:space="preserve">scored highest were </w:t>
      </w:r>
      <w:r>
        <w:rPr>
          <w:rStyle w:val="ui-provider"/>
        </w:rPr>
        <w:t>‘</w:t>
      </w:r>
      <w:r w:rsidRPr="009C34F0">
        <w:rPr>
          <w:rStyle w:val="ui-provider"/>
        </w:rPr>
        <w:t>essential</w:t>
      </w:r>
      <w:r>
        <w:rPr>
          <w:rStyle w:val="ui-provider"/>
        </w:rPr>
        <w:t>’ and ‘</w:t>
      </w:r>
      <w:r w:rsidRPr="009C34F0">
        <w:rPr>
          <w:rStyle w:val="ui-provider"/>
        </w:rPr>
        <w:t>improving lives</w:t>
      </w:r>
      <w:r>
        <w:rPr>
          <w:rStyle w:val="ui-provider"/>
        </w:rPr>
        <w:t>’. Negative perceptions were</w:t>
      </w:r>
      <w:r w:rsidRPr="009C34F0">
        <w:rPr>
          <w:rStyle w:val="ui-provider"/>
        </w:rPr>
        <w:t xml:space="preserve"> </w:t>
      </w:r>
      <w:r>
        <w:rPr>
          <w:rStyle w:val="ui-provider"/>
        </w:rPr>
        <w:t>‘</w:t>
      </w:r>
      <w:r w:rsidRPr="009C34F0">
        <w:rPr>
          <w:rStyle w:val="ui-provider"/>
        </w:rPr>
        <w:t>complex</w:t>
      </w:r>
      <w:r>
        <w:rPr>
          <w:rStyle w:val="ui-provider"/>
        </w:rPr>
        <w:t>’</w:t>
      </w:r>
      <w:r w:rsidRPr="009C34F0">
        <w:rPr>
          <w:rStyle w:val="ui-provider"/>
        </w:rPr>
        <w:t xml:space="preserve">, </w:t>
      </w:r>
      <w:r>
        <w:rPr>
          <w:rStyle w:val="ui-provider"/>
        </w:rPr>
        <w:t>‘</w:t>
      </w:r>
      <w:r w:rsidRPr="009C34F0">
        <w:rPr>
          <w:rStyle w:val="ui-provider"/>
        </w:rPr>
        <w:t>confusing</w:t>
      </w:r>
      <w:r>
        <w:rPr>
          <w:rStyle w:val="ui-provider"/>
        </w:rPr>
        <w:t>’</w:t>
      </w:r>
      <w:r w:rsidRPr="009C34F0">
        <w:rPr>
          <w:rStyle w:val="ui-provider"/>
        </w:rPr>
        <w:t xml:space="preserve"> and </w:t>
      </w:r>
      <w:r>
        <w:rPr>
          <w:rStyle w:val="ui-provider"/>
        </w:rPr>
        <w:t>‘</w:t>
      </w:r>
      <w:r w:rsidRPr="009C34F0">
        <w:rPr>
          <w:rStyle w:val="ui-provider"/>
        </w:rPr>
        <w:t>bureaucratic</w:t>
      </w:r>
      <w:r>
        <w:rPr>
          <w:rStyle w:val="ui-provider"/>
        </w:rPr>
        <w:t>’</w:t>
      </w:r>
      <w:r w:rsidRPr="009C34F0">
        <w:rPr>
          <w:rStyle w:val="ui-provider"/>
        </w:rPr>
        <w:t>.</w:t>
      </w:r>
    </w:p>
    <w:p w14:paraId="7E381012" w14:textId="47CD6D50" w:rsidR="00AA02E5" w:rsidRDefault="000D3DCF" w:rsidP="00AA02E5">
      <w:pPr>
        <w:rPr>
          <w:b/>
          <w:bCs/>
          <w:lang w:val="en-GB"/>
        </w:rPr>
      </w:pPr>
      <w:r>
        <w:rPr>
          <w:rStyle w:val="ui-provider"/>
        </w:rPr>
        <w:t>In 2023</w:t>
      </w:r>
      <w:r>
        <w:rPr>
          <w:rStyle w:val="ui-provider"/>
          <w:rFonts w:ascii="Symbol" w:eastAsia="Symbol" w:hAnsi="Symbol" w:cs="Symbol"/>
        </w:rPr>
        <w:sym w:font="Symbol" w:char="F02D"/>
      </w:r>
      <w:r>
        <w:rPr>
          <w:rStyle w:val="ui-provider"/>
        </w:rPr>
        <w:t>24</w:t>
      </w:r>
      <w:r w:rsidRPr="009C34F0">
        <w:rPr>
          <w:rStyle w:val="ui-provider"/>
        </w:rPr>
        <w:t xml:space="preserve"> the Royal Commission into </w:t>
      </w:r>
      <w:r>
        <w:rPr>
          <w:rStyle w:val="ui-provider"/>
        </w:rPr>
        <w:t>V</w:t>
      </w:r>
      <w:r w:rsidRPr="009C34F0">
        <w:rPr>
          <w:rStyle w:val="ui-provider"/>
        </w:rPr>
        <w:t xml:space="preserve">iolence, </w:t>
      </w:r>
      <w:r>
        <w:rPr>
          <w:rStyle w:val="ui-provider"/>
        </w:rPr>
        <w:t>A</w:t>
      </w:r>
      <w:r w:rsidRPr="009C34F0">
        <w:rPr>
          <w:rStyle w:val="ui-provider"/>
        </w:rPr>
        <w:t xml:space="preserve">buse, </w:t>
      </w:r>
      <w:r>
        <w:rPr>
          <w:rStyle w:val="ui-provider"/>
        </w:rPr>
        <w:t>N</w:t>
      </w:r>
      <w:r w:rsidRPr="009C34F0">
        <w:rPr>
          <w:rStyle w:val="ui-provider"/>
        </w:rPr>
        <w:t xml:space="preserve">eglect and </w:t>
      </w:r>
      <w:r>
        <w:rPr>
          <w:rStyle w:val="ui-provider"/>
        </w:rPr>
        <w:t>E</w:t>
      </w:r>
      <w:r w:rsidRPr="009C34F0">
        <w:rPr>
          <w:rStyle w:val="ui-provider"/>
        </w:rPr>
        <w:t xml:space="preserve">xploitation of </w:t>
      </w:r>
      <w:r>
        <w:rPr>
          <w:rStyle w:val="ui-provider"/>
        </w:rPr>
        <w:t>P</w:t>
      </w:r>
      <w:r w:rsidRPr="009C34F0">
        <w:rPr>
          <w:rStyle w:val="ui-provider"/>
        </w:rPr>
        <w:t xml:space="preserve">eople with </w:t>
      </w:r>
      <w:r>
        <w:rPr>
          <w:rStyle w:val="ui-provider"/>
        </w:rPr>
        <w:t>D</w:t>
      </w:r>
      <w:r w:rsidRPr="009C34F0">
        <w:rPr>
          <w:rStyle w:val="ui-provider"/>
        </w:rPr>
        <w:t>isability final report and the NDIS Review’s ‘Working together to deliver the NDIS’</w:t>
      </w:r>
      <w:r>
        <w:rPr>
          <w:rStyle w:val="ui-provider"/>
        </w:rPr>
        <w:t xml:space="preserve"> guide made recommendations to improve the NDIS</w:t>
      </w:r>
      <w:r w:rsidRPr="009C34F0">
        <w:rPr>
          <w:rStyle w:val="ui-provider"/>
        </w:rPr>
        <w:t xml:space="preserve">. The NDIA also committed to continue to work with people with disability and the disability community to ensure the right changes are made. </w:t>
      </w:r>
      <w:r>
        <w:rPr>
          <w:rStyle w:val="ui-provider"/>
        </w:rPr>
        <w:t>These factors, together with</w:t>
      </w:r>
      <w:r w:rsidRPr="009C34F0">
        <w:rPr>
          <w:rStyle w:val="ui-provider"/>
        </w:rPr>
        <w:t xml:space="preserve"> associated media</w:t>
      </w:r>
      <w:r>
        <w:rPr>
          <w:rStyle w:val="ui-provider"/>
        </w:rPr>
        <w:t xml:space="preserve"> coverage</w:t>
      </w:r>
      <w:r w:rsidR="00627094">
        <w:rPr>
          <w:rStyle w:val="ui-provider"/>
        </w:rPr>
        <w:t>,</w:t>
      </w:r>
      <w:r w:rsidRPr="009C34F0">
        <w:rPr>
          <w:rStyle w:val="ui-provider"/>
        </w:rPr>
        <w:t xml:space="preserve"> may have impacted the results.</w:t>
      </w:r>
      <w:r w:rsidR="00AA02E5">
        <w:rPr>
          <w:b/>
          <w:bCs/>
          <w:lang w:val="en-GB"/>
        </w:rPr>
        <w:br w:type="page"/>
      </w:r>
    </w:p>
    <w:p w14:paraId="0BDF18A9" w14:textId="04E91E32" w:rsidR="000D3DCF" w:rsidRPr="00A33264" w:rsidRDefault="000D3DCF" w:rsidP="00CB7991">
      <w:pPr>
        <w:rPr>
          <w:b/>
          <w:bCs/>
          <w:lang w:val="en-GB"/>
        </w:rPr>
      </w:pPr>
      <w:r w:rsidRPr="00A33264">
        <w:rPr>
          <w:b/>
          <w:bCs/>
          <w:lang w:val="en-GB"/>
        </w:rPr>
        <w:lastRenderedPageBreak/>
        <w:t>Staff wellbeing and staff engagement</w:t>
      </w:r>
    </w:p>
    <w:tbl>
      <w:tblPr>
        <w:tblStyle w:val="GridTable4"/>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20" w:firstRow="1" w:lastRow="0" w:firstColumn="0" w:lastColumn="0" w:noHBand="0" w:noVBand="1"/>
      </w:tblPr>
      <w:tblGrid>
        <w:gridCol w:w="3685"/>
        <w:gridCol w:w="1361"/>
        <w:gridCol w:w="1361"/>
        <w:gridCol w:w="1361"/>
        <w:gridCol w:w="1361"/>
      </w:tblGrid>
      <w:tr w:rsidR="00EE27A2" w:rsidRPr="00EE27A2" w14:paraId="3FB8411A" w14:textId="77777777" w:rsidTr="001C0A6D">
        <w:trPr>
          <w:cnfStyle w:val="100000000000" w:firstRow="1" w:lastRow="0" w:firstColumn="0" w:lastColumn="0" w:oddVBand="0" w:evenVBand="0" w:oddHBand="0" w:evenHBand="0" w:firstRowFirstColumn="0" w:firstRowLastColumn="0" w:lastRowFirstColumn="0" w:lastRowLastColumn="0"/>
          <w:cantSplit/>
        </w:trPr>
        <w:tc>
          <w:tcPr>
            <w:tcW w:w="3685" w:type="dxa"/>
            <w:shd w:val="clear" w:color="auto" w:fill="009EAD"/>
          </w:tcPr>
          <w:p w14:paraId="08C1D32E" w14:textId="75D9DCC6" w:rsidR="000D3DCF" w:rsidRPr="00EE27A2" w:rsidRDefault="000D3DCF">
            <w:pPr>
              <w:pStyle w:val="TableBody"/>
              <w:rPr>
                <w:color w:val="auto"/>
                <w:lang w:val="en-GB"/>
              </w:rPr>
            </w:pPr>
            <w:bookmarkStart w:id="95" w:name="ColumnTitle_PerformanceMeasure14"/>
            <w:bookmarkEnd w:id="95"/>
            <w:r w:rsidRPr="00EE27A2">
              <w:rPr>
                <w:color w:val="auto"/>
                <w:lang w:val="en-GB"/>
              </w:rPr>
              <w:t>Performance measure</w:t>
            </w:r>
          </w:p>
        </w:tc>
        <w:tc>
          <w:tcPr>
            <w:tcW w:w="1361" w:type="dxa"/>
            <w:shd w:val="clear" w:color="auto" w:fill="009EAD"/>
          </w:tcPr>
          <w:p w14:paraId="0ECF3FA4" w14:textId="77777777" w:rsidR="000D3DCF" w:rsidRPr="00EE27A2" w:rsidRDefault="000D3DCF" w:rsidP="00BB40DF">
            <w:pPr>
              <w:pStyle w:val="TableBody"/>
              <w:jc w:val="right"/>
              <w:rPr>
                <w:color w:val="auto"/>
                <w:lang w:val="en-GB"/>
              </w:rPr>
            </w:pPr>
            <w:r w:rsidRPr="00EE27A2">
              <w:rPr>
                <w:color w:val="auto"/>
                <w:lang w:val="en-GB"/>
              </w:rPr>
              <w:t>2023</w:t>
            </w:r>
            <w:r w:rsidRPr="00EE27A2">
              <w:rPr>
                <w:color w:val="auto"/>
              </w:rPr>
              <w:t>–</w:t>
            </w:r>
            <w:r w:rsidRPr="00EE27A2">
              <w:rPr>
                <w:color w:val="auto"/>
                <w:lang w:val="en-GB"/>
              </w:rPr>
              <w:t>24 Target</w:t>
            </w:r>
          </w:p>
        </w:tc>
        <w:tc>
          <w:tcPr>
            <w:tcW w:w="1361" w:type="dxa"/>
            <w:shd w:val="clear" w:color="auto" w:fill="009EAD"/>
          </w:tcPr>
          <w:p w14:paraId="3FC92555" w14:textId="77777777" w:rsidR="000D3DCF" w:rsidRPr="00EE27A2" w:rsidRDefault="000D3DCF" w:rsidP="00BB40DF">
            <w:pPr>
              <w:pStyle w:val="TableBody"/>
              <w:jc w:val="right"/>
              <w:rPr>
                <w:color w:val="auto"/>
                <w:lang w:val="en-GB"/>
              </w:rPr>
            </w:pPr>
            <w:r w:rsidRPr="00EE27A2">
              <w:rPr>
                <w:color w:val="auto"/>
                <w:lang w:val="en-GB"/>
              </w:rPr>
              <w:t>2023</w:t>
            </w:r>
            <w:r w:rsidRPr="00EE27A2">
              <w:rPr>
                <w:color w:val="auto"/>
              </w:rPr>
              <w:t>–</w:t>
            </w:r>
            <w:r w:rsidRPr="00EE27A2">
              <w:rPr>
                <w:color w:val="auto"/>
                <w:lang w:val="en-GB"/>
              </w:rPr>
              <w:t>24 Result</w:t>
            </w:r>
          </w:p>
        </w:tc>
        <w:tc>
          <w:tcPr>
            <w:tcW w:w="1361" w:type="dxa"/>
            <w:shd w:val="clear" w:color="auto" w:fill="009EAD"/>
          </w:tcPr>
          <w:p w14:paraId="22AA14E8" w14:textId="77777777" w:rsidR="000D3DCF" w:rsidRPr="00EE27A2" w:rsidRDefault="000D3DCF" w:rsidP="00BB40DF">
            <w:pPr>
              <w:pStyle w:val="TableBody"/>
              <w:jc w:val="right"/>
              <w:rPr>
                <w:color w:val="auto"/>
                <w:lang w:val="en-GB"/>
              </w:rPr>
            </w:pPr>
            <w:r w:rsidRPr="00EE27A2">
              <w:rPr>
                <w:color w:val="auto"/>
                <w:lang w:val="en-GB"/>
              </w:rPr>
              <w:t>2023</w:t>
            </w:r>
            <w:r w:rsidRPr="00EE27A2">
              <w:rPr>
                <w:color w:val="auto"/>
              </w:rPr>
              <w:t>–</w:t>
            </w:r>
            <w:r w:rsidRPr="00EE27A2">
              <w:rPr>
                <w:color w:val="auto"/>
                <w:lang w:val="en-GB"/>
              </w:rPr>
              <w:t>24 Outcome</w:t>
            </w:r>
          </w:p>
        </w:tc>
        <w:tc>
          <w:tcPr>
            <w:tcW w:w="1361" w:type="dxa"/>
            <w:shd w:val="clear" w:color="auto" w:fill="009EAD"/>
          </w:tcPr>
          <w:p w14:paraId="71F0D8C0" w14:textId="77777777" w:rsidR="000D3DCF" w:rsidRPr="00EE27A2" w:rsidRDefault="000D3DCF" w:rsidP="00BB40DF">
            <w:pPr>
              <w:pStyle w:val="TableBody"/>
              <w:jc w:val="right"/>
              <w:rPr>
                <w:color w:val="auto"/>
                <w:lang w:val="en-GB"/>
              </w:rPr>
            </w:pPr>
            <w:r w:rsidRPr="00EE27A2">
              <w:rPr>
                <w:color w:val="auto"/>
                <w:lang w:val="en-GB"/>
              </w:rPr>
              <w:t>2022</w:t>
            </w:r>
            <w:r w:rsidRPr="00EE27A2">
              <w:rPr>
                <w:color w:val="auto"/>
              </w:rPr>
              <w:t>–</w:t>
            </w:r>
            <w:r w:rsidRPr="00EE27A2">
              <w:rPr>
                <w:color w:val="auto"/>
                <w:lang w:val="en-GB"/>
              </w:rPr>
              <w:t>23 Result</w:t>
            </w:r>
          </w:p>
        </w:tc>
      </w:tr>
      <w:tr w:rsidR="000D3DCF" w:rsidRPr="00A33264" w14:paraId="1F02684E" w14:textId="77777777" w:rsidTr="00565716">
        <w:trPr>
          <w:cnfStyle w:val="000000100000" w:firstRow="0" w:lastRow="0" w:firstColumn="0" w:lastColumn="0" w:oddVBand="0" w:evenVBand="0" w:oddHBand="1" w:evenHBand="0" w:firstRowFirstColumn="0" w:firstRowLastColumn="0" w:lastRowFirstColumn="0" w:lastRowLastColumn="0"/>
          <w:cantSplit/>
        </w:trPr>
        <w:tc>
          <w:tcPr>
            <w:tcW w:w="3685" w:type="dxa"/>
            <w:shd w:val="clear" w:color="auto" w:fill="C5E4E8"/>
          </w:tcPr>
          <w:p w14:paraId="1AA645F5" w14:textId="41F79BF4" w:rsidR="000D3DCF" w:rsidRPr="00A33264" w:rsidRDefault="000D3DCF" w:rsidP="00CB7991">
            <w:pPr>
              <w:pStyle w:val="TableBody"/>
              <w:rPr>
                <w:lang w:val="en-GB"/>
              </w:rPr>
            </w:pPr>
            <w:r w:rsidRPr="00A33264">
              <w:rPr>
                <w:lang w:val="en-GB"/>
              </w:rPr>
              <w:t>Staff wellbeing</w:t>
            </w:r>
          </w:p>
        </w:tc>
        <w:tc>
          <w:tcPr>
            <w:tcW w:w="1361" w:type="dxa"/>
            <w:shd w:val="clear" w:color="auto" w:fill="C5E4E8"/>
          </w:tcPr>
          <w:p w14:paraId="77D694BA" w14:textId="77777777" w:rsidR="000D3DCF" w:rsidRPr="00A33264" w:rsidRDefault="000D3DCF" w:rsidP="00BB40DF">
            <w:pPr>
              <w:pStyle w:val="TableBody"/>
              <w:jc w:val="right"/>
              <w:rPr>
                <w:lang w:val="en-GB"/>
              </w:rPr>
            </w:pPr>
            <w:r w:rsidRPr="00A33264">
              <w:rPr>
                <w:lang w:val="en-GB"/>
              </w:rPr>
              <w:t>70%</w:t>
            </w:r>
          </w:p>
        </w:tc>
        <w:tc>
          <w:tcPr>
            <w:tcW w:w="1361" w:type="dxa"/>
            <w:shd w:val="clear" w:color="auto" w:fill="C5E4E8"/>
          </w:tcPr>
          <w:p w14:paraId="7E14A3C5" w14:textId="77777777" w:rsidR="000D3DCF" w:rsidRPr="00A33264" w:rsidRDefault="000D3DCF" w:rsidP="00BB40DF">
            <w:pPr>
              <w:pStyle w:val="TableBody"/>
              <w:jc w:val="right"/>
              <w:rPr>
                <w:lang w:val="en-GB"/>
              </w:rPr>
            </w:pPr>
            <w:r w:rsidRPr="00A33264">
              <w:rPr>
                <w:lang w:val="en-GB" w:eastAsia="en-AU"/>
              </w:rPr>
              <w:t>75%</w:t>
            </w:r>
          </w:p>
        </w:tc>
        <w:tc>
          <w:tcPr>
            <w:tcW w:w="1361" w:type="dxa"/>
            <w:shd w:val="clear" w:color="auto" w:fill="C5E4E8"/>
          </w:tcPr>
          <w:p w14:paraId="78DBB4AC" w14:textId="77777777" w:rsidR="000D3DCF" w:rsidRPr="00A33264" w:rsidRDefault="000D3DCF" w:rsidP="00BB40DF">
            <w:pPr>
              <w:pStyle w:val="TableBody"/>
              <w:jc w:val="right"/>
              <w:rPr>
                <w:lang w:val="en-GB"/>
              </w:rPr>
            </w:pPr>
            <w:r w:rsidRPr="00A33264">
              <w:rPr>
                <w:lang w:val="en-GB" w:eastAsia="en-AU"/>
              </w:rPr>
              <w:t>Achieved</w:t>
            </w:r>
          </w:p>
        </w:tc>
        <w:tc>
          <w:tcPr>
            <w:tcW w:w="1361" w:type="dxa"/>
            <w:shd w:val="clear" w:color="auto" w:fill="C5E4E8"/>
          </w:tcPr>
          <w:p w14:paraId="1FAF3148" w14:textId="77777777" w:rsidR="000D3DCF" w:rsidRPr="00A33264" w:rsidRDefault="000D3DCF" w:rsidP="00BB40DF">
            <w:pPr>
              <w:pStyle w:val="TableBody"/>
              <w:jc w:val="right"/>
              <w:rPr>
                <w:lang w:val="en-GB" w:eastAsia="en-AU"/>
              </w:rPr>
            </w:pPr>
            <w:r>
              <w:rPr>
                <w:lang w:val="en-GB" w:eastAsia="en-AU"/>
              </w:rPr>
              <w:t>73%</w:t>
            </w:r>
          </w:p>
        </w:tc>
      </w:tr>
      <w:tr w:rsidR="000D3DCF" w:rsidRPr="00A33264" w14:paraId="51F60F2D" w14:textId="77777777" w:rsidTr="00565716">
        <w:trPr>
          <w:cantSplit/>
        </w:trPr>
        <w:tc>
          <w:tcPr>
            <w:tcW w:w="3685" w:type="dxa"/>
            <w:shd w:val="clear" w:color="auto" w:fill="90CED7"/>
          </w:tcPr>
          <w:p w14:paraId="3A684750" w14:textId="5326BB94" w:rsidR="000D3DCF" w:rsidRPr="00A33264" w:rsidRDefault="000D3DCF" w:rsidP="00CB7991">
            <w:pPr>
              <w:pStyle w:val="TableBody"/>
              <w:rPr>
                <w:lang w:val="en-GB"/>
              </w:rPr>
            </w:pPr>
            <w:r w:rsidRPr="00A33264">
              <w:rPr>
                <w:lang w:val="en-GB"/>
              </w:rPr>
              <w:t xml:space="preserve">Staff engagement </w:t>
            </w:r>
          </w:p>
        </w:tc>
        <w:tc>
          <w:tcPr>
            <w:tcW w:w="1361" w:type="dxa"/>
            <w:shd w:val="clear" w:color="auto" w:fill="90CED7"/>
          </w:tcPr>
          <w:p w14:paraId="4D848CC5" w14:textId="77777777" w:rsidR="000D3DCF" w:rsidRPr="00A33264" w:rsidRDefault="000D3DCF" w:rsidP="00BB40DF">
            <w:pPr>
              <w:pStyle w:val="TableBody"/>
              <w:jc w:val="right"/>
              <w:rPr>
                <w:lang w:val="en-GB"/>
              </w:rPr>
            </w:pPr>
            <w:r w:rsidRPr="00A33264">
              <w:rPr>
                <w:lang w:val="en-GB"/>
              </w:rPr>
              <w:t>76%</w:t>
            </w:r>
          </w:p>
        </w:tc>
        <w:tc>
          <w:tcPr>
            <w:tcW w:w="1361" w:type="dxa"/>
            <w:shd w:val="clear" w:color="auto" w:fill="90CED7"/>
          </w:tcPr>
          <w:p w14:paraId="7119510F" w14:textId="77777777" w:rsidR="000D3DCF" w:rsidRPr="00A33264" w:rsidRDefault="000D3DCF" w:rsidP="00BB40DF">
            <w:pPr>
              <w:pStyle w:val="TableBody"/>
              <w:jc w:val="right"/>
              <w:rPr>
                <w:lang w:val="en-GB"/>
              </w:rPr>
            </w:pPr>
            <w:r w:rsidRPr="00A33264">
              <w:rPr>
                <w:lang w:val="en-GB" w:eastAsia="en-AU"/>
              </w:rPr>
              <w:t>77%</w:t>
            </w:r>
          </w:p>
        </w:tc>
        <w:tc>
          <w:tcPr>
            <w:tcW w:w="1361" w:type="dxa"/>
            <w:shd w:val="clear" w:color="auto" w:fill="90CED7"/>
          </w:tcPr>
          <w:p w14:paraId="73479113" w14:textId="77777777" w:rsidR="000D3DCF" w:rsidRPr="00A33264" w:rsidRDefault="000D3DCF" w:rsidP="00BB40DF">
            <w:pPr>
              <w:pStyle w:val="TableBody"/>
              <w:jc w:val="right"/>
              <w:rPr>
                <w:lang w:val="en-GB"/>
              </w:rPr>
            </w:pPr>
            <w:r w:rsidRPr="00A33264">
              <w:rPr>
                <w:lang w:val="en-GB" w:eastAsia="en-AU"/>
              </w:rPr>
              <w:t>Achieved</w:t>
            </w:r>
          </w:p>
        </w:tc>
        <w:tc>
          <w:tcPr>
            <w:tcW w:w="1361" w:type="dxa"/>
            <w:shd w:val="clear" w:color="auto" w:fill="90CED7"/>
          </w:tcPr>
          <w:p w14:paraId="1B958402" w14:textId="77777777" w:rsidR="000D3DCF" w:rsidRPr="00A33264" w:rsidRDefault="000D3DCF" w:rsidP="00BB40DF">
            <w:pPr>
              <w:pStyle w:val="TableBody"/>
              <w:jc w:val="right"/>
              <w:rPr>
                <w:lang w:val="en-GB" w:eastAsia="en-AU"/>
              </w:rPr>
            </w:pPr>
            <w:r>
              <w:rPr>
                <w:lang w:val="en-GB" w:eastAsia="en-AU"/>
              </w:rPr>
              <w:t>77%</w:t>
            </w:r>
          </w:p>
        </w:tc>
      </w:tr>
    </w:tbl>
    <w:p w14:paraId="67B11201" w14:textId="77777777" w:rsidR="000D3DCF" w:rsidRDefault="000D3DCF" w:rsidP="00B27FA1">
      <w:pPr>
        <w:pStyle w:val="Heading6"/>
        <w:rPr>
          <w:rFonts w:eastAsia="Yu Mincho"/>
        </w:rPr>
      </w:pPr>
      <w:r>
        <w:rPr>
          <w:rFonts w:eastAsia="Yu Mincho"/>
        </w:rPr>
        <w:t>Why we measure this</w:t>
      </w:r>
    </w:p>
    <w:p w14:paraId="0F0C9658" w14:textId="77777777" w:rsidR="000D3DCF" w:rsidRDefault="000D3DCF" w:rsidP="00565716">
      <w:r w:rsidRPr="009C34F0">
        <w:t xml:space="preserve">The measures of staff wellbeing and engagement assess the effectiveness of internal activities. </w:t>
      </w:r>
    </w:p>
    <w:p w14:paraId="70F0699C" w14:textId="77777777" w:rsidR="000D3DCF" w:rsidRDefault="000D3DCF" w:rsidP="00B27FA1">
      <w:pPr>
        <w:pStyle w:val="Heading6"/>
      </w:pPr>
      <w:r>
        <w:t>How we measure this</w:t>
      </w:r>
    </w:p>
    <w:p w14:paraId="521075FD" w14:textId="187B1996" w:rsidR="000D3DCF" w:rsidRPr="009C34F0" w:rsidRDefault="000D3DCF" w:rsidP="00565716">
      <w:r>
        <w:t xml:space="preserve">We obtain our results for these performance measures from </w:t>
      </w:r>
      <w:r w:rsidRPr="009C34F0">
        <w:t xml:space="preserve">the results </w:t>
      </w:r>
      <w:r>
        <w:t xml:space="preserve">of </w:t>
      </w:r>
      <w:r w:rsidRPr="009C34F0">
        <w:t xml:space="preserve">the </w:t>
      </w:r>
      <w:r>
        <w:t>a</w:t>
      </w:r>
      <w:r w:rsidRPr="009C34F0">
        <w:t>nnual Australian Public Service (APS) Census</w:t>
      </w:r>
      <w:r>
        <w:t>,</w:t>
      </w:r>
      <w:r w:rsidRPr="009C34F0">
        <w:t xml:space="preserve"> conducted by the Australian Public Service Commission.</w:t>
      </w:r>
    </w:p>
    <w:p w14:paraId="5C8B4F8A" w14:textId="77777777" w:rsidR="000D3DCF" w:rsidRDefault="000D3DCF" w:rsidP="00B27FA1">
      <w:pPr>
        <w:pStyle w:val="Heading6"/>
      </w:pPr>
      <w:r>
        <w:t>Analysis</w:t>
      </w:r>
    </w:p>
    <w:p w14:paraId="677738CC" w14:textId="2BE27A45" w:rsidR="000D3DCF" w:rsidRPr="009C34F0" w:rsidRDefault="000D3DCF" w:rsidP="00565716">
      <w:pPr>
        <w:spacing w:before="100" w:beforeAutospacing="1" w:after="100" w:afterAutospacing="1"/>
      </w:pPr>
      <w:r>
        <w:rPr>
          <w:rStyle w:val="ui-provider"/>
        </w:rPr>
        <w:t>In 2023</w:t>
      </w:r>
      <w:r>
        <w:rPr>
          <w:rStyle w:val="ui-provider"/>
          <w:rFonts w:ascii="Symbol" w:eastAsia="Symbol" w:hAnsi="Symbol" w:cs="Symbol"/>
        </w:rPr>
        <w:sym w:font="Symbol" w:char="F02D"/>
      </w:r>
      <w:r>
        <w:rPr>
          <w:rStyle w:val="ui-provider"/>
        </w:rPr>
        <w:t xml:space="preserve">24 </w:t>
      </w:r>
      <w:r>
        <w:t>t</w:t>
      </w:r>
      <w:r w:rsidRPr="009C34F0">
        <w:t xml:space="preserve">he </w:t>
      </w:r>
      <w:r>
        <w:t>NDIA</w:t>
      </w:r>
      <w:r w:rsidRPr="009C34F0">
        <w:t xml:space="preserve"> </w:t>
      </w:r>
      <w:r>
        <w:t>initiated several new</w:t>
      </w:r>
      <w:r w:rsidRPr="009C34F0">
        <w:t xml:space="preserve"> wellbeing support initiatives</w:t>
      </w:r>
      <w:r>
        <w:t>. For example, we</w:t>
      </w:r>
      <w:r w:rsidRPr="009C34F0">
        <w:t>:</w:t>
      </w:r>
    </w:p>
    <w:p w14:paraId="63CAD7E1" w14:textId="0F38F698" w:rsidR="000D3DCF" w:rsidRPr="00AA02E5" w:rsidRDefault="000D3DCF" w:rsidP="00AA02E5">
      <w:pPr>
        <w:pStyle w:val="Bullet1"/>
      </w:pPr>
      <w:r w:rsidRPr="00AA02E5">
        <w:t>extended employee assistance program services to labour hire workers</w:t>
      </w:r>
    </w:p>
    <w:p w14:paraId="77C8B08C" w14:textId="1758EA15" w:rsidR="000D3DCF" w:rsidRPr="00AA02E5" w:rsidRDefault="000D3DCF" w:rsidP="00AA02E5">
      <w:pPr>
        <w:pStyle w:val="Bullet1"/>
      </w:pPr>
      <w:r w:rsidRPr="00AA02E5">
        <w:t>established an escalation process for workers in severe distress</w:t>
      </w:r>
    </w:p>
    <w:p w14:paraId="6929D495" w14:textId="4918D855" w:rsidR="000D3DCF" w:rsidRPr="00AA02E5" w:rsidRDefault="000D3DCF" w:rsidP="00AA02E5">
      <w:pPr>
        <w:pStyle w:val="Bullet1"/>
      </w:pPr>
      <w:r w:rsidRPr="00AA02E5">
        <w:t>undertook clinical psychology and proactive wellbeing checks in high-risk teams/branches</w:t>
      </w:r>
    </w:p>
    <w:p w14:paraId="04CD3D5C" w14:textId="101003A1" w:rsidR="000D3DCF" w:rsidRPr="00AA02E5" w:rsidRDefault="000D3DCF" w:rsidP="00AA02E5">
      <w:pPr>
        <w:pStyle w:val="Bullet1"/>
      </w:pPr>
      <w:r w:rsidRPr="00AA02E5">
        <w:t>undertook capability uplift programs, including Mental Health First Aid training, Conversations about Suicide and the SES Integrity Masterclass</w:t>
      </w:r>
    </w:p>
    <w:p w14:paraId="50B7B51B" w14:textId="104D982C" w:rsidR="000D3DCF" w:rsidRPr="00AA02E5" w:rsidRDefault="000D3DCF" w:rsidP="00AA02E5">
      <w:pPr>
        <w:pStyle w:val="Bullet1"/>
      </w:pPr>
      <w:r w:rsidRPr="00AA02E5">
        <w:t>started a pilot program for Senior Executive Service (SES) leaders to champion leadership at NDIA sites to drive greater connection between staff and SES leaders across the NDIA</w:t>
      </w:r>
    </w:p>
    <w:p w14:paraId="32ABBFF9" w14:textId="0BD37D78" w:rsidR="000D3DCF" w:rsidRPr="00AA02E5" w:rsidRDefault="000D3DCF" w:rsidP="00AA02E5">
      <w:pPr>
        <w:pStyle w:val="Bullet1"/>
      </w:pPr>
      <w:r w:rsidRPr="00AA02E5">
        <w:t>delivered live webinars on mental health to support staff knowledge</w:t>
      </w:r>
    </w:p>
    <w:p w14:paraId="7ED10D31" w14:textId="222254CE" w:rsidR="00AA02E5" w:rsidRPr="00AA02E5" w:rsidRDefault="000D3DCF" w:rsidP="00AA02E5">
      <w:pPr>
        <w:pStyle w:val="Bullet1"/>
        <w:rPr>
          <w:b/>
          <w:bCs/>
          <w:lang w:val="en-GB"/>
        </w:rPr>
      </w:pPr>
      <w:r w:rsidRPr="00AA02E5">
        <w:t>expanded the employee assistance program services to include a warm handover, critical escalation process and additional instant counselling.</w:t>
      </w:r>
      <w:r w:rsidR="00AA02E5" w:rsidRPr="00AA02E5">
        <w:rPr>
          <w:b/>
          <w:bCs/>
          <w:lang w:val="en-GB"/>
        </w:rPr>
        <w:br w:type="page"/>
      </w:r>
    </w:p>
    <w:p w14:paraId="0574C242" w14:textId="2EE769C2" w:rsidR="000D3DCF" w:rsidRPr="00A33264" w:rsidRDefault="000D3DCF" w:rsidP="009B5EFC">
      <w:pPr>
        <w:rPr>
          <w:b/>
          <w:bCs/>
          <w:lang w:val="en-GB"/>
        </w:rPr>
      </w:pPr>
      <w:r w:rsidRPr="00A33264">
        <w:rPr>
          <w:b/>
          <w:bCs/>
          <w:lang w:val="en-GB"/>
        </w:rPr>
        <w:lastRenderedPageBreak/>
        <w:t xml:space="preserve">Staff with disability and </w:t>
      </w:r>
      <w:r w:rsidR="00892A46">
        <w:rPr>
          <w:b/>
          <w:bCs/>
          <w:lang w:val="en-GB"/>
        </w:rPr>
        <w:t>S</w:t>
      </w:r>
      <w:r w:rsidRPr="00A33264">
        <w:rPr>
          <w:b/>
          <w:bCs/>
          <w:lang w:val="en-GB"/>
        </w:rPr>
        <w:t xml:space="preserve">enior </w:t>
      </w:r>
      <w:r w:rsidR="00892A46">
        <w:rPr>
          <w:b/>
          <w:bCs/>
          <w:lang w:val="en-GB"/>
        </w:rPr>
        <w:t>E</w:t>
      </w:r>
      <w:r w:rsidRPr="00A33264">
        <w:rPr>
          <w:b/>
          <w:bCs/>
          <w:lang w:val="en-GB"/>
        </w:rPr>
        <w:t xml:space="preserve">xecutive </w:t>
      </w:r>
      <w:r w:rsidR="00892A46">
        <w:rPr>
          <w:b/>
          <w:bCs/>
          <w:lang w:val="en-GB"/>
        </w:rPr>
        <w:t>S</w:t>
      </w:r>
      <w:r w:rsidRPr="00A33264">
        <w:rPr>
          <w:b/>
          <w:bCs/>
          <w:lang w:val="en-GB"/>
        </w:rPr>
        <w:t>ervice staff with disability</w:t>
      </w:r>
    </w:p>
    <w:tbl>
      <w:tblPr>
        <w:tblStyle w:val="GridTable4"/>
        <w:tblW w:w="9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20" w:firstRow="1" w:lastRow="0" w:firstColumn="0" w:lastColumn="0" w:noHBand="0" w:noVBand="1"/>
      </w:tblPr>
      <w:tblGrid>
        <w:gridCol w:w="4411"/>
        <w:gridCol w:w="1189"/>
        <w:gridCol w:w="1189"/>
        <w:gridCol w:w="1189"/>
        <w:gridCol w:w="1189"/>
      </w:tblGrid>
      <w:tr w:rsidR="007D6F0C" w:rsidRPr="007D6F0C" w14:paraId="7C62382D" w14:textId="77777777" w:rsidTr="00BB40DF">
        <w:trPr>
          <w:cnfStyle w:val="100000000000" w:firstRow="1" w:lastRow="0" w:firstColumn="0" w:lastColumn="0" w:oddVBand="0" w:evenVBand="0" w:oddHBand="0" w:evenHBand="0" w:firstRowFirstColumn="0" w:firstRowLastColumn="0" w:lastRowFirstColumn="0" w:lastRowLastColumn="0"/>
          <w:cantSplit/>
          <w:trHeight w:val="797"/>
        </w:trPr>
        <w:tc>
          <w:tcPr>
            <w:tcW w:w="4411" w:type="dxa"/>
            <w:shd w:val="clear" w:color="auto" w:fill="009EAD"/>
          </w:tcPr>
          <w:p w14:paraId="6B4D1161" w14:textId="5A55AF42" w:rsidR="000D3DCF" w:rsidRPr="007D6F0C" w:rsidRDefault="000D3DCF">
            <w:pPr>
              <w:pStyle w:val="TableBody"/>
              <w:rPr>
                <w:color w:val="auto"/>
                <w:lang w:val="en-GB"/>
              </w:rPr>
            </w:pPr>
            <w:bookmarkStart w:id="96" w:name="ColumnTitle_PerformanceMeasure15"/>
            <w:bookmarkEnd w:id="96"/>
            <w:r w:rsidRPr="007D6F0C">
              <w:rPr>
                <w:color w:val="auto"/>
                <w:lang w:val="en-GB"/>
              </w:rPr>
              <w:t>Performance measure</w:t>
            </w:r>
          </w:p>
        </w:tc>
        <w:tc>
          <w:tcPr>
            <w:tcW w:w="1189" w:type="dxa"/>
            <w:shd w:val="clear" w:color="auto" w:fill="009EAD"/>
          </w:tcPr>
          <w:p w14:paraId="06A097F0" w14:textId="77777777" w:rsidR="000D3DCF" w:rsidRPr="007D6F0C" w:rsidRDefault="000D3DCF" w:rsidP="00BB40DF">
            <w:pPr>
              <w:pStyle w:val="TableBody"/>
              <w:jc w:val="right"/>
              <w:rPr>
                <w:color w:val="auto"/>
                <w:lang w:val="en-GB"/>
              </w:rPr>
            </w:pPr>
            <w:r w:rsidRPr="007D6F0C">
              <w:rPr>
                <w:color w:val="auto"/>
                <w:lang w:val="en-GB"/>
              </w:rPr>
              <w:t>2023</w:t>
            </w:r>
            <w:r w:rsidRPr="007D6F0C">
              <w:rPr>
                <w:color w:val="auto"/>
              </w:rPr>
              <w:t>–</w:t>
            </w:r>
            <w:r w:rsidRPr="007D6F0C">
              <w:rPr>
                <w:color w:val="auto"/>
                <w:lang w:val="en-GB"/>
              </w:rPr>
              <w:t>24 Target</w:t>
            </w:r>
          </w:p>
        </w:tc>
        <w:tc>
          <w:tcPr>
            <w:tcW w:w="1189" w:type="dxa"/>
            <w:shd w:val="clear" w:color="auto" w:fill="009EAD"/>
          </w:tcPr>
          <w:p w14:paraId="59F1977F" w14:textId="77777777" w:rsidR="000D3DCF" w:rsidRPr="007D6F0C" w:rsidRDefault="000D3DCF" w:rsidP="00BB40DF">
            <w:pPr>
              <w:pStyle w:val="TableBody"/>
              <w:jc w:val="right"/>
              <w:rPr>
                <w:color w:val="auto"/>
                <w:lang w:val="en-GB"/>
              </w:rPr>
            </w:pPr>
            <w:r w:rsidRPr="007D6F0C">
              <w:rPr>
                <w:color w:val="auto"/>
                <w:lang w:val="en-GB"/>
              </w:rPr>
              <w:t>2023</w:t>
            </w:r>
            <w:r w:rsidRPr="007D6F0C">
              <w:rPr>
                <w:color w:val="auto"/>
              </w:rPr>
              <w:t>–</w:t>
            </w:r>
            <w:r w:rsidRPr="007D6F0C">
              <w:rPr>
                <w:color w:val="auto"/>
                <w:lang w:val="en-GB"/>
              </w:rPr>
              <w:t>24 Result</w:t>
            </w:r>
          </w:p>
        </w:tc>
        <w:tc>
          <w:tcPr>
            <w:tcW w:w="1189" w:type="dxa"/>
            <w:shd w:val="clear" w:color="auto" w:fill="009EAD"/>
          </w:tcPr>
          <w:p w14:paraId="244DBDA7" w14:textId="77777777" w:rsidR="000D3DCF" w:rsidRPr="007D6F0C" w:rsidRDefault="000D3DCF" w:rsidP="00BB40DF">
            <w:pPr>
              <w:pStyle w:val="TableBody"/>
              <w:jc w:val="right"/>
              <w:rPr>
                <w:color w:val="auto"/>
                <w:lang w:val="en-GB"/>
              </w:rPr>
            </w:pPr>
            <w:r w:rsidRPr="007D6F0C">
              <w:rPr>
                <w:color w:val="auto"/>
                <w:lang w:val="en-GB"/>
              </w:rPr>
              <w:t>Outcome</w:t>
            </w:r>
          </w:p>
        </w:tc>
        <w:tc>
          <w:tcPr>
            <w:tcW w:w="1189" w:type="dxa"/>
            <w:shd w:val="clear" w:color="auto" w:fill="009EAD"/>
          </w:tcPr>
          <w:p w14:paraId="55717354" w14:textId="77777777" w:rsidR="000D3DCF" w:rsidRPr="007D6F0C" w:rsidRDefault="000D3DCF">
            <w:pPr>
              <w:pStyle w:val="TableBody"/>
              <w:jc w:val="right"/>
              <w:rPr>
                <w:color w:val="auto"/>
                <w:lang w:val="en-GB"/>
              </w:rPr>
            </w:pPr>
            <w:r w:rsidRPr="007D6F0C">
              <w:rPr>
                <w:color w:val="auto"/>
                <w:lang w:val="en-GB"/>
              </w:rPr>
              <w:t>2022-23</w:t>
            </w:r>
            <w:r w:rsidRPr="007D6F0C">
              <w:rPr>
                <w:color w:val="auto"/>
                <w:lang w:val="en-GB"/>
              </w:rPr>
              <w:br/>
              <w:t>Result</w:t>
            </w:r>
          </w:p>
        </w:tc>
      </w:tr>
      <w:tr w:rsidR="000D3DCF" w:rsidRPr="00A33264" w14:paraId="35307934" w14:textId="77777777" w:rsidTr="00BB40DF">
        <w:trPr>
          <w:cnfStyle w:val="000000100000" w:firstRow="0" w:lastRow="0" w:firstColumn="0" w:lastColumn="0" w:oddVBand="0" w:evenVBand="0" w:oddHBand="1" w:evenHBand="0" w:firstRowFirstColumn="0" w:firstRowLastColumn="0" w:lastRowFirstColumn="0" w:lastRowLastColumn="0"/>
          <w:cantSplit/>
          <w:trHeight w:val="489"/>
        </w:trPr>
        <w:tc>
          <w:tcPr>
            <w:tcW w:w="4411" w:type="dxa"/>
            <w:shd w:val="clear" w:color="auto" w:fill="C5E4E8"/>
          </w:tcPr>
          <w:p w14:paraId="5F120E4E" w14:textId="77777777" w:rsidR="000D3DCF" w:rsidRPr="00A33264" w:rsidRDefault="000D3DCF" w:rsidP="00CC33F6">
            <w:pPr>
              <w:pStyle w:val="TableBody"/>
              <w:rPr>
                <w:lang w:val="en-GB"/>
              </w:rPr>
            </w:pPr>
            <w:r w:rsidRPr="00A33264">
              <w:rPr>
                <w:lang w:val="en-GB"/>
              </w:rPr>
              <w:t>Staff with disability</w:t>
            </w:r>
          </w:p>
        </w:tc>
        <w:tc>
          <w:tcPr>
            <w:tcW w:w="1189" w:type="dxa"/>
            <w:shd w:val="clear" w:color="auto" w:fill="C5E4E8"/>
          </w:tcPr>
          <w:p w14:paraId="52BBBF32" w14:textId="77777777" w:rsidR="000D3DCF" w:rsidRPr="00A33264" w:rsidRDefault="000D3DCF" w:rsidP="00BB40DF">
            <w:pPr>
              <w:pStyle w:val="TableBody"/>
              <w:jc w:val="right"/>
              <w:rPr>
                <w:lang w:val="en-GB"/>
              </w:rPr>
            </w:pPr>
            <w:r w:rsidRPr="00A33264">
              <w:rPr>
                <w:lang w:val="en-GB"/>
              </w:rPr>
              <w:t>19%</w:t>
            </w:r>
          </w:p>
        </w:tc>
        <w:tc>
          <w:tcPr>
            <w:tcW w:w="1189" w:type="dxa"/>
            <w:shd w:val="clear" w:color="auto" w:fill="C5E4E8"/>
          </w:tcPr>
          <w:p w14:paraId="07A2BA7B" w14:textId="77777777" w:rsidR="000D3DCF" w:rsidRPr="00A33264" w:rsidRDefault="000D3DCF" w:rsidP="00BB40DF">
            <w:pPr>
              <w:pStyle w:val="TableBody"/>
              <w:jc w:val="right"/>
              <w:rPr>
                <w:lang w:val="en-GB"/>
              </w:rPr>
            </w:pPr>
            <w:r w:rsidRPr="00A33264">
              <w:rPr>
                <w:lang w:val="en-GB" w:eastAsia="en-AU"/>
              </w:rPr>
              <w:t>23.2%</w:t>
            </w:r>
          </w:p>
        </w:tc>
        <w:tc>
          <w:tcPr>
            <w:tcW w:w="1189" w:type="dxa"/>
            <w:shd w:val="clear" w:color="auto" w:fill="C5E4E8"/>
          </w:tcPr>
          <w:p w14:paraId="08D8C7F2" w14:textId="77777777" w:rsidR="000D3DCF" w:rsidRPr="00A33264" w:rsidRDefault="000D3DCF" w:rsidP="00BB40DF">
            <w:pPr>
              <w:pStyle w:val="TableBody"/>
              <w:jc w:val="right"/>
              <w:rPr>
                <w:lang w:val="en-GB"/>
              </w:rPr>
            </w:pPr>
            <w:r w:rsidRPr="00A33264">
              <w:rPr>
                <w:lang w:val="en-GB" w:eastAsia="en-AU"/>
              </w:rPr>
              <w:t>Achieved</w:t>
            </w:r>
          </w:p>
        </w:tc>
        <w:tc>
          <w:tcPr>
            <w:tcW w:w="1189" w:type="dxa"/>
            <w:shd w:val="clear" w:color="auto" w:fill="C5E4E8"/>
          </w:tcPr>
          <w:p w14:paraId="7F7B386C" w14:textId="77777777" w:rsidR="000D3DCF" w:rsidRPr="00A33264" w:rsidRDefault="000D3DCF">
            <w:pPr>
              <w:pStyle w:val="TableBody"/>
              <w:jc w:val="right"/>
              <w:rPr>
                <w:lang w:val="en-GB" w:eastAsia="en-AU"/>
              </w:rPr>
            </w:pPr>
            <w:r>
              <w:rPr>
                <w:lang w:val="en-GB" w:eastAsia="en-AU"/>
              </w:rPr>
              <w:t>20.8%</w:t>
            </w:r>
          </w:p>
        </w:tc>
      </w:tr>
      <w:tr w:rsidR="000D3DCF" w:rsidRPr="00A33264" w14:paraId="57CAE7BE" w14:textId="77777777" w:rsidTr="00BB40DF">
        <w:trPr>
          <w:cantSplit/>
          <w:trHeight w:val="797"/>
        </w:trPr>
        <w:tc>
          <w:tcPr>
            <w:tcW w:w="4411" w:type="dxa"/>
            <w:shd w:val="clear" w:color="auto" w:fill="90CED7"/>
          </w:tcPr>
          <w:p w14:paraId="1FA67E02" w14:textId="6BC1F5BA" w:rsidR="000D3DCF" w:rsidRPr="00A33264" w:rsidRDefault="000D3DCF" w:rsidP="00CC33F6">
            <w:pPr>
              <w:pStyle w:val="TableBody"/>
              <w:rPr>
                <w:lang w:val="en-GB"/>
              </w:rPr>
            </w:pPr>
            <w:r w:rsidRPr="00A33264">
              <w:rPr>
                <w:lang w:val="en-GB"/>
              </w:rPr>
              <w:t xml:space="preserve">Senior </w:t>
            </w:r>
            <w:r>
              <w:rPr>
                <w:lang w:val="en-GB"/>
              </w:rPr>
              <w:t>e</w:t>
            </w:r>
            <w:r w:rsidRPr="00A33264">
              <w:rPr>
                <w:lang w:val="en-GB"/>
              </w:rPr>
              <w:t>xecutive staff with disability</w:t>
            </w:r>
          </w:p>
        </w:tc>
        <w:tc>
          <w:tcPr>
            <w:tcW w:w="1189" w:type="dxa"/>
            <w:shd w:val="clear" w:color="auto" w:fill="90CED7"/>
          </w:tcPr>
          <w:p w14:paraId="513CDC75" w14:textId="77777777" w:rsidR="000D3DCF" w:rsidRPr="00A33264" w:rsidRDefault="000D3DCF" w:rsidP="00BB40DF">
            <w:pPr>
              <w:pStyle w:val="TableBody"/>
              <w:jc w:val="right"/>
              <w:rPr>
                <w:lang w:val="en-GB"/>
              </w:rPr>
            </w:pPr>
            <w:r w:rsidRPr="00A33264">
              <w:rPr>
                <w:lang w:val="en-GB"/>
              </w:rPr>
              <w:t>12%</w:t>
            </w:r>
          </w:p>
        </w:tc>
        <w:tc>
          <w:tcPr>
            <w:tcW w:w="1189" w:type="dxa"/>
            <w:shd w:val="clear" w:color="auto" w:fill="90CED7"/>
          </w:tcPr>
          <w:p w14:paraId="26E24428" w14:textId="77777777" w:rsidR="000D3DCF" w:rsidRPr="00A33264" w:rsidRDefault="000D3DCF" w:rsidP="00BB40DF">
            <w:pPr>
              <w:pStyle w:val="TableBody"/>
              <w:jc w:val="right"/>
              <w:rPr>
                <w:lang w:val="en-GB"/>
              </w:rPr>
            </w:pPr>
            <w:r w:rsidRPr="00A33264">
              <w:rPr>
                <w:lang w:val="en-GB" w:eastAsia="en-AU"/>
              </w:rPr>
              <w:t>22.6%</w:t>
            </w:r>
          </w:p>
        </w:tc>
        <w:tc>
          <w:tcPr>
            <w:tcW w:w="1189" w:type="dxa"/>
            <w:shd w:val="clear" w:color="auto" w:fill="90CED7"/>
          </w:tcPr>
          <w:p w14:paraId="515D693A" w14:textId="77777777" w:rsidR="000D3DCF" w:rsidRPr="00A33264" w:rsidRDefault="000D3DCF" w:rsidP="00BB40DF">
            <w:pPr>
              <w:pStyle w:val="TableBody"/>
              <w:jc w:val="right"/>
              <w:rPr>
                <w:lang w:val="en-GB"/>
              </w:rPr>
            </w:pPr>
            <w:r w:rsidRPr="00A33264">
              <w:rPr>
                <w:lang w:val="en-GB" w:eastAsia="en-AU"/>
              </w:rPr>
              <w:t>Achieved</w:t>
            </w:r>
          </w:p>
        </w:tc>
        <w:tc>
          <w:tcPr>
            <w:tcW w:w="1189" w:type="dxa"/>
            <w:shd w:val="clear" w:color="auto" w:fill="90CED7"/>
          </w:tcPr>
          <w:p w14:paraId="079AC6D7" w14:textId="77777777" w:rsidR="000D3DCF" w:rsidRPr="00A33264" w:rsidRDefault="000D3DCF">
            <w:pPr>
              <w:pStyle w:val="TableBody"/>
              <w:jc w:val="right"/>
              <w:rPr>
                <w:lang w:val="en-GB" w:eastAsia="en-AU"/>
              </w:rPr>
            </w:pPr>
            <w:r>
              <w:rPr>
                <w:lang w:val="en-GB" w:eastAsia="en-AU"/>
              </w:rPr>
              <w:t>20.8%</w:t>
            </w:r>
          </w:p>
        </w:tc>
      </w:tr>
    </w:tbl>
    <w:p w14:paraId="1E29425C" w14:textId="77777777" w:rsidR="000D3DCF" w:rsidRDefault="000D3DCF" w:rsidP="00B27FA1">
      <w:pPr>
        <w:pStyle w:val="Heading6"/>
        <w:rPr>
          <w:rFonts w:eastAsia="Yu Mincho"/>
        </w:rPr>
      </w:pPr>
      <w:r>
        <w:rPr>
          <w:rFonts w:eastAsia="Yu Mincho"/>
        </w:rPr>
        <w:t>Why we measure this</w:t>
      </w:r>
    </w:p>
    <w:p w14:paraId="2FE39133" w14:textId="3381C863" w:rsidR="000D3DCF" w:rsidRDefault="000D3DCF" w:rsidP="00565716">
      <w:r w:rsidRPr="009C34F0">
        <w:t xml:space="preserve">These measures assess the effectiveness of the </w:t>
      </w:r>
      <w:r>
        <w:t>NDIA</w:t>
      </w:r>
      <w:r w:rsidRPr="009C34F0">
        <w:t>’s internal diversity and inclusion activities to ensure the NDIA represent</w:t>
      </w:r>
      <w:r>
        <w:t>s</w:t>
      </w:r>
      <w:r w:rsidRPr="009C34F0">
        <w:t xml:space="preserve"> participants and people with disability. </w:t>
      </w:r>
      <w:r>
        <w:t>The measure supports</w:t>
      </w:r>
      <w:r w:rsidRPr="009C34F0">
        <w:t xml:space="preserve"> a high</w:t>
      </w:r>
      <w:r>
        <w:t>-</w:t>
      </w:r>
      <w:r w:rsidRPr="009C34F0">
        <w:t xml:space="preserve">performing NDIA by enabling staff to use their lived experience and understanding of participant needs to inform how the </w:t>
      </w:r>
      <w:r>
        <w:t>NDIA</w:t>
      </w:r>
      <w:r w:rsidRPr="009C34F0">
        <w:t xml:space="preserve"> delivers the </w:t>
      </w:r>
      <w:r>
        <w:t>NDIS</w:t>
      </w:r>
      <w:r w:rsidRPr="009C34F0">
        <w:t xml:space="preserve">. </w:t>
      </w:r>
    </w:p>
    <w:p w14:paraId="484619D5" w14:textId="77777777" w:rsidR="000D3DCF" w:rsidRDefault="000D3DCF" w:rsidP="00B27FA1">
      <w:pPr>
        <w:pStyle w:val="Heading6"/>
      </w:pPr>
      <w:r>
        <w:t>How we measure this</w:t>
      </w:r>
    </w:p>
    <w:p w14:paraId="4459E515" w14:textId="24480372" w:rsidR="000D3DCF" w:rsidRPr="009C34F0" w:rsidRDefault="000D3DCF" w:rsidP="00565716">
      <w:r>
        <w:t xml:space="preserve">We obtain our results for this performance measure </w:t>
      </w:r>
      <w:r w:rsidRPr="009C34F0">
        <w:t xml:space="preserve">from the </w:t>
      </w:r>
      <w:r>
        <w:t>a</w:t>
      </w:r>
      <w:r w:rsidRPr="009C34F0">
        <w:t>nnual APS Census</w:t>
      </w:r>
      <w:r>
        <w:t>,</w:t>
      </w:r>
      <w:r w:rsidRPr="009C34F0">
        <w:t xml:space="preserve"> conducted by the Australian Public Service Commission.</w:t>
      </w:r>
    </w:p>
    <w:p w14:paraId="47B63543" w14:textId="77777777" w:rsidR="000D3DCF" w:rsidRDefault="000D3DCF" w:rsidP="00B27FA1">
      <w:pPr>
        <w:pStyle w:val="Heading6"/>
      </w:pPr>
      <w:r>
        <w:t>Analysis</w:t>
      </w:r>
    </w:p>
    <w:p w14:paraId="342634FD" w14:textId="79B8E43C" w:rsidR="000D3DCF" w:rsidRPr="009C34F0" w:rsidRDefault="000D3DCF" w:rsidP="00565716">
      <w:pPr>
        <w:spacing w:before="100" w:beforeAutospacing="1" w:after="100" w:afterAutospacing="1" w:line="259" w:lineRule="auto"/>
      </w:pPr>
      <w:r w:rsidRPr="009C34F0">
        <w:t xml:space="preserve">The </w:t>
      </w:r>
      <w:r>
        <w:t>NDIA has</w:t>
      </w:r>
      <w:r w:rsidRPr="009C34F0">
        <w:t xml:space="preserve"> increase</w:t>
      </w:r>
      <w:r>
        <w:t>d</w:t>
      </w:r>
      <w:r w:rsidRPr="009C34F0">
        <w:t xml:space="preserve"> representation of staff with disability</w:t>
      </w:r>
      <w:r>
        <w:t xml:space="preserve"> by</w:t>
      </w:r>
      <w:r w:rsidRPr="009C34F0">
        <w:t>:</w:t>
      </w:r>
    </w:p>
    <w:p w14:paraId="38CBAC19" w14:textId="65A0DCCC" w:rsidR="000D3DCF" w:rsidRPr="009C34F0" w:rsidRDefault="000D3DCF" w:rsidP="00565716">
      <w:pPr>
        <w:pStyle w:val="Bullet1"/>
      </w:pPr>
      <w:r>
        <w:t>continuing to partner</w:t>
      </w:r>
      <w:r w:rsidRPr="009C34F0">
        <w:t xml:space="preserve"> with the Australian Network on Disability on the </w:t>
      </w:r>
      <w:hyperlink r:id="rId30" w:history="1">
        <w:r w:rsidRPr="00AA0637">
          <w:rPr>
            <w:rStyle w:val="Hyperlink"/>
            <w:color w:val="auto"/>
          </w:rPr>
          <w:t>Stepping Into Internship Program</w:t>
        </w:r>
      </w:hyperlink>
      <w:r>
        <w:rPr>
          <w:rStyle w:val="Hyperlink"/>
          <w:color w:val="auto"/>
          <w:u w:val="none"/>
        </w:rPr>
        <w:t xml:space="preserve">. Under the program, the </w:t>
      </w:r>
      <w:r w:rsidRPr="009C34F0">
        <w:t>NDIA host</w:t>
      </w:r>
      <w:r>
        <w:t>s</w:t>
      </w:r>
      <w:r w:rsidRPr="009C34F0">
        <w:t xml:space="preserve"> students with disability for paid internships (often leading to ongoing roles with the NDIA </w:t>
      </w:r>
      <w:r>
        <w:t xml:space="preserve">after </w:t>
      </w:r>
      <w:r w:rsidRPr="009C34F0">
        <w:t>graduation)</w:t>
      </w:r>
    </w:p>
    <w:p w14:paraId="7895FAEB" w14:textId="28F1AE79" w:rsidR="000D3DCF" w:rsidRPr="009C34F0" w:rsidRDefault="000D3DCF" w:rsidP="00565716">
      <w:pPr>
        <w:pStyle w:val="Bullet1"/>
      </w:pPr>
      <w:r>
        <w:t>continuing to partner</w:t>
      </w:r>
      <w:r w:rsidRPr="009C34F0">
        <w:t xml:space="preserve"> with</w:t>
      </w:r>
      <w:r>
        <w:t xml:space="preserve"> the</w:t>
      </w:r>
      <w:r w:rsidRPr="009C34F0">
        <w:t xml:space="preserve"> Australian Network on Disability to maintain </w:t>
      </w:r>
      <w:r>
        <w:t xml:space="preserve">our </w:t>
      </w:r>
      <w:r w:rsidRPr="009C34F0">
        <w:t>Disability Confident Recruiter accreditation</w:t>
      </w:r>
      <w:r>
        <w:t>. The accreditation</w:t>
      </w:r>
      <w:r w:rsidRPr="009C34F0">
        <w:t xml:space="preserve"> demonstrat</w:t>
      </w:r>
      <w:r>
        <w:t>es</w:t>
      </w:r>
      <w:r w:rsidRPr="009C34F0">
        <w:t xml:space="preserve"> the </w:t>
      </w:r>
      <w:r>
        <w:t>NDIA</w:t>
      </w:r>
      <w:r w:rsidRPr="009C34F0">
        <w:t>’s commitment to inclusive recruitment practices that maximise access and remove barriers for all candidates with disability, including our internal candidates</w:t>
      </w:r>
    </w:p>
    <w:p w14:paraId="2CC80049" w14:textId="6F880316" w:rsidR="000D3DCF" w:rsidRPr="009C34F0" w:rsidRDefault="000D3DCF" w:rsidP="00565716">
      <w:pPr>
        <w:pStyle w:val="Bullet1"/>
      </w:pPr>
      <w:r>
        <w:t>ensuring external recruitment a</w:t>
      </w:r>
      <w:r w:rsidRPr="009C34F0">
        <w:t>dvertisements</w:t>
      </w:r>
      <w:r>
        <w:t xml:space="preserve"> for SES roles</w:t>
      </w:r>
      <w:r w:rsidRPr="009C34F0">
        <w:t xml:space="preserve"> and candidate packs</w:t>
      </w:r>
      <w:r>
        <w:t xml:space="preserve"> provide information</w:t>
      </w:r>
      <w:r w:rsidRPr="009C34F0">
        <w:t xml:space="preserve"> on access to reasonable adjustments</w:t>
      </w:r>
      <w:r>
        <w:t xml:space="preserve"> that are available</w:t>
      </w:r>
      <w:r w:rsidRPr="009C34F0">
        <w:t xml:space="preserve"> for equitable participation in the recruitment process and to </w:t>
      </w:r>
      <w:r>
        <w:t xml:space="preserve">enable applicants to </w:t>
      </w:r>
      <w:r w:rsidRPr="009C34F0">
        <w:t>fulfil the requirements of the role. People with disability continue to be encouraged to apply for SES roles through the RecruitAbility scheme and, in some cases, designated roles recruited through affirmative measures.</w:t>
      </w:r>
    </w:p>
    <w:p w14:paraId="0FBFAE30" w14:textId="508DC7B4" w:rsidR="000D3DCF" w:rsidRPr="009C34F0" w:rsidRDefault="000D3DCF" w:rsidP="00F86FC3">
      <w:r w:rsidRPr="009C34F0">
        <w:lastRenderedPageBreak/>
        <w:t xml:space="preserve">The Australian Network on Disability </w:t>
      </w:r>
      <w:r>
        <w:t xml:space="preserve">has recognised the NDIA </w:t>
      </w:r>
      <w:r w:rsidRPr="009C34F0">
        <w:t xml:space="preserve">as an industry top performer in the </w:t>
      </w:r>
      <w:r>
        <w:t>n</w:t>
      </w:r>
      <w:r w:rsidRPr="009C34F0">
        <w:t xml:space="preserve">etwork’s Access and Inclusion Index, which recognises the consistent improvements being made across the </w:t>
      </w:r>
      <w:r>
        <w:t>NDIA</w:t>
      </w:r>
      <w:r w:rsidRPr="009C34F0">
        <w:t xml:space="preserve"> based on previous learnings.</w:t>
      </w:r>
    </w:p>
    <w:p w14:paraId="478A2DB8" w14:textId="4F2B740D" w:rsidR="000D3DCF" w:rsidRPr="00A33264" w:rsidRDefault="000D3DCF" w:rsidP="00CC33F6">
      <w:pPr>
        <w:rPr>
          <w:b/>
          <w:bCs/>
          <w:lang w:val="en-GB"/>
        </w:rPr>
      </w:pPr>
      <w:r w:rsidRPr="00A33264">
        <w:rPr>
          <w:b/>
          <w:bCs/>
          <w:lang w:val="en-GB"/>
        </w:rPr>
        <w:t>NDIA spend (</w:t>
      </w:r>
      <w:r>
        <w:rPr>
          <w:b/>
          <w:bCs/>
          <w:lang w:val="en-GB"/>
        </w:rPr>
        <w:t>P</w:t>
      </w:r>
      <w:r w:rsidRPr="00A33264">
        <w:rPr>
          <w:b/>
          <w:bCs/>
          <w:lang w:val="en-GB"/>
        </w:rPr>
        <w:t>rogram 1.2) compared to estimate</w:t>
      </w:r>
      <w:r>
        <w:rPr>
          <w:b/>
          <w:bCs/>
          <w:lang w:val="en-GB"/>
        </w:rPr>
        <w:t>s</w:t>
      </w:r>
      <w:r w:rsidRPr="00A33264">
        <w:rPr>
          <w:b/>
          <w:bCs/>
          <w:lang w:val="en-GB"/>
        </w:rPr>
        <w:t xml:space="preserve"> and NDIA spend (</w:t>
      </w:r>
      <w:r>
        <w:rPr>
          <w:b/>
          <w:bCs/>
          <w:lang w:val="en-GB"/>
        </w:rPr>
        <w:t>P</w:t>
      </w:r>
      <w:r w:rsidRPr="00A33264">
        <w:rPr>
          <w:b/>
          <w:bCs/>
          <w:lang w:val="en-GB"/>
        </w:rPr>
        <w:t>rogram 1.2) as proportion of NDIS spend (</w:t>
      </w:r>
      <w:r>
        <w:rPr>
          <w:b/>
          <w:bCs/>
          <w:lang w:val="en-GB"/>
        </w:rPr>
        <w:t>P</w:t>
      </w:r>
      <w:r w:rsidRPr="00A33264">
        <w:rPr>
          <w:b/>
          <w:bCs/>
          <w:lang w:val="en-GB"/>
        </w:rPr>
        <w:t>rogram 1.1)</w:t>
      </w:r>
    </w:p>
    <w:tbl>
      <w:tblPr>
        <w:tblStyle w:val="GridTable4"/>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20" w:firstRow="1" w:lastRow="0" w:firstColumn="0" w:lastColumn="0" w:noHBand="0" w:noVBand="1"/>
      </w:tblPr>
      <w:tblGrid>
        <w:gridCol w:w="3634"/>
        <w:gridCol w:w="1348"/>
        <w:gridCol w:w="1348"/>
        <w:gridCol w:w="1355"/>
        <w:gridCol w:w="1331"/>
      </w:tblGrid>
      <w:tr w:rsidR="007D6F0C" w:rsidRPr="007D6F0C" w14:paraId="7F182FDD" w14:textId="77777777" w:rsidTr="001C0A6D">
        <w:trPr>
          <w:cnfStyle w:val="100000000000" w:firstRow="1" w:lastRow="0" w:firstColumn="0" w:lastColumn="0" w:oddVBand="0" w:evenVBand="0" w:oddHBand="0" w:evenHBand="0" w:firstRowFirstColumn="0" w:firstRowLastColumn="0" w:lastRowFirstColumn="0" w:lastRowLastColumn="0"/>
          <w:cantSplit/>
        </w:trPr>
        <w:tc>
          <w:tcPr>
            <w:tcW w:w="3634" w:type="dxa"/>
            <w:shd w:val="clear" w:color="auto" w:fill="009EAD"/>
          </w:tcPr>
          <w:p w14:paraId="1B08D439" w14:textId="5110065D" w:rsidR="000D3DCF" w:rsidRPr="007D6F0C" w:rsidRDefault="000D3DCF">
            <w:pPr>
              <w:pStyle w:val="TableBody"/>
              <w:rPr>
                <w:color w:val="auto"/>
                <w:szCs w:val="24"/>
                <w:lang w:val="en-GB"/>
              </w:rPr>
            </w:pPr>
            <w:bookmarkStart w:id="97" w:name="ColumnTitle_PerformanceMeasure16"/>
            <w:bookmarkEnd w:id="97"/>
            <w:r w:rsidRPr="007D6F0C">
              <w:rPr>
                <w:color w:val="auto"/>
                <w:szCs w:val="24"/>
                <w:lang w:val="en-GB"/>
              </w:rPr>
              <w:t>Performance measure</w:t>
            </w:r>
          </w:p>
        </w:tc>
        <w:tc>
          <w:tcPr>
            <w:tcW w:w="1348" w:type="dxa"/>
            <w:shd w:val="clear" w:color="auto" w:fill="009EAD"/>
          </w:tcPr>
          <w:p w14:paraId="3CC24328" w14:textId="77777777" w:rsidR="000D3DCF" w:rsidRPr="007D6F0C" w:rsidRDefault="000D3DCF" w:rsidP="00BB40DF">
            <w:pPr>
              <w:pStyle w:val="TableBody"/>
              <w:jc w:val="right"/>
              <w:rPr>
                <w:color w:val="auto"/>
                <w:szCs w:val="24"/>
                <w:lang w:val="en-GB"/>
              </w:rPr>
            </w:pPr>
            <w:r w:rsidRPr="007D6F0C">
              <w:rPr>
                <w:color w:val="auto"/>
                <w:szCs w:val="24"/>
                <w:lang w:val="en-GB"/>
              </w:rPr>
              <w:t>2023</w:t>
            </w:r>
            <w:r w:rsidRPr="007D6F0C">
              <w:rPr>
                <w:color w:val="auto"/>
              </w:rPr>
              <w:t>–</w:t>
            </w:r>
            <w:r w:rsidRPr="007D6F0C">
              <w:rPr>
                <w:color w:val="auto"/>
                <w:szCs w:val="24"/>
                <w:lang w:val="en-GB"/>
              </w:rPr>
              <w:t>24 Target</w:t>
            </w:r>
          </w:p>
        </w:tc>
        <w:tc>
          <w:tcPr>
            <w:tcW w:w="1348" w:type="dxa"/>
            <w:shd w:val="clear" w:color="auto" w:fill="009EAD"/>
          </w:tcPr>
          <w:p w14:paraId="03973512" w14:textId="77777777" w:rsidR="000D3DCF" w:rsidRPr="007D6F0C" w:rsidRDefault="000D3DCF" w:rsidP="00BB40DF">
            <w:pPr>
              <w:pStyle w:val="TableBody"/>
              <w:jc w:val="right"/>
              <w:rPr>
                <w:color w:val="auto"/>
                <w:szCs w:val="24"/>
                <w:lang w:val="en-GB"/>
              </w:rPr>
            </w:pPr>
            <w:r w:rsidRPr="007D6F0C">
              <w:rPr>
                <w:color w:val="auto"/>
                <w:szCs w:val="24"/>
                <w:lang w:val="en-GB"/>
              </w:rPr>
              <w:t>2023</w:t>
            </w:r>
            <w:r w:rsidRPr="007D6F0C">
              <w:rPr>
                <w:color w:val="auto"/>
              </w:rPr>
              <w:t>–</w:t>
            </w:r>
            <w:r w:rsidRPr="007D6F0C">
              <w:rPr>
                <w:color w:val="auto"/>
                <w:szCs w:val="24"/>
                <w:lang w:val="en-GB"/>
              </w:rPr>
              <w:t>24 Result</w:t>
            </w:r>
          </w:p>
        </w:tc>
        <w:tc>
          <w:tcPr>
            <w:tcW w:w="1355" w:type="dxa"/>
            <w:shd w:val="clear" w:color="auto" w:fill="009EAD"/>
          </w:tcPr>
          <w:p w14:paraId="5ADB975A" w14:textId="77777777" w:rsidR="000D3DCF" w:rsidRPr="007D6F0C" w:rsidRDefault="000D3DCF" w:rsidP="00BB40DF">
            <w:pPr>
              <w:pStyle w:val="TableBody"/>
              <w:jc w:val="right"/>
              <w:rPr>
                <w:color w:val="auto"/>
                <w:szCs w:val="24"/>
                <w:lang w:val="en-GB"/>
              </w:rPr>
            </w:pPr>
            <w:r w:rsidRPr="007D6F0C">
              <w:rPr>
                <w:color w:val="auto"/>
                <w:szCs w:val="24"/>
                <w:lang w:val="en-GB"/>
              </w:rPr>
              <w:t>2023</w:t>
            </w:r>
            <w:r w:rsidRPr="007D6F0C">
              <w:rPr>
                <w:color w:val="auto"/>
              </w:rPr>
              <w:t>–</w:t>
            </w:r>
            <w:r w:rsidRPr="007D6F0C">
              <w:rPr>
                <w:color w:val="auto"/>
                <w:szCs w:val="24"/>
                <w:lang w:val="en-GB"/>
              </w:rPr>
              <w:t>24 Outcome</w:t>
            </w:r>
          </w:p>
        </w:tc>
        <w:tc>
          <w:tcPr>
            <w:tcW w:w="1331" w:type="dxa"/>
            <w:shd w:val="clear" w:color="auto" w:fill="009EAD"/>
          </w:tcPr>
          <w:p w14:paraId="354A5128" w14:textId="77777777" w:rsidR="000D3DCF" w:rsidRPr="007D6F0C" w:rsidRDefault="000D3DCF" w:rsidP="00BB40DF">
            <w:pPr>
              <w:pStyle w:val="TableBody"/>
              <w:jc w:val="right"/>
              <w:rPr>
                <w:color w:val="auto"/>
                <w:szCs w:val="24"/>
                <w:lang w:val="en-GB"/>
              </w:rPr>
            </w:pPr>
            <w:r w:rsidRPr="007D6F0C">
              <w:rPr>
                <w:color w:val="auto"/>
                <w:szCs w:val="24"/>
                <w:lang w:val="en-GB"/>
              </w:rPr>
              <w:t>2022</w:t>
            </w:r>
            <w:r w:rsidRPr="007D6F0C">
              <w:rPr>
                <w:color w:val="auto"/>
              </w:rPr>
              <w:t>–</w:t>
            </w:r>
            <w:r w:rsidRPr="007D6F0C">
              <w:rPr>
                <w:color w:val="auto"/>
                <w:szCs w:val="24"/>
                <w:lang w:val="en-GB"/>
              </w:rPr>
              <w:t>23 Result</w:t>
            </w:r>
          </w:p>
        </w:tc>
      </w:tr>
      <w:tr w:rsidR="000D3DCF" w:rsidRPr="00565716" w14:paraId="16476991" w14:textId="77777777" w:rsidTr="00565716">
        <w:trPr>
          <w:cnfStyle w:val="000000100000" w:firstRow="0" w:lastRow="0" w:firstColumn="0" w:lastColumn="0" w:oddVBand="0" w:evenVBand="0" w:oddHBand="1" w:evenHBand="0" w:firstRowFirstColumn="0" w:firstRowLastColumn="0" w:lastRowFirstColumn="0" w:lastRowLastColumn="0"/>
          <w:cantSplit/>
        </w:trPr>
        <w:tc>
          <w:tcPr>
            <w:tcW w:w="3634" w:type="dxa"/>
            <w:shd w:val="clear" w:color="auto" w:fill="C5E4E8"/>
          </w:tcPr>
          <w:p w14:paraId="5DF1244C" w14:textId="656D1C1E" w:rsidR="000D3DCF" w:rsidRPr="00565716" w:rsidRDefault="000D3DCF" w:rsidP="00CC33F6">
            <w:pPr>
              <w:pStyle w:val="TableBody"/>
              <w:rPr>
                <w:szCs w:val="24"/>
                <w:lang w:val="en-GB"/>
              </w:rPr>
            </w:pPr>
            <w:r w:rsidRPr="00565716">
              <w:rPr>
                <w:szCs w:val="24"/>
                <w:lang w:val="en-GB"/>
              </w:rPr>
              <w:t>NDIA spend (</w:t>
            </w:r>
            <w:r>
              <w:rPr>
                <w:szCs w:val="24"/>
                <w:lang w:val="en-GB"/>
              </w:rPr>
              <w:t>P</w:t>
            </w:r>
            <w:r w:rsidRPr="00565716">
              <w:rPr>
                <w:szCs w:val="24"/>
                <w:lang w:val="en-GB"/>
              </w:rPr>
              <w:t>rogram 1.2) compared to estimates</w:t>
            </w:r>
          </w:p>
        </w:tc>
        <w:tc>
          <w:tcPr>
            <w:tcW w:w="1348" w:type="dxa"/>
            <w:shd w:val="clear" w:color="auto" w:fill="C5E4E8"/>
          </w:tcPr>
          <w:p w14:paraId="070A70EC" w14:textId="77777777" w:rsidR="000D3DCF" w:rsidRPr="00565716" w:rsidRDefault="000D3DCF" w:rsidP="00BB40DF">
            <w:pPr>
              <w:pStyle w:val="TableBody"/>
              <w:jc w:val="right"/>
              <w:rPr>
                <w:szCs w:val="24"/>
                <w:lang w:val="en-GB"/>
              </w:rPr>
            </w:pPr>
            <w:r w:rsidRPr="00565716">
              <w:rPr>
                <w:szCs w:val="24"/>
                <w:lang w:val="en-GB"/>
              </w:rPr>
              <w:t>100%</w:t>
            </w:r>
          </w:p>
        </w:tc>
        <w:tc>
          <w:tcPr>
            <w:tcW w:w="1348" w:type="dxa"/>
            <w:shd w:val="clear" w:color="auto" w:fill="C5E4E8"/>
          </w:tcPr>
          <w:p w14:paraId="369AC422" w14:textId="77777777" w:rsidR="000D3DCF" w:rsidRPr="00565716" w:rsidRDefault="000D3DCF" w:rsidP="00BB40DF">
            <w:pPr>
              <w:pStyle w:val="TableBody"/>
              <w:jc w:val="right"/>
              <w:rPr>
                <w:szCs w:val="24"/>
                <w:lang w:val="en-GB"/>
              </w:rPr>
            </w:pPr>
            <w:r w:rsidRPr="00565716">
              <w:rPr>
                <w:bCs/>
                <w:szCs w:val="24"/>
                <w:lang w:val="en-GB"/>
              </w:rPr>
              <w:t>96.7</w:t>
            </w:r>
            <w:r w:rsidRPr="00565716">
              <w:rPr>
                <w:szCs w:val="24"/>
                <w:lang w:val="en-GB" w:eastAsia="en-AU"/>
              </w:rPr>
              <w:t>%</w:t>
            </w:r>
          </w:p>
        </w:tc>
        <w:tc>
          <w:tcPr>
            <w:tcW w:w="1355" w:type="dxa"/>
            <w:shd w:val="clear" w:color="auto" w:fill="C5E4E8"/>
          </w:tcPr>
          <w:p w14:paraId="6A63213E" w14:textId="77777777" w:rsidR="000D3DCF" w:rsidRPr="00565716" w:rsidRDefault="000D3DCF" w:rsidP="00BB40DF">
            <w:pPr>
              <w:pStyle w:val="TableBody"/>
              <w:jc w:val="right"/>
              <w:rPr>
                <w:szCs w:val="24"/>
                <w:lang w:val="en-GB"/>
              </w:rPr>
            </w:pPr>
            <w:r w:rsidRPr="00565716">
              <w:rPr>
                <w:szCs w:val="24"/>
                <w:lang w:val="en-GB" w:eastAsia="en-AU"/>
              </w:rPr>
              <w:t>Achieved</w:t>
            </w:r>
          </w:p>
        </w:tc>
        <w:tc>
          <w:tcPr>
            <w:tcW w:w="1331" w:type="dxa"/>
            <w:shd w:val="clear" w:color="auto" w:fill="C5E4E8"/>
          </w:tcPr>
          <w:p w14:paraId="77FF4001" w14:textId="77777777" w:rsidR="000D3DCF" w:rsidRPr="00565716" w:rsidRDefault="000D3DCF" w:rsidP="00BB40DF">
            <w:pPr>
              <w:pStyle w:val="TableBody"/>
              <w:jc w:val="right"/>
              <w:rPr>
                <w:szCs w:val="24"/>
                <w:lang w:val="en-GB" w:eastAsia="en-AU"/>
              </w:rPr>
            </w:pPr>
            <w:r w:rsidRPr="00565716">
              <w:rPr>
                <w:szCs w:val="24"/>
                <w:lang w:val="en-GB" w:eastAsia="en-AU"/>
              </w:rPr>
              <w:t>103%</w:t>
            </w:r>
          </w:p>
        </w:tc>
      </w:tr>
      <w:tr w:rsidR="000D3DCF" w:rsidRPr="00565716" w14:paraId="351B257E" w14:textId="77777777" w:rsidTr="00565716">
        <w:trPr>
          <w:cantSplit/>
        </w:trPr>
        <w:tc>
          <w:tcPr>
            <w:tcW w:w="3634" w:type="dxa"/>
            <w:shd w:val="clear" w:color="auto" w:fill="90CED7"/>
          </w:tcPr>
          <w:p w14:paraId="4CA99540" w14:textId="1AF674A4" w:rsidR="000D3DCF" w:rsidRPr="00565716" w:rsidRDefault="000D3DCF" w:rsidP="00CC33F6">
            <w:pPr>
              <w:pStyle w:val="TableBody"/>
              <w:rPr>
                <w:szCs w:val="24"/>
                <w:lang w:val="en-GB"/>
              </w:rPr>
            </w:pPr>
            <w:r w:rsidRPr="00565716">
              <w:rPr>
                <w:szCs w:val="24"/>
                <w:lang w:val="en-GB"/>
              </w:rPr>
              <w:t>NDIA spend (</w:t>
            </w:r>
            <w:r>
              <w:rPr>
                <w:szCs w:val="24"/>
                <w:lang w:val="en-GB"/>
              </w:rPr>
              <w:t>P</w:t>
            </w:r>
            <w:r w:rsidRPr="00565716">
              <w:rPr>
                <w:szCs w:val="24"/>
                <w:lang w:val="en-GB"/>
              </w:rPr>
              <w:t>rogram 1.2) as proportion of NDIS spend (Program 1.1)</w:t>
            </w:r>
          </w:p>
        </w:tc>
        <w:tc>
          <w:tcPr>
            <w:tcW w:w="1348" w:type="dxa"/>
            <w:shd w:val="clear" w:color="auto" w:fill="90CED7"/>
          </w:tcPr>
          <w:p w14:paraId="20CF8D39" w14:textId="77777777" w:rsidR="000D3DCF" w:rsidRPr="00565716" w:rsidRDefault="000D3DCF" w:rsidP="00BB40DF">
            <w:pPr>
              <w:pStyle w:val="TableBody"/>
              <w:jc w:val="right"/>
              <w:rPr>
                <w:szCs w:val="24"/>
                <w:lang w:val="en-GB"/>
              </w:rPr>
            </w:pPr>
            <w:r w:rsidRPr="00565716">
              <w:rPr>
                <w:szCs w:val="24"/>
                <w:lang w:val="en-GB"/>
              </w:rPr>
              <w:t>6.0%</w:t>
            </w:r>
          </w:p>
        </w:tc>
        <w:tc>
          <w:tcPr>
            <w:tcW w:w="1348" w:type="dxa"/>
            <w:shd w:val="clear" w:color="auto" w:fill="90CED7"/>
          </w:tcPr>
          <w:p w14:paraId="5569766F" w14:textId="77777777" w:rsidR="000D3DCF" w:rsidRPr="00565716" w:rsidRDefault="000D3DCF" w:rsidP="00BB40DF">
            <w:pPr>
              <w:pStyle w:val="TableBody"/>
              <w:jc w:val="right"/>
              <w:rPr>
                <w:szCs w:val="24"/>
                <w:lang w:val="en-GB"/>
              </w:rPr>
            </w:pPr>
            <w:r w:rsidRPr="00565716">
              <w:rPr>
                <w:szCs w:val="24"/>
                <w:lang w:val="en-GB" w:eastAsia="en-AU"/>
              </w:rPr>
              <w:t>5%</w:t>
            </w:r>
          </w:p>
        </w:tc>
        <w:tc>
          <w:tcPr>
            <w:tcW w:w="1355" w:type="dxa"/>
            <w:shd w:val="clear" w:color="auto" w:fill="90CED7"/>
          </w:tcPr>
          <w:p w14:paraId="49F1590A" w14:textId="77777777" w:rsidR="000D3DCF" w:rsidRPr="00565716" w:rsidRDefault="000D3DCF" w:rsidP="00BB40DF">
            <w:pPr>
              <w:pStyle w:val="TableBody"/>
              <w:jc w:val="right"/>
              <w:rPr>
                <w:szCs w:val="24"/>
                <w:lang w:val="en-GB"/>
              </w:rPr>
            </w:pPr>
            <w:r w:rsidRPr="00565716">
              <w:rPr>
                <w:szCs w:val="24"/>
                <w:lang w:val="en-GB" w:eastAsia="en-AU"/>
              </w:rPr>
              <w:t>Achieved</w:t>
            </w:r>
          </w:p>
        </w:tc>
        <w:tc>
          <w:tcPr>
            <w:tcW w:w="1331" w:type="dxa"/>
            <w:shd w:val="clear" w:color="auto" w:fill="90CED7"/>
          </w:tcPr>
          <w:p w14:paraId="4AF1B0DF" w14:textId="77777777" w:rsidR="000D3DCF" w:rsidRPr="00565716" w:rsidRDefault="000D3DCF" w:rsidP="00BB40DF">
            <w:pPr>
              <w:pStyle w:val="TableBody"/>
              <w:jc w:val="right"/>
              <w:rPr>
                <w:szCs w:val="24"/>
                <w:lang w:val="en-GB" w:eastAsia="en-AU"/>
              </w:rPr>
            </w:pPr>
            <w:r w:rsidRPr="00565716">
              <w:rPr>
                <w:szCs w:val="24"/>
                <w:lang w:val="en-GB" w:eastAsia="en-AU"/>
              </w:rPr>
              <w:t>5.2%</w:t>
            </w:r>
          </w:p>
        </w:tc>
      </w:tr>
    </w:tbl>
    <w:p w14:paraId="6D7A1B60" w14:textId="77777777" w:rsidR="000D3DCF" w:rsidRDefault="000D3DCF" w:rsidP="00B27FA1">
      <w:pPr>
        <w:pStyle w:val="Heading6"/>
        <w:rPr>
          <w:rFonts w:eastAsia="Yu Mincho"/>
        </w:rPr>
      </w:pPr>
      <w:r>
        <w:rPr>
          <w:rFonts w:eastAsia="Yu Mincho"/>
        </w:rPr>
        <w:t>Why we measure this</w:t>
      </w:r>
    </w:p>
    <w:p w14:paraId="00793275" w14:textId="77777777" w:rsidR="000D3DCF" w:rsidRDefault="000D3DCF" w:rsidP="00565716">
      <w:r w:rsidRPr="009C34F0">
        <w:rPr>
          <w:rFonts w:eastAsia="Calibri"/>
        </w:rPr>
        <w:t xml:space="preserve">These measures assess the effectiveness of </w:t>
      </w:r>
      <w:r>
        <w:rPr>
          <w:rFonts w:eastAsia="Calibri"/>
        </w:rPr>
        <w:t>NDIS</w:t>
      </w:r>
      <w:r w:rsidRPr="009C34F0">
        <w:rPr>
          <w:rFonts w:eastAsia="Calibri"/>
        </w:rPr>
        <w:t xml:space="preserve"> projections </w:t>
      </w:r>
      <w:r w:rsidRPr="009C34F0">
        <w:t xml:space="preserve">and the efficiency of the </w:t>
      </w:r>
      <w:r>
        <w:t>NDIA</w:t>
      </w:r>
      <w:r w:rsidRPr="009C34F0">
        <w:t xml:space="preserve"> </w:t>
      </w:r>
      <w:r>
        <w:t xml:space="preserve">in </w:t>
      </w:r>
      <w:r w:rsidRPr="009C34F0">
        <w:t xml:space="preserve">delivering the </w:t>
      </w:r>
      <w:r>
        <w:t>NDIS</w:t>
      </w:r>
      <w:r w:rsidRPr="009C34F0">
        <w:t xml:space="preserve"> (Program 1.1 Reasonable and necessary supports</w:t>
      </w:r>
      <w:r>
        <w:t xml:space="preserve"> for participants</w:t>
      </w:r>
      <w:r w:rsidRPr="009C34F0">
        <w:t xml:space="preserve">). </w:t>
      </w:r>
    </w:p>
    <w:p w14:paraId="44915A4A" w14:textId="77777777" w:rsidR="000D3DCF" w:rsidRDefault="000D3DCF" w:rsidP="00B27FA1">
      <w:pPr>
        <w:pStyle w:val="Heading6"/>
      </w:pPr>
      <w:r>
        <w:t>How we measure this</w:t>
      </w:r>
    </w:p>
    <w:p w14:paraId="1741B409" w14:textId="1A96777E" w:rsidR="000D3DCF" w:rsidRPr="009C34F0" w:rsidRDefault="000D3DCF" w:rsidP="00565716">
      <w:r>
        <w:t>We measure</w:t>
      </w:r>
      <w:r w:rsidRPr="009C34F0">
        <w:t xml:space="preserve"> NDIA </w:t>
      </w:r>
      <w:r>
        <w:t>s</w:t>
      </w:r>
      <w:r w:rsidRPr="009C34F0">
        <w:t xml:space="preserve">pend compared </w:t>
      </w:r>
      <w:r>
        <w:t>with</w:t>
      </w:r>
      <w:r w:rsidRPr="009C34F0">
        <w:t xml:space="preserve"> estimates </w:t>
      </w:r>
      <w:r>
        <w:t>by</w:t>
      </w:r>
      <w:r w:rsidRPr="009C34F0">
        <w:t xml:space="preserve"> calculat</w:t>
      </w:r>
      <w:r>
        <w:t>ing</w:t>
      </w:r>
      <w:r w:rsidRPr="009C34F0">
        <w:t xml:space="preserve"> actual </w:t>
      </w:r>
      <w:r>
        <w:t>NDIA</w:t>
      </w:r>
      <w:r w:rsidRPr="009C34F0">
        <w:t xml:space="preserve"> costs (accrual basis) for the financial year divided by projected </w:t>
      </w:r>
      <w:r>
        <w:t>NDIA</w:t>
      </w:r>
      <w:r w:rsidRPr="009C34F0">
        <w:t xml:space="preserve"> costs in the 2022</w:t>
      </w:r>
      <w:r w:rsidRPr="003131F3">
        <w:t>–</w:t>
      </w:r>
      <w:r w:rsidRPr="009C34F0">
        <w:t>23 Annual Financial Sustainability Report (AFSR)</w:t>
      </w:r>
      <w:r>
        <w:t>,</w:t>
      </w:r>
      <w:r w:rsidRPr="009C34F0">
        <w:t xml:space="preserve"> published in the </w:t>
      </w:r>
      <w:r w:rsidRPr="003131F3">
        <w:t>Mid-Year Economic and Fiscal Outlook 2023–24</w:t>
      </w:r>
      <w:r w:rsidRPr="009C34F0">
        <w:t>.</w:t>
      </w:r>
    </w:p>
    <w:p w14:paraId="4EA47278" w14:textId="2990FCA6" w:rsidR="000D3DCF" w:rsidRPr="009C34F0" w:rsidRDefault="000D3DCF" w:rsidP="00565716">
      <w:pPr>
        <w:rPr>
          <w:rFonts w:eastAsia="Calibri"/>
        </w:rPr>
      </w:pPr>
      <w:r>
        <w:t>We measure the</w:t>
      </w:r>
      <w:r w:rsidRPr="009C34F0">
        <w:t xml:space="preserve"> efficiency of the </w:t>
      </w:r>
      <w:r>
        <w:t>NDIA</w:t>
      </w:r>
      <w:r w:rsidRPr="009C34F0">
        <w:t xml:space="preserve"> </w:t>
      </w:r>
      <w:r>
        <w:t xml:space="preserve">by </w:t>
      </w:r>
      <w:r w:rsidRPr="009C34F0">
        <w:t>calculat</w:t>
      </w:r>
      <w:r>
        <w:t>ing</w:t>
      </w:r>
      <w:r w:rsidRPr="009C34F0">
        <w:t xml:space="preserve"> </w:t>
      </w:r>
      <w:r>
        <w:t>NDIA</w:t>
      </w:r>
      <w:r w:rsidRPr="009C34F0">
        <w:t xml:space="preserve"> costs (Program 1.2) as a percentage of </w:t>
      </w:r>
      <w:r>
        <w:t>NDIS</w:t>
      </w:r>
      <w:r w:rsidRPr="009C34F0">
        <w:t xml:space="preserve"> costs (Program 1.1) for the financial year (accrual basis).</w:t>
      </w:r>
    </w:p>
    <w:p w14:paraId="15C83E16" w14:textId="77777777" w:rsidR="000D3DCF" w:rsidRDefault="000D3DCF" w:rsidP="00B27FA1">
      <w:pPr>
        <w:pStyle w:val="Heading6"/>
      </w:pPr>
      <w:r>
        <w:t>Analysis</w:t>
      </w:r>
    </w:p>
    <w:p w14:paraId="3E029953" w14:textId="3C81A270" w:rsidR="000D3DCF" w:rsidRPr="009C34F0" w:rsidRDefault="000D3DCF" w:rsidP="00565716">
      <w:pPr>
        <w:rPr>
          <w:rFonts w:eastAsia="Calibri"/>
        </w:rPr>
      </w:pPr>
      <w:r w:rsidRPr="009C34F0">
        <w:rPr>
          <w:rFonts w:eastAsia="Calibri"/>
        </w:rPr>
        <w:t>The</w:t>
      </w:r>
      <w:r>
        <w:rPr>
          <w:rFonts w:eastAsia="Calibri"/>
        </w:rPr>
        <w:t>re was one</w:t>
      </w:r>
      <w:r w:rsidRPr="009C34F0">
        <w:rPr>
          <w:rFonts w:eastAsia="Calibri"/>
        </w:rPr>
        <w:t xml:space="preserve"> key driver of NDIA spend </w:t>
      </w:r>
      <w:r>
        <w:rPr>
          <w:rFonts w:eastAsia="Calibri"/>
        </w:rPr>
        <w:t>being</w:t>
      </w:r>
      <w:r w:rsidRPr="009C34F0">
        <w:rPr>
          <w:rFonts w:eastAsia="Calibri"/>
        </w:rPr>
        <w:t xml:space="preserve"> lower than provided for in the Social Services </w:t>
      </w:r>
      <w:r w:rsidRPr="003131F3">
        <w:t>Mid-Year Economic and Fiscal Outlook 2023–24</w:t>
      </w:r>
      <w:r>
        <w:t>.</w:t>
      </w:r>
      <w:r w:rsidRPr="009C34F0">
        <w:t xml:space="preserve"> </w:t>
      </w:r>
      <w:r>
        <w:t>This was because of</w:t>
      </w:r>
      <w:r w:rsidRPr="009C34F0">
        <w:rPr>
          <w:rFonts w:eastAsia="Calibri"/>
        </w:rPr>
        <w:t xml:space="preserve"> timing differences associated with the delivery of 2023-24 Budget measures – a total of $280</w:t>
      </w:r>
      <w:r>
        <w:rPr>
          <w:rFonts w:eastAsia="Calibri"/>
        </w:rPr>
        <w:t xml:space="preserve"> </w:t>
      </w:r>
      <w:r w:rsidRPr="009C34F0">
        <w:rPr>
          <w:rFonts w:eastAsia="Calibri"/>
        </w:rPr>
        <w:t>m</w:t>
      </w:r>
      <w:r>
        <w:rPr>
          <w:rFonts w:eastAsia="Calibri"/>
        </w:rPr>
        <w:t>illion</w:t>
      </w:r>
      <w:r w:rsidRPr="009C34F0">
        <w:rPr>
          <w:rFonts w:eastAsia="Calibri"/>
        </w:rPr>
        <w:t xml:space="preserve"> was allocated in the 2023</w:t>
      </w:r>
      <w:r w:rsidRPr="003131F3">
        <w:t>–</w:t>
      </w:r>
      <w:r w:rsidRPr="009C34F0">
        <w:rPr>
          <w:rFonts w:eastAsia="Calibri"/>
        </w:rPr>
        <w:t xml:space="preserve">24 budget for </w:t>
      </w:r>
      <w:r>
        <w:rPr>
          <w:rFonts w:eastAsia="Calibri"/>
        </w:rPr>
        <w:t>reform initiatives</w:t>
      </w:r>
      <w:r w:rsidR="00113B50">
        <w:rPr>
          <w:rFonts w:eastAsia="Calibri"/>
        </w:rPr>
        <w:t>;</w:t>
      </w:r>
      <w:r w:rsidRPr="009C34F0">
        <w:rPr>
          <w:rFonts w:eastAsia="Calibri"/>
        </w:rPr>
        <w:t xml:space="preserve"> however</w:t>
      </w:r>
      <w:r w:rsidR="00C117FF">
        <w:rPr>
          <w:rFonts w:eastAsia="Calibri"/>
        </w:rPr>
        <w:t>,</w:t>
      </w:r>
      <w:r w:rsidRPr="009C34F0">
        <w:rPr>
          <w:rFonts w:eastAsia="Calibri"/>
        </w:rPr>
        <w:t xml:space="preserve"> $146</w:t>
      </w:r>
      <w:r>
        <w:rPr>
          <w:rFonts w:eastAsia="Calibri"/>
        </w:rPr>
        <w:t xml:space="preserve"> </w:t>
      </w:r>
      <w:r w:rsidRPr="009C34F0">
        <w:rPr>
          <w:rFonts w:eastAsia="Calibri"/>
        </w:rPr>
        <w:t>m</w:t>
      </w:r>
      <w:r>
        <w:rPr>
          <w:rFonts w:eastAsia="Calibri"/>
        </w:rPr>
        <w:t>illion</w:t>
      </w:r>
      <w:r w:rsidRPr="009C34F0">
        <w:rPr>
          <w:rFonts w:eastAsia="Calibri"/>
        </w:rPr>
        <w:t xml:space="preserve"> was </w:t>
      </w:r>
      <w:r>
        <w:rPr>
          <w:rFonts w:eastAsia="Calibri"/>
        </w:rPr>
        <w:t>allocated for spending in</w:t>
      </w:r>
      <w:r w:rsidRPr="009C34F0">
        <w:rPr>
          <w:rFonts w:eastAsia="Calibri"/>
        </w:rPr>
        <w:t xml:space="preserve"> later years, with a further underspend of around $30</w:t>
      </w:r>
      <w:r>
        <w:rPr>
          <w:rFonts w:eastAsia="Calibri"/>
        </w:rPr>
        <w:t xml:space="preserve"> </w:t>
      </w:r>
      <w:r w:rsidRPr="009C34F0">
        <w:rPr>
          <w:rFonts w:eastAsia="Calibri"/>
        </w:rPr>
        <w:t>m</w:t>
      </w:r>
      <w:r>
        <w:rPr>
          <w:rFonts w:eastAsia="Calibri"/>
        </w:rPr>
        <w:t>illion</w:t>
      </w:r>
      <w:r w:rsidRPr="009C34F0">
        <w:rPr>
          <w:rFonts w:eastAsia="Calibri"/>
        </w:rPr>
        <w:t xml:space="preserve"> being recorded (a total of $176</w:t>
      </w:r>
      <w:r>
        <w:rPr>
          <w:rFonts w:eastAsia="Calibri"/>
        </w:rPr>
        <w:t xml:space="preserve"> </w:t>
      </w:r>
      <w:r w:rsidRPr="009C34F0">
        <w:rPr>
          <w:rFonts w:eastAsia="Calibri"/>
        </w:rPr>
        <w:t>m</w:t>
      </w:r>
      <w:r>
        <w:rPr>
          <w:rFonts w:eastAsia="Calibri"/>
        </w:rPr>
        <w:t>illion</w:t>
      </w:r>
      <w:r w:rsidRPr="009C34F0">
        <w:rPr>
          <w:rFonts w:eastAsia="Calibri"/>
        </w:rPr>
        <w:t xml:space="preserve">). </w:t>
      </w:r>
      <w:r>
        <w:rPr>
          <w:rFonts w:eastAsia="Calibri"/>
        </w:rPr>
        <w:t>T</w:t>
      </w:r>
      <w:r w:rsidRPr="009C34F0">
        <w:rPr>
          <w:rFonts w:eastAsia="Calibri"/>
        </w:rPr>
        <w:t xml:space="preserve">his was </w:t>
      </w:r>
      <w:r>
        <w:rPr>
          <w:rFonts w:eastAsia="Calibri"/>
        </w:rPr>
        <w:t xml:space="preserve">partially offset by </w:t>
      </w:r>
      <w:r w:rsidRPr="009C34F0">
        <w:rPr>
          <w:rFonts w:eastAsia="Calibri"/>
        </w:rPr>
        <w:t>additional spend overall in the NDIA business</w:t>
      </w:r>
      <w:r>
        <w:rPr>
          <w:rFonts w:eastAsia="Calibri"/>
        </w:rPr>
        <w:t>-</w:t>
      </w:r>
      <w:r w:rsidRPr="009C34F0">
        <w:rPr>
          <w:rFonts w:eastAsia="Calibri"/>
        </w:rPr>
        <w:t>as</w:t>
      </w:r>
      <w:r>
        <w:rPr>
          <w:rFonts w:eastAsia="Calibri"/>
        </w:rPr>
        <w:t>-</w:t>
      </w:r>
      <w:r w:rsidRPr="009C34F0">
        <w:rPr>
          <w:rFonts w:eastAsia="Calibri"/>
        </w:rPr>
        <w:t xml:space="preserve">usual budget. Additional funding provided in the </w:t>
      </w:r>
      <w:r w:rsidRPr="003131F3">
        <w:t>Mid-Year Economic and Fiscal Outlook 2023–24</w:t>
      </w:r>
      <w:r w:rsidRPr="009C34F0">
        <w:t xml:space="preserve"> </w:t>
      </w:r>
      <w:r w:rsidRPr="009C34F0">
        <w:rPr>
          <w:rFonts w:eastAsia="Calibri"/>
        </w:rPr>
        <w:t>and 2024</w:t>
      </w:r>
      <w:r w:rsidR="00230E04" w:rsidRPr="003131F3">
        <w:t>–</w:t>
      </w:r>
      <w:r w:rsidRPr="009C34F0">
        <w:rPr>
          <w:rFonts w:eastAsia="Calibri"/>
        </w:rPr>
        <w:t>25 Budget (for 2023</w:t>
      </w:r>
      <w:r w:rsidRPr="003131F3">
        <w:t>–</w:t>
      </w:r>
      <w:r w:rsidRPr="009C34F0">
        <w:rPr>
          <w:rFonts w:eastAsia="Calibri"/>
        </w:rPr>
        <w:t>24) does not impact this metric.</w:t>
      </w:r>
    </w:p>
    <w:p w14:paraId="04C0DC00" w14:textId="3695B2DC" w:rsidR="000D3DCF" w:rsidRPr="009C34F0" w:rsidRDefault="000D3DCF" w:rsidP="00565716">
      <w:pPr>
        <w:rPr>
          <w:rFonts w:eastAsia="Calibri"/>
        </w:rPr>
      </w:pPr>
      <w:r w:rsidRPr="009C34F0">
        <w:rPr>
          <w:rFonts w:eastAsia="Arial"/>
        </w:rPr>
        <w:lastRenderedPageBreak/>
        <w:t xml:space="preserve">The </w:t>
      </w:r>
      <w:r w:rsidRPr="003131F3">
        <w:rPr>
          <w:rFonts w:eastAsia="Arial"/>
        </w:rPr>
        <w:t>Social Services Portfolio Budget Statements</w:t>
      </w:r>
      <w:r w:rsidRPr="00F86FC3">
        <w:rPr>
          <w:rFonts w:eastAsia="Arial"/>
        </w:rPr>
        <w:t xml:space="preserve"> 2024</w:t>
      </w:r>
      <w:r w:rsidRPr="003131F3">
        <w:t>–</w:t>
      </w:r>
      <w:r w:rsidRPr="00F86FC3">
        <w:rPr>
          <w:rFonts w:eastAsia="Arial"/>
        </w:rPr>
        <w:t>25</w:t>
      </w:r>
      <w:r w:rsidRPr="009C34F0">
        <w:rPr>
          <w:rFonts w:eastAsia="Arial"/>
        </w:rPr>
        <w:t xml:space="preserve"> set out the anticipated expenditure for Program 1.2. </w:t>
      </w:r>
      <w:r>
        <w:rPr>
          <w:rFonts w:eastAsia="Arial"/>
        </w:rPr>
        <w:t xml:space="preserve">The </w:t>
      </w:r>
      <w:r w:rsidRPr="009C34F0">
        <w:rPr>
          <w:rFonts w:eastAsia="Arial Unicode MS"/>
        </w:rPr>
        <w:t>Program 1.2 expenditure estimate for the 2024</w:t>
      </w:r>
      <w:r w:rsidRPr="003131F3">
        <w:t>–</w:t>
      </w:r>
      <w:r w:rsidRPr="009C34F0">
        <w:rPr>
          <w:rFonts w:eastAsia="Arial Unicode MS"/>
        </w:rPr>
        <w:t xml:space="preserve">25 </w:t>
      </w:r>
      <w:r>
        <w:rPr>
          <w:rFonts w:eastAsia="Arial Unicode MS"/>
        </w:rPr>
        <w:t>B</w:t>
      </w:r>
      <w:r w:rsidRPr="009C34F0">
        <w:rPr>
          <w:rFonts w:eastAsia="Arial Unicode MS"/>
        </w:rPr>
        <w:t xml:space="preserve">udget is $2.7 billion, followed by $1.7 billion each financial year </w:t>
      </w:r>
      <w:r w:rsidR="00DB11F6">
        <w:rPr>
          <w:rFonts w:eastAsia="Arial Unicode MS"/>
        </w:rPr>
        <w:t>until</w:t>
      </w:r>
      <w:r w:rsidRPr="009C34F0">
        <w:rPr>
          <w:rFonts w:eastAsia="Arial Unicode MS"/>
        </w:rPr>
        <w:t xml:space="preserve"> 2027</w:t>
      </w:r>
      <w:r w:rsidRPr="003131F3">
        <w:t>–</w:t>
      </w:r>
      <w:r w:rsidRPr="009C34F0">
        <w:rPr>
          <w:rFonts w:eastAsia="Arial Unicode MS"/>
        </w:rPr>
        <w:t>28.</w:t>
      </w:r>
    </w:p>
    <w:p w14:paraId="0272E92E" w14:textId="696EDC45" w:rsidR="001F5A8E" w:rsidRPr="00A33264" w:rsidRDefault="000D3DCF" w:rsidP="009B5EFC">
      <w:pPr>
        <w:rPr>
          <w:lang w:val="en-GB"/>
        </w:rPr>
      </w:pPr>
      <w:r w:rsidRPr="009C34F0">
        <w:rPr>
          <w:rFonts w:eastAsia="Calibri"/>
        </w:rPr>
        <w:t>NDIA spend as a portion of NDIS spend remains below the 7</w:t>
      </w:r>
      <w:r w:rsidRPr="003131F3">
        <w:t>–</w:t>
      </w:r>
      <w:r w:rsidRPr="009C34F0">
        <w:rPr>
          <w:rFonts w:eastAsia="Calibri"/>
        </w:rPr>
        <w:t>10% benchmark set by the Productivity Commission. The 5.0% figure recorded for this year is slightly lower than last year (5.2%).</w:t>
      </w:r>
    </w:p>
    <w:p w14:paraId="3335A314" w14:textId="77777777" w:rsidR="009B5EFC" w:rsidRPr="00A33264" w:rsidRDefault="009B5EFC" w:rsidP="009B5EFC">
      <w:pPr>
        <w:rPr>
          <w:lang w:val="en-GB"/>
        </w:rPr>
        <w:sectPr w:rsidR="009B5EFC" w:rsidRPr="00A33264" w:rsidSect="00933EF1">
          <w:headerReference w:type="default" r:id="rId31"/>
          <w:footerReference w:type="default" r:id="rId32"/>
          <w:headerReference w:type="first" r:id="rId33"/>
          <w:footerReference w:type="first" r:id="rId34"/>
          <w:pgSz w:w="11906" w:h="16838" w:code="9"/>
          <w:pgMar w:top="1361" w:right="1361" w:bottom="1361" w:left="1361" w:header="561" w:footer="374" w:gutter="0"/>
          <w:cols w:space="708"/>
          <w:titlePg/>
          <w:docGrid w:linePitch="360"/>
        </w:sectPr>
      </w:pPr>
    </w:p>
    <w:p w14:paraId="4500B5FD" w14:textId="33C0A2A2" w:rsidR="005921BC" w:rsidRPr="00A33264" w:rsidRDefault="005921BC" w:rsidP="005921BC">
      <w:pPr>
        <w:pStyle w:val="Heading2"/>
        <w:rPr>
          <w:lang w:val="en-GB"/>
        </w:rPr>
      </w:pPr>
      <w:bookmarkStart w:id="98" w:name="_Toc175316892"/>
      <w:bookmarkStart w:id="99" w:name="_Toc176786383"/>
      <w:bookmarkStart w:id="100" w:name="_Toc180505665"/>
      <w:r w:rsidRPr="00A33264">
        <w:rPr>
          <w:lang w:val="en-GB"/>
        </w:rPr>
        <w:lastRenderedPageBreak/>
        <w:t>Financial statements</w:t>
      </w:r>
      <w:bookmarkEnd w:id="64"/>
      <w:bookmarkEnd w:id="65"/>
      <w:bookmarkEnd w:id="66"/>
      <w:bookmarkEnd w:id="98"/>
      <w:bookmarkEnd w:id="99"/>
      <w:bookmarkEnd w:id="100"/>
    </w:p>
    <w:p w14:paraId="583736E0" w14:textId="4B1FD28C" w:rsidR="005921BC" w:rsidRPr="00A33264" w:rsidRDefault="005921BC" w:rsidP="005921BC">
      <w:pPr>
        <w:pStyle w:val="Heading3"/>
        <w:rPr>
          <w:lang w:val="en-GB"/>
        </w:rPr>
      </w:pPr>
      <w:bookmarkStart w:id="101" w:name="_Toc169592964"/>
      <w:bookmarkStart w:id="102" w:name="_Toc174354189"/>
      <w:bookmarkStart w:id="103" w:name="_Toc175316893"/>
      <w:bookmarkStart w:id="104" w:name="_Toc176786384"/>
      <w:bookmarkStart w:id="105" w:name="_Toc180505666"/>
      <w:r w:rsidRPr="00A33264">
        <w:rPr>
          <w:lang w:val="en-GB"/>
        </w:rPr>
        <w:t>Independent audit report</w:t>
      </w:r>
      <w:bookmarkEnd w:id="101"/>
      <w:bookmarkEnd w:id="102"/>
      <w:bookmarkEnd w:id="103"/>
      <w:bookmarkEnd w:id="104"/>
      <w:bookmarkEnd w:id="105"/>
    </w:p>
    <w:p w14:paraId="31F4223A" w14:textId="23B5B770" w:rsidR="005921BC" w:rsidRPr="00A33264" w:rsidRDefault="00EF11F3" w:rsidP="005921BC">
      <w:pPr>
        <w:rPr>
          <w:lang w:val="en-GB"/>
        </w:rPr>
      </w:pPr>
      <w:r>
        <w:rPr>
          <w:noProof/>
        </w:rPr>
        <w:drawing>
          <wp:inline distT="0" distB="0" distL="0" distR="0" wp14:anchorId="7A672171" wp14:editId="11C4E891">
            <wp:extent cx="5347339" cy="7658100"/>
            <wp:effectExtent l="0" t="0" r="5715" b="0"/>
            <wp:docPr id="1181314265" name="Picture 1" descr="Page from Independent Auditor’s report.&#10;Australian Government crest.&#10;Australian National Audit Office logo.&#10;INDEPENDENT AUDITOR’S REPORT.&#10;To the Minister for the National Disability Insurance Scheme.&#10;Opinion.&#10;In my opinion, the financial statements of the National Disability Insurance Agency (the Entity) for the year ended 30 June 2024:&#10;(a) comply with Australian Accounting Standards – Simplified Disclosures and the Public Governance, Performance and Accountability (Financial Reporting) Rule 2015; and&#10;(b) present fairly the financial position of the Entity as at 30 June 2024 and its financial performance and cash flows for the year then ended.&#10;The financial statements of the Entity, which I have audited, comprise the following as at 30 June 2024 and for the year then ended:&#10;Statement by the Chair of the Board, Chief Executive Officer, Chief Financial Officer and Chair of the Audit Committee;&#10;Statement of Comprehensive Income;&#10;Statement of Financial Position;&#10;Statement of Changes in Equity;&#10;Cash Flow Statement; and&#10;Notes to and forming part of the financial statements, comprising a summary of significant accounting policies and other explanatory information.&#10;Basis for opinion.&#10;I conducted my audit in accordance with the Australian National Audit Office Auditing Standards, which incorporate the Australian Auditing Standards. My responsibilities under those standards are further described in the Auditor’s Responsibilities for the Audit of the Financial Statements section of my report. I am independent of the Entity in accordance with the relevant ethical requirements for financial statement audits conducted by the Auditor-General and his delegates. These include the relevant independence requirements of the Accounting Professional and Ethical Standards Board’s APES 110 Code of Ethics for Professional Accountants (including Independence Standards) (the Code) to the extent that they are not in conflict with the Auditor- General Act 1997. I have also fulfilled my other responsibilities in accordance with the Code. I believe that the audit evidence I have obtained is sufficient and appropriate to provide a basis for my opinion.&#10;Key audit matters.&#10;Key audit matters are those matters that, in my professional judgement, were of most significance in my audit of the financial statements of the current period. These matters were addressed in the context of my audit of the financial statements as a whole, and in forming my opinion thereon, and I do not provide a separate opinion on these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14265" name="Picture 1" descr="Page from Independent Auditor’s report.&#10;Australian Government crest.&#10;Australian National Audit Office logo.&#10;INDEPENDENT AUDITOR’S REPORT.&#10;To the Minister for the National Disability Insurance Scheme.&#10;Opinion.&#10;In my opinion, the financial statements of the National Disability Insurance Agency (the Entity) for the year ended 30 June 2024:&#10;(a) comply with Australian Accounting Standards – Simplified Disclosures and the Public Governance, Performance and Accountability (Financial Reporting) Rule 2015; and&#10;(b) present fairly the financial position of the Entity as at 30 June 2024 and its financial performance and cash flows for the year then ended.&#10;The financial statements of the Entity, which I have audited, comprise the following as at 30 June 2024 and for the year then ended:&#10;Statement by the Chair of the Board, Chief Executive Officer, Chief Financial Officer and Chair of the Audit Committee;&#10;Statement of Comprehensive Income;&#10;Statement of Financial Position;&#10;Statement of Changes in Equity;&#10;Cash Flow Statement; and&#10;Notes to and forming part of the financial statements, comprising a summary of significant accounting policies and other explanatory information.&#10;Basis for opinion.&#10;I conducted my audit in accordance with the Australian National Audit Office Auditing Standards, which incorporate the Australian Auditing Standards. My responsibilities under those standards are further described in the Auditor’s Responsibilities for the Audit of the Financial Statements section of my report. I am independent of the Entity in accordance with the relevant ethical requirements for financial statement audits conducted by the Auditor-General and his delegates. These include the relevant independence requirements of the Accounting Professional and Ethical Standards Board’s APES 110 Code of Ethics for Professional Accountants (including Independence Standards) (the Code) to the extent that they are not in conflict with the Auditor- General Act 1997. I have also fulfilled my other responsibilities in accordance with the Code. I believe that the audit evidence I have obtained is sufficient and appropriate to provide a basis for my opinion.&#10;Key audit matters.&#10;Key audit matters are those matters that, in my professional judgement, were of most significance in my audit of the financial statements of the current period. These matters were addressed in the context of my audit of the financial statements as a whole, and in forming my opinion thereon, and I do not provide a separate opinion on these matters."/>
                    <pic:cNvPicPr/>
                  </pic:nvPicPr>
                  <pic:blipFill rotWithShape="1">
                    <a:blip r:embed="rId35"/>
                    <a:srcRect t="666" b="931"/>
                    <a:stretch/>
                  </pic:blipFill>
                  <pic:spPr bwMode="auto">
                    <a:xfrm>
                      <a:off x="0" y="0"/>
                      <a:ext cx="5354599" cy="7668497"/>
                    </a:xfrm>
                    <a:prstGeom prst="rect">
                      <a:avLst/>
                    </a:prstGeom>
                    <a:ln>
                      <a:noFill/>
                    </a:ln>
                    <a:extLst>
                      <a:ext uri="{53640926-AAD7-44D8-BBD7-CCE9431645EC}">
                        <a14:shadowObscured xmlns:a14="http://schemas.microsoft.com/office/drawing/2010/main"/>
                      </a:ext>
                    </a:extLst>
                  </pic:spPr>
                </pic:pic>
              </a:graphicData>
            </a:graphic>
          </wp:inline>
        </w:drawing>
      </w:r>
    </w:p>
    <w:p w14:paraId="0130223A" w14:textId="77777777" w:rsidR="00F702F0" w:rsidRDefault="001D6641">
      <w:pPr>
        <w:spacing w:after="0" w:line="240" w:lineRule="auto"/>
        <w:rPr>
          <w:noProof/>
        </w:rPr>
      </w:pPr>
      <w:bookmarkStart w:id="106" w:name="_Toc169592965"/>
      <w:bookmarkStart w:id="107" w:name="_Toc174354190"/>
      <w:r>
        <w:rPr>
          <w:noProof/>
        </w:rPr>
        <w:lastRenderedPageBreak/>
        <w:drawing>
          <wp:inline distT="0" distB="0" distL="0" distR="0" wp14:anchorId="1A9E4D1B" wp14:editId="4AE31EF4">
            <wp:extent cx="5346000" cy="8097763"/>
            <wp:effectExtent l="0" t="0" r="7620" b="0"/>
            <wp:docPr id="1168166223" name="Picture 1" descr="Independent auditor’s report continued.&#10;Key audit matter.&#10;Accuracy and occurrence of participant plan expenses.&#10;Refer to Note 1.1G Participants’ plan expenses&#10;I focused on participant plan expenses due to the continued growth in participant numbers entering the National Disability Insurance Scheme (the Scheme), the high volume of transactions and the significance of the balance to the financial statements. Decisions as to the appropriate level of support and therefore the associated expenses are complex as the Scheme participants have varying needs.&#10;For the year ended 30 June 2024, participant plan expenses were $41.85 billion.&#10;How the audit addressed the matter.&#10;The audit procedures I undertook to address this included:&#10;Testing the design, implementation and operating effectiveness of key controls related to the assessment of whether a participant meets the Scheme eligibility requirements, participant plan approvals, and claim validation and processing; and&#10;Examining the quality assurance framework implemented by the Entity including a compliance and assurance program over payment accuracy and integrity, scheme access and participant plan approvals.&#10;Key audit matter.&#10;Valuation of participant plan provision.&#10;Refer to Note 2.6 Participant plan provisions.&#10;The Entity recognises a provision to pay disability service providers or participants when a service under a participant plan is delivered but not yet notified to the Entity. As there can be a time lag between the provision of services and lodgement of a claim, the financial statements include an estimate of the expenditure required to settle the obligations at the end of the reporting period.&#10;I focused on this area because, in estimating this provision, the Entity needs to make significant judgements and assumptions about the timing and amount of cashflows due to the complexity of estimating the pattern of support claimed by participants or providers.&#10;For the year ended 30 June 2024, the participant plan provision was $2.07 billion.&#10;How the audit addressed the matter.&#10;The audit procedures I undertook to address this included:&#10;Assessing the competence and capability of the Scheme Actuary in making the estimation;&#10;Evaluating the reasonableness of the judgements and assumptions made on the advice of the Scheme Actuary in the estimation of the provision; and&#10;Assessing the data used in the estimation process for accuracy and completeness.&#10;Key audit matter.&#10;Completeness, occurrence and accuracy of in-kind revenues and expenses.&#10;Refer to Note 1.2D Other gains.&#10;Refer to Note 1.1G Participant plan expenses.&#10;Terms and conditions for determining the cash and in-kind contributions for the funding of the Scheme are set out in the bilateral agreements between each State and Territory and the Commonwealth. In-kind contributions relate to services provided by the States and Territories directly to organisations providing disability services. The contribution is accounted for as revenue received free of charge at the date the services are provided. The use of these services is also recognised as an equivalent expense.&#10;I focused on this area due to the significance to the financial statements and the reliance on data from the States and Territories around the completeness, occurrence and accuracy of agreed services provided to people with a disability.&#10;For the year ended 30 June 2024, in-kind revenue and expenses were $952 million.&#10;How the audit addressed the matter.&#10;The audit procedures I undertook to address this included:&#10;Evaluated the reasonableness of the in-kind revenue and expenses recorded in the financial year in accordance with the data provided by the States and Territories and the bilateral agreements;&#10;Tested the accuracy and completeness of in-kind adjustments made in the quarterly reconciliations for State and Territory contributions; and&#10;Tested the accuracy and completeness of the in-kind reconciliation at yea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66223" name="Picture 1" descr="Independent auditor’s report continued.&#10;Key audit matter.&#10;Accuracy and occurrence of participant plan expenses.&#10;Refer to Note 1.1G Participants’ plan expenses&#10;I focused on participant plan expenses due to the continued growth in participant numbers entering the National Disability Insurance Scheme (the Scheme), the high volume of transactions and the significance of the balance to the financial statements. Decisions as to the appropriate level of support and therefore the associated expenses are complex as the Scheme participants have varying needs.&#10;For the year ended 30 June 2024, participant plan expenses were $41.85 billion.&#10;How the audit addressed the matter.&#10;The audit procedures I undertook to address this included:&#10;Testing the design, implementation and operating effectiveness of key controls related to the assessment of whether a participant meets the Scheme eligibility requirements, participant plan approvals, and claim validation and processing; and&#10;Examining the quality assurance framework implemented by the Entity including a compliance and assurance program over payment accuracy and integrity, scheme access and participant plan approvals.&#10;Key audit matter.&#10;Valuation of participant plan provision.&#10;Refer to Note 2.6 Participant plan provisions.&#10;The Entity recognises a provision to pay disability service providers or participants when a service under a participant plan is delivered but not yet notified to the Entity. As there can be a time lag between the provision of services and lodgement of a claim, the financial statements include an estimate of the expenditure required to settle the obligations at the end of the reporting period.&#10;I focused on this area because, in estimating this provision, the Entity needs to make significant judgements and assumptions about the timing and amount of cashflows due to the complexity of estimating the pattern of support claimed by participants or providers.&#10;For the year ended 30 June 2024, the participant plan provision was $2.07 billion.&#10;How the audit addressed the matter.&#10;The audit procedures I undertook to address this included:&#10;Assessing the competence and capability of the Scheme Actuary in making the estimation;&#10;Evaluating the reasonableness of the judgements and assumptions made on the advice of the Scheme Actuary in the estimation of the provision; and&#10;Assessing the data used in the estimation process for accuracy and completeness.&#10;Key audit matter.&#10;Completeness, occurrence and accuracy of in-kind revenues and expenses.&#10;Refer to Note 1.2D Other gains.&#10;Refer to Note 1.1G Participant plan expenses.&#10;Terms and conditions for determining the cash and in-kind contributions for the funding of the Scheme are set out in the bilateral agreements between each State and Territory and the Commonwealth. In-kind contributions relate to services provided by the States and Territories directly to organisations providing disability services. The contribution is accounted for as revenue received free of charge at the date the services are provided. The use of these services is also recognised as an equivalent expense.&#10;I focused on this area due to the significance to the financial statements and the reliance on data from the States and Territories around the completeness, occurrence and accuracy of agreed services provided to people with a disability.&#10;For the year ended 30 June 2024, in-kind revenue and expenses were $952 million.&#10;How the audit addressed the matter.&#10;The audit procedures I undertook to address this included:&#10;Evaluated the reasonableness of the in-kind revenue and expenses recorded in the financial year in accordance with the data provided by the States and Territories and the bilateral agreements;&#10;Tested the accuracy and completeness of in-kind adjustments made in the quarterly reconciliations for State and Territory contributions; and&#10;Tested the accuracy and completeness of the in-kind reconciliation at year-end."/>
                    <pic:cNvPicPr/>
                  </pic:nvPicPr>
                  <pic:blipFill>
                    <a:blip r:embed="rId36"/>
                    <a:stretch>
                      <a:fillRect/>
                    </a:stretch>
                  </pic:blipFill>
                  <pic:spPr>
                    <a:xfrm>
                      <a:off x="0" y="0"/>
                      <a:ext cx="5346000" cy="8097763"/>
                    </a:xfrm>
                    <a:prstGeom prst="rect">
                      <a:avLst/>
                    </a:prstGeom>
                  </pic:spPr>
                </pic:pic>
              </a:graphicData>
            </a:graphic>
          </wp:inline>
        </w:drawing>
      </w:r>
      <w:r w:rsidR="001D7BD4" w:rsidRPr="001D7BD4">
        <w:rPr>
          <w:noProof/>
        </w:rPr>
        <w:t xml:space="preserve"> </w:t>
      </w:r>
      <w:r w:rsidR="001D7BD4">
        <w:rPr>
          <w:noProof/>
        </w:rPr>
        <w:lastRenderedPageBreak/>
        <w:drawing>
          <wp:inline distT="0" distB="0" distL="0" distR="0" wp14:anchorId="7AB0482F" wp14:editId="58F031AB">
            <wp:extent cx="5346000" cy="7867018"/>
            <wp:effectExtent l="0" t="0" r="7620" b="635"/>
            <wp:docPr id="1021138053" name="Picture 1" descr="Independent auditor’s report continued.&#10;Accountable Authority’s responsibility for the financial statements.&#10;As the Accountable Authority of the Entity, the Board is responsible under the Public Governance, Performance and Accountability Act 2013 (the Act) for the preparation and fair presentation of annual financial statements that comply with Australian Accounting Standards – Simplified Disclosures and the rules made under the Act. The Board is also responsible for such internal control as the Board determines is necessary to enable the preparation of financial statements that are free from material misstatement, whether due to fraud or error.&#10;In preparing the financial statements, the Board is responsible for assessing the ability of the Entity to continue as a going concern, taking into account whether the Entity’s operations will cease as a result of an administrative restructure or for any other reason. The Board is also responsible for disclosing, as applicable, matters related to going concern and using the going concern basis of accounting unless the assessment indicates that it is not appropriate.&#10;Auditor’s responsibilities for the audit of the financial statements.&#10;My objective is to obtain reasonable assurance about whether the financial statements as a whole are free from material misstatement, whether due to fraud or error, and to issue an auditor’s report that includes my opinion. Reasonable assurance is a high level of assurance, but is not a guarantee that an audit conducted in accordance with the Australian National Audit Office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e financial statements.&#10;As part of an audit in accordance with the Australian National Audit Office Auditing Standards, I exercise professional judgement and maintain professional scepticism throughout the audit. I also:&#10;• identify and assess the risks of material misstatement of the financial statements,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10;Obtain an understanding of internal control relevant to the audit in order to design audit procedures that are appropriate in the circumstances, but not for the purpose of expressing an opinion on the effectiveness of the Entity’s internal control;&#10;Evaluate the appropriateness of accounting policies used and the reasonableness of accounting estimates and related disclosures made by the Accountable Authority;&#10;Conclude on the appropriateness of the Accountable Authority’s use of the going concern basis of accounting and, based on the audit evidence obtained, whether a material uncertainty exists related to events or conditions that may cast significant doubt on the Entity’s ability to continue as a going concern. If I conclude that a material uncertainty exists, I am required to draw attention in my auditor’s report to the related disclosures in the financial statements or, if such disclosures are inadequate, to modify my opinion. My conclusions are based on the audit evidence obtained up to the date of my auditor’s report. However, future events or conditions may cause the Entity to cease to continue as a going concern; and&#10;Evaluate the overall presentation, structure and content of the financial statements, including the disclosures, and whether the financial statements represent the underlying transactions and events in a manner that achieves fair present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138053" name="Picture 1" descr="Independent auditor’s report continued.&#10;Accountable Authority’s responsibility for the financial statements.&#10;As the Accountable Authority of the Entity, the Board is responsible under the Public Governance, Performance and Accountability Act 2013 (the Act) for the preparation and fair presentation of annual financial statements that comply with Australian Accounting Standards – Simplified Disclosures and the rules made under the Act. The Board is also responsible for such internal control as the Board determines is necessary to enable the preparation of financial statements that are free from material misstatement, whether due to fraud or error.&#10;In preparing the financial statements, the Board is responsible for assessing the ability of the Entity to continue as a going concern, taking into account whether the Entity’s operations will cease as a result of an administrative restructure or for any other reason. The Board is also responsible for disclosing, as applicable, matters related to going concern and using the going concern basis of accounting unless the assessment indicates that it is not appropriate.&#10;Auditor’s responsibilities for the audit of the financial statements.&#10;My objective is to obtain reasonable assurance about whether the financial statements as a whole are free from material misstatement, whether due to fraud or error, and to issue an auditor’s report that includes my opinion. Reasonable assurance is a high level of assurance, but is not a guarantee that an audit conducted in accordance with the Australian National Audit Office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e financial statements.&#10;As part of an audit in accordance with the Australian National Audit Office Auditing Standards, I exercise professional judgement and maintain professional scepticism throughout the audit. I also:&#10;• identify and assess the risks of material misstatement of the financial statements,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10;Obtain an understanding of internal control relevant to the audit in order to design audit procedures that are appropriate in the circumstances, but not for the purpose of expressing an opinion on the effectiveness of the Entity’s internal control;&#10;Evaluate the appropriateness of accounting policies used and the reasonableness of accounting estimates and related disclosures made by the Accountable Authority;&#10;Conclude on the appropriateness of the Accountable Authority’s use of the going concern basis of accounting and, based on the audit evidence obtained, whether a material uncertainty exists related to events or conditions that may cast significant doubt on the Entity’s ability to continue as a going concern. If I conclude that a material uncertainty exists, I am required to draw attention in my auditor’s report to the related disclosures in the financial statements or, if such disclosures are inadequate, to modify my opinion. My conclusions are based on the audit evidence obtained up to the date of my auditor’s report. However, future events or conditions may cause the Entity to cease to continue as a going concern; and&#10;Evaluate the overall presentation, structure and content of the financial statements, including the disclosures, and whether the financial statements represent the underlying transactions and events in a manner that achieves fair presentation.&#10;"/>
                    <pic:cNvPicPr/>
                  </pic:nvPicPr>
                  <pic:blipFill>
                    <a:blip r:embed="rId37"/>
                    <a:stretch>
                      <a:fillRect/>
                    </a:stretch>
                  </pic:blipFill>
                  <pic:spPr>
                    <a:xfrm>
                      <a:off x="0" y="0"/>
                      <a:ext cx="5346000" cy="7867018"/>
                    </a:xfrm>
                    <a:prstGeom prst="rect">
                      <a:avLst/>
                    </a:prstGeom>
                  </pic:spPr>
                </pic:pic>
              </a:graphicData>
            </a:graphic>
          </wp:inline>
        </w:drawing>
      </w:r>
      <w:r w:rsidR="009A686B" w:rsidRPr="009A686B">
        <w:rPr>
          <w:noProof/>
        </w:rPr>
        <w:t xml:space="preserve"> </w:t>
      </w:r>
      <w:r w:rsidR="009A686B">
        <w:rPr>
          <w:noProof/>
        </w:rPr>
        <w:lastRenderedPageBreak/>
        <w:drawing>
          <wp:inline distT="0" distB="0" distL="0" distR="0" wp14:anchorId="4E843AAB" wp14:editId="2B8D8542">
            <wp:extent cx="5346000" cy="3654783"/>
            <wp:effectExtent l="0" t="0" r="7620" b="3175"/>
            <wp:docPr id="1732282099" name="Picture 1" descr="Independent audi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82099" name="Picture 1" descr="Independent audit report"/>
                    <pic:cNvPicPr/>
                  </pic:nvPicPr>
                  <pic:blipFill>
                    <a:blip r:embed="rId38"/>
                    <a:stretch>
                      <a:fillRect/>
                    </a:stretch>
                  </pic:blipFill>
                  <pic:spPr>
                    <a:xfrm>
                      <a:off x="0" y="0"/>
                      <a:ext cx="5346000" cy="3654783"/>
                    </a:xfrm>
                    <a:prstGeom prst="rect">
                      <a:avLst/>
                    </a:prstGeom>
                  </pic:spPr>
                </pic:pic>
              </a:graphicData>
            </a:graphic>
          </wp:inline>
        </w:drawing>
      </w:r>
    </w:p>
    <w:p w14:paraId="59917EF2" w14:textId="77777777" w:rsidR="00513AA1" w:rsidRDefault="00513AA1">
      <w:pPr>
        <w:spacing w:after="0" w:line="240" w:lineRule="auto"/>
        <w:rPr>
          <w:lang w:val="en-GB"/>
        </w:rPr>
        <w:sectPr w:rsidR="00513AA1" w:rsidSect="00AF700A">
          <w:headerReference w:type="even" r:id="rId39"/>
          <w:headerReference w:type="first" r:id="rId40"/>
          <w:pgSz w:w="11906" w:h="16838" w:code="9"/>
          <w:pgMar w:top="1361" w:right="1361" w:bottom="1361" w:left="1361" w:header="561" w:footer="374" w:gutter="0"/>
          <w:cols w:space="708"/>
          <w:docGrid w:linePitch="360"/>
        </w:sectPr>
      </w:pPr>
    </w:p>
    <w:p w14:paraId="22B918AB" w14:textId="182AB040" w:rsidR="005921BC" w:rsidRPr="00A33264" w:rsidRDefault="005921BC" w:rsidP="005921BC">
      <w:pPr>
        <w:pStyle w:val="Heading3"/>
        <w:rPr>
          <w:lang w:val="en-GB"/>
        </w:rPr>
      </w:pPr>
      <w:bookmarkStart w:id="108" w:name="_Toc175316894"/>
      <w:bookmarkStart w:id="109" w:name="_Toc176786385"/>
      <w:bookmarkStart w:id="110" w:name="_Toc180505667"/>
      <w:r w:rsidRPr="00A33264">
        <w:rPr>
          <w:lang w:val="en-GB"/>
        </w:rPr>
        <w:lastRenderedPageBreak/>
        <w:t>Financial statements</w:t>
      </w:r>
      <w:bookmarkEnd w:id="106"/>
      <w:bookmarkEnd w:id="107"/>
      <w:bookmarkEnd w:id="108"/>
      <w:bookmarkEnd w:id="109"/>
      <w:bookmarkEnd w:id="110"/>
    </w:p>
    <w:p w14:paraId="11471808" w14:textId="77777777" w:rsidR="00B040FE" w:rsidRPr="00AF700A" w:rsidRDefault="00B040FE" w:rsidP="00B040FE">
      <w:pPr>
        <w:autoSpaceDE w:val="0"/>
        <w:autoSpaceDN w:val="0"/>
        <w:adjustRightInd w:val="0"/>
        <w:spacing w:line="240" w:lineRule="auto"/>
        <w:rPr>
          <w:rFonts w:cs="Arial"/>
          <w:lang w:eastAsia="en-AU"/>
        </w:rPr>
      </w:pPr>
      <w:r w:rsidRPr="00AF700A">
        <w:rPr>
          <w:rFonts w:cs="Arial"/>
          <w:lang w:eastAsia="en-AU"/>
        </w:rPr>
        <w:t xml:space="preserve">In our opinion, the attached financial statements for the year ended 30 June </w:t>
      </w:r>
      <w:r w:rsidRPr="00AF700A">
        <w:rPr>
          <w:rFonts w:cs="Arial"/>
          <w:lang w:eastAsia="en-AU"/>
        </w:rPr>
        <w:fldChar w:fldCharType="begin"/>
      </w:r>
      <w:r w:rsidRPr="00AF700A">
        <w:rPr>
          <w:rFonts w:cs="Arial"/>
          <w:lang w:eastAsia="en-AU"/>
        </w:rPr>
        <w:instrText xml:space="preserve"> DOCPROPERTY  crYear  \* MERGEFORMAT </w:instrText>
      </w:r>
      <w:r w:rsidRPr="00AF700A">
        <w:rPr>
          <w:rFonts w:cs="Arial"/>
          <w:lang w:eastAsia="en-AU"/>
        </w:rPr>
        <w:fldChar w:fldCharType="separate"/>
      </w:r>
      <w:r w:rsidRPr="00AF700A">
        <w:rPr>
          <w:rFonts w:cs="Arial"/>
          <w:lang w:eastAsia="en-AU"/>
        </w:rPr>
        <w:t>2024</w:t>
      </w:r>
      <w:r w:rsidRPr="00AF700A">
        <w:rPr>
          <w:rFonts w:cs="Arial"/>
          <w:lang w:eastAsia="en-AU"/>
        </w:rPr>
        <w:fldChar w:fldCharType="end"/>
      </w:r>
      <w:r w:rsidRPr="00AF700A">
        <w:rPr>
          <w:rFonts w:cs="Arial"/>
          <w:lang w:eastAsia="en-AU"/>
        </w:rPr>
        <w:t xml:space="preserve"> comply with subsection 42(2) of the </w:t>
      </w:r>
      <w:r w:rsidRPr="00AF700A">
        <w:rPr>
          <w:rFonts w:cs="Arial"/>
          <w:i/>
          <w:iCs/>
          <w:lang w:eastAsia="en-AU"/>
        </w:rPr>
        <w:t xml:space="preserve">Public Governance, Performance and Accountability Act 2013 </w:t>
      </w:r>
      <w:r w:rsidRPr="00AF700A">
        <w:rPr>
          <w:rFonts w:cs="Arial"/>
          <w:lang w:eastAsia="en-AU"/>
        </w:rPr>
        <w:t>(PGPA Act), and are based on properly maintained financial records as per subsection 41(2) of the PGPA Act.</w:t>
      </w:r>
    </w:p>
    <w:p w14:paraId="665BD9AA" w14:textId="62BDEE48" w:rsidR="00B040FE" w:rsidRPr="00AF700A" w:rsidRDefault="00B040FE" w:rsidP="0047225D">
      <w:pPr>
        <w:autoSpaceDE w:val="0"/>
        <w:autoSpaceDN w:val="0"/>
        <w:adjustRightInd w:val="0"/>
        <w:spacing w:line="240" w:lineRule="auto"/>
        <w:rPr>
          <w:rFonts w:cs="Arial"/>
          <w:lang w:eastAsia="en-AU"/>
        </w:rPr>
      </w:pPr>
      <w:r w:rsidRPr="00AF700A">
        <w:rPr>
          <w:rFonts w:cs="Arial"/>
          <w:lang w:eastAsia="en-AU"/>
        </w:rPr>
        <w:t>In our opinion, at the date of this statement, there are reasonable grounds to believe that the National Disability Insurance Agency will be able to pay its debts as and when they fall due.</w:t>
      </w:r>
    </w:p>
    <w:p w14:paraId="7015C8BA" w14:textId="037CDD1F" w:rsidR="00B040FE" w:rsidRPr="00AF700A" w:rsidRDefault="00B040FE" w:rsidP="00B040FE">
      <w:pPr>
        <w:spacing w:line="240" w:lineRule="auto"/>
        <w:rPr>
          <w:lang w:eastAsia="en-AU"/>
        </w:rPr>
      </w:pPr>
      <w:r w:rsidRPr="00AF700A">
        <w:rPr>
          <w:rFonts w:cs="Arial"/>
          <w:lang w:eastAsia="en-AU"/>
        </w:rPr>
        <w:t>This statement is made in accordance with a resolution of the directors.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4"/>
        <w:gridCol w:w="4660"/>
      </w:tblGrid>
      <w:tr w:rsidR="00B040FE" w:rsidRPr="00AF700A" w14:paraId="40E39DAC" w14:textId="77777777" w:rsidTr="00247078">
        <w:tc>
          <w:tcPr>
            <w:tcW w:w="4814" w:type="dxa"/>
            <w:tcMar>
              <w:top w:w="28" w:type="dxa"/>
              <w:left w:w="28" w:type="dxa"/>
              <w:bottom w:w="28" w:type="dxa"/>
              <w:right w:w="28" w:type="dxa"/>
            </w:tcMar>
          </w:tcPr>
          <w:p w14:paraId="039B7E8B" w14:textId="77777777" w:rsidR="009E654B" w:rsidRPr="00AF700A" w:rsidRDefault="00B040FE" w:rsidP="0047225D">
            <w:pPr>
              <w:spacing w:after="0" w:line="240" w:lineRule="auto"/>
              <w:rPr>
                <w:rFonts w:cs="Arial"/>
                <w:noProof/>
                <w:lang w:eastAsia="en-AU"/>
              </w:rPr>
            </w:pPr>
            <w:r w:rsidRPr="00AF700A">
              <w:rPr>
                <w:rFonts w:cs="Arial"/>
                <w:noProof/>
                <w:lang w:eastAsia="en-AU"/>
              </w:rPr>
              <w:drawing>
                <wp:inline distT="0" distB="0" distL="0" distR="0" wp14:anchorId="03033C34" wp14:editId="4773A6EC">
                  <wp:extent cx="863193" cy="864592"/>
                  <wp:effectExtent l="0" t="0" r="0" b="0"/>
                  <wp:docPr id="1823896982" name="Picture 5" descr="Kurt Fearnle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896982" name="Picture 5" descr="Kurt Fearnley signatur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3345" r="19070"/>
                          <a:stretch/>
                        </pic:blipFill>
                        <pic:spPr bwMode="auto">
                          <a:xfrm>
                            <a:off x="0" y="0"/>
                            <a:ext cx="886062" cy="887498"/>
                          </a:xfrm>
                          <a:prstGeom prst="rect">
                            <a:avLst/>
                          </a:prstGeom>
                          <a:noFill/>
                          <a:ln>
                            <a:noFill/>
                          </a:ln>
                          <a:extLst>
                            <a:ext uri="{53640926-AAD7-44D8-BBD7-CCE9431645EC}">
                              <a14:shadowObscured xmlns:a14="http://schemas.microsoft.com/office/drawing/2010/main"/>
                            </a:ext>
                          </a:extLst>
                        </pic:spPr>
                      </pic:pic>
                    </a:graphicData>
                  </a:graphic>
                </wp:inline>
              </w:drawing>
            </w:r>
          </w:p>
          <w:p w14:paraId="0A1C418B" w14:textId="7C0915EF" w:rsidR="00B040FE" w:rsidRPr="00AF700A" w:rsidRDefault="00B040FE" w:rsidP="0047225D">
            <w:pPr>
              <w:spacing w:after="0" w:line="240" w:lineRule="auto"/>
              <w:rPr>
                <w:rFonts w:cs="Arial"/>
                <w:noProof/>
                <w:lang w:eastAsia="en-AU"/>
              </w:rPr>
            </w:pPr>
            <w:r w:rsidRPr="00AF700A">
              <w:rPr>
                <w:rFonts w:cs="Arial"/>
                <w:noProof/>
                <w:lang w:eastAsia="en-AU"/>
              </w:rPr>
              <w:t>Signed ……………………….</w:t>
            </w:r>
          </w:p>
          <w:p w14:paraId="790B2D36" w14:textId="77777777" w:rsidR="00B040FE" w:rsidRPr="00AF700A" w:rsidRDefault="00B040FE" w:rsidP="0047225D">
            <w:pPr>
              <w:spacing w:after="0" w:line="240" w:lineRule="auto"/>
              <w:rPr>
                <w:rFonts w:cs="Arial"/>
                <w:noProof/>
                <w:lang w:eastAsia="en-AU"/>
              </w:rPr>
            </w:pPr>
            <w:r w:rsidRPr="00AF700A">
              <w:rPr>
                <w:rFonts w:cs="Arial"/>
                <w:noProof/>
                <w:lang w:eastAsia="en-AU"/>
              </w:rPr>
              <w:t>Kurt Fearnley AO</w:t>
            </w:r>
          </w:p>
          <w:p w14:paraId="3CD267E7" w14:textId="77777777" w:rsidR="00B040FE" w:rsidRPr="00AF700A" w:rsidRDefault="00B040FE" w:rsidP="0047225D">
            <w:pPr>
              <w:spacing w:after="0" w:line="240" w:lineRule="auto"/>
              <w:rPr>
                <w:rFonts w:cs="Arial"/>
                <w:noProof/>
                <w:lang w:eastAsia="en-AU"/>
              </w:rPr>
            </w:pPr>
            <w:r w:rsidRPr="00AF700A">
              <w:rPr>
                <w:rFonts w:cs="Arial"/>
                <w:noProof/>
                <w:lang w:eastAsia="en-AU"/>
              </w:rPr>
              <w:t>Chair of the Board</w:t>
            </w:r>
          </w:p>
          <w:p w14:paraId="6EE8E959" w14:textId="77777777" w:rsidR="00B040FE" w:rsidRPr="00AF700A" w:rsidRDefault="00B040FE" w:rsidP="0047225D">
            <w:pPr>
              <w:spacing w:after="0" w:line="240" w:lineRule="auto"/>
              <w:rPr>
                <w:rFonts w:cs="Arial"/>
                <w:noProof/>
                <w:highlight w:val="yellow"/>
                <w:lang w:eastAsia="en-AU"/>
              </w:rPr>
            </w:pPr>
            <w:r w:rsidRPr="00AF700A">
              <w:rPr>
                <w:rFonts w:cs="Arial"/>
                <w:noProof/>
                <w:lang w:eastAsia="en-AU"/>
              </w:rPr>
              <w:t xml:space="preserve">04 October </w:t>
            </w:r>
            <w:r w:rsidRPr="00AF700A">
              <w:rPr>
                <w:rFonts w:cs="Arial"/>
                <w:noProof/>
                <w:lang w:eastAsia="en-AU"/>
              </w:rPr>
              <w:fldChar w:fldCharType="begin"/>
            </w:r>
            <w:r w:rsidRPr="00AF700A">
              <w:rPr>
                <w:rFonts w:cs="Arial"/>
                <w:noProof/>
                <w:lang w:eastAsia="en-AU"/>
              </w:rPr>
              <w:instrText xml:space="preserve"> DOCPROPERTY  crYear  \* MERGEFORMAT </w:instrText>
            </w:r>
            <w:r w:rsidRPr="00AF700A">
              <w:rPr>
                <w:rFonts w:cs="Arial"/>
                <w:noProof/>
                <w:lang w:eastAsia="en-AU"/>
              </w:rPr>
              <w:fldChar w:fldCharType="separate"/>
            </w:r>
            <w:r w:rsidRPr="00AF700A">
              <w:rPr>
                <w:rFonts w:cs="Arial"/>
                <w:noProof/>
                <w:lang w:eastAsia="en-AU"/>
              </w:rPr>
              <w:t>2024</w:t>
            </w:r>
            <w:r w:rsidRPr="00AF700A">
              <w:rPr>
                <w:rFonts w:cs="Arial"/>
                <w:noProof/>
                <w:lang w:eastAsia="en-AU"/>
              </w:rPr>
              <w:fldChar w:fldCharType="end"/>
            </w:r>
          </w:p>
        </w:tc>
        <w:tc>
          <w:tcPr>
            <w:tcW w:w="4814" w:type="dxa"/>
            <w:tcMar>
              <w:top w:w="28" w:type="dxa"/>
              <w:left w:w="28" w:type="dxa"/>
              <w:bottom w:w="28" w:type="dxa"/>
              <w:right w:w="28" w:type="dxa"/>
            </w:tcMar>
          </w:tcPr>
          <w:p w14:paraId="0E0C3BC0" w14:textId="0E390342" w:rsidR="00B040FE" w:rsidRPr="00AF700A" w:rsidRDefault="00755767" w:rsidP="0047225D">
            <w:pPr>
              <w:spacing w:after="0" w:line="240" w:lineRule="auto"/>
              <w:rPr>
                <w:rFonts w:cs="Arial"/>
                <w:noProof/>
                <w:lang w:eastAsia="en-AU"/>
              </w:rPr>
            </w:pPr>
            <w:r w:rsidRPr="00AF700A">
              <w:rPr>
                <w:noProof/>
                <w:lang w:eastAsia="en-AU"/>
              </w:rPr>
              <w:drawing>
                <wp:inline distT="0" distB="0" distL="0" distR="0" wp14:anchorId="01646656" wp14:editId="0B20C505">
                  <wp:extent cx="2592000" cy="864000"/>
                  <wp:effectExtent l="0" t="0" r="0" b="0"/>
                  <wp:docPr id="612151822" name="Picture 1" descr="Rebecca Falkingham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151822" name="Picture 1" descr="Rebecca Falkingham signature"/>
                          <pic:cNvPicPr/>
                        </pic:nvPicPr>
                        <pic:blipFill>
                          <a:blip r:embed="rId42">
                            <a:extLst>
                              <a:ext uri="{28A0092B-C50C-407E-A947-70E740481C1C}">
                                <a14:useLocalDpi xmlns:a14="http://schemas.microsoft.com/office/drawing/2010/main" val="0"/>
                              </a:ext>
                            </a:extLst>
                          </a:blip>
                          <a:stretch>
                            <a:fillRect/>
                          </a:stretch>
                        </pic:blipFill>
                        <pic:spPr>
                          <a:xfrm>
                            <a:off x="0" y="0"/>
                            <a:ext cx="2592000" cy="864000"/>
                          </a:xfrm>
                          <a:prstGeom prst="rect">
                            <a:avLst/>
                          </a:prstGeom>
                        </pic:spPr>
                      </pic:pic>
                    </a:graphicData>
                  </a:graphic>
                </wp:inline>
              </w:drawing>
            </w:r>
            <w:r w:rsidR="00B040FE" w:rsidRPr="00AF700A">
              <w:rPr>
                <w:rFonts w:cs="Arial"/>
                <w:noProof/>
                <w:lang w:eastAsia="en-AU"/>
              </w:rPr>
              <w:t>Signed ……………………….</w:t>
            </w:r>
          </w:p>
          <w:p w14:paraId="065CF172" w14:textId="77777777" w:rsidR="00B040FE" w:rsidRPr="00AF700A" w:rsidRDefault="00B040FE" w:rsidP="0047225D">
            <w:pPr>
              <w:spacing w:after="0" w:line="240" w:lineRule="auto"/>
              <w:rPr>
                <w:rFonts w:cs="Arial"/>
                <w:noProof/>
                <w:lang w:eastAsia="en-AU"/>
              </w:rPr>
            </w:pPr>
            <w:r w:rsidRPr="00AF700A">
              <w:rPr>
                <w:rFonts w:cs="Arial"/>
                <w:noProof/>
                <w:lang w:eastAsia="en-AU"/>
              </w:rPr>
              <w:t>Rebecca Falkingham PSM</w:t>
            </w:r>
          </w:p>
          <w:p w14:paraId="36A75AD6" w14:textId="77777777" w:rsidR="00B040FE" w:rsidRPr="00AF700A" w:rsidRDefault="00B040FE" w:rsidP="0047225D">
            <w:pPr>
              <w:spacing w:after="0" w:line="240" w:lineRule="auto"/>
              <w:rPr>
                <w:rFonts w:cs="Arial"/>
                <w:noProof/>
                <w:lang w:eastAsia="en-AU"/>
              </w:rPr>
            </w:pPr>
            <w:r w:rsidRPr="00AF700A">
              <w:rPr>
                <w:rFonts w:cs="Arial"/>
                <w:noProof/>
                <w:lang w:eastAsia="en-AU"/>
              </w:rPr>
              <w:t>Chief Executive Officer</w:t>
            </w:r>
          </w:p>
          <w:p w14:paraId="4D5494F7" w14:textId="77777777" w:rsidR="00B040FE" w:rsidRPr="00AF700A" w:rsidRDefault="00B040FE" w:rsidP="0047225D">
            <w:pPr>
              <w:spacing w:after="0" w:line="240" w:lineRule="auto"/>
              <w:rPr>
                <w:rFonts w:cs="Arial"/>
                <w:noProof/>
                <w:highlight w:val="yellow"/>
                <w:lang w:eastAsia="en-AU"/>
              </w:rPr>
            </w:pPr>
            <w:r w:rsidRPr="00AF700A">
              <w:rPr>
                <w:rFonts w:cs="Arial"/>
                <w:noProof/>
                <w:lang w:eastAsia="en-AU"/>
              </w:rPr>
              <w:t xml:space="preserve">04 October </w:t>
            </w:r>
            <w:r w:rsidRPr="00AF700A">
              <w:rPr>
                <w:rFonts w:cs="Arial"/>
                <w:noProof/>
                <w:lang w:eastAsia="en-AU"/>
              </w:rPr>
              <w:fldChar w:fldCharType="begin"/>
            </w:r>
            <w:r w:rsidRPr="00AF700A">
              <w:rPr>
                <w:rFonts w:cs="Arial"/>
                <w:noProof/>
                <w:lang w:eastAsia="en-AU"/>
              </w:rPr>
              <w:instrText xml:space="preserve"> DOCPROPERTY  crYear  \* MERGEFORMAT </w:instrText>
            </w:r>
            <w:r w:rsidRPr="00AF700A">
              <w:rPr>
                <w:rFonts w:cs="Arial"/>
                <w:noProof/>
                <w:lang w:eastAsia="en-AU"/>
              </w:rPr>
              <w:fldChar w:fldCharType="separate"/>
            </w:r>
            <w:r w:rsidRPr="00AF700A">
              <w:rPr>
                <w:rFonts w:cs="Arial"/>
                <w:noProof/>
                <w:lang w:eastAsia="en-AU"/>
              </w:rPr>
              <w:t>2024</w:t>
            </w:r>
            <w:r w:rsidRPr="00AF700A">
              <w:rPr>
                <w:rFonts w:cs="Arial"/>
                <w:noProof/>
                <w:lang w:eastAsia="en-AU"/>
              </w:rPr>
              <w:fldChar w:fldCharType="end"/>
            </w:r>
          </w:p>
        </w:tc>
      </w:tr>
      <w:tr w:rsidR="00B040FE" w:rsidRPr="00AF700A" w14:paraId="16D91CD6" w14:textId="77777777" w:rsidTr="00247078">
        <w:tc>
          <w:tcPr>
            <w:tcW w:w="4814" w:type="dxa"/>
            <w:tcMar>
              <w:top w:w="28" w:type="dxa"/>
              <w:left w:w="28" w:type="dxa"/>
              <w:bottom w:w="28" w:type="dxa"/>
              <w:right w:w="28" w:type="dxa"/>
            </w:tcMar>
          </w:tcPr>
          <w:p w14:paraId="5DEA4AC0" w14:textId="77777777" w:rsidR="00B040FE" w:rsidRPr="00AF700A" w:rsidRDefault="00B040FE" w:rsidP="005E5E0C">
            <w:pPr>
              <w:spacing w:line="240" w:lineRule="auto"/>
              <w:rPr>
                <w:rFonts w:cs="Arial"/>
                <w:noProof/>
                <w:highlight w:val="yellow"/>
                <w:lang w:eastAsia="en-AU"/>
              </w:rPr>
            </w:pPr>
          </w:p>
        </w:tc>
        <w:tc>
          <w:tcPr>
            <w:tcW w:w="4814" w:type="dxa"/>
            <w:tcMar>
              <w:top w:w="28" w:type="dxa"/>
              <w:left w:w="28" w:type="dxa"/>
              <w:bottom w:w="28" w:type="dxa"/>
              <w:right w:w="28" w:type="dxa"/>
            </w:tcMar>
          </w:tcPr>
          <w:p w14:paraId="00429EF7" w14:textId="77777777" w:rsidR="00B040FE" w:rsidRPr="00AF700A" w:rsidRDefault="00B040FE" w:rsidP="005E5E0C">
            <w:pPr>
              <w:spacing w:line="240" w:lineRule="auto"/>
              <w:rPr>
                <w:rFonts w:cs="Arial"/>
                <w:noProof/>
                <w:highlight w:val="yellow"/>
                <w:lang w:eastAsia="en-AU"/>
              </w:rPr>
            </w:pPr>
          </w:p>
        </w:tc>
      </w:tr>
      <w:tr w:rsidR="00B040FE" w:rsidRPr="00AF700A" w14:paraId="538FCDA0" w14:textId="77777777" w:rsidTr="00247078">
        <w:tc>
          <w:tcPr>
            <w:tcW w:w="4814" w:type="dxa"/>
            <w:tcMar>
              <w:top w:w="28" w:type="dxa"/>
              <w:left w:w="28" w:type="dxa"/>
              <w:bottom w:w="28" w:type="dxa"/>
              <w:right w:w="28" w:type="dxa"/>
            </w:tcMar>
          </w:tcPr>
          <w:p w14:paraId="3D079967" w14:textId="26C930E0" w:rsidR="00B040FE" w:rsidRPr="00AF700A" w:rsidRDefault="00B040FE" w:rsidP="00A92E39">
            <w:pPr>
              <w:spacing w:line="240" w:lineRule="auto"/>
              <w:rPr>
                <w:rFonts w:cs="Arial"/>
                <w:noProof/>
                <w:highlight w:val="yellow"/>
                <w:lang w:eastAsia="en-AU"/>
              </w:rPr>
            </w:pPr>
            <w:r w:rsidRPr="00AF700A">
              <w:rPr>
                <w:rFonts w:cs="Arial"/>
                <w:noProof/>
                <w:lang w:eastAsia="en-AU"/>
              </w:rPr>
              <w:drawing>
                <wp:inline distT="0" distB="0" distL="0" distR="0" wp14:anchorId="0F0E0D36" wp14:editId="41466D9E">
                  <wp:extent cx="2209800" cy="695325"/>
                  <wp:effectExtent l="0" t="0" r="0" b="9525"/>
                  <wp:docPr id="2142608846" name="Picture 1" descr="Chris Breitkreuz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608846" name="Picture 1" descr="Chris Breitkreuz signature"/>
                          <pic:cNvPicPr/>
                        </pic:nvPicPr>
                        <pic:blipFill>
                          <a:blip r:embed="rId43">
                            <a:extLst>
                              <a:ext uri="{28A0092B-C50C-407E-A947-70E740481C1C}">
                                <a14:useLocalDpi xmlns:a14="http://schemas.microsoft.com/office/drawing/2010/main" val="0"/>
                              </a:ext>
                            </a:extLst>
                          </a:blip>
                          <a:stretch>
                            <a:fillRect/>
                          </a:stretch>
                        </pic:blipFill>
                        <pic:spPr>
                          <a:xfrm>
                            <a:off x="0" y="0"/>
                            <a:ext cx="2209800" cy="695325"/>
                          </a:xfrm>
                          <a:prstGeom prst="rect">
                            <a:avLst/>
                          </a:prstGeom>
                        </pic:spPr>
                      </pic:pic>
                    </a:graphicData>
                  </a:graphic>
                </wp:inline>
              </w:drawing>
            </w:r>
          </w:p>
        </w:tc>
        <w:tc>
          <w:tcPr>
            <w:tcW w:w="4814" w:type="dxa"/>
            <w:tcMar>
              <w:top w:w="28" w:type="dxa"/>
              <w:left w:w="28" w:type="dxa"/>
              <w:bottom w:w="28" w:type="dxa"/>
              <w:right w:w="28" w:type="dxa"/>
            </w:tcMar>
          </w:tcPr>
          <w:p w14:paraId="6794D3D7" w14:textId="77777777" w:rsidR="00B040FE" w:rsidRPr="00AF700A" w:rsidRDefault="00B040FE" w:rsidP="005E5E0C">
            <w:pPr>
              <w:spacing w:line="240" w:lineRule="auto"/>
              <w:rPr>
                <w:rFonts w:cs="Arial"/>
                <w:noProof/>
                <w:highlight w:val="yellow"/>
                <w:lang w:eastAsia="en-AU"/>
              </w:rPr>
            </w:pPr>
            <w:r w:rsidRPr="00AF700A">
              <w:rPr>
                <w:noProof/>
              </w:rPr>
              <w:drawing>
                <wp:inline distT="0" distB="0" distL="0" distR="0" wp14:anchorId="6F1D20E9" wp14:editId="0B091B5B">
                  <wp:extent cx="1881909" cy="381000"/>
                  <wp:effectExtent l="0" t="0" r="4445" b="0"/>
                  <wp:docPr id="230582500" name="Picture 3" descr="Graeme Innes sing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582500" name="Picture 3" descr="Graeme Innes singature"/>
                          <pic:cNvPicPr>
                            <a:picLocks noChangeAspect="1" noChangeArrowheads="1"/>
                          </pic:cNvPicPr>
                        </pic:nvPicPr>
                        <pic:blipFill rotWithShape="1">
                          <a:blip r:embed="rId44">
                            <a:extLst>
                              <a:ext uri="{28A0092B-C50C-407E-A947-70E740481C1C}">
                                <a14:useLocalDpi xmlns:a14="http://schemas.microsoft.com/office/drawing/2010/main" val="0"/>
                              </a:ext>
                            </a:extLst>
                          </a:blip>
                          <a:srcRect t="39570" b="40185"/>
                          <a:stretch/>
                        </pic:blipFill>
                        <pic:spPr bwMode="auto">
                          <a:xfrm>
                            <a:off x="0" y="0"/>
                            <a:ext cx="1899239" cy="3845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040FE" w:rsidRPr="00AF700A" w14:paraId="72402FF1" w14:textId="77777777" w:rsidTr="00247078">
        <w:tc>
          <w:tcPr>
            <w:tcW w:w="4814" w:type="dxa"/>
            <w:tcMar>
              <w:top w:w="28" w:type="dxa"/>
              <w:left w:w="28" w:type="dxa"/>
              <w:bottom w:w="28" w:type="dxa"/>
              <w:right w:w="28" w:type="dxa"/>
            </w:tcMar>
          </w:tcPr>
          <w:p w14:paraId="4ED049E4" w14:textId="77777777" w:rsidR="00B040FE" w:rsidRPr="00AF700A" w:rsidRDefault="00B040FE" w:rsidP="0047225D">
            <w:pPr>
              <w:spacing w:after="0" w:line="240" w:lineRule="auto"/>
              <w:rPr>
                <w:rFonts w:cs="Arial"/>
                <w:noProof/>
                <w:lang w:eastAsia="en-AU"/>
              </w:rPr>
            </w:pPr>
            <w:r w:rsidRPr="00AF700A">
              <w:rPr>
                <w:rFonts w:cs="Arial"/>
                <w:noProof/>
                <w:lang w:eastAsia="en-AU"/>
              </w:rPr>
              <w:t>Signed ……………………….</w:t>
            </w:r>
          </w:p>
          <w:p w14:paraId="27AF96B5" w14:textId="77777777" w:rsidR="00B040FE" w:rsidRPr="00AF700A" w:rsidRDefault="00B040FE" w:rsidP="0047225D">
            <w:pPr>
              <w:spacing w:after="0" w:line="240" w:lineRule="auto"/>
              <w:rPr>
                <w:rFonts w:cs="Arial"/>
                <w:noProof/>
                <w:lang w:eastAsia="en-AU"/>
              </w:rPr>
            </w:pPr>
            <w:r w:rsidRPr="00AF700A">
              <w:rPr>
                <w:rFonts w:cs="Arial"/>
                <w:noProof/>
                <w:lang w:eastAsia="en-AU"/>
              </w:rPr>
              <w:t>Chris Breitkreuz</w:t>
            </w:r>
          </w:p>
          <w:p w14:paraId="1635604B" w14:textId="77777777" w:rsidR="00B040FE" w:rsidRPr="00AF700A" w:rsidRDefault="00B040FE" w:rsidP="0047225D">
            <w:pPr>
              <w:spacing w:after="0" w:line="240" w:lineRule="auto"/>
              <w:rPr>
                <w:rFonts w:cs="Arial"/>
                <w:noProof/>
                <w:lang w:eastAsia="en-AU"/>
              </w:rPr>
            </w:pPr>
            <w:r w:rsidRPr="00AF700A">
              <w:rPr>
                <w:rFonts w:cs="Arial"/>
                <w:noProof/>
                <w:lang w:eastAsia="en-AU"/>
              </w:rPr>
              <w:t>Chief Financial Officer</w:t>
            </w:r>
          </w:p>
          <w:p w14:paraId="18BBDC1D" w14:textId="77777777" w:rsidR="00B040FE" w:rsidRPr="00AF700A" w:rsidRDefault="00B040FE" w:rsidP="0047225D">
            <w:pPr>
              <w:spacing w:after="0" w:line="240" w:lineRule="auto"/>
              <w:rPr>
                <w:rFonts w:cs="Arial"/>
                <w:noProof/>
                <w:lang w:eastAsia="en-AU"/>
              </w:rPr>
            </w:pPr>
            <w:r w:rsidRPr="00AF700A">
              <w:rPr>
                <w:rFonts w:cs="Arial"/>
                <w:noProof/>
                <w:lang w:eastAsia="en-AU"/>
              </w:rPr>
              <w:t xml:space="preserve">04 October </w:t>
            </w:r>
            <w:r w:rsidRPr="00AF700A">
              <w:rPr>
                <w:rFonts w:cs="Arial"/>
                <w:noProof/>
                <w:lang w:eastAsia="en-AU"/>
              </w:rPr>
              <w:fldChar w:fldCharType="begin"/>
            </w:r>
            <w:r w:rsidRPr="00AF700A">
              <w:rPr>
                <w:rFonts w:cs="Arial"/>
                <w:noProof/>
                <w:lang w:eastAsia="en-AU"/>
              </w:rPr>
              <w:instrText xml:space="preserve"> DOCPROPERTY  crYear  \* MERGEFORMAT </w:instrText>
            </w:r>
            <w:r w:rsidRPr="00AF700A">
              <w:rPr>
                <w:rFonts w:cs="Arial"/>
                <w:noProof/>
                <w:lang w:eastAsia="en-AU"/>
              </w:rPr>
              <w:fldChar w:fldCharType="separate"/>
            </w:r>
            <w:r w:rsidRPr="00AF700A">
              <w:rPr>
                <w:rFonts w:cs="Arial"/>
                <w:noProof/>
                <w:lang w:eastAsia="en-AU"/>
              </w:rPr>
              <w:t>2024</w:t>
            </w:r>
            <w:r w:rsidRPr="00AF700A">
              <w:rPr>
                <w:rFonts w:cs="Arial"/>
                <w:noProof/>
                <w:lang w:eastAsia="en-AU"/>
              </w:rPr>
              <w:fldChar w:fldCharType="end"/>
            </w:r>
          </w:p>
        </w:tc>
        <w:tc>
          <w:tcPr>
            <w:tcW w:w="4814" w:type="dxa"/>
            <w:tcMar>
              <w:top w:w="28" w:type="dxa"/>
              <w:left w:w="28" w:type="dxa"/>
              <w:bottom w:w="28" w:type="dxa"/>
              <w:right w:w="28" w:type="dxa"/>
            </w:tcMar>
          </w:tcPr>
          <w:p w14:paraId="79F80738" w14:textId="77777777" w:rsidR="00B040FE" w:rsidRPr="00AF700A" w:rsidRDefault="00B040FE" w:rsidP="0047225D">
            <w:pPr>
              <w:spacing w:after="0" w:line="240" w:lineRule="auto"/>
              <w:rPr>
                <w:rFonts w:cs="Arial"/>
                <w:noProof/>
                <w:lang w:eastAsia="en-AU"/>
              </w:rPr>
            </w:pPr>
            <w:r w:rsidRPr="00AF700A">
              <w:rPr>
                <w:rFonts w:cs="Arial"/>
                <w:noProof/>
                <w:lang w:eastAsia="en-AU"/>
              </w:rPr>
              <w:t>Signed .……………………….</w:t>
            </w:r>
          </w:p>
          <w:p w14:paraId="3B39E282" w14:textId="77777777" w:rsidR="00B040FE" w:rsidRPr="00AF700A" w:rsidRDefault="00B040FE" w:rsidP="0047225D">
            <w:pPr>
              <w:spacing w:after="0" w:line="240" w:lineRule="auto"/>
              <w:rPr>
                <w:rFonts w:cs="Arial"/>
                <w:noProof/>
                <w:lang w:eastAsia="en-AU"/>
              </w:rPr>
            </w:pPr>
            <w:r w:rsidRPr="00AF700A">
              <w:rPr>
                <w:rFonts w:cs="Arial"/>
                <w:noProof/>
                <w:lang w:eastAsia="en-AU"/>
              </w:rPr>
              <w:t>Graeme Innes AO</w:t>
            </w:r>
          </w:p>
          <w:p w14:paraId="36B3761C" w14:textId="77777777" w:rsidR="00B040FE" w:rsidRPr="00AF700A" w:rsidRDefault="00B040FE" w:rsidP="0047225D">
            <w:pPr>
              <w:spacing w:after="0" w:line="240" w:lineRule="auto"/>
              <w:rPr>
                <w:rFonts w:cs="Arial"/>
                <w:noProof/>
                <w:lang w:eastAsia="en-AU"/>
              </w:rPr>
            </w:pPr>
            <w:r w:rsidRPr="00AF700A">
              <w:rPr>
                <w:rFonts w:cs="Arial"/>
                <w:noProof/>
                <w:lang w:eastAsia="en-AU"/>
              </w:rPr>
              <w:t>Chair, Audit Committee</w:t>
            </w:r>
          </w:p>
          <w:p w14:paraId="1DC6E4B2" w14:textId="77777777" w:rsidR="00B040FE" w:rsidRPr="00AF700A" w:rsidRDefault="00B040FE" w:rsidP="0047225D">
            <w:pPr>
              <w:spacing w:after="0" w:line="240" w:lineRule="auto"/>
              <w:rPr>
                <w:rFonts w:cs="Arial"/>
                <w:noProof/>
                <w:lang w:eastAsia="en-AU"/>
              </w:rPr>
            </w:pPr>
            <w:r w:rsidRPr="00AF700A">
              <w:rPr>
                <w:rFonts w:cs="Arial"/>
                <w:noProof/>
                <w:lang w:eastAsia="en-AU"/>
              </w:rPr>
              <w:t xml:space="preserve">04 October </w:t>
            </w:r>
            <w:r w:rsidRPr="00AF700A">
              <w:rPr>
                <w:rFonts w:cs="Arial"/>
                <w:noProof/>
                <w:lang w:eastAsia="en-AU"/>
              </w:rPr>
              <w:fldChar w:fldCharType="begin"/>
            </w:r>
            <w:r w:rsidRPr="00AF700A">
              <w:rPr>
                <w:rFonts w:cs="Arial"/>
                <w:noProof/>
                <w:lang w:eastAsia="en-AU"/>
              </w:rPr>
              <w:instrText xml:space="preserve"> DOCPROPERTY  crYear  \* MERGEFORMAT </w:instrText>
            </w:r>
            <w:r w:rsidRPr="00AF700A">
              <w:rPr>
                <w:rFonts w:cs="Arial"/>
                <w:noProof/>
                <w:lang w:eastAsia="en-AU"/>
              </w:rPr>
              <w:fldChar w:fldCharType="separate"/>
            </w:r>
            <w:r w:rsidRPr="00AF700A">
              <w:rPr>
                <w:rFonts w:cs="Arial"/>
                <w:noProof/>
                <w:lang w:eastAsia="en-AU"/>
              </w:rPr>
              <w:t>2024</w:t>
            </w:r>
            <w:r w:rsidRPr="00AF700A">
              <w:rPr>
                <w:rFonts w:cs="Arial"/>
                <w:noProof/>
                <w:lang w:eastAsia="en-AU"/>
              </w:rPr>
              <w:fldChar w:fldCharType="end"/>
            </w:r>
          </w:p>
        </w:tc>
      </w:tr>
    </w:tbl>
    <w:p w14:paraId="2B2A94B1" w14:textId="6E79FA9E" w:rsidR="003D53B3" w:rsidRDefault="003D53B3" w:rsidP="00B040FE">
      <w:pPr>
        <w:spacing w:line="240" w:lineRule="auto"/>
      </w:pPr>
      <w:r>
        <w:br w:type="page"/>
      </w:r>
    </w:p>
    <w:p w14:paraId="598F6090" w14:textId="77777777" w:rsidR="00AA02E5" w:rsidRPr="00AA02E5" w:rsidRDefault="00AA02E5" w:rsidP="00AA02E5">
      <w:pPr>
        <w:spacing w:after="0" w:line="240" w:lineRule="auto"/>
        <w:rPr>
          <w:b/>
          <w:bCs/>
        </w:rPr>
      </w:pPr>
      <w:r w:rsidRPr="00AA02E5">
        <w:rPr>
          <w:b/>
          <w:bCs/>
        </w:rPr>
        <w:lastRenderedPageBreak/>
        <w:t>National Disability Insurance Agency</w:t>
      </w:r>
    </w:p>
    <w:p w14:paraId="6C784F0C" w14:textId="77777777" w:rsidR="00AA02E5" w:rsidRPr="00AA02E5" w:rsidRDefault="00AA02E5" w:rsidP="00AA02E5">
      <w:pPr>
        <w:spacing w:after="0" w:line="240" w:lineRule="auto"/>
        <w:rPr>
          <w:b/>
          <w:bCs/>
        </w:rPr>
      </w:pPr>
      <w:r w:rsidRPr="00AA02E5">
        <w:rPr>
          <w:b/>
          <w:bCs/>
        </w:rPr>
        <w:t>STATEMENT OF COMPREHENSIVE INCOME</w:t>
      </w:r>
    </w:p>
    <w:p w14:paraId="5890848B" w14:textId="5E7D7E49" w:rsidR="00B040FE" w:rsidRPr="00AA02E5" w:rsidRDefault="00AA02E5" w:rsidP="00C821EB">
      <w:pPr>
        <w:pBdr>
          <w:bottom w:val="single" w:sz="8" w:space="1" w:color="auto"/>
        </w:pBdr>
        <w:spacing w:line="240" w:lineRule="auto"/>
        <w:rPr>
          <w:i/>
          <w:iCs/>
        </w:rPr>
      </w:pPr>
      <w:r w:rsidRPr="00AA02E5">
        <w:rPr>
          <w:i/>
          <w:iCs/>
        </w:rPr>
        <w:t>for the year ended 30 June 2024</w:t>
      </w:r>
    </w:p>
    <w:tbl>
      <w:tblPr>
        <w:tblW w:w="9087" w:type="dxa"/>
        <w:tblLayout w:type="fixed"/>
        <w:tblCellMar>
          <w:left w:w="57" w:type="dxa"/>
          <w:right w:w="57" w:type="dxa"/>
        </w:tblCellMar>
        <w:tblLook w:val="04A0" w:firstRow="1" w:lastRow="0" w:firstColumn="1" w:lastColumn="0" w:noHBand="0" w:noVBand="1"/>
      </w:tblPr>
      <w:tblGrid>
        <w:gridCol w:w="4226"/>
        <w:gridCol w:w="944"/>
        <w:gridCol w:w="1124"/>
        <w:gridCol w:w="236"/>
        <w:gridCol w:w="1122"/>
        <w:gridCol w:w="236"/>
        <w:gridCol w:w="1199"/>
      </w:tblGrid>
      <w:tr w:rsidR="00520333" w:rsidRPr="006D688A" w14:paraId="7F66E9FE" w14:textId="77777777" w:rsidTr="005E5E0C">
        <w:trPr>
          <w:trHeight w:val="500"/>
        </w:trPr>
        <w:tc>
          <w:tcPr>
            <w:tcW w:w="4226" w:type="dxa"/>
            <w:tcBorders>
              <w:top w:val="single" w:sz="8" w:space="0" w:color="800080"/>
              <w:left w:val="nil"/>
              <w:bottom w:val="nil"/>
              <w:right w:val="nil"/>
            </w:tcBorders>
            <w:shd w:val="clear" w:color="FFFFFF" w:fill="FFFFFF"/>
            <w:noWrap/>
            <w:vAlign w:val="bottom"/>
            <w:hideMark/>
          </w:tcPr>
          <w:p w14:paraId="000E8B01" w14:textId="77777777" w:rsidR="00520333" w:rsidRPr="006D688A" w:rsidRDefault="00520333" w:rsidP="005E5E0C">
            <w:pPr>
              <w:spacing w:after="0"/>
              <w:rPr>
                <w:rFonts w:cs="Arial"/>
                <w:sz w:val="18"/>
                <w:szCs w:val="18"/>
              </w:rPr>
            </w:pPr>
            <w:bookmarkStart w:id="111" w:name="Note_DPLTABLE1" w:colFirst="0" w:colLast="0"/>
            <w:r w:rsidRPr="006D688A">
              <w:rPr>
                <w:rFonts w:cs="Arial"/>
                <w:sz w:val="18"/>
                <w:szCs w:val="18"/>
              </w:rPr>
              <w:t> </w:t>
            </w:r>
          </w:p>
        </w:tc>
        <w:tc>
          <w:tcPr>
            <w:tcW w:w="944" w:type="dxa"/>
            <w:tcBorders>
              <w:top w:val="single" w:sz="8" w:space="0" w:color="800080"/>
              <w:left w:val="nil"/>
              <w:bottom w:val="nil"/>
              <w:right w:val="nil"/>
            </w:tcBorders>
            <w:shd w:val="clear" w:color="FFFFFF" w:fill="FFFFFF"/>
            <w:noWrap/>
            <w:vAlign w:val="bottom"/>
            <w:hideMark/>
          </w:tcPr>
          <w:p w14:paraId="48F74D00" w14:textId="77777777" w:rsidR="00520333" w:rsidRPr="006D688A" w:rsidRDefault="00520333" w:rsidP="005E5E0C">
            <w:pPr>
              <w:spacing w:after="0"/>
              <w:rPr>
                <w:rFonts w:cs="Arial"/>
                <w:sz w:val="18"/>
                <w:szCs w:val="18"/>
              </w:rPr>
            </w:pPr>
            <w:r w:rsidRPr="006D688A">
              <w:rPr>
                <w:rFonts w:cs="Arial"/>
                <w:sz w:val="18"/>
                <w:szCs w:val="18"/>
              </w:rPr>
              <w:t> </w:t>
            </w:r>
          </w:p>
        </w:tc>
        <w:tc>
          <w:tcPr>
            <w:tcW w:w="1124" w:type="dxa"/>
            <w:tcBorders>
              <w:top w:val="single" w:sz="8" w:space="0" w:color="800080"/>
              <w:left w:val="nil"/>
              <w:bottom w:val="nil"/>
              <w:right w:val="nil"/>
            </w:tcBorders>
            <w:shd w:val="clear" w:color="FFFFFF" w:fill="FFFFFF"/>
            <w:noWrap/>
            <w:vAlign w:val="bottom"/>
            <w:hideMark/>
          </w:tcPr>
          <w:p w14:paraId="5251D636" w14:textId="77777777" w:rsidR="00520333" w:rsidRPr="006D688A" w:rsidRDefault="00520333" w:rsidP="005E5E0C">
            <w:pPr>
              <w:spacing w:after="0"/>
              <w:jc w:val="right"/>
              <w:rPr>
                <w:rFonts w:cs="Arial"/>
                <w:b/>
                <w:bCs/>
                <w:sz w:val="18"/>
                <w:szCs w:val="18"/>
              </w:rPr>
            </w:pPr>
            <w:r w:rsidRPr="006D688A">
              <w:rPr>
                <w:rFonts w:cs="Arial"/>
                <w:b/>
                <w:bCs/>
                <w:sz w:val="18"/>
                <w:szCs w:val="18"/>
              </w:rPr>
              <w:t> </w:t>
            </w:r>
          </w:p>
        </w:tc>
        <w:tc>
          <w:tcPr>
            <w:tcW w:w="236" w:type="dxa"/>
            <w:tcBorders>
              <w:top w:val="single" w:sz="8" w:space="0" w:color="800080"/>
              <w:left w:val="nil"/>
              <w:bottom w:val="nil"/>
              <w:right w:val="nil"/>
            </w:tcBorders>
            <w:shd w:val="clear" w:color="FFFFFF" w:fill="FFFFFF"/>
            <w:noWrap/>
            <w:vAlign w:val="bottom"/>
            <w:hideMark/>
          </w:tcPr>
          <w:p w14:paraId="2893BB99" w14:textId="77777777" w:rsidR="00520333" w:rsidRPr="006D688A" w:rsidRDefault="00520333" w:rsidP="005E5E0C">
            <w:pPr>
              <w:spacing w:after="0"/>
              <w:rPr>
                <w:rFonts w:cs="Arial"/>
                <w:sz w:val="18"/>
                <w:szCs w:val="18"/>
              </w:rPr>
            </w:pPr>
            <w:r w:rsidRPr="006D688A">
              <w:rPr>
                <w:rFonts w:cs="Arial"/>
                <w:sz w:val="18"/>
                <w:szCs w:val="18"/>
              </w:rPr>
              <w:t> </w:t>
            </w:r>
          </w:p>
        </w:tc>
        <w:tc>
          <w:tcPr>
            <w:tcW w:w="1122" w:type="dxa"/>
            <w:tcBorders>
              <w:top w:val="single" w:sz="8" w:space="0" w:color="800080"/>
              <w:left w:val="nil"/>
              <w:bottom w:val="nil"/>
              <w:right w:val="nil"/>
            </w:tcBorders>
            <w:shd w:val="clear" w:color="FFFFFF" w:fill="FFFFFF"/>
            <w:noWrap/>
            <w:vAlign w:val="bottom"/>
            <w:hideMark/>
          </w:tcPr>
          <w:p w14:paraId="4690983A" w14:textId="77777777" w:rsidR="00520333" w:rsidRPr="006D688A" w:rsidRDefault="00520333" w:rsidP="005E5E0C">
            <w:pPr>
              <w:spacing w:after="0"/>
              <w:jc w:val="right"/>
              <w:rPr>
                <w:rFonts w:cs="Arial"/>
                <w:sz w:val="18"/>
                <w:szCs w:val="18"/>
              </w:rPr>
            </w:pPr>
            <w:r w:rsidRPr="006D688A">
              <w:rPr>
                <w:rFonts w:cs="Arial"/>
                <w:sz w:val="18"/>
                <w:szCs w:val="18"/>
              </w:rPr>
              <w:t> </w:t>
            </w:r>
          </w:p>
        </w:tc>
        <w:tc>
          <w:tcPr>
            <w:tcW w:w="236" w:type="dxa"/>
            <w:tcBorders>
              <w:top w:val="single" w:sz="8" w:space="0" w:color="800080"/>
              <w:left w:val="nil"/>
              <w:bottom w:val="nil"/>
              <w:right w:val="nil"/>
            </w:tcBorders>
            <w:shd w:val="clear" w:color="FFFFFF" w:fill="FFFFFF"/>
            <w:noWrap/>
            <w:vAlign w:val="bottom"/>
            <w:hideMark/>
          </w:tcPr>
          <w:p w14:paraId="342CB307" w14:textId="77777777" w:rsidR="00520333" w:rsidRPr="006D688A" w:rsidRDefault="00520333" w:rsidP="005E5E0C">
            <w:pPr>
              <w:spacing w:after="0"/>
              <w:rPr>
                <w:rFonts w:cs="Arial"/>
                <w:sz w:val="18"/>
                <w:szCs w:val="18"/>
              </w:rPr>
            </w:pPr>
            <w:r w:rsidRPr="006D688A">
              <w:rPr>
                <w:rFonts w:cs="Arial"/>
                <w:sz w:val="18"/>
                <w:szCs w:val="18"/>
              </w:rPr>
              <w:t> </w:t>
            </w:r>
          </w:p>
        </w:tc>
        <w:tc>
          <w:tcPr>
            <w:tcW w:w="1199" w:type="dxa"/>
            <w:tcBorders>
              <w:top w:val="single" w:sz="8" w:space="0" w:color="800080"/>
              <w:left w:val="nil"/>
              <w:bottom w:val="nil"/>
              <w:right w:val="nil"/>
            </w:tcBorders>
            <w:shd w:val="clear" w:color="FFFFFF" w:fill="FFFFFF"/>
            <w:vAlign w:val="bottom"/>
            <w:hideMark/>
          </w:tcPr>
          <w:p w14:paraId="31DCD1BC" w14:textId="77777777" w:rsidR="00520333" w:rsidRPr="006D688A" w:rsidRDefault="00520333" w:rsidP="005E5E0C">
            <w:pPr>
              <w:spacing w:after="0"/>
              <w:jc w:val="right"/>
              <w:rPr>
                <w:rFonts w:cs="Arial"/>
                <w:color w:val="6B2976"/>
                <w:sz w:val="18"/>
                <w:szCs w:val="18"/>
              </w:rPr>
            </w:pPr>
            <w:r w:rsidRPr="006D688A">
              <w:rPr>
                <w:rFonts w:cs="Arial"/>
                <w:color w:val="6B2976"/>
                <w:sz w:val="18"/>
                <w:szCs w:val="18"/>
              </w:rPr>
              <w:t>Original</w:t>
            </w:r>
            <w:r w:rsidRPr="006D688A">
              <w:rPr>
                <w:rFonts w:cs="Arial"/>
                <w:color w:val="6B2976"/>
                <w:sz w:val="18"/>
                <w:szCs w:val="18"/>
              </w:rPr>
              <w:br/>
              <w:t>Budget</w:t>
            </w:r>
            <w:r w:rsidRPr="006D688A">
              <w:rPr>
                <w:rFonts w:cs="Arial"/>
                <w:color w:val="6B2976"/>
                <w:sz w:val="18"/>
                <w:szCs w:val="18"/>
                <w:vertAlign w:val="superscript"/>
              </w:rPr>
              <w:t>1</w:t>
            </w:r>
          </w:p>
        </w:tc>
      </w:tr>
      <w:bookmarkEnd w:id="111"/>
      <w:tr w:rsidR="00520333" w:rsidRPr="006D688A" w14:paraId="12D4B21B" w14:textId="77777777" w:rsidTr="005E5E0C">
        <w:trPr>
          <w:trHeight w:val="260"/>
        </w:trPr>
        <w:tc>
          <w:tcPr>
            <w:tcW w:w="4226" w:type="dxa"/>
            <w:tcBorders>
              <w:top w:val="nil"/>
              <w:left w:val="nil"/>
              <w:bottom w:val="nil"/>
              <w:right w:val="nil"/>
            </w:tcBorders>
            <w:shd w:val="clear" w:color="FFFFFF" w:fill="FFFFFF"/>
            <w:noWrap/>
            <w:vAlign w:val="bottom"/>
            <w:hideMark/>
          </w:tcPr>
          <w:p w14:paraId="2A2BA72B" w14:textId="77777777" w:rsidR="00520333" w:rsidRPr="006D688A" w:rsidRDefault="00520333" w:rsidP="005E5E0C">
            <w:pPr>
              <w:spacing w:after="0"/>
              <w:rPr>
                <w:rFonts w:cs="Arial"/>
                <w:sz w:val="18"/>
                <w:szCs w:val="18"/>
              </w:rPr>
            </w:pPr>
            <w:r w:rsidRPr="006D688A">
              <w:rPr>
                <w:rFonts w:cs="Arial"/>
                <w:sz w:val="18"/>
                <w:szCs w:val="18"/>
              </w:rPr>
              <w:t> </w:t>
            </w:r>
          </w:p>
        </w:tc>
        <w:tc>
          <w:tcPr>
            <w:tcW w:w="944" w:type="dxa"/>
            <w:tcBorders>
              <w:top w:val="nil"/>
              <w:left w:val="nil"/>
              <w:bottom w:val="nil"/>
              <w:right w:val="nil"/>
            </w:tcBorders>
            <w:shd w:val="clear" w:color="FFFFFF" w:fill="FFFFFF"/>
            <w:noWrap/>
            <w:vAlign w:val="bottom"/>
            <w:hideMark/>
          </w:tcPr>
          <w:p w14:paraId="67B8D3B1" w14:textId="77777777" w:rsidR="00520333" w:rsidRPr="006D688A" w:rsidRDefault="00520333" w:rsidP="005E5E0C">
            <w:pPr>
              <w:spacing w:after="0"/>
              <w:rPr>
                <w:rFonts w:cs="Arial"/>
                <w:sz w:val="18"/>
                <w:szCs w:val="18"/>
              </w:rPr>
            </w:pPr>
            <w:r w:rsidRPr="006D688A">
              <w:rPr>
                <w:rFonts w:cs="Arial"/>
                <w:sz w:val="18"/>
                <w:szCs w:val="18"/>
              </w:rPr>
              <w:t> </w:t>
            </w:r>
          </w:p>
        </w:tc>
        <w:tc>
          <w:tcPr>
            <w:tcW w:w="1124" w:type="dxa"/>
            <w:tcBorders>
              <w:top w:val="nil"/>
              <w:left w:val="nil"/>
              <w:bottom w:val="nil"/>
              <w:right w:val="nil"/>
            </w:tcBorders>
            <w:shd w:val="clear" w:color="FFFFFF" w:fill="FFFFFF"/>
            <w:noWrap/>
            <w:vAlign w:val="bottom"/>
            <w:hideMark/>
          </w:tcPr>
          <w:p w14:paraId="389E1A8C" w14:textId="77777777" w:rsidR="00520333" w:rsidRPr="006D688A" w:rsidRDefault="00520333" w:rsidP="005E5E0C">
            <w:pPr>
              <w:spacing w:after="0"/>
              <w:jc w:val="right"/>
              <w:rPr>
                <w:rFonts w:cs="Arial"/>
                <w:b/>
                <w:bCs/>
                <w:sz w:val="18"/>
                <w:szCs w:val="18"/>
              </w:rPr>
            </w:pPr>
            <w:r w:rsidRPr="006D688A">
              <w:rPr>
                <w:rFonts w:cs="Arial"/>
                <w:b/>
                <w:bCs/>
                <w:sz w:val="18"/>
                <w:szCs w:val="18"/>
              </w:rPr>
              <w:t>2024</w:t>
            </w:r>
          </w:p>
        </w:tc>
        <w:tc>
          <w:tcPr>
            <w:tcW w:w="236" w:type="dxa"/>
            <w:tcBorders>
              <w:top w:val="nil"/>
              <w:left w:val="nil"/>
              <w:bottom w:val="nil"/>
              <w:right w:val="nil"/>
            </w:tcBorders>
            <w:shd w:val="clear" w:color="FFFFFF" w:fill="FFFFFF"/>
            <w:noWrap/>
            <w:vAlign w:val="bottom"/>
            <w:hideMark/>
          </w:tcPr>
          <w:p w14:paraId="246D4042" w14:textId="77777777" w:rsidR="00520333" w:rsidRPr="006D688A" w:rsidRDefault="00520333" w:rsidP="005E5E0C">
            <w:pPr>
              <w:spacing w:after="0"/>
              <w:rPr>
                <w:rFonts w:cs="Arial"/>
                <w:sz w:val="18"/>
                <w:szCs w:val="18"/>
              </w:rPr>
            </w:pPr>
            <w:r w:rsidRPr="006D688A">
              <w:rPr>
                <w:rFonts w:cs="Arial"/>
                <w:sz w:val="18"/>
                <w:szCs w:val="18"/>
              </w:rPr>
              <w:t> </w:t>
            </w:r>
          </w:p>
        </w:tc>
        <w:tc>
          <w:tcPr>
            <w:tcW w:w="1122" w:type="dxa"/>
            <w:tcBorders>
              <w:top w:val="nil"/>
              <w:left w:val="nil"/>
              <w:bottom w:val="nil"/>
              <w:right w:val="nil"/>
            </w:tcBorders>
            <w:shd w:val="clear" w:color="FFFFFF" w:fill="FFFFFF"/>
            <w:noWrap/>
            <w:vAlign w:val="bottom"/>
            <w:hideMark/>
          </w:tcPr>
          <w:p w14:paraId="0E46DDD3" w14:textId="77777777" w:rsidR="00520333" w:rsidRPr="006D688A" w:rsidRDefault="00520333" w:rsidP="005E5E0C">
            <w:pPr>
              <w:spacing w:after="0"/>
              <w:jc w:val="right"/>
              <w:rPr>
                <w:rFonts w:cs="Arial"/>
                <w:sz w:val="18"/>
                <w:szCs w:val="18"/>
              </w:rPr>
            </w:pPr>
            <w:r w:rsidRPr="006D688A">
              <w:rPr>
                <w:rFonts w:cs="Arial"/>
                <w:sz w:val="18"/>
                <w:szCs w:val="18"/>
              </w:rPr>
              <w:t>2023</w:t>
            </w:r>
          </w:p>
        </w:tc>
        <w:tc>
          <w:tcPr>
            <w:tcW w:w="236" w:type="dxa"/>
            <w:tcBorders>
              <w:top w:val="nil"/>
              <w:left w:val="nil"/>
              <w:bottom w:val="nil"/>
              <w:right w:val="nil"/>
            </w:tcBorders>
            <w:shd w:val="clear" w:color="FFFFFF" w:fill="FFFFFF"/>
            <w:noWrap/>
            <w:vAlign w:val="bottom"/>
            <w:hideMark/>
          </w:tcPr>
          <w:p w14:paraId="4FB8A3D2" w14:textId="77777777" w:rsidR="00520333" w:rsidRPr="006D688A" w:rsidRDefault="00520333" w:rsidP="005E5E0C">
            <w:pPr>
              <w:spacing w:after="0"/>
              <w:rPr>
                <w:rFonts w:cs="Arial"/>
                <w:sz w:val="18"/>
                <w:szCs w:val="18"/>
              </w:rPr>
            </w:pPr>
            <w:r w:rsidRPr="006D688A">
              <w:rPr>
                <w:rFonts w:cs="Arial"/>
                <w:sz w:val="18"/>
                <w:szCs w:val="18"/>
              </w:rPr>
              <w:t> </w:t>
            </w:r>
          </w:p>
        </w:tc>
        <w:tc>
          <w:tcPr>
            <w:tcW w:w="1199" w:type="dxa"/>
            <w:tcBorders>
              <w:top w:val="nil"/>
              <w:left w:val="nil"/>
              <w:bottom w:val="nil"/>
              <w:right w:val="nil"/>
            </w:tcBorders>
            <w:shd w:val="clear" w:color="FFFFFF" w:fill="FFFFFF"/>
            <w:noWrap/>
            <w:vAlign w:val="bottom"/>
            <w:hideMark/>
          </w:tcPr>
          <w:p w14:paraId="797183A8" w14:textId="77777777" w:rsidR="00520333" w:rsidRPr="006D688A" w:rsidRDefault="00520333" w:rsidP="005E5E0C">
            <w:pPr>
              <w:spacing w:after="0"/>
              <w:jc w:val="right"/>
              <w:rPr>
                <w:rFonts w:cs="Arial"/>
                <w:color w:val="6B2976"/>
                <w:sz w:val="18"/>
                <w:szCs w:val="18"/>
              </w:rPr>
            </w:pPr>
            <w:r w:rsidRPr="006D688A">
              <w:rPr>
                <w:rFonts w:cs="Arial"/>
                <w:color w:val="6B2976"/>
                <w:sz w:val="18"/>
                <w:szCs w:val="18"/>
              </w:rPr>
              <w:t>2024</w:t>
            </w:r>
          </w:p>
        </w:tc>
      </w:tr>
      <w:tr w:rsidR="00520333" w:rsidRPr="006D688A" w14:paraId="0B874003" w14:textId="77777777" w:rsidTr="005E5E0C">
        <w:trPr>
          <w:trHeight w:val="270"/>
        </w:trPr>
        <w:tc>
          <w:tcPr>
            <w:tcW w:w="4226" w:type="dxa"/>
            <w:tcBorders>
              <w:top w:val="nil"/>
              <w:left w:val="nil"/>
              <w:bottom w:val="single" w:sz="8" w:space="0" w:color="800080"/>
              <w:right w:val="nil"/>
            </w:tcBorders>
            <w:shd w:val="clear" w:color="FFFFFF" w:fill="FFFFFF"/>
            <w:noWrap/>
            <w:vAlign w:val="bottom"/>
            <w:hideMark/>
          </w:tcPr>
          <w:p w14:paraId="04C162D8" w14:textId="77777777" w:rsidR="00520333" w:rsidRPr="006D688A" w:rsidRDefault="00520333" w:rsidP="005E5E0C">
            <w:pPr>
              <w:spacing w:after="0"/>
              <w:rPr>
                <w:rFonts w:cs="Arial"/>
                <w:sz w:val="18"/>
                <w:szCs w:val="18"/>
              </w:rPr>
            </w:pPr>
            <w:r w:rsidRPr="006D688A">
              <w:rPr>
                <w:rFonts w:cs="Arial"/>
                <w:sz w:val="18"/>
                <w:szCs w:val="18"/>
              </w:rPr>
              <w:t> </w:t>
            </w:r>
          </w:p>
        </w:tc>
        <w:tc>
          <w:tcPr>
            <w:tcW w:w="944" w:type="dxa"/>
            <w:tcBorders>
              <w:top w:val="nil"/>
              <w:left w:val="nil"/>
              <w:bottom w:val="single" w:sz="8" w:space="0" w:color="800080"/>
              <w:right w:val="nil"/>
            </w:tcBorders>
            <w:shd w:val="clear" w:color="FFFFFF" w:fill="FFFFFF"/>
            <w:noWrap/>
            <w:vAlign w:val="bottom"/>
            <w:hideMark/>
          </w:tcPr>
          <w:p w14:paraId="09F9B251" w14:textId="77777777" w:rsidR="00520333" w:rsidRPr="006D688A" w:rsidRDefault="00520333" w:rsidP="005E5E0C">
            <w:pPr>
              <w:spacing w:after="0"/>
              <w:jc w:val="center"/>
              <w:rPr>
                <w:rFonts w:cs="Arial"/>
                <w:b/>
                <w:bCs/>
                <w:sz w:val="18"/>
                <w:szCs w:val="18"/>
              </w:rPr>
            </w:pPr>
            <w:r w:rsidRPr="006D688A">
              <w:rPr>
                <w:rFonts w:cs="Arial"/>
                <w:b/>
                <w:bCs/>
                <w:sz w:val="18"/>
                <w:szCs w:val="18"/>
              </w:rPr>
              <w:t>Notes</w:t>
            </w:r>
          </w:p>
        </w:tc>
        <w:tc>
          <w:tcPr>
            <w:tcW w:w="1124" w:type="dxa"/>
            <w:tcBorders>
              <w:top w:val="nil"/>
              <w:left w:val="nil"/>
              <w:bottom w:val="single" w:sz="8" w:space="0" w:color="800080"/>
              <w:right w:val="nil"/>
            </w:tcBorders>
            <w:shd w:val="clear" w:color="FFFFFF" w:fill="FFFFFF"/>
            <w:noWrap/>
            <w:vAlign w:val="bottom"/>
            <w:hideMark/>
          </w:tcPr>
          <w:p w14:paraId="4B3A8998" w14:textId="77777777" w:rsidR="00520333" w:rsidRPr="006D688A" w:rsidRDefault="00520333" w:rsidP="005E5E0C">
            <w:pPr>
              <w:spacing w:after="0"/>
              <w:jc w:val="right"/>
              <w:rPr>
                <w:rFonts w:cs="Arial"/>
                <w:b/>
                <w:bCs/>
                <w:sz w:val="18"/>
                <w:szCs w:val="18"/>
              </w:rPr>
            </w:pPr>
            <w:r w:rsidRPr="006D688A">
              <w:rPr>
                <w:rFonts w:cs="Arial"/>
                <w:b/>
                <w:bCs/>
                <w:sz w:val="18"/>
                <w:szCs w:val="18"/>
              </w:rPr>
              <w:t>$'000</w:t>
            </w:r>
          </w:p>
        </w:tc>
        <w:tc>
          <w:tcPr>
            <w:tcW w:w="236" w:type="dxa"/>
            <w:tcBorders>
              <w:top w:val="nil"/>
              <w:left w:val="nil"/>
              <w:bottom w:val="single" w:sz="8" w:space="0" w:color="800080"/>
              <w:right w:val="nil"/>
            </w:tcBorders>
            <w:shd w:val="clear" w:color="FFFFFF" w:fill="FFFFFF"/>
            <w:noWrap/>
            <w:vAlign w:val="bottom"/>
            <w:hideMark/>
          </w:tcPr>
          <w:p w14:paraId="1FBD6097" w14:textId="77777777" w:rsidR="00520333" w:rsidRPr="006D688A" w:rsidRDefault="00520333" w:rsidP="005E5E0C">
            <w:pPr>
              <w:spacing w:after="0"/>
              <w:rPr>
                <w:rFonts w:cs="Arial"/>
                <w:sz w:val="18"/>
                <w:szCs w:val="18"/>
              </w:rPr>
            </w:pPr>
            <w:r w:rsidRPr="006D688A">
              <w:rPr>
                <w:rFonts w:cs="Arial"/>
                <w:sz w:val="18"/>
                <w:szCs w:val="18"/>
              </w:rPr>
              <w:t> </w:t>
            </w:r>
          </w:p>
        </w:tc>
        <w:tc>
          <w:tcPr>
            <w:tcW w:w="1122" w:type="dxa"/>
            <w:tcBorders>
              <w:top w:val="nil"/>
              <w:left w:val="nil"/>
              <w:bottom w:val="single" w:sz="8" w:space="0" w:color="800080"/>
              <w:right w:val="nil"/>
            </w:tcBorders>
            <w:shd w:val="clear" w:color="FFFFFF" w:fill="FFFFFF"/>
            <w:noWrap/>
            <w:vAlign w:val="bottom"/>
            <w:hideMark/>
          </w:tcPr>
          <w:p w14:paraId="3F2F4890" w14:textId="77777777" w:rsidR="00520333" w:rsidRPr="006D688A" w:rsidRDefault="00520333" w:rsidP="005E5E0C">
            <w:pPr>
              <w:spacing w:after="0"/>
              <w:jc w:val="right"/>
              <w:rPr>
                <w:rFonts w:cs="Arial"/>
                <w:sz w:val="18"/>
                <w:szCs w:val="18"/>
              </w:rPr>
            </w:pPr>
            <w:r w:rsidRPr="006D688A">
              <w:rPr>
                <w:rFonts w:cs="Arial"/>
                <w:sz w:val="18"/>
                <w:szCs w:val="18"/>
              </w:rPr>
              <w:t>$'000</w:t>
            </w:r>
          </w:p>
        </w:tc>
        <w:tc>
          <w:tcPr>
            <w:tcW w:w="236" w:type="dxa"/>
            <w:tcBorders>
              <w:top w:val="nil"/>
              <w:left w:val="nil"/>
              <w:bottom w:val="single" w:sz="8" w:space="0" w:color="800080"/>
              <w:right w:val="nil"/>
            </w:tcBorders>
            <w:shd w:val="clear" w:color="FFFFFF" w:fill="FFFFFF"/>
            <w:noWrap/>
            <w:vAlign w:val="bottom"/>
            <w:hideMark/>
          </w:tcPr>
          <w:p w14:paraId="13FF8FA3" w14:textId="77777777" w:rsidR="00520333" w:rsidRPr="006D688A" w:rsidRDefault="00520333" w:rsidP="005E5E0C">
            <w:pPr>
              <w:spacing w:after="0"/>
              <w:rPr>
                <w:rFonts w:cs="Arial"/>
                <w:sz w:val="18"/>
                <w:szCs w:val="18"/>
              </w:rPr>
            </w:pPr>
            <w:r w:rsidRPr="006D688A">
              <w:rPr>
                <w:rFonts w:cs="Arial"/>
                <w:sz w:val="18"/>
                <w:szCs w:val="18"/>
              </w:rPr>
              <w:t> </w:t>
            </w:r>
          </w:p>
        </w:tc>
        <w:tc>
          <w:tcPr>
            <w:tcW w:w="1199" w:type="dxa"/>
            <w:tcBorders>
              <w:top w:val="nil"/>
              <w:left w:val="nil"/>
              <w:bottom w:val="single" w:sz="8" w:space="0" w:color="800080"/>
              <w:right w:val="nil"/>
            </w:tcBorders>
            <w:shd w:val="clear" w:color="FFFFFF" w:fill="FFFFFF"/>
            <w:noWrap/>
            <w:vAlign w:val="bottom"/>
            <w:hideMark/>
          </w:tcPr>
          <w:p w14:paraId="4E361317" w14:textId="77777777" w:rsidR="00520333" w:rsidRPr="006D688A" w:rsidRDefault="00520333" w:rsidP="005E5E0C">
            <w:pPr>
              <w:spacing w:after="0"/>
              <w:jc w:val="right"/>
              <w:rPr>
                <w:rFonts w:cs="Arial"/>
                <w:color w:val="6B2976"/>
                <w:sz w:val="18"/>
                <w:szCs w:val="18"/>
              </w:rPr>
            </w:pPr>
            <w:r w:rsidRPr="006D688A">
              <w:rPr>
                <w:rFonts w:cs="Arial"/>
                <w:color w:val="6B2976"/>
                <w:sz w:val="18"/>
                <w:szCs w:val="18"/>
              </w:rPr>
              <w:t>$'000</w:t>
            </w:r>
          </w:p>
        </w:tc>
      </w:tr>
      <w:tr w:rsidR="00520333" w:rsidRPr="006D688A" w14:paraId="684C46B4" w14:textId="77777777" w:rsidTr="005E5E0C">
        <w:trPr>
          <w:trHeight w:val="250"/>
        </w:trPr>
        <w:tc>
          <w:tcPr>
            <w:tcW w:w="4226" w:type="dxa"/>
            <w:tcBorders>
              <w:top w:val="nil"/>
              <w:left w:val="nil"/>
              <w:bottom w:val="nil"/>
              <w:right w:val="nil"/>
            </w:tcBorders>
            <w:shd w:val="clear" w:color="FFFFFF" w:fill="FFFFFF"/>
            <w:noWrap/>
            <w:vAlign w:val="bottom"/>
            <w:hideMark/>
          </w:tcPr>
          <w:p w14:paraId="5EAF60B8" w14:textId="77777777" w:rsidR="00520333" w:rsidRPr="006D688A" w:rsidRDefault="00520333" w:rsidP="005E5E0C">
            <w:pPr>
              <w:spacing w:after="0"/>
              <w:rPr>
                <w:rFonts w:cs="Arial"/>
                <w:b/>
                <w:bCs/>
                <w:sz w:val="18"/>
                <w:szCs w:val="18"/>
              </w:rPr>
            </w:pPr>
            <w:r w:rsidRPr="006D688A">
              <w:rPr>
                <w:rFonts w:cs="Arial"/>
                <w:b/>
                <w:bCs/>
                <w:sz w:val="18"/>
                <w:szCs w:val="18"/>
              </w:rPr>
              <w:t>NET COST OF SERVICES</w:t>
            </w:r>
          </w:p>
        </w:tc>
        <w:tc>
          <w:tcPr>
            <w:tcW w:w="944" w:type="dxa"/>
            <w:tcBorders>
              <w:top w:val="nil"/>
              <w:left w:val="nil"/>
              <w:bottom w:val="nil"/>
              <w:right w:val="nil"/>
            </w:tcBorders>
            <w:shd w:val="clear" w:color="FFFFFF" w:fill="FFFFFF"/>
            <w:noWrap/>
            <w:vAlign w:val="bottom"/>
            <w:hideMark/>
          </w:tcPr>
          <w:p w14:paraId="091E6470" w14:textId="77777777" w:rsidR="00520333" w:rsidRPr="006D688A" w:rsidRDefault="00520333" w:rsidP="005E5E0C">
            <w:pPr>
              <w:spacing w:after="0"/>
              <w:jc w:val="center"/>
              <w:rPr>
                <w:rFonts w:cs="Arial"/>
                <w:b/>
                <w:bCs/>
                <w:sz w:val="18"/>
                <w:szCs w:val="18"/>
              </w:rPr>
            </w:pPr>
            <w:r w:rsidRPr="006D688A">
              <w:rPr>
                <w:rFonts w:cs="Arial"/>
                <w:b/>
                <w:bCs/>
                <w:sz w:val="18"/>
                <w:szCs w:val="18"/>
              </w:rPr>
              <w:t> </w:t>
            </w:r>
          </w:p>
        </w:tc>
        <w:tc>
          <w:tcPr>
            <w:tcW w:w="1124" w:type="dxa"/>
            <w:tcBorders>
              <w:top w:val="nil"/>
              <w:left w:val="nil"/>
              <w:bottom w:val="nil"/>
              <w:right w:val="nil"/>
            </w:tcBorders>
            <w:shd w:val="clear" w:color="FFFFFF" w:fill="FFFFFF"/>
            <w:noWrap/>
            <w:vAlign w:val="bottom"/>
            <w:hideMark/>
          </w:tcPr>
          <w:p w14:paraId="6DFFDE3F" w14:textId="77777777" w:rsidR="00520333" w:rsidRPr="006D688A" w:rsidRDefault="00520333" w:rsidP="005E5E0C">
            <w:pPr>
              <w:spacing w:after="0"/>
              <w:jc w:val="right"/>
              <w:rPr>
                <w:rFonts w:cs="Arial"/>
                <w:b/>
                <w:bCs/>
                <w:sz w:val="18"/>
                <w:szCs w:val="18"/>
              </w:rPr>
            </w:pPr>
            <w:r w:rsidRPr="006D688A">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0BFE149F" w14:textId="77777777" w:rsidR="00520333" w:rsidRPr="006D688A" w:rsidRDefault="00520333" w:rsidP="005E5E0C">
            <w:pPr>
              <w:spacing w:after="0"/>
              <w:rPr>
                <w:rFonts w:cs="Arial"/>
                <w:sz w:val="18"/>
                <w:szCs w:val="18"/>
              </w:rPr>
            </w:pPr>
            <w:r w:rsidRPr="006D688A">
              <w:rPr>
                <w:rFonts w:cs="Arial"/>
                <w:sz w:val="18"/>
                <w:szCs w:val="18"/>
              </w:rPr>
              <w:t> </w:t>
            </w:r>
          </w:p>
        </w:tc>
        <w:tc>
          <w:tcPr>
            <w:tcW w:w="1122" w:type="dxa"/>
            <w:tcBorders>
              <w:top w:val="nil"/>
              <w:left w:val="nil"/>
              <w:bottom w:val="nil"/>
              <w:right w:val="nil"/>
            </w:tcBorders>
            <w:shd w:val="clear" w:color="FFFFFF" w:fill="FFFFFF"/>
            <w:noWrap/>
            <w:vAlign w:val="bottom"/>
            <w:hideMark/>
          </w:tcPr>
          <w:p w14:paraId="2D69C372" w14:textId="77777777" w:rsidR="00520333" w:rsidRPr="006D688A" w:rsidRDefault="00520333" w:rsidP="005E5E0C">
            <w:pPr>
              <w:spacing w:after="0"/>
              <w:jc w:val="right"/>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4D7BC248" w14:textId="77777777" w:rsidR="00520333" w:rsidRPr="006D688A" w:rsidRDefault="00520333" w:rsidP="005E5E0C">
            <w:pPr>
              <w:spacing w:after="0"/>
              <w:rPr>
                <w:rFonts w:cs="Arial"/>
                <w:sz w:val="18"/>
                <w:szCs w:val="18"/>
              </w:rPr>
            </w:pPr>
            <w:r w:rsidRPr="006D688A">
              <w:rPr>
                <w:rFonts w:cs="Arial"/>
                <w:sz w:val="18"/>
                <w:szCs w:val="18"/>
              </w:rPr>
              <w:t> </w:t>
            </w:r>
          </w:p>
        </w:tc>
        <w:tc>
          <w:tcPr>
            <w:tcW w:w="1199" w:type="dxa"/>
            <w:tcBorders>
              <w:top w:val="nil"/>
              <w:left w:val="nil"/>
              <w:bottom w:val="nil"/>
              <w:right w:val="nil"/>
            </w:tcBorders>
            <w:shd w:val="clear" w:color="FFFFFF" w:fill="FFFFFF"/>
            <w:noWrap/>
            <w:vAlign w:val="bottom"/>
            <w:hideMark/>
          </w:tcPr>
          <w:p w14:paraId="1FD92424" w14:textId="77777777" w:rsidR="00520333" w:rsidRPr="006D688A" w:rsidRDefault="00520333" w:rsidP="005E5E0C">
            <w:pPr>
              <w:spacing w:after="0"/>
              <w:jc w:val="right"/>
              <w:rPr>
                <w:rFonts w:cs="Arial"/>
                <w:sz w:val="18"/>
                <w:szCs w:val="18"/>
              </w:rPr>
            </w:pPr>
            <w:r w:rsidRPr="006D688A">
              <w:rPr>
                <w:rFonts w:cs="Arial"/>
                <w:sz w:val="18"/>
                <w:szCs w:val="18"/>
              </w:rPr>
              <w:t> </w:t>
            </w:r>
          </w:p>
        </w:tc>
      </w:tr>
      <w:tr w:rsidR="00520333" w:rsidRPr="006D688A" w14:paraId="318DE12C" w14:textId="77777777" w:rsidTr="005E5E0C">
        <w:trPr>
          <w:trHeight w:val="250"/>
        </w:trPr>
        <w:tc>
          <w:tcPr>
            <w:tcW w:w="4226" w:type="dxa"/>
            <w:tcBorders>
              <w:top w:val="nil"/>
              <w:left w:val="nil"/>
              <w:bottom w:val="nil"/>
              <w:right w:val="nil"/>
            </w:tcBorders>
            <w:shd w:val="clear" w:color="FFFFFF" w:fill="FFFFFF"/>
            <w:vAlign w:val="bottom"/>
            <w:hideMark/>
          </w:tcPr>
          <w:p w14:paraId="5141481F" w14:textId="77777777" w:rsidR="00520333" w:rsidRPr="006D688A" w:rsidRDefault="00520333" w:rsidP="005E5E0C">
            <w:pPr>
              <w:spacing w:after="0"/>
              <w:rPr>
                <w:rFonts w:cs="Arial"/>
                <w:b/>
                <w:bCs/>
                <w:sz w:val="18"/>
                <w:szCs w:val="18"/>
              </w:rPr>
            </w:pPr>
            <w:r w:rsidRPr="006D688A">
              <w:rPr>
                <w:rFonts w:cs="Arial"/>
                <w:b/>
                <w:bCs/>
                <w:sz w:val="18"/>
                <w:szCs w:val="18"/>
              </w:rPr>
              <w:t>Expenses</w:t>
            </w:r>
          </w:p>
        </w:tc>
        <w:tc>
          <w:tcPr>
            <w:tcW w:w="944" w:type="dxa"/>
            <w:tcBorders>
              <w:top w:val="nil"/>
              <w:left w:val="nil"/>
              <w:bottom w:val="nil"/>
              <w:right w:val="nil"/>
            </w:tcBorders>
            <w:shd w:val="clear" w:color="FFFFFF" w:fill="FFFFFF"/>
            <w:noWrap/>
            <w:vAlign w:val="bottom"/>
            <w:hideMark/>
          </w:tcPr>
          <w:p w14:paraId="5078BA35"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124" w:type="dxa"/>
            <w:tcBorders>
              <w:top w:val="nil"/>
              <w:left w:val="nil"/>
              <w:bottom w:val="nil"/>
              <w:right w:val="nil"/>
            </w:tcBorders>
            <w:shd w:val="clear" w:color="FFFFFF" w:fill="FFFFFF"/>
            <w:noWrap/>
            <w:vAlign w:val="bottom"/>
            <w:hideMark/>
          </w:tcPr>
          <w:p w14:paraId="428C6124" w14:textId="77777777" w:rsidR="00520333" w:rsidRPr="006D688A" w:rsidRDefault="00520333" w:rsidP="005E5E0C">
            <w:pPr>
              <w:spacing w:after="0"/>
              <w:jc w:val="right"/>
              <w:rPr>
                <w:rFonts w:cs="Arial"/>
                <w:b/>
                <w:bCs/>
                <w:sz w:val="18"/>
                <w:szCs w:val="18"/>
              </w:rPr>
            </w:pPr>
            <w:r w:rsidRPr="006D688A">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1E776C69" w14:textId="77777777" w:rsidR="00520333" w:rsidRPr="006D688A" w:rsidRDefault="00520333" w:rsidP="005E5E0C">
            <w:pPr>
              <w:spacing w:after="0"/>
              <w:rPr>
                <w:rFonts w:cs="Arial"/>
                <w:sz w:val="18"/>
                <w:szCs w:val="18"/>
              </w:rPr>
            </w:pPr>
            <w:r w:rsidRPr="006D688A">
              <w:rPr>
                <w:rFonts w:cs="Arial"/>
                <w:sz w:val="18"/>
                <w:szCs w:val="18"/>
              </w:rPr>
              <w:t> </w:t>
            </w:r>
          </w:p>
        </w:tc>
        <w:tc>
          <w:tcPr>
            <w:tcW w:w="1122" w:type="dxa"/>
            <w:tcBorders>
              <w:top w:val="nil"/>
              <w:left w:val="nil"/>
              <w:bottom w:val="nil"/>
              <w:right w:val="nil"/>
            </w:tcBorders>
            <w:shd w:val="clear" w:color="FFFFFF" w:fill="FFFFFF"/>
            <w:noWrap/>
            <w:vAlign w:val="bottom"/>
            <w:hideMark/>
          </w:tcPr>
          <w:p w14:paraId="6686B2D0" w14:textId="77777777" w:rsidR="00520333" w:rsidRPr="006D688A" w:rsidRDefault="00520333" w:rsidP="005E5E0C">
            <w:pPr>
              <w:spacing w:after="0"/>
              <w:jc w:val="right"/>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5886B804" w14:textId="77777777" w:rsidR="00520333" w:rsidRPr="006D688A" w:rsidRDefault="00520333" w:rsidP="005E5E0C">
            <w:pPr>
              <w:spacing w:after="0"/>
              <w:rPr>
                <w:rFonts w:cs="Arial"/>
                <w:sz w:val="18"/>
                <w:szCs w:val="18"/>
              </w:rPr>
            </w:pPr>
            <w:r w:rsidRPr="006D688A">
              <w:rPr>
                <w:rFonts w:cs="Arial"/>
                <w:sz w:val="18"/>
                <w:szCs w:val="18"/>
              </w:rPr>
              <w:t> </w:t>
            </w:r>
          </w:p>
        </w:tc>
        <w:tc>
          <w:tcPr>
            <w:tcW w:w="1199" w:type="dxa"/>
            <w:tcBorders>
              <w:top w:val="nil"/>
              <w:left w:val="nil"/>
              <w:bottom w:val="nil"/>
              <w:right w:val="nil"/>
            </w:tcBorders>
            <w:shd w:val="clear" w:color="FFFFFF" w:fill="FFFFFF"/>
            <w:noWrap/>
            <w:vAlign w:val="bottom"/>
            <w:hideMark/>
          </w:tcPr>
          <w:p w14:paraId="434E6538" w14:textId="77777777" w:rsidR="00520333" w:rsidRPr="006D688A" w:rsidRDefault="00520333" w:rsidP="005E5E0C">
            <w:pPr>
              <w:spacing w:after="0"/>
              <w:jc w:val="right"/>
              <w:rPr>
                <w:rFonts w:cs="Arial"/>
                <w:sz w:val="18"/>
                <w:szCs w:val="18"/>
              </w:rPr>
            </w:pPr>
            <w:r w:rsidRPr="006D688A">
              <w:rPr>
                <w:rFonts w:cs="Arial"/>
                <w:sz w:val="18"/>
                <w:szCs w:val="18"/>
              </w:rPr>
              <w:t> </w:t>
            </w:r>
          </w:p>
        </w:tc>
      </w:tr>
      <w:tr w:rsidR="00520333" w:rsidRPr="006D688A" w14:paraId="6698FCC9" w14:textId="77777777" w:rsidTr="005E5E0C">
        <w:trPr>
          <w:trHeight w:val="250"/>
        </w:trPr>
        <w:tc>
          <w:tcPr>
            <w:tcW w:w="4226" w:type="dxa"/>
            <w:tcBorders>
              <w:top w:val="nil"/>
              <w:left w:val="nil"/>
              <w:bottom w:val="nil"/>
              <w:right w:val="nil"/>
            </w:tcBorders>
            <w:shd w:val="clear" w:color="FFFFFF" w:fill="FFFFFF"/>
            <w:vAlign w:val="bottom"/>
            <w:hideMark/>
          </w:tcPr>
          <w:p w14:paraId="2B0427EE" w14:textId="77777777" w:rsidR="00520333" w:rsidRPr="006D688A" w:rsidRDefault="00520333" w:rsidP="005E5E0C">
            <w:pPr>
              <w:spacing w:after="0"/>
              <w:ind w:leftChars="100" w:left="240"/>
              <w:rPr>
                <w:rFonts w:cs="Arial"/>
                <w:sz w:val="18"/>
                <w:szCs w:val="18"/>
              </w:rPr>
            </w:pPr>
            <w:r w:rsidRPr="006D688A">
              <w:rPr>
                <w:rFonts w:cs="Arial"/>
                <w:sz w:val="18"/>
                <w:szCs w:val="18"/>
              </w:rPr>
              <w:t>Employee benefits</w:t>
            </w:r>
          </w:p>
        </w:tc>
        <w:tc>
          <w:tcPr>
            <w:tcW w:w="944" w:type="dxa"/>
            <w:tcBorders>
              <w:top w:val="nil"/>
              <w:left w:val="nil"/>
              <w:bottom w:val="nil"/>
              <w:right w:val="nil"/>
            </w:tcBorders>
            <w:shd w:val="clear" w:color="FFFFFF" w:fill="FFFFFF"/>
            <w:noWrap/>
            <w:vAlign w:val="bottom"/>
            <w:hideMark/>
          </w:tcPr>
          <w:p w14:paraId="597CB239" w14:textId="77777777" w:rsidR="00520333" w:rsidRPr="006D688A" w:rsidRDefault="00520333" w:rsidP="005E5E0C">
            <w:pPr>
              <w:spacing w:after="0"/>
              <w:jc w:val="center"/>
              <w:rPr>
                <w:rFonts w:cs="Arial"/>
                <w:sz w:val="18"/>
                <w:szCs w:val="18"/>
              </w:rPr>
            </w:pPr>
            <w:r w:rsidRPr="006D688A">
              <w:rPr>
                <w:rFonts w:cs="Arial"/>
                <w:sz w:val="18"/>
                <w:szCs w:val="18"/>
              </w:rPr>
              <w:t>1.1A</w:t>
            </w:r>
          </w:p>
        </w:tc>
        <w:tc>
          <w:tcPr>
            <w:tcW w:w="1124" w:type="dxa"/>
            <w:tcBorders>
              <w:top w:val="nil"/>
              <w:left w:val="nil"/>
              <w:bottom w:val="nil"/>
              <w:right w:val="nil"/>
            </w:tcBorders>
            <w:shd w:val="clear" w:color="FFFFFF" w:fill="FFFFFF"/>
            <w:noWrap/>
            <w:vAlign w:val="bottom"/>
            <w:hideMark/>
          </w:tcPr>
          <w:p w14:paraId="1FCE099A" w14:textId="77777777" w:rsidR="00520333" w:rsidRPr="006D688A" w:rsidRDefault="00520333" w:rsidP="005E5E0C">
            <w:pPr>
              <w:spacing w:after="0"/>
              <w:jc w:val="right"/>
              <w:rPr>
                <w:rFonts w:cs="Arial"/>
                <w:b/>
                <w:bCs/>
                <w:sz w:val="18"/>
                <w:szCs w:val="18"/>
              </w:rPr>
            </w:pPr>
            <w:r w:rsidRPr="006D688A">
              <w:rPr>
                <w:rFonts w:cs="Arial"/>
                <w:b/>
                <w:bCs/>
                <w:sz w:val="18"/>
                <w:szCs w:val="18"/>
              </w:rPr>
              <w:t>758,603</w:t>
            </w:r>
          </w:p>
        </w:tc>
        <w:tc>
          <w:tcPr>
            <w:tcW w:w="236" w:type="dxa"/>
            <w:tcBorders>
              <w:top w:val="nil"/>
              <w:left w:val="nil"/>
              <w:bottom w:val="nil"/>
              <w:right w:val="nil"/>
            </w:tcBorders>
            <w:shd w:val="clear" w:color="FFFFFF" w:fill="FFFFFF"/>
            <w:noWrap/>
            <w:vAlign w:val="bottom"/>
            <w:hideMark/>
          </w:tcPr>
          <w:p w14:paraId="3E532B11" w14:textId="77777777" w:rsidR="00520333" w:rsidRPr="006D688A" w:rsidRDefault="00520333" w:rsidP="005E5E0C">
            <w:pPr>
              <w:spacing w:after="0"/>
              <w:rPr>
                <w:rFonts w:cs="Arial"/>
                <w:sz w:val="18"/>
                <w:szCs w:val="18"/>
              </w:rPr>
            </w:pPr>
            <w:r w:rsidRPr="006D688A">
              <w:rPr>
                <w:rFonts w:cs="Arial"/>
                <w:sz w:val="18"/>
                <w:szCs w:val="18"/>
              </w:rPr>
              <w:t> </w:t>
            </w:r>
          </w:p>
        </w:tc>
        <w:tc>
          <w:tcPr>
            <w:tcW w:w="1122" w:type="dxa"/>
            <w:tcBorders>
              <w:top w:val="nil"/>
              <w:left w:val="nil"/>
              <w:bottom w:val="nil"/>
              <w:right w:val="nil"/>
            </w:tcBorders>
            <w:shd w:val="clear" w:color="FFFFFF" w:fill="FFFFFF"/>
            <w:noWrap/>
            <w:vAlign w:val="bottom"/>
            <w:hideMark/>
          </w:tcPr>
          <w:p w14:paraId="17A80804" w14:textId="77777777" w:rsidR="00520333" w:rsidRPr="006D688A" w:rsidRDefault="00520333" w:rsidP="005E5E0C">
            <w:pPr>
              <w:spacing w:after="0"/>
              <w:jc w:val="right"/>
              <w:rPr>
                <w:rFonts w:cs="Arial"/>
                <w:sz w:val="18"/>
                <w:szCs w:val="18"/>
              </w:rPr>
            </w:pPr>
            <w:r w:rsidRPr="006D688A">
              <w:rPr>
                <w:rFonts w:cs="Arial"/>
                <w:sz w:val="18"/>
                <w:szCs w:val="18"/>
              </w:rPr>
              <w:t>551,640</w:t>
            </w:r>
          </w:p>
        </w:tc>
        <w:tc>
          <w:tcPr>
            <w:tcW w:w="236" w:type="dxa"/>
            <w:tcBorders>
              <w:top w:val="nil"/>
              <w:left w:val="nil"/>
              <w:bottom w:val="nil"/>
              <w:right w:val="nil"/>
            </w:tcBorders>
            <w:shd w:val="clear" w:color="FFFFFF" w:fill="FFFFFF"/>
            <w:noWrap/>
            <w:vAlign w:val="bottom"/>
            <w:hideMark/>
          </w:tcPr>
          <w:p w14:paraId="244836F4" w14:textId="77777777" w:rsidR="00520333" w:rsidRPr="006D688A" w:rsidRDefault="00520333" w:rsidP="005E5E0C">
            <w:pPr>
              <w:spacing w:after="0"/>
              <w:rPr>
                <w:rFonts w:cs="Arial"/>
                <w:sz w:val="18"/>
                <w:szCs w:val="18"/>
              </w:rPr>
            </w:pPr>
            <w:r w:rsidRPr="006D688A">
              <w:rPr>
                <w:rFonts w:cs="Arial"/>
                <w:sz w:val="18"/>
                <w:szCs w:val="18"/>
              </w:rPr>
              <w:t> </w:t>
            </w:r>
          </w:p>
        </w:tc>
        <w:tc>
          <w:tcPr>
            <w:tcW w:w="1199" w:type="dxa"/>
            <w:tcBorders>
              <w:top w:val="nil"/>
              <w:left w:val="nil"/>
              <w:bottom w:val="nil"/>
              <w:right w:val="nil"/>
            </w:tcBorders>
            <w:shd w:val="clear" w:color="FFFFFF" w:fill="FFFFFF"/>
            <w:noWrap/>
            <w:vAlign w:val="bottom"/>
            <w:hideMark/>
          </w:tcPr>
          <w:p w14:paraId="0170FCA5" w14:textId="77777777" w:rsidR="00520333" w:rsidRPr="006D688A" w:rsidRDefault="00520333" w:rsidP="005E5E0C">
            <w:pPr>
              <w:spacing w:after="0"/>
              <w:jc w:val="right"/>
              <w:rPr>
                <w:rFonts w:cs="Arial"/>
                <w:sz w:val="18"/>
                <w:szCs w:val="18"/>
              </w:rPr>
            </w:pPr>
            <w:r w:rsidRPr="006D688A">
              <w:rPr>
                <w:rFonts w:cs="Arial"/>
                <w:sz w:val="18"/>
                <w:szCs w:val="18"/>
              </w:rPr>
              <w:t>650,697</w:t>
            </w:r>
          </w:p>
        </w:tc>
      </w:tr>
      <w:tr w:rsidR="00520333" w:rsidRPr="006D688A" w14:paraId="09A02568" w14:textId="77777777" w:rsidTr="005E5E0C">
        <w:trPr>
          <w:trHeight w:val="250"/>
        </w:trPr>
        <w:tc>
          <w:tcPr>
            <w:tcW w:w="4226" w:type="dxa"/>
            <w:tcBorders>
              <w:top w:val="nil"/>
              <w:left w:val="nil"/>
              <w:bottom w:val="nil"/>
              <w:right w:val="nil"/>
            </w:tcBorders>
            <w:shd w:val="clear" w:color="FFFFFF" w:fill="FFFFFF"/>
            <w:vAlign w:val="bottom"/>
            <w:hideMark/>
          </w:tcPr>
          <w:p w14:paraId="1626A9BA" w14:textId="77777777" w:rsidR="00520333" w:rsidRPr="006D688A" w:rsidRDefault="00520333" w:rsidP="005E5E0C">
            <w:pPr>
              <w:spacing w:after="0"/>
              <w:ind w:leftChars="100" w:left="240"/>
              <w:rPr>
                <w:rFonts w:cs="Arial"/>
                <w:sz w:val="18"/>
                <w:szCs w:val="18"/>
              </w:rPr>
            </w:pPr>
            <w:r w:rsidRPr="006D688A">
              <w:rPr>
                <w:rFonts w:cs="Arial"/>
                <w:sz w:val="18"/>
                <w:szCs w:val="18"/>
              </w:rPr>
              <w:t>Suppliers</w:t>
            </w:r>
          </w:p>
        </w:tc>
        <w:tc>
          <w:tcPr>
            <w:tcW w:w="944" w:type="dxa"/>
            <w:tcBorders>
              <w:top w:val="nil"/>
              <w:left w:val="nil"/>
              <w:bottom w:val="nil"/>
              <w:right w:val="nil"/>
            </w:tcBorders>
            <w:shd w:val="clear" w:color="FFFFFF" w:fill="FFFFFF"/>
            <w:noWrap/>
            <w:vAlign w:val="bottom"/>
            <w:hideMark/>
          </w:tcPr>
          <w:p w14:paraId="644A096D" w14:textId="77777777" w:rsidR="00520333" w:rsidRPr="006D688A" w:rsidRDefault="00520333" w:rsidP="005E5E0C">
            <w:pPr>
              <w:spacing w:after="0"/>
              <w:jc w:val="center"/>
              <w:rPr>
                <w:rFonts w:cs="Arial"/>
                <w:sz w:val="18"/>
                <w:szCs w:val="18"/>
              </w:rPr>
            </w:pPr>
            <w:r w:rsidRPr="006D688A">
              <w:rPr>
                <w:rFonts w:cs="Arial"/>
                <w:sz w:val="18"/>
                <w:szCs w:val="18"/>
              </w:rPr>
              <w:t>1.1B</w:t>
            </w:r>
          </w:p>
        </w:tc>
        <w:tc>
          <w:tcPr>
            <w:tcW w:w="1124" w:type="dxa"/>
            <w:tcBorders>
              <w:top w:val="nil"/>
              <w:left w:val="nil"/>
              <w:bottom w:val="nil"/>
              <w:right w:val="nil"/>
            </w:tcBorders>
            <w:shd w:val="clear" w:color="FFFFFF" w:fill="FFFFFF"/>
            <w:noWrap/>
            <w:vAlign w:val="bottom"/>
            <w:hideMark/>
          </w:tcPr>
          <w:p w14:paraId="07589808" w14:textId="77777777" w:rsidR="00520333" w:rsidRPr="006D688A" w:rsidRDefault="00520333" w:rsidP="005E5E0C">
            <w:pPr>
              <w:spacing w:after="0"/>
              <w:jc w:val="right"/>
              <w:rPr>
                <w:rFonts w:cs="Arial"/>
                <w:b/>
                <w:bCs/>
                <w:sz w:val="18"/>
                <w:szCs w:val="18"/>
              </w:rPr>
            </w:pPr>
            <w:r w:rsidRPr="006D688A">
              <w:rPr>
                <w:rFonts w:cs="Arial"/>
                <w:b/>
                <w:bCs/>
                <w:sz w:val="18"/>
                <w:szCs w:val="18"/>
              </w:rPr>
              <w:t>653,950</w:t>
            </w:r>
          </w:p>
        </w:tc>
        <w:tc>
          <w:tcPr>
            <w:tcW w:w="236" w:type="dxa"/>
            <w:tcBorders>
              <w:top w:val="nil"/>
              <w:left w:val="nil"/>
              <w:bottom w:val="nil"/>
              <w:right w:val="nil"/>
            </w:tcBorders>
            <w:shd w:val="clear" w:color="FFFFFF" w:fill="FFFFFF"/>
            <w:noWrap/>
            <w:vAlign w:val="bottom"/>
            <w:hideMark/>
          </w:tcPr>
          <w:p w14:paraId="6CCD20ED" w14:textId="77777777" w:rsidR="00520333" w:rsidRPr="006D688A" w:rsidRDefault="00520333" w:rsidP="005E5E0C">
            <w:pPr>
              <w:spacing w:after="0"/>
              <w:rPr>
                <w:rFonts w:cs="Arial"/>
                <w:sz w:val="18"/>
                <w:szCs w:val="18"/>
              </w:rPr>
            </w:pPr>
            <w:r w:rsidRPr="006D688A">
              <w:rPr>
                <w:rFonts w:cs="Arial"/>
                <w:sz w:val="18"/>
                <w:szCs w:val="18"/>
              </w:rPr>
              <w:t> </w:t>
            </w:r>
          </w:p>
        </w:tc>
        <w:tc>
          <w:tcPr>
            <w:tcW w:w="1122" w:type="dxa"/>
            <w:tcBorders>
              <w:top w:val="nil"/>
              <w:left w:val="nil"/>
              <w:bottom w:val="nil"/>
              <w:right w:val="nil"/>
            </w:tcBorders>
            <w:shd w:val="clear" w:color="FFFFFF" w:fill="FFFFFF"/>
            <w:noWrap/>
            <w:vAlign w:val="bottom"/>
            <w:hideMark/>
          </w:tcPr>
          <w:p w14:paraId="147522E1" w14:textId="77777777" w:rsidR="00520333" w:rsidRPr="006D688A" w:rsidRDefault="00520333" w:rsidP="005E5E0C">
            <w:pPr>
              <w:spacing w:after="0"/>
              <w:jc w:val="right"/>
              <w:rPr>
                <w:rFonts w:cs="Arial"/>
                <w:sz w:val="18"/>
                <w:szCs w:val="18"/>
              </w:rPr>
            </w:pPr>
            <w:r w:rsidRPr="006D688A">
              <w:rPr>
                <w:rFonts w:cs="Arial"/>
                <w:sz w:val="18"/>
                <w:szCs w:val="18"/>
              </w:rPr>
              <w:t>604,046</w:t>
            </w:r>
          </w:p>
        </w:tc>
        <w:tc>
          <w:tcPr>
            <w:tcW w:w="236" w:type="dxa"/>
            <w:tcBorders>
              <w:top w:val="nil"/>
              <w:left w:val="nil"/>
              <w:bottom w:val="nil"/>
              <w:right w:val="nil"/>
            </w:tcBorders>
            <w:shd w:val="clear" w:color="FFFFFF" w:fill="FFFFFF"/>
            <w:noWrap/>
            <w:vAlign w:val="bottom"/>
            <w:hideMark/>
          </w:tcPr>
          <w:p w14:paraId="6CC7D219" w14:textId="77777777" w:rsidR="00520333" w:rsidRPr="006D688A" w:rsidRDefault="00520333" w:rsidP="005E5E0C">
            <w:pPr>
              <w:spacing w:after="0"/>
              <w:rPr>
                <w:rFonts w:cs="Arial"/>
                <w:sz w:val="18"/>
                <w:szCs w:val="18"/>
              </w:rPr>
            </w:pPr>
            <w:r w:rsidRPr="006D688A">
              <w:rPr>
                <w:rFonts w:cs="Arial"/>
                <w:sz w:val="18"/>
                <w:szCs w:val="18"/>
              </w:rPr>
              <w:t> </w:t>
            </w:r>
          </w:p>
        </w:tc>
        <w:tc>
          <w:tcPr>
            <w:tcW w:w="1199" w:type="dxa"/>
            <w:tcBorders>
              <w:top w:val="nil"/>
              <w:left w:val="nil"/>
              <w:bottom w:val="nil"/>
              <w:right w:val="nil"/>
            </w:tcBorders>
            <w:shd w:val="clear" w:color="FFFFFF" w:fill="FFFFFF"/>
            <w:noWrap/>
            <w:vAlign w:val="bottom"/>
            <w:hideMark/>
          </w:tcPr>
          <w:p w14:paraId="48D40A68" w14:textId="77777777" w:rsidR="00520333" w:rsidRPr="006D688A" w:rsidRDefault="00520333" w:rsidP="005E5E0C">
            <w:pPr>
              <w:spacing w:after="0"/>
              <w:jc w:val="right"/>
              <w:rPr>
                <w:rFonts w:cs="Arial"/>
                <w:sz w:val="18"/>
                <w:szCs w:val="18"/>
              </w:rPr>
            </w:pPr>
            <w:r w:rsidRPr="006D688A">
              <w:rPr>
                <w:rFonts w:cs="Arial"/>
                <w:sz w:val="18"/>
                <w:szCs w:val="18"/>
              </w:rPr>
              <w:t>1,433,626</w:t>
            </w:r>
          </w:p>
        </w:tc>
      </w:tr>
      <w:tr w:rsidR="00520333" w:rsidRPr="006D688A" w14:paraId="0EF44C54" w14:textId="77777777" w:rsidTr="005E5E0C">
        <w:trPr>
          <w:trHeight w:val="250"/>
        </w:trPr>
        <w:tc>
          <w:tcPr>
            <w:tcW w:w="4226" w:type="dxa"/>
            <w:tcBorders>
              <w:top w:val="nil"/>
              <w:left w:val="nil"/>
              <w:bottom w:val="nil"/>
              <w:right w:val="nil"/>
            </w:tcBorders>
            <w:shd w:val="clear" w:color="FFFFFF" w:fill="FFFFFF"/>
            <w:vAlign w:val="bottom"/>
            <w:hideMark/>
          </w:tcPr>
          <w:p w14:paraId="5FC7B04A" w14:textId="77777777" w:rsidR="00520333" w:rsidRPr="006D688A" w:rsidRDefault="00520333" w:rsidP="005E5E0C">
            <w:pPr>
              <w:spacing w:after="0"/>
              <w:ind w:leftChars="100" w:left="240"/>
              <w:rPr>
                <w:rFonts w:cs="Arial"/>
                <w:sz w:val="18"/>
                <w:szCs w:val="18"/>
              </w:rPr>
            </w:pPr>
            <w:r w:rsidRPr="006D688A">
              <w:rPr>
                <w:rFonts w:cs="Arial"/>
                <w:sz w:val="18"/>
                <w:szCs w:val="18"/>
              </w:rPr>
              <w:t>Community partnership costs</w:t>
            </w:r>
          </w:p>
        </w:tc>
        <w:tc>
          <w:tcPr>
            <w:tcW w:w="944" w:type="dxa"/>
            <w:tcBorders>
              <w:top w:val="nil"/>
              <w:left w:val="nil"/>
              <w:bottom w:val="nil"/>
              <w:right w:val="nil"/>
            </w:tcBorders>
            <w:shd w:val="clear" w:color="FFFFFF" w:fill="FFFFFF"/>
            <w:noWrap/>
            <w:vAlign w:val="bottom"/>
            <w:hideMark/>
          </w:tcPr>
          <w:p w14:paraId="0AC2F8DA" w14:textId="77777777" w:rsidR="00520333" w:rsidRPr="006D688A" w:rsidRDefault="00520333" w:rsidP="005E5E0C">
            <w:pPr>
              <w:spacing w:after="0"/>
              <w:jc w:val="center"/>
              <w:rPr>
                <w:rFonts w:cs="Arial"/>
                <w:sz w:val="18"/>
                <w:szCs w:val="18"/>
              </w:rPr>
            </w:pPr>
            <w:r w:rsidRPr="006D688A">
              <w:rPr>
                <w:rFonts w:cs="Arial"/>
                <w:sz w:val="18"/>
                <w:szCs w:val="18"/>
              </w:rPr>
              <w:t>1.1F</w:t>
            </w:r>
          </w:p>
        </w:tc>
        <w:tc>
          <w:tcPr>
            <w:tcW w:w="1124" w:type="dxa"/>
            <w:tcBorders>
              <w:top w:val="nil"/>
              <w:left w:val="nil"/>
              <w:bottom w:val="nil"/>
              <w:right w:val="nil"/>
            </w:tcBorders>
            <w:shd w:val="clear" w:color="FFFFFF" w:fill="FFFFFF"/>
            <w:noWrap/>
            <w:vAlign w:val="bottom"/>
            <w:hideMark/>
          </w:tcPr>
          <w:p w14:paraId="74D1813C" w14:textId="77777777" w:rsidR="00520333" w:rsidRPr="006D688A" w:rsidRDefault="00520333" w:rsidP="005E5E0C">
            <w:pPr>
              <w:spacing w:after="0"/>
              <w:jc w:val="right"/>
              <w:rPr>
                <w:rFonts w:cs="Arial"/>
                <w:b/>
                <w:bCs/>
                <w:sz w:val="18"/>
                <w:szCs w:val="18"/>
              </w:rPr>
            </w:pPr>
            <w:r w:rsidRPr="006D688A">
              <w:rPr>
                <w:rFonts w:cs="Arial"/>
                <w:b/>
                <w:bCs/>
                <w:sz w:val="18"/>
                <w:szCs w:val="18"/>
              </w:rPr>
              <w:t>605,739</w:t>
            </w:r>
          </w:p>
        </w:tc>
        <w:tc>
          <w:tcPr>
            <w:tcW w:w="236" w:type="dxa"/>
            <w:tcBorders>
              <w:top w:val="nil"/>
              <w:left w:val="nil"/>
              <w:bottom w:val="nil"/>
              <w:right w:val="nil"/>
            </w:tcBorders>
            <w:shd w:val="clear" w:color="FFFFFF" w:fill="FFFFFF"/>
            <w:noWrap/>
            <w:vAlign w:val="bottom"/>
            <w:hideMark/>
          </w:tcPr>
          <w:p w14:paraId="2457C3EC" w14:textId="77777777" w:rsidR="00520333" w:rsidRPr="006D688A" w:rsidRDefault="00520333" w:rsidP="005E5E0C">
            <w:pPr>
              <w:spacing w:after="0"/>
              <w:rPr>
                <w:rFonts w:cs="Arial"/>
                <w:sz w:val="18"/>
                <w:szCs w:val="18"/>
              </w:rPr>
            </w:pPr>
            <w:r w:rsidRPr="006D688A">
              <w:rPr>
                <w:rFonts w:cs="Arial"/>
                <w:sz w:val="18"/>
                <w:szCs w:val="18"/>
              </w:rPr>
              <w:t> </w:t>
            </w:r>
          </w:p>
        </w:tc>
        <w:tc>
          <w:tcPr>
            <w:tcW w:w="1122" w:type="dxa"/>
            <w:tcBorders>
              <w:top w:val="nil"/>
              <w:left w:val="nil"/>
              <w:bottom w:val="nil"/>
              <w:right w:val="nil"/>
            </w:tcBorders>
            <w:shd w:val="clear" w:color="FFFFFF" w:fill="FFFFFF"/>
            <w:noWrap/>
            <w:vAlign w:val="bottom"/>
            <w:hideMark/>
          </w:tcPr>
          <w:p w14:paraId="56040894" w14:textId="77777777" w:rsidR="00520333" w:rsidRPr="006D688A" w:rsidRDefault="00520333" w:rsidP="005E5E0C">
            <w:pPr>
              <w:spacing w:after="0"/>
              <w:jc w:val="right"/>
              <w:rPr>
                <w:rFonts w:cs="Arial"/>
                <w:sz w:val="18"/>
                <w:szCs w:val="18"/>
              </w:rPr>
            </w:pPr>
            <w:r w:rsidRPr="006D688A">
              <w:rPr>
                <w:rFonts w:cs="Arial"/>
                <w:sz w:val="18"/>
                <w:szCs w:val="18"/>
              </w:rPr>
              <w:t>604,346</w:t>
            </w:r>
          </w:p>
        </w:tc>
        <w:tc>
          <w:tcPr>
            <w:tcW w:w="236" w:type="dxa"/>
            <w:tcBorders>
              <w:top w:val="nil"/>
              <w:left w:val="nil"/>
              <w:bottom w:val="nil"/>
              <w:right w:val="nil"/>
            </w:tcBorders>
            <w:shd w:val="clear" w:color="FFFFFF" w:fill="FFFFFF"/>
            <w:noWrap/>
            <w:vAlign w:val="bottom"/>
            <w:hideMark/>
          </w:tcPr>
          <w:p w14:paraId="73C9F96B" w14:textId="77777777" w:rsidR="00520333" w:rsidRPr="006D688A" w:rsidRDefault="00520333" w:rsidP="005E5E0C">
            <w:pPr>
              <w:spacing w:after="0"/>
              <w:rPr>
                <w:rFonts w:cs="Arial"/>
                <w:sz w:val="18"/>
                <w:szCs w:val="18"/>
              </w:rPr>
            </w:pPr>
            <w:r w:rsidRPr="006D688A">
              <w:rPr>
                <w:rFonts w:cs="Arial"/>
                <w:sz w:val="18"/>
                <w:szCs w:val="18"/>
              </w:rPr>
              <w:t> </w:t>
            </w:r>
          </w:p>
        </w:tc>
        <w:tc>
          <w:tcPr>
            <w:tcW w:w="1199" w:type="dxa"/>
            <w:tcBorders>
              <w:top w:val="nil"/>
              <w:left w:val="nil"/>
              <w:bottom w:val="nil"/>
              <w:right w:val="nil"/>
            </w:tcBorders>
            <w:shd w:val="clear" w:color="FFFFFF" w:fill="FFFFFF"/>
            <w:noWrap/>
            <w:vAlign w:val="bottom"/>
            <w:hideMark/>
          </w:tcPr>
          <w:p w14:paraId="26726E0A" w14:textId="77777777" w:rsidR="00520333" w:rsidRPr="006D688A" w:rsidRDefault="00520333" w:rsidP="005E5E0C">
            <w:pPr>
              <w:spacing w:after="0"/>
              <w:jc w:val="right"/>
              <w:rPr>
                <w:rFonts w:cs="Arial"/>
                <w:sz w:val="18"/>
                <w:szCs w:val="18"/>
              </w:rPr>
            </w:pPr>
            <w:r w:rsidRPr="006D688A">
              <w:rPr>
                <w:rFonts w:cs="Arial"/>
                <w:sz w:val="18"/>
                <w:szCs w:val="18"/>
              </w:rPr>
              <w:t xml:space="preserve"> -</w:t>
            </w:r>
          </w:p>
        </w:tc>
      </w:tr>
      <w:tr w:rsidR="00520333" w:rsidRPr="006D688A" w14:paraId="361C1201" w14:textId="77777777" w:rsidTr="005E5E0C">
        <w:trPr>
          <w:trHeight w:val="250"/>
        </w:trPr>
        <w:tc>
          <w:tcPr>
            <w:tcW w:w="4226" w:type="dxa"/>
            <w:tcBorders>
              <w:top w:val="nil"/>
              <w:left w:val="nil"/>
              <w:bottom w:val="nil"/>
              <w:right w:val="nil"/>
            </w:tcBorders>
            <w:shd w:val="clear" w:color="FFFFFF" w:fill="FFFFFF"/>
            <w:vAlign w:val="bottom"/>
            <w:hideMark/>
          </w:tcPr>
          <w:p w14:paraId="4D20EC0F" w14:textId="77777777" w:rsidR="00520333" w:rsidRPr="006D688A" w:rsidRDefault="00520333" w:rsidP="005E5E0C">
            <w:pPr>
              <w:spacing w:after="0"/>
              <w:ind w:leftChars="100" w:left="240"/>
              <w:rPr>
                <w:rFonts w:cs="Arial"/>
                <w:sz w:val="18"/>
                <w:szCs w:val="18"/>
              </w:rPr>
            </w:pPr>
            <w:r w:rsidRPr="006D688A">
              <w:rPr>
                <w:rFonts w:cs="Arial"/>
                <w:sz w:val="18"/>
                <w:szCs w:val="18"/>
              </w:rPr>
              <w:t>Grants</w:t>
            </w:r>
          </w:p>
        </w:tc>
        <w:tc>
          <w:tcPr>
            <w:tcW w:w="944" w:type="dxa"/>
            <w:tcBorders>
              <w:top w:val="nil"/>
              <w:left w:val="nil"/>
              <w:bottom w:val="nil"/>
              <w:right w:val="nil"/>
            </w:tcBorders>
            <w:shd w:val="clear" w:color="FFFFFF" w:fill="FFFFFF"/>
            <w:noWrap/>
            <w:vAlign w:val="bottom"/>
            <w:hideMark/>
          </w:tcPr>
          <w:p w14:paraId="030CE879" w14:textId="77777777" w:rsidR="00520333" w:rsidRPr="006D688A" w:rsidRDefault="00520333" w:rsidP="005E5E0C">
            <w:pPr>
              <w:spacing w:after="0"/>
              <w:jc w:val="center"/>
              <w:rPr>
                <w:rFonts w:cs="Arial"/>
                <w:sz w:val="18"/>
                <w:szCs w:val="18"/>
              </w:rPr>
            </w:pPr>
            <w:r w:rsidRPr="006D688A">
              <w:rPr>
                <w:rFonts w:cs="Arial"/>
                <w:sz w:val="18"/>
                <w:szCs w:val="18"/>
              </w:rPr>
              <w:t>1.1C</w:t>
            </w:r>
          </w:p>
        </w:tc>
        <w:tc>
          <w:tcPr>
            <w:tcW w:w="1124" w:type="dxa"/>
            <w:tcBorders>
              <w:top w:val="nil"/>
              <w:left w:val="nil"/>
              <w:bottom w:val="nil"/>
              <w:right w:val="nil"/>
            </w:tcBorders>
            <w:shd w:val="clear" w:color="FFFFFF" w:fill="FFFFFF"/>
            <w:noWrap/>
            <w:vAlign w:val="bottom"/>
            <w:hideMark/>
          </w:tcPr>
          <w:p w14:paraId="213F2873" w14:textId="77777777" w:rsidR="00520333" w:rsidRPr="006D688A" w:rsidRDefault="00520333" w:rsidP="005E5E0C">
            <w:pPr>
              <w:spacing w:after="0"/>
              <w:jc w:val="right"/>
              <w:rPr>
                <w:rFonts w:cs="Arial"/>
                <w:b/>
                <w:bCs/>
                <w:sz w:val="18"/>
                <w:szCs w:val="18"/>
              </w:rPr>
            </w:pPr>
            <w:r w:rsidRPr="006D688A">
              <w:rPr>
                <w:rFonts w:cs="Arial"/>
                <w:b/>
                <w:bCs/>
                <w:sz w:val="18"/>
                <w:szCs w:val="18"/>
              </w:rPr>
              <w:t>5,306</w:t>
            </w:r>
          </w:p>
        </w:tc>
        <w:tc>
          <w:tcPr>
            <w:tcW w:w="236" w:type="dxa"/>
            <w:tcBorders>
              <w:top w:val="nil"/>
              <w:left w:val="nil"/>
              <w:bottom w:val="nil"/>
              <w:right w:val="nil"/>
            </w:tcBorders>
            <w:shd w:val="clear" w:color="FFFFFF" w:fill="FFFFFF"/>
            <w:noWrap/>
            <w:vAlign w:val="bottom"/>
            <w:hideMark/>
          </w:tcPr>
          <w:p w14:paraId="0EFF89FE" w14:textId="77777777" w:rsidR="00520333" w:rsidRPr="006D688A" w:rsidRDefault="00520333" w:rsidP="005E5E0C">
            <w:pPr>
              <w:spacing w:after="0"/>
              <w:rPr>
                <w:rFonts w:cs="Arial"/>
                <w:sz w:val="18"/>
                <w:szCs w:val="18"/>
              </w:rPr>
            </w:pPr>
            <w:r w:rsidRPr="006D688A">
              <w:rPr>
                <w:rFonts w:cs="Arial"/>
                <w:sz w:val="18"/>
                <w:szCs w:val="18"/>
              </w:rPr>
              <w:t> </w:t>
            </w:r>
          </w:p>
        </w:tc>
        <w:tc>
          <w:tcPr>
            <w:tcW w:w="1122" w:type="dxa"/>
            <w:tcBorders>
              <w:top w:val="nil"/>
              <w:left w:val="nil"/>
              <w:bottom w:val="nil"/>
              <w:right w:val="nil"/>
            </w:tcBorders>
            <w:shd w:val="clear" w:color="FFFFFF" w:fill="FFFFFF"/>
            <w:noWrap/>
            <w:vAlign w:val="bottom"/>
            <w:hideMark/>
          </w:tcPr>
          <w:p w14:paraId="7C5D80F4" w14:textId="77777777" w:rsidR="00520333" w:rsidRPr="006D688A" w:rsidRDefault="00520333" w:rsidP="005E5E0C">
            <w:pPr>
              <w:spacing w:after="0"/>
              <w:jc w:val="right"/>
              <w:rPr>
                <w:rFonts w:cs="Arial"/>
                <w:sz w:val="18"/>
                <w:szCs w:val="18"/>
              </w:rPr>
            </w:pPr>
            <w:r w:rsidRPr="006D688A">
              <w:rPr>
                <w:rFonts w:cs="Arial"/>
                <w:sz w:val="18"/>
                <w:szCs w:val="18"/>
              </w:rPr>
              <w:t>347</w:t>
            </w:r>
          </w:p>
        </w:tc>
        <w:tc>
          <w:tcPr>
            <w:tcW w:w="236" w:type="dxa"/>
            <w:tcBorders>
              <w:top w:val="nil"/>
              <w:left w:val="nil"/>
              <w:bottom w:val="nil"/>
              <w:right w:val="nil"/>
            </w:tcBorders>
            <w:shd w:val="clear" w:color="FFFFFF" w:fill="FFFFFF"/>
            <w:noWrap/>
            <w:vAlign w:val="bottom"/>
            <w:hideMark/>
          </w:tcPr>
          <w:p w14:paraId="2A290CE0" w14:textId="77777777" w:rsidR="00520333" w:rsidRPr="006D688A" w:rsidRDefault="00520333" w:rsidP="005E5E0C">
            <w:pPr>
              <w:spacing w:after="0"/>
              <w:rPr>
                <w:rFonts w:cs="Arial"/>
                <w:sz w:val="18"/>
                <w:szCs w:val="18"/>
              </w:rPr>
            </w:pPr>
            <w:r w:rsidRPr="006D688A">
              <w:rPr>
                <w:rFonts w:cs="Arial"/>
                <w:sz w:val="18"/>
                <w:szCs w:val="18"/>
              </w:rPr>
              <w:t> </w:t>
            </w:r>
          </w:p>
        </w:tc>
        <w:tc>
          <w:tcPr>
            <w:tcW w:w="1199" w:type="dxa"/>
            <w:tcBorders>
              <w:top w:val="nil"/>
              <w:left w:val="nil"/>
              <w:bottom w:val="nil"/>
              <w:right w:val="nil"/>
            </w:tcBorders>
            <w:shd w:val="clear" w:color="FFFFFF" w:fill="FFFFFF"/>
            <w:noWrap/>
            <w:vAlign w:val="bottom"/>
            <w:hideMark/>
          </w:tcPr>
          <w:p w14:paraId="03DFA726" w14:textId="77777777" w:rsidR="00520333" w:rsidRPr="006D688A" w:rsidRDefault="00520333" w:rsidP="005E5E0C">
            <w:pPr>
              <w:spacing w:after="0"/>
              <w:jc w:val="right"/>
              <w:rPr>
                <w:rFonts w:cs="Arial"/>
                <w:sz w:val="18"/>
                <w:szCs w:val="18"/>
              </w:rPr>
            </w:pPr>
            <w:r w:rsidRPr="006D688A">
              <w:rPr>
                <w:rFonts w:cs="Arial"/>
                <w:sz w:val="18"/>
                <w:szCs w:val="18"/>
              </w:rPr>
              <w:t xml:space="preserve"> -</w:t>
            </w:r>
          </w:p>
        </w:tc>
      </w:tr>
      <w:tr w:rsidR="00520333" w:rsidRPr="006D688A" w14:paraId="3B721E4C" w14:textId="77777777" w:rsidTr="005E5E0C">
        <w:trPr>
          <w:trHeight w:val="250"/>
        </w:trPr>
        <w:tc>
          <w:tcPr>
            <w:tcW w:w="4226" w:type="dxa"/>
            <w:tcBorders>
              <w:top w:val="nil"/>
              <w:left w:val="nil"/>
              <w:bottom w:val="nil"/>
              <w:right w:val="nil"/>
            </w:tcBorders>
            <w:shd w:val="clear" w:color="FFFFFF" w:fill="FFFFFF"/>
            <w:vAlign w:val="bottom"/>
            <w:hideMark/>
          </w:tcPr>
          <w:p w14:paraId="6DEB88DA" w14:textId="77777777" w:rsidR="00520333" w:rsidRPr="006D688A" w:rsidRDefault="00520333" w:rsidP="005E5E0C">
            <w:pPr>
              <w:spacing w:after="0"/>
              <w:ind w:leftChars="100" w:left="240"/>
              <w:rPr>
                <w:rFonts w:cs="Arial"/>
                <w:sz w:val="18"/>
                <w:szCs w:val="18"/>
              </w:rPr>
            </w:pPr>
            <w:r w:rsidRPr="006D688A">
              <w:rPr>
                <w:rFonts w:cs="Arial"/>
                <w:sz w:val="18"/>
                <w:szCs w:val="18"/>
              </w:rPr>
              <w:t>Participant plan expenses</w:t>
            </w:r>
          </w:p>
        </w:tc>
        <w:tc>
          <w:tcPr>
            <w:tcW w:w="944" w:type="dxa"/>
            <w:tcBorders>
              <w:top w:val="nil"/>
              <w:left w:val="nil"/>
              <w:bottom w:val="nil"/>
              <w:right w:val="nil"/>
            </w:tcBorders>
            <w:shd w:val="clear" w:color="FFFFFF" w:fill="FFFFFF"/>
            <w:noWrap/>
            <w:vAlign w:val="bottom"/>
            <w:hideMark/>
          </w:tcPr>
          <w:p w14:paraId="7FEE00E3" w14:textId="77777777" w:rsidR="00520333" w:rsidRPr="006D688A" w:rsidRDefault="00520333" w:rsidP="005E5E0C">
            <w:pPr>
              <w:spacing w:after="0"/>
              <w:jc w:val="center"/>
              <w:rPr>
                <w:rFonts w:cs="Arial"/>
                <w:sz w:val="18"/>
                <w:szCs w:val="18"/>
              </w:rPr>
            </w:pPr>
            <w:r w:rsidRPr="006D688A">
              <w:rPr>
                <w:rFonts w:cs="Arial"/>
                <w:sz w:val="18"/>
                <w:szCs w:val="18"/>
              </w:rPr>
              <w:t>1.1G</w:t>
            </w:r>
          </w:p>
        </w:tc>
        <w:tc>
          <w:tcPr>
            <w:tcW w:w="1124" w:type="dxa"/>
            <w:tcBorders>
              <w:top w:val="nil"/>
              <w:left w:val="nil"/>
              <w:bottom w:val="nil"/>
              <w:right w:val="nil"/>
            </w:tcBorders>
            <w:shd w:val="clear" w:color="FFFFFF" w:fill="FFFFFF"/>
            <w:noWrap/>
            <w:vAlign w:val="bottom"/>
            <w:hideMark/>
          </w:tcPr>
          <w:p w14:paraId="68A501AB" w14:textId="77777777" w:rsidR="00520333" w:rsidRPr="006D688A" w:rsidRDefault="00520333" w:rsidP="005E5E0C">
            <w:pPr>
              <w:spacing w:after="0"/>
              <w:jc w:val="right"/>
              <w:rPr>
                <w:rFonts w:cs="Arial"/>
                <w:b/>
                <w:bCs/>
                <w:sz w:val="18"/>
                <w:szCs w:val="18"/>
              </w:rPr>
            </w:pPr>
            <w:r w:rsidRPr="006D688A">
              <w:rPr>
                <w:rFonts w:cs="Arial"/>
                <w:b/>
                <w:bCs/>
                <w:sz w:val="18"/>
                <w:szCs w:val="18"/>
              </w:rPr>
              <w:t>41,845,657</w:t>
            </w:r>
          </w:p>
        </w:tc>
        <w:tc>
          <w:tcPr>
            <w:tcW w:w="236" w:type="dxa"/>
            <w:tcBorders>
              <w:top w:val="nil"/>
              <w:left w:val="nil"/>
              <w:bottom w:val="nil"/>
              <w:right w:val="nil"/>
            </w:tcBorders>
            <w:shd w:val="clear" w:color="FFFFFF" w:fill="FFFFFF"/>
            <w:noWrap/>
            <w:vAlign w:val="bottom"/>
            <w:hideMark/>
          </w:tcPr>
          <w:p w14:paraId="1D3DEB0B" w14:textId="77777777" w:rsidR="00520333" w:rsidRPr="006D688A" w:rsidRDefault="00520333" w:rsidP="005E5E0C">
            <w:pPr>
              <w:spacing w:after="0"/>
              <w:rPr>
                <w:rFonts w:cs="Arial"/>
                <w:sz w:val="18"/>
                <w:szCs w:val="18"/>
              </w:rPr>
            </w:pPr>
            <w:r w:rsidRPr="006D688A">
              <w:rPr>
                <w:rFonts w:cs="Arial"/>
                <w:sz w:val="18"/>
                <w:szCs w:val="18"/>
              </w:rPr>
              <w:t> </w:t>
            </w:r>
          </w:p>
        </w:tc>
        <w:tc>
          <w:tcPr>
            <w:tcW w:w="1122" w:type="dxa"/>
            <w:tcBorders>
              <w:top w:val="nil"/>
              <w:left w:val="nil"/>
              <w:bottom w:val="nil"/>
              <w:right w:val="nil"/>
            </w:tcBorders>
            <w:shd w:val="clear" w:color="FFFFFF" w:fill="FFFFFF"/>
            <w:noWrap/>
            <w:vAlign w:val="bottom"/>
            <w:hideMark/>
          </w:tcPr>
          <w:p w14:paraId="6B6ECA61" w14:textId="77777777" w:rsidR="00520333" w:rsidRPr="006D688A" w:rsidRDefault="00520333" w:rsidP="005E5E0C">
            <w:pPr>
              <w:spacing w:after="0"/>
              <w:jc w:val="right"/>
              <w:rPr>
                <w:rFonts w:cs="Arial"/>
                <w:sz w:val="18"/>
                <w:szCs w:val="18"/>
              </w:rPr>
            </w:pPr>
            <w:r w:rsidRPr="006D688A">
              <w:rPr>
                <w:rFonts w:cs="Arial"/>
                <w:sz w:val="18"/>
                <w:szCs w:val="18"/>
              </w:rPr>
              <w:t>35,193,427</w:t>
            </w:r>
          </w:p>
        </w:tc>
        <w:tc>
          <w:tcPr>
            <w:tcW w:w="236" w:type="dxa"/>
            <w:tcBorders>
              <w:top w:val="nil"/>
              <w:left w:val="nil"/>
              <w:bottom w:val="nil"/>
              <w:right w:val="nil"/>
            </w:tcBorders>
            <w:shd w:val="clear" w:color="FFFFFF" w:fill="FFFFFF"/>
            <w:noWrap/>
            <w:vAlign w:val="bottom"/>
            <w:hideMark/>
          </w:tcPr>
          <w:p w14:paraId="1456CCB9" w14:textId="77777777" w:rsidR="00520333" w:rsidRPr="006D688A" w:rsidRDefault="00520333" w:rsidP="005E5E0C">
            <w:pPr>
              <w:spacing w:after="0"/>
              <w:rPr>
                <w:rFonts w:cs="Arial"/>
                <w:sz w:val="18"/>
                <w:szCs w:val="18"/>
              </w:rPr>
            </w:pPr>
            <w:r w:rsidRPr="006D688A">
              <w:rPr>
                <w:rFonts w:cs="Arial"/>
                <w:sz w:val="18"/>
                <w:szCs w:val="18"/>
              </w:rPr>
              <w:t> </w:t>
            </w:r>
          </w:p>
        </w:tc>
        <w:tc>
          <w:tcPr>
            <w:tcW w:w="1199" w:type="dxa"/>
            <w:tcBorders>
              <w:top w:val="nil"/>
              <w:left w:val="nil"/>
              <w:bottom w:val="nil"/>
              <w:right w:val="nil"/>
            </w:tcBorders>
            <w:shd w:val="clear" w:color="FFFFFF" w:fill="FFFFFF"/>
            <w:noWrap/>
            <w:vAlign w:val="bottom"/>
            <w:hideMark/>
          </w:tcPr>
          <w:p w14:paraId="60F894D2" w14:textId="77777777" w:rsidR="00520333" w:rsidRPr="006D688A" w:rsidRDefault="00520333" w:rsidP="005E5E0C">
            <w:pPr>
              <w:spacing w:after="0"/>
              <w:jc w:val="right"/>
              <w:rPr>
                <w:rFonts w:cs="Arial"/>
                <w:sz w:val="18"/>
                <w:szCs w:val="18"/>
              </w:rPr>
            </w:pPr>
            <w:r w:rsidRPr="006D688A">
              <w:rPr>
                <w:rFonts w:cs="Arial"/>
                <w:sz w:val="18"/>
                <w:szCs w:val="18"/>
              </w:rPr>
              <w:t>39,976,977</w:t>
            </w:r>
          </w:p>
        </w:tc>
      </w:tr>
      <w:tr w:rsidR="00520333" w:rsidRPr="006D688A" w14:paraId="23831EE3" w14:textId="77777777" w:rsidTr="005E5E0C">
        <w:trPr>
          <w:trHeight w:val="250"/>
        </w:trPr>
        <w:tc>
          <w:tcPr>
            <w:tcW w:w="4226" w:type="dxa"/>
            <w:tcBorders>
              <w:top w:val="nil"/>
              <w:left w:val="nil"/>
              <w:bottom w:val="nil"/>
              <w:right w:val="nil"/>
            </w:tcBorders>
            <w:shd w:val="clear" w:color="FFFFFF" w:fill="FFFFFF"/>
            <w:vAlign w:val="bottom"/>
            <w:hideMark/>
          </w:tcPr>
          <w:p w14:paraId="24011391" w14:textId="77777777" w:rsidR="00520333" w:rsidRPr="006D688A" w:rsidRDefault="00520333" w:rsidP="005E5E0C">
            <w:pPr>
              <w:spacing w:after="0"/>
              <w:ind w:leftChars="100" w:left="240"/>
              <w:rPr>
                <w:rFonts w:cs="Arial"/>
                <w:sz w:val="18"/>
                <w:szCs w:val="18"/>
              </w:rPr>
            </w:pPr>
            <w:r w:rsidRPr="006D688A">
              <w:rPr>
                <w:rFonts w:cs="Arial"/>
                <w:sz w:val="18"/>
                <w:szCs w:val="18"/>
              </w:rPr>
              <w:t>Depreciation and amortisation</w:t>
            </w:r>
          </w:p>
        </w:tc>
        <w:tc>
          <w:tcPr>
            <w:tcW w:w="944" w:type="dxa"/>
            <w:tcBorders>
              <w:top w:val="nil"/>
              <w:left w:val="nil"/>
              <w:bottom w:val="nil"/>
              <w:right w:val="nil"/>
            </w:tcBorders>
            <w:shd w:val="clear" w:color="FFFFFF" w:fill="FFFFFF"/>
            <w:noWrap/>
            <w:vAlign w:val="bottom"/>
            <w:hideMark/>
          </w:tcPr>
          <w:p w14:paraId="58585FDD" w14:textId="77777777" w:rsidR="00520333" w:rsidRPr="006D688A" w:rsidRDefault="00520333" w:rsidP="005E5E0C">
            <w:pPr>
              <w:spacing w:after="0"/>
              <w:jc w:val="center"/>
              <w:rPr>
                <w:rFonts w:cs="Arial"/>
                <w:sz w:val="18"/>
                <w:szCs w:val="18"/>
              </w:rPr>
            </w:pPr>
            <w:r w:rsidRPr="006D688A">
              <w:rPr>
                <w:rFonts w:cs="Arial"/>
                <w:sz w:val="18"/>
                <w:szCs w:val="18"/>
              </w:rPr>
              <w:t>2.2A</w:t>
            </w:r>
          </w:p>
        </w:tc>
        <w:tc>
          <w:tcPr>
            <w:tcW w:w="1124" w:type="dxa"/>
            <w:tcBorders>
              <w:top w:val="nil"/>
              <w:left w:val="nil"/>
              <w:bottom w:val="nil"/>
              <w:right w:val="nil"/>
            </w:tcBorders>
            <w:shd w:val="clear" w:color="FFFFFF" w:fill="FFFFFF"/>
            <w:noWrap/>
            <w:vAlign w:val="bottom"/>
            <w:hideMark/>
          </w:tcPr>
          <w:p w14:paraId="51629858" w14:textId="77777777" w:rsidR="00520333" w:rsidRPr="006D688A" w:rsidRDefault="00520333" w:rsidP="005E5E0C">
            <w:pPr>
              <w:spacing w:after="0"/>
              <w:jc w:val="right"/>
              <w:rPr>
                <w:rFonts w:cs="Arial"/>
                <w:b/>
                <w:bCs/>
                <w:sz w:val="18"/>
                <w:szCs w:val="18"/>
              </w:rPr>
            </w:pPr>
            <w:r w:rsidRPr="006D688A">
              <w:rPr>
                <w:rFonts w:cs="Arial"/>
                <w:b/>
                <w:bCs/>
                <w:sz w:val="18"/>
                <w:szCs w:val="18"/>
              </w:rPr>
              <w:t>62,267</w:t>
            </w:r>
          </w:p>
        </w:tc>
        <w:tc>
          <w:tcPr>
            <w:tcW w:w="236" w:type="dxa"/>
            <w:tcBorders>
              <w:top w:val="nil"/>
              <w:left w:val="nil"/>
              <w:bottom w:val="nil"/>
              <w:right w:val="nil"/>
            </w:tcBorders>
            <w:shd w:val="clear" w:color="FFFFFF" w:fill="FFFFFF"/>
            <w:noWrap/>
            <w:vAlign w:val="bottom"/>
            <w:hideMark/>
          </w:tcPr>
          <w:p w14:paraId="4E7B59DC" w14:textId="77777777" w:rsidR="00520333" w:rsidRPr="006D688A" w:rsidRDefault="00520333" w:rsidP="005E5E0C">
            <w:pPr>
              <w:spacing w:after="0"/>
              <w:rPr>
                <w:rFonts w:cs="Arial"/>
                <w:sz w:val="18"/>
                <w:szCs w:val="18"/>
              </w:rPr>
            </w:pPr>
            <w:r w:rsidRPr="006D688A">
              <w:rPr>
                <w:rFonts w:cs="Arial"/>
                <w:sz w:val="18"/>
                <w:szCs w:val="18"/>
              </w:rPr>
              <w:t> </w:t>
            </w:r>
          </w:p>
        </w:tc>
        <w:tc>
          <w:tcPr>
            <w:tcW w:w="1122" w:type="dxa"/>
            <w:tcBorders>
              <w:top w:val="nil"/>
              <w:left w:val="nil"/>
              <w:bottom w:val="nil"/>
              <w:right w:val="nil"/>
            </w:tcBorders>
            <w:shd w:val="clear" w:color="FFFFFF" w:fill="FFFFFF"/>
            <w:noWrap/>
            <w:vAlign w:val="bottom"/>
            <w:hideMark/>
          </w:tcPr>
          <w:p w14:paraId="6D332A5B" w14:textId="77777777" w:rsidR="00520333" w:rsidRPr="006D688A" w:rsidRDefault="00520333" w:rsidP="005E5E0C">
            <w:pPr>
              <w:spacing w:after="0"/>
              <w:jc w:val="right"/>
              <w:rPr>
                <w:rFonts w:cs="Arial"/>
                <w:sz w:val="18"/>
                <w:szCs w:val="18"/>
              </w:rPr>
            </w:pPr>
            <w:r w:rsidRPr="006D688A">
              <w:rPr>
                <w:rFonts w:cs="Arial"/>
                <w:sz w:val="18"/>
                <w:szCs w:val="18"/>
              </w:rPr>
              <w:t>65,508</w:t>
            </w:r>
          </w:p>
        </w:tc>
        <w:tc>
          <w:tcPr>
            <w:tcW w:w="236" w:type="dxa"/>
            <w:tcBorders>
              <w:top w:val="nil"/>
              <w:left w:val="nil"/>
              <w:bottom w:val="nil"/>
              <w:right w:val="nil"/>
            </w:tcBorders>
            <w:shd w:val="clear" w:color="FFFFFF" w:fill="FFFFFF"/>
            <w:noWrap/>
            <w:vAlign w:val="bottom"/>
            <w:hideMark/>
          </w:tcPr>
          <w:p w14:paraId="5EECD24D" w14:textId="77777777" w:rsidR="00520333" w:rsidRPr="006D688A" w:rsidRDefault="00520333" w:rsidP="005E5E0C">
            <w:pPr>
              <w:spacing w:after="0"/>
              <w:rPr>
                <w:rFonts w:cs="Arial"/>
                <w:sz w:val="18"/>
                <w:szCs w:val="18"/>
              </w:rPr>
            </w:pPr>
            <w:r w:rsidRPr="006D688A">
              <w:rPr>
                <w:rFonts w:cs="Arial"/>
                <w:sz w:val="18"/>
                <w:szCs w:val="18"/>
              </w:rPr>
              <w:t> </w:t>
            </w:r>
          </w:p>
        </w:tc>
        <w:tc>
          <w:tcPr>
            <w:tcW w:w="1199" w:type="dxa"/>
            <w:tcBorders>
              <w:top w:val="nil"/>
              <w:left w:val="nil"/>
              <w:bottom w:val="nil"/>
              <w:right w:val="nil"/>
            </w:tcBorders>
            <w:shd w:val="clear" w:color="FFFFFF" w:fill="FFFFFF"/>
            <w:noWrap/>
            <w:vAlign w:val="bottom"/>
            <w:hideMark/>
          </w:tcPr>
          <w:p w14:paraId="3E4CCDE2" w14:textId="77777777" w:rsidR="00520333" w:rsidRPr="006D688A" w:rsidRDefault="00520333" w:rsidP="005E5E0C">
            <w:pPr>
              <w:spacing w:after="0"/>
              <w:jc w:val="right"/>
              <w:rPr>
                <w:rFonts w:cs="Arial"/>
                <w:sz w:val="18"/>
                <w:szCs w:val="18"/>
              </w:rPr>
            </w:pPr>
            <w:r w:rsidRPr="006D688A">
              <w:rPr>
                <w:rFonts w:cs="Arial"/>
                <w:sz w:val="18"/>
                <w:szCs w:val="18"/>
              </w:rPr>
              <w:t>68,835</w:t>
            </w:r>
          </w:p>
        </w:tc>
      </w:tr>
      <w:tr w:rsidR="00520333" w:rsidRPr="006D688A" w14:paraId="3ECD6615" w14:textId="77777777" w:rsidTr="005E5E0C">
        <w:trPr>
          <w:trHeight w:val="250"/>
        </w:trPr>
        <w:tc>
          <w:tcPr>
            <w:tcW w:w="4226" w:type="dxa"/>
            <w:tcBorders>
              <w:top w:val="nil"/>
              <w:left w:val="nil"/>
              <w:bottom w:val="nil"/>
              <w:right w:val="nil"/>
            </w:tcBorders>
            <w:shd w:val="clear" w:color="FFFFFF" w:fill="FFFFFF"/>
            <w:vAlign w:val="bottom"/>
            <w:hideMark/>
          </w:tcPr>
          <w:p w14:paraId="78449E63" w14:textId="77777777" w:rsidR="00520333" w:rsidRPr="006D688A" w:rsidRDefault="00520333" w:rsidP="005E5E0C">
            <w:pPr>
              <w:spacing w:after="0"/>
              <w:ind w:leftChars="100" w:left="240"/>
              <w:rPr>
                <w:rFonts w:cs="Arial"/>
                <w:sz w:val="18"/>
                <w:szCs w:val="18"/>
              </w:rPr>
            </w:pPr>
            <w:r w:rsidRPr="006D688A">
              <w:rPr>
                <w:rFonts w:cs="Arial"/>
                <w:sz w:val="18"/>
                <w:szCs w:val="18"/>
              </w:rPr>
              <w:t>Finance costs</w:t>
            </w:r>
          </w:p>
        </w:tc>
        <w:tc>
          <w:tcPr>
            <w:tcW w:w="944" w:type="dxa"/>
            <w:tcBorders>
              <w:top w:val="nil"/>
              <w:left w:val="nil"/>
              <w:bottom w:val="nil"/>
              <w:right w:val="nil"/>
            </w:tcBorders>
            <w:shd w:val="clear" w:color="FFFFFF" w:fill="FFFFFF"/>
            <w:noWrap/>
            <w:vAlign w:val="bottom"/>
            <w:hideMark/>
          </w:tcPr>
          <w:p w14:paraId="7B7D3772" w14:textId="77777777" w:rsidR="00520333" w:rsidRPr="006D688A" w:rsidRDefault="00520333" w:rsidP="005E5E0C">
            <w:pPr>
              <w:spacing w:after="0"/>
              <w:jc w:val="center"/>
              <w:rPr>
                <w:rFonts w:cs="Arial"/>
                <w:sz w:val="18"/>
                <w:szCs w:val="18"/>
              </w:rPr>
            </w:pPr>
            <w:r w:rsidRPr="006D688A">
              <w:rPr>
                <w:rFonts w:cs="Arial"/>
                <w:sz w:val="18"/>
                <w:szCs w:val="18"/>
              </w:rPr>
              <w:t>1.1D</w:t>
            </w:r>
          </w:p>
        </w:tc>
        <w:tc>
          <w:tcPr>
            <w:tcW w:w="1124" w:type="dxa"/>
            <w:tcBorders>
              <w:top w:val="nil"/>
              <w:left w:val="nil"/>
              <w:bottom w:val="nil"/>
              <w:right w:val="nil"/>
            </w:tcBorders>
            <w:shd w:val="clear" w:color="FFFFFF" w:fill="FFFFFF"/>
            <w:noWrap/>
            <w:vAlign w:val="bottom"/>
            <w:hideMark/>
          </w:tcPr>
          <w:p w14:paraId="0DC4F772" w14:textId="77777777" w:rsidR="00520333" w:rsidRPr="006D688A" w:rsidRDefault="00520333" w:rsidP="005E5E0C">
            <w:pPr>
              <w:spacing w:after="0"/>
              <w:jc w:val="right"/>
              <w:rPr>
                <w:rFonts w:cs="Arial"/>
                <w:b/>
                <w:bCs/>
                <w:sz w:val="18"/>
                <w:szCs w:val="18"/>
              </w:rPr>
            </w:pPr>
            <w:r w:rsidRPr="006D688A">
              <w:rPr>
                <w:rFonts w:cs="Arial"/>
                <w:b/>
                <w:bCs/>
                <w:sz w:val="18"/>
                <w:szCs w:val="18"/>
              </w:rPr>
              <w:t>4,342</w:t>
            </w:r>
          </w:p>
        </w:tc>
        <w:tc>
          <w:tcPr>
            <w:tcW w:w="236" w:type="dxa"/>
            <w:tcBorders>
              <w:top w:val="nil"/>
              <w:left w:val="nil"/>
              <w:bottom w:val="nil"/>
              <w:right w:val="nil"/>
            </w:tcBorders>
            <w:shd w:val="clear" w:color="FFFFFF" w:fill="FFFFFF"/>
            <w:noWrap/>
            <w:vAlign w:val="bottom"/>
            <w:hideMark/>
          </w:tcPr>
          <w:p w14:paraId="58557A99" w14:textId="77777777" w:rsidR="00520333" w:rsidRPr="006D688A" w:rsidRDefault="00520333" w:rsidP="005E5E0C">
            <w:pPr>
              <w:spacing w:after="0"/>
              <w:rPr>
                <w:rFonts w:cs="Arial"/>
                <w:sz w:val="18"/>
                <w:szCs w:val="18"/>
              </w:rPr>
            </w:pPr>
            <w:r w:rsidRPr="006D688A">
              <w:rPr>
                <w:rFonts w:cs="Arial"/>
                <w:sz w:val="18"/>
                <w:szCs w:val="18"/>
              </w:rPr>
              <w:t> </w:t>
            </w:r>
          </w:p>
        </w:tc>
        <w:tc>
          <w:tcPr>
            <w:tcW w:w="1122" w:type="dxa"/>
            <w:tcBorders>
              <w:top w:val="nil"/>
              <w:left w:val="nil"/>
              <w:bottom w:val="nil"/>
              <w:right w:val="nil"/>
            </w:tcBorders>
            <w:shd w:val="clear" w:color="FFFFFF" w:fill="FFFFFF"/>
            <w:noWrap/>
            <w:vAlign w:val="bottom"/>
            <w:hideMark/>
          </w:tcPr>
          <w:p w14:paraId="624D2389" w14:textId="77777777" w:rsidR="00520333" w:rsidRPr="006D688A" w:rsidRDefault="00520333" w:rsidP="005E5E0C">
            <w:pPr>
              <w:spacing w:after="0"/>
              <w:jc w:val="right"/>
              <w:rPr>
                <w:rFonts w:cs="Arial"/>
                <w:sz w:val="18"/>
                <w:szCs w:val="18"/>
              </w:rPr>
            </w:pPr>
            <w:r w:rsidRPr="006D688A">
              <w:rPr>
                <w:rFonts w:cs="Arial"/>
                <w:sz w:val="18"/>
                <w:szCs w:val="18"/>
              </w:rPr>
              <w:t>1,948</w:t>
            </w:r>
          </w:p>
        </w:tc>
        <w:tc>
          <w:tcPr>
            <w:tcW w:w="236" w:type="dxa"/>
            <w:tcBorders>
              <w:top w:val="nil"/>
              <w:left w:val="nil"/>
              <w:bottom w:val="nil"/>
              <w:right w:val="nil"/>
            </w:tcBorders>
            <w:shd w:val="clear" w:color="FFFFFF" w:fill="FFFFFF"/>
            <w:noWrap/>
            <w:vAlign w:val="bottom"/>
            <w:hideMark/>
          </w:tcPr>
          <w:p w14:paraId="44592473" w14:textId="77777777" w:rsidR="00520333" w:rsidRPr="006D688A" w:rsidRDefault="00520333" w:rsidP="005E5E0C">
            <w:pPr>
              <w:spacing w:after="0"/>
              <w:rPr>
                <w:rFonts w:cs="Arial"/>
                <w:sz w:val="18"/>
                <w:szCs w:val="18"/>
              </w:rPr>
            </w:pPr>
            <w:r w:rsidRPr="006D688A">
              <w:rPr>
                <w:rFonts w:cs="Arial"/>
                <w:sz w:val="18"/>
                <w:szCs w:val="18"/>
              </w:rPr>
              <w:t> </w:t>
            </w:r>
          </w:p>
        </w:tc>
        <w:tc>
          <w:tcPr>
            <w:tcW w:w="1199" w:type="dxa"/>
            <w:tcBorders>
              <w:top w:val="nil"/>
              <w:left w:val="nil"/>
              <w:bottom w:val="nil"/>
              <w:right w:val="nil"/>
            </w:tcBorders>
            <w:shd w:val="clear" w:color="FFFFFF" w:fill="FFFFFF"/>
            <w:noWrap/>
            <w:vAlign w:val="bottom"/>
            <w:hideMark/>
          </w:tcPr>
          <w:p w14:paraId="2AD815E9" w14:textId="77777777" w:rsidR="00520333" w:rsidRPr="006D688A" w:rsidRDefault="00520333" w:rsidP="005E5E0C">
            <w:pPr>
              <w:spacing w:after="0"/>
              <w:jc w:val="right"/>
              <w:rPr>
                <w:rFonts w:cs="Arial"/>
                <w:sz w:val="18"/>
                <w:szCs w:val="18"/>
              </w:rPr>
            </w:pPr>
            <w:r w:rsidRPr="006D688A">
              <w:rPr>
                <w:rFonts w:cs="Arial"/>
                <w:sz w:val="18"/>
                <w:szCs w:val="18"/>
              </w:rPr>
              <w:t>2,462</w:t>
            </w:r>
          </w:p>
        </w:tc>
      </w:tr>
      <w:tr w:rsidR="00520333" w:rsidRPr="006D688A" w14:paraId="49DB65CB" w14:textId="77777777" w:rsidTr="005E5E0C">
        <w:trPr>
          <w:trHeight w:val="250"/>
        </w:trPr>
        <w:tc>
          <w:tcPr>
            <w:tcW w:w="4226" w:type="dxa"/>
            <w:tcBorders>
              <w:top w:val="nil"/>
              <w:left w:val="nil"/>
              <w:bottom w:val="nil"/>
              <w:right w:val="nil"/>
            </w:tcBorders>
            <w:shd w:val="clear" w:color="FFFFFF" w:fill="FFFFFF"/>
            <w:vAlign w:val="bottom"/>
            <w:hideMark/>
          </w:tcPr>
          <w:p w14:paraId="68D216AF" w14:textId="77777777" w:rsidR="00520333" w:rsidRPr="006D688A" w:rsidRDefault="00520333" w:rsidP="005E5E0C">
            <w:pPr>
              <w:spacing w:after="0"/>
              <w:ind w:leftChars="100" w:left="240"/>
              <w:rPr>
                <w:rFonts w:cs="Arial"/>
                <w:sz w:val="18"/>
                <w:szCs w:val="18"/>
              </w:rPr>
            </w:pPr>
            <w:r w:rsidRPr="006D688A">
              <w:rPr>
                <w:rFonts w:cs="Arial"/>
                <w:sz w:val="18"/>
                <w:szCs w:val="18"/>
              </w:rPr>
              <w:t>Write-down and impairment of other assets</w:t>
            </w:r>
          </w:p>
        </w:tc>
        <w:tc>
          <w:tcPr>
            <w:tcW w:w="944" w:type="dxa"/>
            <w:tcBorders>
              <w:top w:val="nil"/>
              <w:left w:val="nil"/>
              <w:bottom w:val="nil"/>
              <w:right w:val="nil"/>
            </w:tcBorders>
            <w:shd w:val="clear" w:color="FFFFFF" w:fill="FFFFFF"/>
            <w:noWrap/>
            <w:vAlign w:val="bottom"/>
            <w:hideMark/>
          </w:tcPr>
          <w:p w14:paraId="5EBD165B" w14:textId="77777777" w:rsidR="00520333" w:rsidRPr="006D688A" w:rsidRDefault="00520333" w:rsidP="005E5E0C">
            <w:pPr>
              <w:spacing w:after="0"/>
              <w:jc w:val="center"/>
              <w:rPr>
                <w:rFonts w:cs="Arial"/>
                <w:sz w:val="18"/>
                <w:szCs w:val="18"/>
              </w:rPr>
            </w:pPr>
            <w:r w:rsidRPr="006D688A">
              <w:rPr>
                <w:rFonts w:cs="Arial"/>
                <w:sz w:val="18"/>
                <w:szCs w:val="18"/>
              </w:rPr>
              <w:t>1.1E</w:t>
            </w:r>
          </w:p>
        </w:tc>
        <w:tc>
          <w:tcPr>
            <w:tcW w:w="1124" w:type="dxa"/>
            <w:tcBorders>
              <w:top w:val="nil"/>
              <w:left w:val="nil"/>
              <w:bottom w:val="nil"/>
              <w:right w:val="nil"/>
            </w:tcBorders>
            <w:shd w:val="clear" w:color="FFFFFF" w:fill="FFFFFF"/>
            <w:noWrap/>
            <w:vAlign w:val="bottom"/>
            <w:hideMark/>
          </w:tcPr>
          <w:p w14:paraId="170F98A6" w14:textId="77777777" w:rsidR="00520333" w:rsidRPr="006D688A" w:rsidRDefault="00520333" w:rsidP="005E5E0C">
            <w:pPr>
              <w:spacing w:after="0"/>
              <w:jc w:val="right"/>
              <w:rPr>
                <w:rFonts w:cs="Arial"/>
                <w:b/>
                <w:bCs/>
                <w:sz w:val="18"/>
                <w:szCs w:val="18"/>
              </w:rPr>
            </w:pPr>
            <w:r w:rsidRPr="006D688A">
              <w:rPr>
                <w:rFonts w:cs="Arial"/>
                <w:b/>
                <w:bCs/>
                <w:sz w:val="18"/>
                <w:szCs w:val="18"/>
              </w:rPr>
              <w:t>42,717</w:t>
            </w:r>
          </w:p>
        </w:tc>
        <w:tc>
          <w:tcPr>
            <w:tcW w:w="236" w:type="dxa"/>
            <w:tcBorders>
              <w:top w:val="nil"/>
              <w:left w:val="nil"/>
              <w:bottom w:val="nil"/>
              <w:right w:val="nil"/>
            </w:tcBorders>
            <w:shd w:val="clear" w:color="FFFFFF" w:fill="FFFFFF"/>
            <w:noWrap/>
            <w:vAlign w:val="bottom"/>
            <w:hideMark/>
          </w:tcPr>
          <w:p w14:paraId="4C5FC7E2" w14:textId="77777777" w:rsidR="00520333" w:rsidRPr="006D688A" w:rsidRDefault="00520333" w:rsidP="005E5E0C">
            <w:pPr>
              <w:spacing w:after="0"/>
              <w:rPr>
                <w:rFonts w:cs="Arial"/>
                <w:sz w:val="18"/>
                <w:szCs w:val="18"/>
              </w:rPr>
            </w:pPr>
            <w:r w:rsidRPr="006D688A">
              <w:rPr>
                <w:rFonts w:cs="Arial"/>
                <w:sz w:val="18"/>
                <w:szCs w:val="18"/>
              </w:rPr>
              <w:t> </w:t>
            </w:r>
          </w:p>
        </w:tc>
        <w:tc>
          <w:tcPr>
            <w:tcW w:w="1122" w:type="dxa"/>
            <w:tcBorders>
              <w:top w:val="nil"/>
              <w:left w:val="nil"/>
              <w:bottom w:val="nil"/>
              <w:right w:val="nil"/>
            </w:tcBorders>
            <w:shd w:val="clear" w:color="FFFFFF" w:fill="FFFFFF"/>
            <w:noWrap/>
            <w:vAlign w:val="bottom"/>
            <w:hideMark/>
          </w:tcPr>
          <w:p w14:paraId="1184100E" w14:textId="77777777" w:rsidR="00520333" w:rsidRPr="006D688A" w:rsidRDefault="00520333" w:rsidP="005E5E0C">
            <w:pPr>
              <w:spacing w:after="0"/>
              <w:jc w:val="right"/>
              <w:rPr>
                <w:rFonts w:cs="Arial"/>
                <w:sz w:val="18"/>
                <w:szCs w:val="18"/>
              </w:rPr>
            </w:pPr>
            <w:r w:rsidRPr="006D688A">
              <w:rPr>
                <w:rFonts w:cs="Arial"/>
                <w:sz w:val="18"/>
                <w:szCs w:val="18"/>
              </w:rPr>
              <w:t>9,294</w:t>
            </w:r>
          </w:p>
        </w:tc>
        <w:tc>
          <w:tcPr>
            <w:tcW w:w="236" w:type="dxa"/>
            <w:tcBorders>
              <w:top w:val="nil"/>
              <w:left w:val="nil"/>
              <w:bottom w:val="nil"/>
              <w:right w:val="nil"/>
            </w:tcBorders>
            <w:shd w:val="clear" w:color="FFFFFF" w:fill="FFFFFF"/>
            <w:noWrap/>
            <w:vAlign w:val="bottom"/>
            <w:hideMark/>
          </w:tcPr>
          <w:p w14:paraId="1268B298" w14:textId="77777777" w:rsidR="00520333" w:rsidRPr="006D688A" w:rsidRDefault="00520333" w:rsidP="005E5E0C">
            <w:pPr>
              <w:spacing w:after="0"/>
              <w:rPr>
                <w:rFonts w:cs="Arial"/>
                <w:sz w:val="18"/>
                <w:szCs w:val="18"/>
              </w:rPr>
            </w:pPr>
            <w:r w:rsidRPr="006D688A">
              <w:rPr>
                <w:rFonts w:cs="Arial"/>
                <w:sz w:val="18"/>
                <w:szCs w:val="18"/>
              </w:rPr>
              <w:t> </w:t>
            </w:r>
          </w:p>
        </w:tc>
        <w:tc>
          <w:tcPr>
            <w:tcW w:w="1199" w:type="dxa"/>
            <w:tcBorders>
              <w:top w:val="nil"/>
              <w:left w:val="nil"/>
              <w:bottom w:val="nil"/>
              <w:right w:val="nil"/>
            </w:tcBorders>
            <w:shd w:val="clear" w:color="FFFFFF" w:fill="FFFFFF"/>
            <w:noWrap/>
            <w:vAlign w:val="bottom"/>
            <w:hideMark/>
          </w:tcPr>
          <w:p w14:paraId="55982BF6" w14:textId="77777777" w:rsidR="00520333" w:rsidRPr="006D688A" w:rsidRDefault="00520333" w:rsidP="005E5E0C">
            <w:pPr>
              <w:spacing w:after="0"/>
              <w:jc w:val="right"/>
              <w:rPr>
                <w:rFonts w:cs="Arial"/>
                <w:sz w:val="18"/>
                <w:szCs w:val="18"/>
              </w:rPr>
            </w:pPr>
            <w:r w:rsidRPr="006D688A">
              <w:rPr>
                <w:rFonts w:cs="Arial"/>
                <w:sz w:val="18"/>
                <w:szCs w:val="18"/>
              </w:rPr>
              <w:t xml:space="preserve"> -</w:t>
            </w:r>
          </w:p>
        </w:tc>
      </w:tr>
      <w:tr w:rsidR="00520333" w:rsidRPr="006D688A" w14:paraId="16C1212A" w14:textId="77777777" w:rsidTr="005E5E0C">
        <w:trPr>
          <w:trHeight w:val="250"/>
        </w:trPr>
        <w:tc>
          <w:tcPr>
            <w:tcW w:w="4226" w:type="dxa"/>
            <w:tcBorders>
              <w:top w:val="nil"/>
              <w:left w:val="nil"/>
              <w:bottom w:val="nil"/>
              <w:right w:val="nil"/>
            </w:tcBorders>
            <w:shd w:val="clear" w:color="FFFFFF" w:fill="FFFFFF"/>
            <w:vAlign w:val="bottom"/>
            <w:hideMark/>
          </w:tcPr>
          <w:p w14:paraId="00DCE608" w14:textId="77777777" w:rsidR="00520333" w:rsidRPr="006D688A" w:rsidRDefault="00520333" w:rsidP="005E5E0C">
            <w:pPr>
              <w:spacing w:after="0"/>
              <w:rPr>
                <w:rFonts w:cs="Arial"/>
                <w:b/>
                <w:bCs/>
                <w:sz w:val="18"/>
                <w:szCs w:val="18"/>
              </w:rPr>
            </w:pPr>
            <w:r w:rsidRPr="006D688A">
              <w:rPr>
                <w:rFonts w:cs="Arial"/>
                <w:b/>
                <w:bCs/>
                <w:sz w:val="18"/>
                <w:szCs w:val="18"/>
              </w:rPr>
              <w:t>Total expenses</w:t>
            </w:r>
          </w:p>
        </w:tc>
        <w:tc>
          <w:tcPr>
            <w:tcW w:w="944" w:type="dxa"/>
            <w:tcBorders>
              <w:top w:val="nil"/>
              <w:left w:val="nil"/>
              <w:bottom w:val="nil"/>
              <w:right w:val="nil"/>
            </w:tcBorders>
            <w:shd w:val="clear" w:color="FFFFFF" w:fill="FFFFFF"/>
            <w:noWrap/>
            <w:vAlign w:val="bottom"/>
            <w:hideMark/>
          </w:tcPr>
          <w:p w14:paraId="357166BF"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124" w:type="dxa"/>
            <w:tcBorders>
              <w:top w:val="single" w:sz="4" w:space="0" w:color="auto"/>
              <w:left w:val="nil"/>
              <w:bottom w:val="single" w:sz="4" w:space="0" w:color="auto"/>
              <w:right w:val="nil"/>
            </w:tcBorders>
            <w:shd w:val="clear" w:color="FFFFFF" w:fill="FFFFFF"/>
            <w:noWrap/>
            <w:vAlign w:val="bottom"/>
            <w:hideMark/>
          </w:tcPr>
          <w:p w14:paraId="5A7F7CD0" w14:textId="77777777" w:rsidR="00520333" w:rsidRPr="006D688A" w:rsidRDefault="00520333" w:rsidP="005E5E0C">
            <w:pPr>
              <w:spacing w:after="0"/>
              <w:jc w:val="right"/>
              <w:rPr>
                <w:rFonts w:cs="Arial"/>
                <w:b/>
                <w:bCs/>
                <w:sz w:val="18"/>
                <w:szCs w:val="18"/>
              </w:rPr>
            </w:pPr>
            <w:r w:rsidRPr="006D688A">
              <w:rPr>
                <w:rFonts w:cs="Arial"/>
                <w:b/>
                <w:bCs/>
                <w:sz w:val="18"/>
                <w:szCs w:val="18"/>
              </w:rPr>
              <w:t>43,978,581</w:t>
            </w:r>
          </w:p>
        </w:tc>
        <w:tc>
          <w:tcPr>
            <w:tcW w:w="236" w:type="dxa"/>
            <w:tcBorders>
              <w:top w:val="nil"/>
              <w:left w:val="nil"/>
              <w:bottom w:val="nil"/>
              <w:right w:val="nil"/>
            </w:tcBorders>
            <w:shd w:val="clear" w:color="FFFFFF" w:fill="FFFFFF"/>
            <w:noWrap/>
            <w:vAlign w:val="bottom"/>
            <w:hideMark/>
          </w:tcPr>
          <w:p w14:paraId="67E40B2E" w14:textId="77777777" w:rsidR="00520333" w:rsidRPr="006D688A" w:rsidRDefault="00520333" w:rsidP="005E5E0C">
            <w:pPr>
              <w:spacing w:after="0"/>
              <w:rPr>
                <w:rFonts w:cs="Arial"/>
                <w:sz w:val="18"/>
                <w:szCs w:val="18"/>
              </w:rPr>
            </w:pPr>
            <w:r w:rsidRPr="006D688A">
              <w:rPr>
                <w:rFonts w:cs="Arial"/>
                <w:sz w:val="18"/>
                <w:szCs w:val="18"/>
              </w:rPr>
              <w:t> </w:t>
            </w:r>
          </w:p>
        </w:tc>
        <w:tc>
          <w:tcPr>
            <w:tcW w:w="1122" w:type="dxa"/>
            <w:tcBorders>
              <w:top w:val="single" w:sz="4" w:space="0" w:color="auto"/>
              <w:left w:val="nil"/>
              <w:bottom w:val="single" w:sz="4" w:space="0" w:color="auto"/>
              <w:right w:val="nil"/>
            </w:tcBorders>
            <w:shd w:val="clear" w:color="FFFFFF" w:fill="FFFFFF"/>
            <w:noWrap/>
            <w:vAlign w:val="bottom"/>
            <w:hideMark/>
          </w:tcPr>
          <w:p w14:paraId="328DD8D3" w14:textId="77777777" w:rsidR="00520333" w:rsidRPr="006D688A" w:rsidRDefault="00520333" w:rsidP="005E5E0C">
            <w:pPr>
              <w:spacing w:after="0"/>
              <w:jc w:val="right"/>
              <w:rPr>
                <w:rFonts w:cs="Arial"/>
                <w:sz w:val="18"/>
                <w:szCs w:val="18"/>
              </w:rPr>
            </w:pPr>
            <w:r w:rsidRPr="006D688A">
              <w:rPr>
                <w:rFonts w:cs="Arial"/>
                <w:sz w:val="18"/>
                <w:szCs w:val="18"/>
              </w:rPr>
              <w:t>37,030,556</w:t>
            </w:r>
          </w:p>
        </w:tc>
        <w:tc>
          <w:tcPr>
            <w:tcW w:w="236" w:type="dxa"/>
            <w:tcBorders>
              <w:top w:val="nil"/>
              <w:left w:val="nil"/>
              <w:bottom w:val="nil"/>
              <w:right w:val="nil"/>
            </w:tcBorders>
            <w:shd w:val="clear" w:color="FFFFFF" w:fill="FFFFFF"/>
            <w:noWrap/>
            <w:vAlign w:val="bottom"/>
            <w:hideMark/>
          </w:tcPr>
          <w:p w14:paraId="06C3ECD3" w14:textId="77777777" w:rsidR="00520333" w:rsidRPr="006D688A" w:rsidRDefault="00520333" w:rsidP="005E5E0C">
            <w:pPr>
              <w:spacing w:after="0"/>
              <w:rPr>
                <w:rFonts w:cs="Arial"/>
                <w:sz w:val="18"/>
                <w:szCs w:val="18"/>
              </w:rPr>
            </w:pPr>
            <w:r w:rsidRPr="006D688A">
              <w:rPr>
                <w:rFonts w:cs="Arial"/>
                <w:sz w:val="18"/>
                <w:szCs w:val="18"/>
              </w:rPr>
              <w:t> </w:t>
            </w:r>
          </w:p>
        </w:tc>
        <w:tc>
          <w:tcPr>
            <w:tcW w:w="1199" w:type="dxa"/>
            <w:tcBorders>
              <w:top w:val="single" w:sz="4" w:space="0" w:color="auto"/>
              <w:left w:val="nil"/>
              <w:bottom w:val="single" w:sz="4" w:space="0" w:color="auto"/>
              <w:right w:val="nil"/>
            </w:tcBorders>
            <w:shd w:val="clear" w:color="FFFFFF" w:fill="FFFFFF"/>
            <w:noWrap/>
            <w:vAlign w:val="bottom"/>
            <w:hideMark/>
          </w:tcPr>
          <w:p w14:paraId="256109C9" w14:textId="77777777" w:rsidR="00520333" w:rsidRPr="006D688A" w:rsidRDefault="00520333" w:rsidP="005E5E0C">
            <w:pPr>
              <w:spacing w:after="0"/>
              <w:jc w:val="right"/>
              <w:rPr>
                <w:rFonts w:cs="Arial"/>
                <w:sz w:val="18"/>
                <w:szCs w:val="18"/>
              </w:rPr>
            </w:pPr>
            <w:r w:rsidRPr="006D688A">
              <w:rPr>
                <w:rFonts w:cs="Arial"/>
                <w:sz w:val="18"/>
                <w:szCs w:val="18"/>
              </w:rPr>
              <w:t>42,132,597</w:t>
            </w:r>
          </w:p>
        </w:tc>
      </w:tr>
      <w:tr w:rsidR="00520333" w:rsidRPr="006D688A" w14:paraId="7C4A3EF4" w14:textId="77777777" w:rsidTr="005E5E0C">
        <w:trPr>
          <w:trHeight w:val="250"/>
        </w:trPr>
        <w:tc>
          <w:tcPr>
            <w:tcW w:w="4226" w:type="dxa"/>
            <w:tcBorders>
              <w:top w:val="nil"/>
              <w:left w:val="nil"/>
              <w:bottom w:val="nil"/>
              <w:right w:val="nil"/>
            </w:tcBorders>
            <w:shd w:val="clear" w:color="FFFFFF" w:fill="FFFFFF"/>
            <w:vAlign w:val="bottom"/>
            <w:hideMark/>
          </w:tcPr>
          <w:p w14:paraId="0A220421" w14:textId="77777777" w:rsidR="00520333" w:rsidRPr="006D688A" w:rsidRDefault="00520333" w:rsidP="005E5E0C">
            <w:pPr>
              <w:spacing w:after="0"/>
              <w:rPr>
                <w:rFonts w:cs="Arial"/>
                <w:sz w:val="18"/>
                <w:szCs w:val="18"/>
              </w:rPr>
            </w:pPr>
            <w:r w:rsidRPr="006D688A">
              <w:rPr>
                <w:rFonts w:cs="Arial"/>
                <w:sz w:val="18"/>
                <w:szCs w:val="18"/>
              </w:rPr>
              <w:t> </w:t>
            </w:r>
          </w:p>
        </w:tc>
        <w:tc>
          <w:tcPr>
            <w:tcW w:w="944" w:type="dxa"/>
            <w:tcBorders>
              <w:top w:val="nil"/>
              <w:left w:val="nil"/>
              <w:bottom w:val="nil"/>
              <w:right w:val="nil"/>
            </w:tcBorders>
            <w:shd w:val="clear" w:color="FFFFFF" w:fill="FFFFFF"/>
            <w:noWrap/>
            <w:vAlign w:val="bottom"/>
            <w:hideMark/>
          </w:tcPr>
          <w:p w14:paraId="56051E7C"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124" w:type="dxa"/>
            <w:tcBorders>
              <w:top w:val="nil"/>
              <w:left w:val="nil"/>
              <w:bottom w:val="nil"/>
              <w:right w:val="nil"/>
            </w:tcBorders>
            <w:shd w:val="clear" w:color="FFFFFF" w:fill="FFFFFF"/>
            <w:noWrap/>
            <w:vAlign w:val="bottom"/>
            <w:hideMark/>
          </w:tcPr>
          <w:p w14:paraId="1D6F533D" w14:textId="77777777" w:rsidR="00520333" w:rsidRPr="006D688A" w:rsidRDefault="00520333" w:rsidP="005E5E0C">
            <w:pPr>
              <w:spacing w:after="0"/>
              <w:jc w:val="right"/>
              <w:rPr>
                <w:rFonts w:cs="Arial"/>
                <w:b/>
                <w:bCs/>
                <w:sz w:val="18"/>
                <w:szCs w:val="18"/>
              </w:rPr>
            </w:pPr>
            <w:r w:rsidRPr="006D688A">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52D91CFB" w14:textId="77777777" w:rsidR="00520333" w:rsidRPr="006D688A" w:rsidRDefault="00520333" w:rsidP="005E5E0C">
            <w:pPr>
              <w:spacing w:after="0"/>
              <w:rPr>
                <w:rFonts w:cs="Arial"/>
                <w:sz w:val="18"/>
                <w:szCs w:val="18"/>
              </w:rPr>
            </w:pPr>
            <w:r w:rsidRPr="006D688A">
              <w:rPr>
                <w:rFonts w:cs="Arial"/>
                <w:sz w:val="18"/>
                <w:szCs w:val="18"/>
              </w:rPr>
              <w:t> </w:t>
            </w:r>
          </w:p>
        </w:tc>
        <w:tc>
          <w:tcPr>
            <w:tcW w:w="1122" w:type="dxa"/>
            <w:tcBorders>
              <w:top w:val="nil"/>
              <w:left w:val="nil"/>
              <w:bottom w:val="nil"/>
              <w:right w:val="nil"/>
            </w:tcBorders>
            <w:shd w:val="clear" w:color="FFFFFF" w:fill="FFFFFF"/>
            <w:noWrap/>
            <w:vAlign w:val="bottom"/>
            <w:hideMark/>
          </w:tcPr>
          <w:p w14:paraId="6E39B082" w14:textId="77777777" w:rsidR="00520333" w:rsidRPr="006D688A" w:rsidRDefault="00520333" w:rsidP="005E5E0C">
            <w:pPr>
              <w:spacing w:after="0"/>
              <w:jc w:val="right"/>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36355793" w14:textId="77777777" w:rsidR="00520333" w:rsidRPr="006D688A" w:rsidRDefault="00520333" w:rsidP="005E5E0C">
            <w:pPr>
              <w:spacing w:after="0"/>
              <w:rPr>
                <w:rFonts w:cs="Arial"/>
                <w:sz w:val="18"/>
                <w:szCs w:val="18"/>
              </w:rPr>
            </w:pPr>
            <w:r w:rsidRPr="006D688A">
              <w:rPr>
                <w:rFonts w:cs="Arial"/>
                <w:sz w:val="18"/>
                <w:szCs w:val="18"/>
              </w:rPr>
              <w:t> </w:t>
            </w:r>
          </w:p>
        </w:tc>
        <w:tc>
          <w:tcPr>
            <w:tcW w:w="1199" w:type="dxa"/>
            <w:tcBorders>
              <w:top w:val="nil"/>
              <w:left w:val="nil"/>
              <w:bottom w:val="nil"/>
              <w:right w:val="nil"/>
            </w:tcBorders>
            <w:shd w:val="clear" w:color="FFFFFF" w:fill="FFFFFF"/>
            <w:noWrap/>
            <w:vAlign w:val="bottom"/>
            <w:hideMark/>
          </w:tcPr>
          <w:p w14:paraId="376D6F0E" w14:textId="77777777" w:rsidR="00520333" w:rsidRPr="006D688A" w:rsidRDefault="00520333" w:rsidP="005E5E0C">
            <w:pPr>
              <w:spacing w:after="0"/>
              <w:jc w:val="right"/>
              <w:rPr>
                <w:rFonts w:cs="Arial"/>
                <w:sz w:val="18"/>
                <w:szCs w:val="18"/>
              </w:rPr>
            </w:pPr>
            <w:r w:rsidRPr="006D688A">
              <w:rPr>
                <w:rFonts w:cs="Arial"/>
                <w:sz w:val="18"/>
                <w:szCs w:val="18"/>
              </w:rPr>
              <w:t> </w:t>
            </w:r>
          </w:p>
        </w:tc>
      </w:tr>
      <w:tr w:rsidR="00520333" w:rsidRPr="006D688A" w14:paraId="4407CF36" w14:textId="77777777" w:rsidTr="005E5E0C">
        <w:trPr>
          <w:trHeight w:val="250"/>
        </w:trPr>
        <w:tc>
          <w:tcPr>
            <w:tcW w:w="4226" w:type="dxa"/>
            <w:tcBorders>
              <w:top w:val="nil"/>
              <w:left w:val="nil"/>
              <w:bottom w:val="nil"/>
              <w:right w:val="nil"/>
            </w:tcBorders>
            <w:shd w:val="clear" w:color="FFFFFF" w:fill="FFFFFF"/>
            <w:noWrap/>
            <w:vAlign w:val="bottom"/>
            <w:hideMark/>
          </w:tcPr>
          <w:p w14:paraId="475E12CC" w14:textId="77777777" w:rsidR="00520333" w:rsidRPr="006D688A" w:rsidRDefault="00520333" w:rsidP="005E5E0C">
            <w:pPr>
              <w:spacing w:after="0"/>
              <w:rPr>
                <w:rFonts w:cs="Arial"/>
                <w:b/>
                <w:bCs/>
                <w:sz w:val="18"/>
                <w:szCs w:val="18"/>
              </w:rPr>
            </w:pPr>
            <w:r w:rsidRPr="006D688A">
              <w:rPr>
                <w:rFonts w:cs="Arial"/>
                <w:b/>
                <w:bCs/>
                <w:sz w:val="18"/>
                <w:szCs w:val="18"/>
              </w:rPr>
              <w:t>OWN-SOURCE INCOME</w:t>
            </w:r>
          </w:p>
        </w:tc>
        <w:tc>
          <w:tcPr>
            <w:tcW w:w="944" w:type="dxa"/>
            <w:tcBorders>
              <w:top w:val="nil"/>
              <w:left w:val="nil"/>
              <w:bottom w:val="nil"/>
              <w:right w:val="nil"/>
            </w:tcBorders>
            <w:shd w:val="clear" w:color="FFFFFF" w:fill="FFFFFF"/>
            <w:noWrap/>
            <w:vAlign w:val="bottom"/>
            <w:hideMark/>
          </w:tcPr>
          <w:p w14:paraId="7F03F532"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124" w:type="dxa"/>
            <w:tcBorders>
              <w:top w:val="nil"/>
              <w:left w:val="nil"/>
              <w:bottom w:val="nil"/>
              <w:right w:val="nil"/>
            </w:tcBorders>
            <w:shd w:val="clear" w:color="FFFFFF" w:fill="FFFFFF"/>
            <w:noWrap/>
            <w:vAlign w:val="bottom"/>
            <w:hideMark/>
          </w:tcPr>
          <w:p w14:paraId="55E27E3E" w14:textId="77777777" w:rsidR="00520333" w:rsidRPr="006D688A" w:rsidRDefault="00520333" w:rsidP="005E5E0C">
            <w:pPr>
              <w:spacing w:after="0"/>
              <w:jc w:val="right"/>
              <w:rPr>
                <w:rFonts w:cs="Arial"/>
                <w:b/>
                <w:bCs/>
                <w:sz w:val="18"/>
                <w:szCs w:val="18"/>
              </w:rPr>
            </w:pPr>
            <w:r w:rsidRPr="006D688A">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6D11ECC2" w14:textId="77777777" w:rsidR="00520333" w:rsidRPr="006D688A" w:rsidRDefault="00520333" w:rsidP="005E5E0C">
            <w:pPr>
              <w:spacing w:after="0"/>
              <w:rPr>
                <w:rFonts w:cs="Arial"/>
                <w:sz w:val="18"/>
                <w:szCs w:val="18"/>
              </w:rPr>
            </w:pPr>
            <w:r w:rsidRPr="006D688A">
              <w:rPr>
                <w:rFonts w:cs="Arial"/>
                <w:sz w:val="18"/>
                <w:szCs w:val="18"/>
              </w:rPr>
              <w:t> </w:t>
            </w:r>
          </w:p>
        </w:tc>
        <w:tc>
          <w:tcPr>
            <w:tcW w:w="1122" w:type="dxa"/>
            <w:tcBorders>
              <w:top w:val="nil"/>
              <w:left w:val="nil"/>
              <w:bottom w:val="nil"/>
              <w:right w:val="nil"/>
            </w:tcBorders>
            <w:shd w:val="clear" w:color="FFFFFF" w:fill="FFFFFF"/>
            <w:noWrap/>
            <w:vAlign w:val="bottom"/>
            <w:hideMark/>
          </w:tcPr>
          <w:p w14:paraId="63B4BF51" w14:textId="77777777" w:rsidR="00520333" w:rsidRPr="006D688A" w:rsidRDefault="00520333" w:rsidP="005E5E0C">
            <w:pPr>
              <w:spacing w:after="0"/>
              <w:jc w:val="right"/>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281C758C" w14:textId="77777777" w:rsidR="00520333" w:rsidRPr="006D688A" w:rsidRDefault="00520333" w:rsidP="005E5E0C">
            <w:pPr>
              <w:spacing w:after="0"/>
              <w:rPr>
                <w:rFonts w:cs="Arial"/>
                <w:sz w:val="18"/>
                <w:szCs w:val="18"/>
              </w:rPr>
            </w:pPr>
            <w:r w:rsidRPr="006D688A">
              <w:rPr>
                <w:rFonts w:cs="Arial"/>
                <w:sz w:val="18"/>
                <w:szCs w:val="18"/>
              </w:rPr>
              <w:t> </w:t>
            </w:r>
          </w:p>
        </w:tc>
        <w:tc>
          <w:tcPr>
            <w:tcW w:w="1199" w:type="dxa"/>
            <w:tcBorders>
              <w:top w:val="nil"/>
              <w:left w:val="nil"/>
              <w:bottom w:val="nil"/>
              <w:right w:val="nil"/>
            </w:tcBorders>
            <w:shd w:val="clear" w:color="FFFFFF" w:fill="FFFFFF"/>
            <w:noWrap/>
            <w:vAlign w:val="bottom"/>
            <w:hideMark/>
          </w:tcPr>
          <w:p w14:paraId="66D63DA5" w14:textId="77777777" w:rsidR="00520333" w:rsidRPr="006D688A" w:rsidRDefault="00520333" w:rsidP="005E5E0C">
            <w:pPr>
              <w:spacing w:after="0"/>
              <w:jc w:val="right"/>
              <w:rPr>
                <w:rFonts w:cs="Arial"/>
                <w:sz w:val="18"/>
                <w:szCs w:val="18"/>
              </w:rPr>
            </w:pPr>
            <w:r w:rsidRPr="006D688A">
              <w:rPr>
                <w:rFonts w:cs="Arial"/>
                <w:sz w:val="18"/>
                <w:szCs w:val="18"/>
              </w:rPr>
              <w:t> </w:t>
            </w:r>
          </w:p>
        </w:tc>
      </w:tr>
      <w:tr w:rsidR="00520333" w:rsidRPr="006D688A" w14:paraId="49645361" w14:textId="77777777" w:rsidTr="005E5E0C">
        <w:trPr>
          <w:trHeight w:val="250"/>
        </w:trPr>
        <w:tc>
          <w:tcPr>
            <w:tcW w:w="4226" w:type="dxa"/>
            <w:tcBorders>
              <w:top w:val="nil"/>
              <w:left w:val="nil"/>
              <w:bottom w:val="nil"/>
              <w:right w:val="nil"/>
            </w:tcBorders>
            <w:shd w:val="clear" w:color="FFFFFF" w:fill="FFFFFF"/>
            <w:vAlign w:val="bottom"/>
            <w:hideMark/>
          </w:tcPr>
          <w:p w14:paraId="7AA53683" w14:textId="77777777" w:rsidR="00520333" w:rsidRPr="006D688A" w:rsidRDefault="00520333" w:rsidP="005E5E0C">
            <w:pPr>
              <w:spacing w:after="0"/>
              <w:rPr>
                <w:rFonts w:cs="Arial"/>
                <w:b/>
                <w:bCs/>
                <w:sz w:val="18"/>
                <w:szCs w:val="18"/>
              </w:rPr>
            </w:pPr>
            <w:r w:rsidRPr="006D688A">
              <w:rPr>
                <w:rFonts w:cs="Arial"/>
                <w:b/>
                <w:bCs/>
                <w:sz w:val="18"/>
                <w:szCs w:val="18"/>
              </w:rPr>
              <w:t>Own-source revenue</w:t>
            </w:r>
          </w:p>
        </w:tc>
        <w:tc>
          <w:tcPr>
            <w:tcW w:w="944" w:type="dxa"/>
            <w:tcBorders>
              <w:top w:val="nil"/>
              <w:left w:val="nil"/>
              <w:bottom w:val="nil"/>
              <w:right w:val="nil"/>
            </w:tcBorders>
            <w:shd w:val="clear" w:color="FFFFFF" w:fill="FFFFFF"/>
            <w:noWrap/>
            <w:vAlign w:val="bottom"/>
            <w:hideMark/>
          </w:tcPr>
          <w:p w14:paraId="2F292F02"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124" w:type="dxa"/>
            <w:tcBorders>
              <w:top w:val="nil"/>
              <w:left w:val="nil"/>
              <w:bottom w:val="nil"/>
              <w:right w:val="nil"/>
            </w:tcBorders>
            <w:shd w:val="clear" w:color="FFFFFF" w:fill="FFFFFF"/>
            <w:noWrap/>
            <w:vAlign w:val="bottom"/>
            <w:hideMark/>
          </w:tcPr>
          <w:p w14:paraId="59FD3D76" w14:textId="77777777" w:rsidR="00520333" w:rsidRPr="006D688A" w:rsidRDefault="00520333" w:rsidP="005E5E0C">
            <w:pPr>
              <w:spacing w:after="0"/>
              <w:jc w:val="right"/>
              <w:rPr>
                <w:rFonts w:cs="Arial"/>
                <w:b/>
                <w:bCs/>
                <w:sz w:val="18"/>
                <w:szCs w:val="18"/>
              </w:rPr>
            </w:pPr>
            <w:r w:rsidRPr="006D688A">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632BBA9F" w14:textId="77777777" w:rsidR="00520333" w:rsidRPr="006D688A" w:rsidRDefault="00520333" w:rsidP="005E5E0C">
            <w:pPr>
              <w:spacing w:after="0"/>
              <w:rPr>
                <w:rFonts w:cs="Arial"/>
                <w:sz w:val="18"/>
                <w:szCs w:val="18"/>
              </w:rPr>
            </w:pPr>
            <w:r w:rsidRPr="006D688A">
              <w:rPr>
                <w:rFonts w:cs="Arial"/>
                <w:sz w:val="18"/>
                <w:szCs w:val="18"/>
              </w:rPr>
              <w:t> </w:t>
            </w:r>
          </w:p>
        </w:tc>
        <w:tc>
          <w:tcPr>
            <w:tcW w:w="1122" w:type="dxa"/>
            <w:tcBorders>
              <w:top w:val="nil"/>
              <w:left w:val="nil"/>
              <w:bottom w:val="nil"/>
              <w:right w:val="nil"/>
            </w:tcBorders>
            <w:shd w:val="clear" w:color="FFFFFF" w:fill="FFFFFF"/>
            <w:noWrap/>
            <w:vAlign w:val="bottom"/>
            <w:hideMark/>
          </w:tcPr>
          <w:p w14:paraId="1FA34F0A" w14:textId="77777777" w:rsidR="00520333" w:rsidRPr="006D688A" w:rsidRDefault="00520333" w:rsidP="005E5E0C">
            <w:pPr>
              <w:spacing w:after="0"/>
              <w:jc w:val="right"/>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571BEDFA" w14:textId="77777777" w:rsidR="00520333" w:rsidRPr="006D688A" w:rsidRDefault="00520333" w:rsidP="005E5E0C">
            <w:pPr>
              <w:spacing w:after="0"/>
              <w:rPr>
                <w:rFonts w:cs="Arial"/>
                <w:sz w:val="18"/>
                <w:szCs w:val="18"/>
              </w:rPr>
            </w:pPr>
            <w:r w:rsidRPr="006D688A">
              <w:rPr>
                <w:rFonts w:cs="Arial"/>
                <w:sz w:val="18"/>
                <w:szCs w:val="18"/>
              </w:rPr>
              <w:t> </w:t>
            </w:r>
          </w:p>
        </w:tc>
        <w:tc>
          <w:tcPr>
            <w:tcW w:w="1199" w:type="dxa"/>
            <w:tcBorders>
              <w:top w:val="nil"/>
              <w:left w:val="nil"/>
              <w:bottom w:val="nil"/>
              <w:right w:val="nil"/>
            </w:tcBorders>
            <w:shd w:val="clear" w:color="FFFFFF" w:fill="FFFFFF"/>
            <w:noWrap/>
            <w:vAlign w:val="bottom"/>
            <w:hideMark/>
          </w:tcPr>
          <w:p w14:paraId="65856443" w14:textId="77777777" w:rsidR="00520333" w:rsidRPr="006D688A" w:rsidRDefault="00520333" w:rsidP="005E5E0C">
            <w:pPr>
              <w:spacing w:after="0"/>
              <w:jc w:val="right"/>
              <w:rPr>
                <w:rFonts w:cs="Arial"/>
                <w:sz w:val="18"/>
                <w:szCs w:val="18"/>
              </w:rPr>
            </w:pPr>
            <w:r w:rsidRPr="006D688A">
              <w:rPr>
                <w:rFonts w:cs="Arial"/>
                <w:sz w:val="18"/>
                <w:szCs w:val="18"/>
              </w:rPr>
              <w:t> </w:t>
            </w:r>
          </w:p>
        </w:tc>
      </w:tr>
      <w:tr w:rsidR="00520333" w:rsidRPr="006D688A" w14:paraId="4B30C1F7" w14:textId="77777777" w:rsidTr="005E5E0C">
        <w:trPr>
          <w:trHeight w:val="250"/>
        </w:trPr>
        <w:tc>
          <w:tcPr>
            <w:tcW w:w="4226" w:type="dxa"/>
            <w:tcBorders>
              <w:top w:val="nil"/>
              <w:left w:val="nil"/>
              <w:bottom w:val="nil"/>
              <w:right w:val="nil"/>
            </w:tcBorders>
            <w:shd w:val="clear" w:color="FFFFFF" w:fill="FFFFFF"/>
            <w:vAlign w:val="bottom"/>
            <w:hideMark/>
          </w:tcPr>
          <w:p w14:paraId="28DF7F70" w14:textId="77777777" w:rsidR="00520333" w:rsidRPr="006D688A" w:rsidRDefault="00520333" w:rsidP="005E5E0C">
            <w:pPr>
              <w:spacing w:after="0"/>
              <w:ind w:leftChars="100" w:left="240"/>
              <w:rPr>
                <w:rFonts w:cs="Arial"/>
                <w:sz w:val="18"/>
                <w:szCs w:val="18"/>
              </w:rPr>
            </w:pPr>
            <w:r w:rsidRPr="006D688A">
              <w:rPr>
                <w:rFonts w:cs="Arial"/>
                <w:sz w:val="18"/>
                <w:szCs w:val="18"/>
              </w:rPr>
              <w:t>Rendering of services</w:t>
            </w:r>
          </w:p>
        </w:tc>
        <w:tc>
          <w:tcPr>
            <w:tcW w:w="944" w:type="dxa"/>
            <w:tcBorders>
              <w:top w:val="nil"/>
              <w:left w:val="nil"/>
              <w:bottom w:val="nil"/>
              <w:right w:val="nil"/>
            </w:tcBorders>
            <w:shd w:val="clear" w:color="FFFFFF" w:fill="FFFFFF"/>
            <w:noWrap/>
            <w:vAlign w:val="bottom"/>
            <w:hideMark/>
          </w:tcPr>
          <w:p w14:paraId="2128C54E" w14:textId="77777777" w:rsidR="00520333" w:rsidRPr="006D688A" w:rsidRDefault="00520333" w:rsidP="005E5E0C">
            <w:pPr>
              <w:spacing w:after="0"/>
              <w:jc w:val="center"/>
              <w:rPr>
                <w:rFonts w:cs="Arial"/>
                <w:sz w:val="18"/>
                <w:szCs w:val="18"/>
              </w:rPr>
            </w:pPr>
            <w:r w:rsidRPr="006D688A">
              <w:rPr>
                <w:rFonts w:cs="Arial"/>
                <w:sz w:val="18"/>
                <w:szCs w:val="18"/>
              </w:rPr>
              <w:t>1.2A</w:t>
            </w:r>
          </w:p>
        </w:tc>
        <w:tc>
          <w:tcPr>
            <w:tcW w:w="1124" w:type="dxa"/>
            <w:tcBorders>
              <w:top w:val="nil"/>
              <w:left w:val="nil"/>
              <w:bottom w:val="nil"/>
              <w:right w:val="nil"/>
            </w:tcBorders>
            <w:shd w:val="clear" w:color="FFFFFF" w:fill="FFFFFF"/>
            <w:noWrap/>
            <w:vAlign w:val="bottom"/>
            <w:hideMark/>
          </w:tcPr>
          <w:p w14:paraId="3425FE1B" w14:textId="77777777" w:rsidR="00520333" w:rsidRPr="006D688A" w:rsidRDefault="00520333" w:rsidP="005E5E0C">
            <w:pPr>
              <w:spacing w:after="0"/>
              <w:jc w:val="right"/>
              <w:rPr>
                <w:rFonts w:cs="Arial"/>
                <w:b/>
                <w:bCs/>
                <w:sz w:val="18"/>
                <w:szCs w:val="18"/>
              </w:rPr>
            </w:pPr>
            <w:r w:rsidRPr="006D688A">
              <w:rPr>
                <w:rFonts w:cs="Arial"/>
                <w:b/>
                <w:bCs/>
                <w:sz w:val="18"/>
                <w:szCs w:val="18"/>
              </w:rPr>
              <w:t>41,429,061</w:t>
            </w:r>
          </w:p>
        </w:tc>
        <w:tc>
          <w:tcPr>
            <w:tcW w:w="236" w:type="dxa"/>
            <w:tcBorders>
              <w:top w:val="nil"/>
              <w:left w:val="nil"/>
              <w:bottom w:val="nil"/>
              <w:right w:val="nil"/>
            </w:tcBorders>
            <w:shd w:val="clear" w:color="FFFFFF" w:fill="FFFFFF"/>
            <w:noWrap/>
            <w:vAlign w:val="bottom"/>
            <w:hideMark/>
          </w:tcPr>
          <w:p w14:paraId="30921133" w14:textId="77777777" w:rsidR="00520333" w:rsidRPr="006D688A" w:rsidRDefault="00520333" w:rsidP="005E5E0C">
            <w:pPr>
              <w:spacing w:after="0"/>
              <w:rPr>
                <w:rFonts w:cs="Arial"/>
                <w:sz w:val="18"/>
                <w:szCs w:val="18"/>
              </w:rPr>
            </w:pPr>
            <w:r w:rsidRPr="006D688A">
              <w:rPr>
                <w:rFonts w:cs="Arial"/>
                <w:sz w:val="18"/>
                <w:szCs w:val="18"/>
              </w:rPr>
              <w:t> </w:t>
            </w:r>
          </w:p>
        </w:tc>
        <w:tc>
          <w:tcPr>
            <w:tcW w:w="1122" w:type="dxa"/>
            <w:tcBorders>
              <w:top w:val="nil"/>
              <w:left w:val="nil"/>
              <w:bottom w:val="nil"/>
              <w:right w:val="nil"/>
            </w:tcBorders>
            <w:shd w:val="clear" w:color="FFFFFF" w:fill="FFFFFF"/>
            <w:noWrap/>
            <w:vAlign w:val="bottom"/>
            <w:hideMark/>
          </w:tcPr>
          <w:p w14:paraId="6EAA9EA0" w14:textId="77777777" w:rsidR="00520333" w:rsidRPr="006D688A" w:rsidRDefault="00520333" w:rsidP="005E5E0C">
            <w:pPr>
              <w:spacing w:after="0"/>
              <w:jc w:val="right"/>
              <w:rPr>
                <w:rFonts w:cs="Arial"/>
                <w:sz w:val="18"/>
                <w:szCs w:val="18"/>
              </w:rPr>
            </w:pPr>
            <w:r w:rsidRPr="006D688A">
              <w:rPr>
                <w:rFonts w:cs="Arial"/>
                <w:sz w:val="18"/>
                <w:szCs w:val="18"/>
              </w:rPr>
              <w:t>34,111,841</w:t>
            </w:r>
          </w:p>
        </w:tc>
        <w:tc>
          <w:tcPr>
            <w:tcW w:w="236" w:type="dxa"/>
            <w:tcBorders>
              <w:top w:val="nil"/>
              <w:left w:val="nil"/>
              <w:bottom w:val="nil"/>
              <w:right w:val="nil"/>
            </w:tcBorders>
            <w:shd w:val="clear" w:color="FFFFFF" w:fill="FFFFFF"/>
            <w:noWrap/>
            <w:vAlign w:val="bottom"/>
            <w:hideMark/>
          </w:tcPr>
          <w:p w14:paraId="22945CCF" w14:textId="77777777" w:rsidR="00520333" w:rsidRPr="006D688A" w:rsidRDefault="00520333" w:rsidP="005E5E0C">
            <w:pPr>
              <w:spacing w:after="0"/>
              <w:rPr>
                <w:rFonts w:cs="Arial"/>
                <w:sz w:val="18"/>
                <w:szCs w:val="18"/>
              </w:rPr>
            </w:pPr>
            <w:r w:rsidRPr="006D688A">
              <w:rPr>
                <w:rFonts w:cs="Arial"/>
                <w:sz w:val="18"/>
                <w:szCs w:val="18"/>
              </w:rPr>
              <w:t> </w:t>
            </w:r>
          </w:p>
        </w:tc>
        <w:tc>
          <w:tcPr>
            <w:tcW w:w="1199" w:type="dxa"/>
            <w:tcBorders>
              <w:top w:val="nil"/>
              <w:left w:val="nil"/>
              <w:bottom w:val="nil"/>
              <w:right w:val="nil"/>
            </w:tcBorders>
            <w:shd w:val="clear" w:color="FFFFFF" w:fill="FFFFFF"/>
            <w:noWrap/>
            <w:vAlign w:val="bottom"/>
            <w:hideMark/>
          </w:tcPr>
          <w:p w14:paraId="30B92E44" w14:textId="77777777" w:rsidR="00520333" w:rsidRPr="006D688A" w:rsidRDefault="00520333" w:rsidP="005E5E0C">
            <w:pPr>
              <w:spacing w:after="0"/>
              <w:jc w:val="right"/>
              <w:rPr>
                <w:rFonts w:cs="Arial"/>
                <w:sz w:val="18"/>
                <w:szCs w:val="18"/>
              </w:rPr>
            </w:pPr>
            <w:r w:rsidRPr="006D688A">
              <w:rPr>
                <w:rFonts w:cs="Arial"/>
                <w:sz w:val="18"/>
                <w:szCs w:val="18"/>
              </w:rPr>
              <w:t>39,664,677</w:t>
            </w:r>
          </w:p>
        </w:tc>
      </w:tr>
      <w:tr w:rsidR="00520333" w:rsidRPr="006D688A" w14:paraId="518EDD4D" w14:textId="77777777" w:rsidTr="005E5E0C">
        <w:trPr>
          <w:trHeight w:val="250"/>
        </w:trPr>
        <w:tc>
          <w:tcPr>
            <w:tcW w:w="4226" w:type="dxa"/>
            <w:tcBorders>
              <w:top w:val="nil"/>
              <w:left w:val="nil"/>
              <w:bottom w:val="nil"/>
              <w:right w:val="nil"/>
            </w:tcBorders>
            <w:shd w:val="clear" w:color="FFFFFF" w:fill="FFFFFF"/>
            <w:vAlign w:val="bottom"/>
            <w:hideMark/>
          </w:tcPr>
          <w:p w14:paraId="288E03B6" w14:textId="77777777" w:rsidR="00520333" w:rsidRPr="006D688A" w:rsidRDefault="00520333" w:rsidP="005E5E0C">
            <w:pPr>
              <w:spacing w:after="0"/>
              <w:ind w:leftChars="100" w:left="240"/>
              <w:rPr>
                <w:rFonts w:cs="Arial"/>
                <w:sz w:val="18"/>
                <w:szCs w:val="18"/>
              </w:rPr>
            </w:pPr>
            <w:r w:rsidRPr="006D688A">
              <w:rPr>
                <w:rFonts w:cs="Arial"/>
                <w:sz w:val="18"/>
                <w:szCs w:val="18"/>
              </w:rPr>
              <w:t>Interest</w:t>
            </w:r>
          </w:p>
        </w:tc>
        <w:tc>
          <w:tcPr>
            <w:tcW w:w="944" w:type="dxa"/>
            <w:tcBorders>
              <w:top w:val="nil"/>
              <w:left w:val="nil"/>
              <w:bottom w:val="nil"/>
              <w:right w:val="nil"/>
            </w:tcBorders>
            <w:shd w:val="clear" w:color="FFFFFF" w:fill="FFFFFF"/>
            <w:noWrap/>
            <w:vAlign w:val="bottom"/>
            <w:hideMark/>
          </w:tcPr>
          <w:p w14:paraId="6B3134EE"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124" w:type="dxa"/>
            <w:tcBorders>
              <w:top w:val="nil"/>
              <w:left w:val="nil"/>
              <w:bottom w:val="nil"/>
              <w:right w:val="nil"/>
            </w:tcBorders>
            <w:shd w:val="clear" w:color="FFFFFF" w:fill="FFFFFF"/>
            <w:noWrap/>
            <w:vAlign w:val="bottom"/>
            <w:hideMark/>
          </w:tcPr>
          <w:p w14:paraId="59C88A2B" w14:textId="77777777" w:rsidR="00520333" w:rsidRPr="006D688A" w:rsidRDefault="00520333" w:rsidP="005E5E0C">
            <w:pPr>
              <w:spacing w:after="0"/>
              <w:jc w:val="right"/>
              <w:rPr>
                <w:rFonts w:cs="Arial"/>
                <w:b/>
                <w:bCs/>
                <w:sz w:val="18"/>
                <w:szCs w:val="18"/>
              </w:rPr>
            </w:pPr>
            <w:r w:rsidRPr="006D688A">
              <w:rPr>
                <w:rFonts w:cs="Arial"/>
                <w:b/>
                <w:bCs/>
                <w:sz w:val="18"/>
                <w:szCs w:val="18"/>
              </w:rPr>
              <w:t>390,496</w:t>
            </w:r>
          </w:p>
        </w:tc>
        <w:tc>
          <w:tcPr>
            <w:tcW w:w="236" w:type="dxa"/>
            <w:tcBorders>
              <w:top w:val="nil"/>
              <w:left w:val="nil"/>
              <w:bottom w:val="nil"/>
              <w:right w:val="nil"/>
            </w:tcBorders>
            <w:shd w:val="clear" w:color="FFFFFF" w:fill="FFFFFF"/>
            <w:noWrap/>
            <w:vAlign w:val="bottom"/>
            <w:hideMark/>
          </w:tcPr>
          <w:p w14:paraId="7D696943" w14:textId="77777777" w:rsidR="00520333" w:rsidRPr="006D688A" w:rsidRDefault="00520333" w:rsidP="005E5E0C">
            <w:pPr>
              <w:spacing w:after="0"/>
              <w:rPr>
                <w:rFonts w:cs="Arial"/>
                <w:sz w:val="18"/>
                <w:szCs w:val="18"/>
              </w:rPr>
            </w:pPr>
            <w:r w:rsidRPr="006D688A">
              <w:rPr>
                <w:rFonts w:cs="Arial"/>
                <w:sz w:val="18"/>
                <w:szCs w:val="18"/>
              </w:rPr>
              <w:t> </w:t>
            </w:r>
          </w:p>
        </w:tc>
        <w:tc>
          <w:tcPr>
            <w:tcW w:w="1122" w:type="dxa"/>
            <w:tcBorders>
              <w:top w:val="nil"/>
              <w:left w:val="nil"/>
              <w:bottom w:val="nil"/>
              <w:right w:val="nil"/>
            </w:tcBorders>
            <w:shd w:val="clear" w:color="FFFFFF" w:fill="FFFFFF"/>
            <w:noWrap/>
            <w:vAlign w:val="bottom"/>
            <w:hideMark/>
          </w:tcPr>
          <w:p w14:paraId="4FF820C8" w14:textId="77777777" w:rsidR="00520333" w:rsidRPr="006D688A" w:rsidRDefault="00520333" w:rsidP="005E5E0C">
            <w:pPr>
              <w:spacing w:after="0"/>
              <w:jc w:val="right"/>
              <w:rPr>
                <w:rFonts w:cs="Arial"/>
                <w:sz w:val="18"/>
                <w:szCs w:val="18"/>
              </w:rPr>
            </w:pPr>
            <w:r w:rsidRPr="006D688A">
              <w:rPr>
                <w:rFonts w:cs="Arial"/>
                <w:sz w:val="18"/>
                <w:szCs w:val="18"/>
              </w:rPr>
              <w:t>259,802</w:t>
            </w:r>
          </w:p>
        </w:tc>
        <w:tc>
          <w:tcPr>
            <w:tcW w:w="236" w:type="dxa"/>
            <w:tcBorders>
              <w:top w:val="nil"/>
              <w:left w:val="nil"/>
              <w:bottom w:val="nil"/>
              <w:right w:val="nil"/>
            </w:tcBorders>
            <w:shd w:val="clear" w:color="FFFFFF" w:fill="FFFFFF"/>
            <w:noWrap/>
            <w:vAlign w:val="bottom"/>
            <w:hideMark/>
          </w:tcPr>
          <w:p w14:paraId="7D0E72CB" w14:textId="77777777" w:rsidR="00520333" w:rsidRPr="006D688A" w:rsidRDefault="00520333" w:rsidP="005E5E0C">
            <w:pPr>
              <w:spacing w:after="0"/>
              <w:rPr>
                <w:rFonts w:cs="Arial"/>
                <w:sz w:val="18"/>
                <w:szCs w:val="18"/>
              </w:rPr>
            </w:pPr>
            <w:r w:rsidRPr="006D688A">
              <w:rPr>
                <w:rFonts w:cs="Arial"/>
                <w:sz w:val="18"/>
                <w:szCs w:val="18"/>
              </w:rPr>
              <w:t> </w:t>
            </w:r>
          </w:p>
        </w:tc>
        <w:tc>
          <w:tcPr>
            <w:tcW w:w="1199" w:type="dxa"/>
            <w:tcBorders>
              <w:top w:val="nil"/>
              <w:left w:val="nil"/>
              <w:bottom w:val="nil"/>
              <w:right w:val="nil"/>
            </w:tcBorders>
            <w:shd w:val="clear" w:color="FFFFFF" w:fill="FFFFFF"/>
            <w:noWrap/>
            <w:vAlign w:val="bottom"/>
            <w:hideMark/>
          </w:tcPr>
          <w:p w14:paraId="2E56C34B" w14:textId="77777777" w:rsidR="00520333" w:rsidRPr="006D688A" w:rsidRDefault="00520333" w:rsidP="005E5E0C">
            <w:pPr>
              <w:spacing w:after="0"/>
              <w:jc w:val="right"/>
              <w:rPr>
                <w:rFonts w:cs="Arial"/>
                <w:sz w:val="18"/>
                <w:szCs w:val="18"/>
              </w:rPr>
            </w:pPr>
            <w:r w:rsidRPr="006D688A">
              <w:rPr>
                <w:rFonts w:cs="Arial"/>
                <w:sz w:val="18"/>
                <w:szCs w:val="18"/>
              </w:rPr>
              <w:t>259,054</w:t>
            </w:r>
          </w:p>
        </w:tc>
      </w:tr>
      <w:tr w:rsidR="00520333" w:rsidRPr="006D688A" w14:paraId="42816806" w14:textId="77777777" w:rsidTr="005E5E0C">
        <w:trPr>
          <w:trHeight w:val="250"/>
        </w:trPr>
        <w:tc>
          <w:tcPr>
            <w:tcW w:w="4226" w:type="dxa"/>
            <w:tcBorders>
              <w:top w:val="nil"/>
              <w:left w:val="nil"/>
              <w:bottom w:val="nil"/>
              <w:right w:val="nil"/>
            </w:tcBorders>
            <w:shd w:val="clear" w:color="FFFFFF" w:fill="FFFFFF"/>
            <w:vAlign w:val="bottom"/>
            <w:hideMark/>
          </w:tcPr>
          <w:p w14:paraId="70CCB0A1" w14:textId="77777777" w:rsidR="00520333" w:rsidRPr="006D688A" w:rsidRDefault="00520333" w:rsidP="005E5E0C">
            <w:pPr>
              <w:spacing w:after="0"/>
              <w:ind w:leftChars="100" w:left="240"/>
              <w:rPr>
                <w:rFonts w:cs="Arial"/>
                <w:sz w:val="18"/>
                <w:szCs w:val="18"/>
              </w:rPr>
            </w:pPr>
            <w:r w:rsidRPr="006D688A">
              <w:rPr>
                <w:rFonts w:cs="Arial"/>
                <w:sz w:val="18"/>
                <w:szCs w:val="18"/>
              </w:rPr>
              <w:t>Rental income</w:t>
            </w:r>
          </w:p>
        </w:tc>
        <w:tc>
          <w:tcPr>
            <w:tcW w:w="944" w:type="dxa"/>
            <w:tcBorders>
              <w:top w:val="nil"/>
              <w:left w:val="nil"/>
              <w:bottom w:val="nil"/>
              <w:right w:val="nil"/>
            </w:tcBorders>
            <w:shd w:val="clear" w:color="FFFFFF" w:fill="FFFFFF"/>
            <w:noWrap/>
            <w:vAlign w:val="bottom"/>
            <w:hideMark/>
          </w:tcPr>
          <w:p w14:paraId="77A112A3" w14:textId="77777777" w:rsidR="00520333" w:rsidRPr="006D688A" w:rsidRDefault="00520333" w:rsidP="005E5E0C">
            <w:pPr>
              <w:spacing w:after="0"/>
              <w:jc w:val="center"/>
              <w:rPr>
                <w:rFonts w:cs="Arial"/>
                <w:sz w:val="18"/>
                <w:szCs w:val="18"/>
              </w:rPr>
            </w:pPr>
            <w:r w:rsidRPr="006D688A">
              <w:rPr>
                <w:rFonts w:cs="Arial"/>
                <w:sz w:val="18"/>
                <w:szCs w:val="18"/>
              </w:rPr>
              <w:t>1.2B</w:t>
            </w:r>
          </w:p>
        </w:tc>
        <w:tc>
          <w:tcPr>
            <w:tcW w:w="1124" w:type="dxa"/>
            <w:tcBorders>
              <w:top w:val="nil"/>
              <w:left w:val="nil"/>
              <w:bottom w:val="nil"/>
              <w:right w:val="nil"/>
            </w:tcBorders>
            <w:shd w:val="clear" w:color="FFFFFF" w:fill="FFFFFF"/>
            <w:noWrap/>
            <w:vAlign w:val="bottom"/>
            <w:hideMark/>
          </w:tcPr>
          <w:p w14:paraId="7954E4AF" w14:textId="77777777" w:rsidR="00520333" w:rsidRPr="006D688A" w:rsidRDefault="00520333" w:rsidP="005E5E0C">
            <w:pPr>
              <w:spacing w:after="0"/>
              <w:jc w:val="right"/>
              <w:rPr>
                <w:rFonts w:cs="Arial"/>
                <w:b/>
                <w:bCs/>
                <w:sz w:val="18"/>
                <w:szCs w:val="18"/>
              </w:rPr>
            </w:pPr>
            <w:r w:rsidRPr="006D688A">
              <w:rPr>
                <w:rFonts w:cs="Arial"/>
                <w:b/>
                <w:bCs/>
                <w:sz w:val="18"/>
                <w:szCs w:val="18"/>
              </w:rPr>
              <w:t>478</w:t>
            </w:r>
          </w:p>
        </w:tc>
        <w:tc>
          <w:tcPr>
            <w:tcW w:w="236" w:type="dxa"/>
            <w:tcBorders>
              <w:top w:val="nil"/>
              <w:left w:val="nil"/>
              <w:bottom w:val="nil"/>
              <w:right w:val="nil"/>
            </w:tcBorders>
            <w:shd w:val="clear" w:color="FFFFFF" w:fill="FFFFFF"/>
            <w:noWrap/>
            <w:vAlign w:val="bottom"/>
            <w:hideMark/>
          </w:tcPr>
          <w:p w14:paraId="48D5F5F3" w14:textId="77777777" w:rsidR="00520333" w:rsidRPr="006D688A" w:rsidRDefault="00520333" w:rsidP="005E5E0C">
            <w:pPr>
              <w:spacing w:after="0"/>
              <w:rPr>
                <w:rFonts w:cs="Arial"/>
                <w:sz w:val="18"/>
                <w:szCs w:val="18"/>
              </w:rPr>
            </w:pPr>
            <w:r w:rsidRPr="006D688A">
              <w:rPr>
                <w:rFonts w:cs="Arial"/>
                <w:sz w:val="18"/>
                <w:szCs w:val="18"/>
              </w:rPr>
              <w:t> </w:t>
            </w:r>
          </w:p>
        </w:tc>
        <w:tc>
          <w:tcPr>
            <w:tcW w:w="1122" w:type="dxa"/>
            <w:tcBorders>
              <w:top w:val="nil"/>
              <w:left w:val="nil"/>
              <w:bottom w:val="nil"/>
              <w:right w:val="nil"/>
            </w:tcBorders>
            <w:shd w:val="clear" w:color="FFFFFF" w:fill="FFFFFF"/>
            <w:noWrap/>
            <w:vAlign w:val="bottom"/>
            <w:hideMark/>
          </w:tcPr>
          <w:p w14:paraId="5349462A" w14:textId="77777777" w:rsidR="00520333" w:rsidRPr="006D688A" w:rsidRDefault="00520333" w:rsidP="005E5E0C">
            <w:pPr>
              <w:spacing w:after="0"/>
              <w:jc w:val="right"/>
              <w:rPr>
                <w:rFonts w:cs="Arial"/>
                <w:sz w:val="18"/>
                <w:szCs w:val="18"/>
              </w:rPr>
            </w:pPr>
            <w:r w:rsidRPr="006D688A">
              <w:rPr>
                <w:rFonts w:cs="Arial"/>
                <w:sz w:val="18"/>
                <w:szCs w:val="18"/>
              </w:rPr>
              <w:t>704</w:t>
            </w:r>
          </w:p>
        </w:tc>
        <w:tc>
          <w:tcPr>
            <w:tcW w:w="236" w:type="dxa"/>
            <w:tcBorders>
              <w:top w:val="nil"/>
              <w:left w:val="nil"/>
              <w:bottom w:val="nil"/>
              <w:right w:val="nil"/>
            </w:tcBorders>
            <w:shd w:val="clear" w:color="FFFFFF" w:fill="FFFFFF"/>
            <w:noWrap/>
            <w:vAlign w:val="bottom"/>
            <w:hideMark/>
          </w:tcPr>
          <w:p w14:paraId="3D159FC3" w14:textId="77777777" w:rsidR="00520333" w:rsidRPr="006D688A" w:rsidRDefault="00520333" w:rsidP="005E5E0C">
            <w:pPr>
              <w:spacing w:after="0"/>
              <w:rPr>
                <w:rFonts w:cs="Arial"/>
                <w:sz w:val="18"/>
                <w:szCs w:val="18"/>
              </w:rPr>
            </w:pPr>
            <w:r w:rsidRPr="006D688A">
              <w:rPr>
                <w:rFonts w:cs="Arial"/>
                <w:sz w:val="18"/>
                <w:szCs w:val="18"/>
              </w:rPr>
              <w:t> </w:t>
            </w:r>
          </w:p>
        </w:tc>
        <w:tc>
          <w:tcPr>
            <w:tcW w:w="1199" w:type="dxa"/>
            <w:tcBorders>
              <w:top w:val="nil"/>
              <w:left w:val="nil"/>
              <w:bottom w:val="nil"/>
              <w:right w:val="nil"/>
            </w:tcBorders>
            <w:shd w:val="clear" w:color="FFFFFF" w:fill="FFFFFF"/>
            <w:noWrap/>
            <w:vAlign w:val="bottom"/>
            <w:hideMark/>
          </w:tcPr>
          <w:p w14:paraId="019EC1E7" w14:textId="77777777" w:rsidR="00520333" w:rsidRPr="006D688A" w:rsidRDefault="00520333" w:rsidP="005E5E0C">
            <w:pPr>
              <w:spacing w:after="0"/>
              <w:jc w:val="right"/>
              <w:rPr>
                <w:rFonts w:cs="Arial"/>
                <w:sz w:val="18"/>
                <w:szCs w:val="18"/>
              </w:rPr>
            </w:pPr>
            <w:r w:rsidRPr="006D688A">
              <w:rPr>
                <w:rFonts w:cs="Arial"/>
                <w:sz w:val="18"/>
                <w:szCs w:val="18"/>
              </w:rPr>
              <w:t xml:space="preserve"> -</w:t>
            </w:r>
          </w:p>
        </w:tc>
      </w:tr>
      <w:tr w:rsidR="00520333" w:rsidRPr="006D688A" w14:paraId="53A837AA" w14:textId="77777777" w:rsidTr="005E5E0C">
        <w:trPr>
          <w:trHeight w:val="250"/>
        </w:trPr>
        <w:tc>
          <w:tcPr>
            <w:tcW w:w="4226" w:type="dxa"/>
            <w:tcBorders>
              <w:top w:val="nil"/>
              <w:left w:val="nil"/>
              <w:bottom w:val="nil"/>
              <w:right w:val="nil"/>
            </w:tcBorders>
            <w:shd w:val="clear" w:color="FFFFFF" w:fill="FFFFFF"/>
            <w:vAlign w:val="bottom"/>
            <w:hideMark/>
          </w:tcPr>
          <w:p w14:paraId="7980955B" w14:textId="77777777" w:rsidR="00520333" w:rsidRPr="006D688A" w:rsidRDefault="00520333" w:rsidP="005E5E0C">
            <w:pPr>
              <w:spacing w:after="0"/>
              <w:ind w:leftChars="100" w:left="240"/>
              <w:rPr>
                <w:rFonts w:cs="Arial"/>
                <w:sz w:val="18"/>
                <w:szCs w:val="18"/>
              </w:rPr>
            </w:pPr>
            <w:r w:rsidRPr="006D688A">
              <w:rPr>
                <w:rFonts w:cs="Arial"/>
                <w:sz w:val="18"/>
                <w:szCs w:val="18"/>
              </w:rPr>
              <w:t>Other revenue</w:t>
            </w:r>
          </w:p>
        </w:tc>
        <w:tc>
          <w:tcPr>
            <w:tcW w:w="944" w:type="dxa"/>
            <w:tcBorders>
              <w:top w:val="nil"/>
              <w:left w:val="nil"/>
              <w:bottom w:val="nil"/>
              <w:right w:val="nil"/>
            </w:tcBorders>
            <w:shd w:val="clear" w:color="FFFFFF" w:fill="FFFFFF"/>
            <w:noWrap/>
            <w:vAlign w:val="bottom"/>
            <w:hideMark/>
          </w:tcPr>
          <w:p w14:paraId="54EEADEE" w14:textId="77777777" w:rsidR="00520333" w:rsidRPr="006D688A" w:rsidRDefault="00520333" w:rsidP="005E5E0C">
            <w:pPr>
              <w:spacing w:after="0"/>
              <w:jc w:val="center"/>
              <w:rPr>
                <w:rFonts w:cs="Arial"/>
                <w:sz w:val="18"/>
                <w:szCs w:val="18"/>
              </w:rPr>
            </w:pPr>
            <w:r w:rsidRPr="006D688A">
              <w:rPr>
                <w:rFonts w:cs="Arial"/>
                <w:sz w:val="18"/>
                <w:szCs w:val="18"/>
              </w:rPr>
              <w:t>1.2C</w:t>
            </w:r>
          </w:p>
        </w:tc>
        <w:tc>
          <w:tcPr>
            <w:tcW w:w="1124" w:type="dxa"/>
            <w:tcBorders>
              <w:top w:val="nil"/>
              <w:left w:val="nil"/>
              <w:bottom w:val="nil"/>
              <w:right w:val="nil"/>
            </w:tcBorders>
            <w:shd w:val="clear" w:color="FFFFFF" w:fill="FFFFFF"/>
            <w:noWrap/>
            <w:vAlign w:val="bottom"/>
            <w:hideMark/>
          </w:tcPr>
          <w:p w14:paraId="639376A0" w14:textId="77777777" w:rsidR="00520333" w:rsidRPr="006D688A" w:rsidRDefault="00520333" w:rsidP="005E5E0C">
            <w:pPr>
              <w:spacing w:after="0"/>
              <w:jc w:val="right"/>
              <w:rPr>
                <w:rFonts w:cs="Arial"/>
                <w:b/>
                <w:bCs/>
                <w:sz w:val="18"/>
                <w:szCs w:val="18"/>
              </w:rPr>
            </w:pPr>
            <w:r w:rsidRPr="006D688A">
              <w:rPr>
                <w:rFonts w:cs="Arial"/>
                <w:b/>
                <w:bCs/>
                <w:sz w:val="18"/>
                <w:szCs w:val="18"/>
              </w:rPr>
              <w:t>48,792</w:t>
            </w:r>
          </w:p>
        </w:tc>
        <w:tc>
          <w:tcPr>
            <w:tcW w:w="236" w:type="dxa"/>
            <w:tcBorders>
              <w:top w:val="nil"/>
              <w:left w:val="nil"/>
              <w:bottom w:val="nil"/>
              <w:right w:val="nil"/>
            </w:tcBorders>
            <w:shd w:val="clear" w:color="FFFFFF" w:fill="FFFFFF"/>
            <w:noWrap/>
            <w:vAlign w:val="bottom"/>
            <w:hideMark/>
          </w:tcPr>
          <w:p w14:paraId="2B3AB8EF" w14:textId="77777777" w:rsidR="00520333" w:rsidRPr="006D688A" w:rsidRDefault="00520333" w:rsidP="005E5E0C">
            <w:pPr>
              <w:spacing w:after="0"/>
              <w:rPr>
                <w:rFonts w:cs="Arial"/>
                <w:sz w:val="18"/>
                <w:szCs w:val="18"/>
              </w:rPr>
            </w:pPr>
            <w:r w:rsidRPr="006D688A">
              <w:rPr>
                <w:rFonts w:cs="Arial"/>
                <w:sz w:val="18"/>
                <w:szCs w:val="18"/>
              </w:rPr>
              <w:t> </w:t>
            </w:r>
          </w:p>
        </w:tc>
        <w:tc>
          <w:tcPr>
            <w:tcW w:w="1122" w:type="dxa"/>
            <w:tcBorders>
              <w:top w:val="nil"/>
              <w:left w:val="nil"/>
              <w:bottom w:val="nil"/>
              <w:right w:val="nil"/>
            </w:tcBorders>
            <w:shd w:val="clear" w:color="FFFFFF" w:fill="FFFFFF"/>
            <w:noWrap/>
            <w:vAlign w:val="bottom"/>
            <w:hideMark/>
          </w:tcPr>
          <w:p w14:paraId="06D57661" w14:textId="77777777" w:rsidR="00520333" w:rsidRPr="006D688A" w:rsidRDefault="00520333" w:rsidP="005E5E0C">
            <w:pPr>
              <w:spacing w:after="0"/>
              <w:jc w:val="right"/>
              <w:rPr>
                <w:rFonts w:cs="Arial"/>
                <w:sz w:val="18"/>
                <w:szCs w:val="18"/>
              </w:rPr>
            </w:pPr>
            <w:r w:rsidRPr="006D688A">
              <w:rPr>
                <w:rFonts w:cs="Arial"/>
                <w:sz w:val="18"/>
                <w:szCs w:val="18"/>
              </w:rPr>
              <w:t>29,420</w:t>
            </w:r>
          </w:p>
        </w:tc>
        <w:tc>
          <w:tcPr>
            <w:tcW w:w="236" w:type="dxa"/>
            <w:tcBorders>
              <w:top w:val="nil"/>
              <w:left w:val="nil"/>
              <w:bottom w:val="nil"/>
              <w:right w:val="nil"/>
            </w:tcBorders>
            <w:shd w:val="clear" w:color="FFFFFF" w:fill="FFFFFF"/>
            <w:noWrap/>
            <w:vAlign w:val="bottom"/>
            <w:hideMark/>
          </w:tcPr>
          <w:p w14:paraId="462B1AA4" w14:textId="77777777" w:rsidR="00520333" w:rsidRPr="006D688A" w:rsidRDefault="00520333" w:rsidP="005E5E0C">
            <w:pPr>
              <w:spacing w:after="0"/>
              <w:rPr>
                <w:rFonts w:cs="Arial"/>
                <w:sz w:val="18"/>
                <w:szCs w:val="18"/>
              </w:rPr>
            </w:pPr>
            <w:r w:rsidRPr="006D688A">
              <w:rPr>
                <w:rFonts w:cs="Arial"/>
                <w:sz w:val="18"/>
                <w:szCs w:val="18"/>
              </w:rPr>
              <w:t> </w:t>
            </w:r>
          </w:p>
        </w:tc>
        <w:tc>
          <w:tcPr>
            <w:tcW w:w="1199" w:type="dxa"/>
            <w:tcBorders>
              <w:top w:val="nil"/>
              <w:left w:val="nil"/>
              <w:bottom w:val="nil"/>
              <w:right w:val="nil"/>
            </w:tcBorders>
            <w:shd w:val="clear" w:color="FFFFFF" w:fill="FFFFFF"/>
            <w:noWrap/>
            <w:vAlign w:val="bottom"/>
            <w:hideMark/>
          </w:tcPr>
          <w:p w14:paraId="7EA9D047" w14:textId="77777777" w:rsidR="00520333" w:rsidRPr="006D688A" w:rsidRDefault="00520333" w:rsidP="005E5E0C">
            <w:pPr>
              <w:spacing w:after="0"/>
              <w:jc w:val="right"/>
              <w:rPr>
                <w:rFonts w:cs="Arial"/>
                <w:sz w:val="18"/>
                <w:szCs w:val="18"/>
              </w:rPr>
            </w:pPr>
            <w:r w:rsidRPr="006D688A">
              <w:rPr>
                <w:rFonts w:cs="Arial"/>
                <w:sz w:val="18"/>
                <w:szCs w:val="18"/>
              </w:rPr>
              <w:t>79,500</w:t>
            </w:r>
          </w:p>
        </w:tc>
      </w:tr>
      <w:tr w:rsidR="00520333" w:rsidRPr="006D688A" w14:paraId="25EE21B4" w14:textId="77777777" w:rsidTr="005E5E0C">
        <w:trPr>
          <w:trHeight w:val="250"/>
        </w:trPr>
        <w:tc>
          <w:tcPr>
            <w:tcW w:w="4226" w:type="dxa"/>
            <w:tcBorders>
              <w:top w:val="nil"/>
              <w:left w:val="nil"/>
              <w:bottom w:val="nil"/>
              <w:right w:val="nil"/>
            </w:tcBorders>
            <w:shd w:val="clear" w:color="FFFFFF" w:fill="FFFFFF"/>
            <w:vAlign w:val="bottom"/>
            <w:hideMark/>
          </w:tcPr>
          <w:p w14:paraId="776C68F8" w14:textId="77777777" w:rsidR="00520333" w:rsidRPr="006D688A" w:rsidRDefault="00520333" w:rsidP="005E5E0C">
            <w:pPr>
              <w:spacing w:after="0"/>
              <w:rPr>
                <w:rFonts w:cs="Arial"/>
                <w:b/>
                <w:bCs/>
                <w:sz w:val="18"/>
                <w:szCs w:val="18"/>
              </w:rPr>
            </w:pPr>
            <w:r w:rsidRPr="006D688A">
              <w:rPr>
                <w:rFonts w:cs="Arial"/>
                <w:b/>
                <w:bCs/>
                <w:sz w:val="18"/>
                <w:szCs w:val="18"/>
              </w:rPr>
              <w:t>Total own-source revenue</w:t>
            </w:r>
          </w:p>
        </w:tc>
        <w:tc>
          <w:tcPr>
            <w:tcW w:w="944" w:type="dxa"/>
            <w:tcBorders>
              <w:top w:val="nil"/>
              <w:left w:val="nil"/>
              <w:bottom w:val="nil"/>
              <w:right w:val="nil"/>
            </w:tcBorders>
            <w:shd w:val="clear" w:color="FFFFFF" w:fill="FFFFFF"/>
            <w:noWrap/>
            <w:vAlign w:val="bottom"/>
            <w:hideMark/>
          </w:tcPr>
          <w:p w14:paraId="1503E7BC"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124" w:type="dxa"/>
            <w:tcBorders>
              <w:top w:val="single" w:sz="4" w:space="0" w:color="auto"/>
              <w:left w:val="nil"/>
              <w:bottom w:val="single" w:sz="4" w:space="0" w:color="auto"/>
              <w:right w:val="nil"/>
            </w:tcBorders>
            <w:shd w:val="clear" w:color="FFFFFF" w:fill="FFFFFF"/>
            <w:noWrap/>
            <w:vAlign w:val="bottom"/>
            <w:hideMark/>
          </w:tcPr>
          <w:p w14:paraId="51DDD1AA" w14:textId="77777777" w:rsidR="00520333" w:rsidRPr="006D688A" w:rsidRDefault="00520333" w:rsidP="005E5E0C">
            <w:pPr>
              <w:spacing w:after="0"/>
              <w:jc w:val="right"/>
              <w:rPr>
                <w:rFonts w:cs="Arial"/>
                <w:b/>
                <w:bCs/>
                <w:sz w:val="18"/>
                <w:szCs w:val="18"/>
              </w:rPr>
            </w:pPr>
            <w:r w:rsidRPr="006D688A">
              <w:rPr>
                <w:rFonts w:cs="Arial"/>
                <w:b/>
                <w:bCs/>
                <w:sz w:val="18"/>
                <w:szCs w:val="18"/>
              </w:rPr>
              <w:t>41,868,827</w:t>
            </w:r>
          </w:p>
        </w:tc>
        <w:tc>
          <w:tcPr>
            <w:tcW w:w="236" w:type="dxa"/>
            <w:tcBorders>
              <w:top w:val="nil"/>
              <w:left w:val="nil"/>
              <w:bottom w:val="nil"/>
              <w:right w:val="nil"/>
            </w:tcBorders>
            <w:shd w:val="clear" w:color="FFFFFF" w:fill="FFFFFF"/>
            <w:noWrap/>
            <w:vAlign w:val="bottom"/>
            <w:hideMark/>
          </w:tcPr>
          <w:p w14:paraId="45C153B4" w14:textId="77777777" w:rsidR="00520333" w:rsidRPr="006D688A" w:rsidRDefault="00520333" w:rsidP="005E5E0C">
            <w:pPr>
              <w:spacing w:after="0"/>
              <w:rPr>
                <w:rFonts w:cs="Arial"/>
                <w:sz w:val="18"/>
                <w:szCs w:val="18"/>
              </w:rPr>
            </w:pPr>
            <w:r w:rsidRPr="006D688A">
              <w:rPr>
                <w:rFonts w:cs="Arial"/>
                <w:sz w:val="18"/>
                <w:szCs w:val="18"/>
              </w:rPr>
              <w:t> </w:t>
            </w:r>
          </w:p>
        </w:tc>
        <w:tc>
          <w:tcPr>
            <w:tcW w:w="1122" w:type="dxa"/>
            <w:tcBorders>
              <w:top w:val="single" w:sz="4" w:space="0" w:color="auto"/>
              <w:left w:val="nil"/>
              <w:bottom w:val="single" w:sz="4" w:space="0" w:color="auto"/>
              <w:right w:val="nil"/>
            </w:tcBorders>
            <w:shd w:val="clear" w:color="FFFFFF" w:fill="FFFFFF"/>
            <w:noWrap/>
            <w:vAlign w:val="bottom"/>
            <w:hideMark/>
          </w:tcPr>
          <w:p w14:paraId="24B4FE47" w14:textId="77777777" w:rsidR="00520333" w:rsidRPr="006D688A" w:rsidRDefault="00520333" w:rsidP="005E5E0C">
            <w:pPr>
              <w:spacing w:after="0"/>
              <w:jc w:val="right"/>
              <w:rPr>
                <w:rFonts w:cs="Arial"/>
                <w:sz w:val="18"/>
                <w:szCs w:val="18"/>
              </w:rPr>
            </w:pPr>
            <w:r w:rsidRPr="006D688A">
              <w:rPr>
                <w:rFonts w:cs="Arial"/>
                <w:sz w:val="18"/>
                <w:szCs w:val="18"/>
              </w:rPr>
              <w:t>34,401,767</w:t>
            </w:r>
          </w:p>
        </w:tc>
        <w:tc>
          <w:tcPr>
            <w:tcW w:w="236" w:type="dxa"/>
            <w:tcBorders>
              <w:top w:val="nil"/>
              <w:left w:val="nil"/>
              <w:bottom w:val="nil"/>
              <w:right w:val="nil"/>
            </w:tcBorders>
            <w:shd w:val="clear" w:color="FFFFFF" w:fill="FFFFFF"/>
            <w:noWrap/>
            <w:vAlign w:val="bottom"/>
            <w:hideMark/>
          </w:tcPr>
          <w:p w14:paraId="4E8BB41F" w14:textId="77777777" w:rsidR="00520333" w:rsidRPr="006D688A" w:rsidRDefault="00520333" w:rsidP="005E5E0C">
            <w:pPr>
              <w:spacing w:after="0"/>
              <w:rPr>
                <w:rFonts w:cs="Arial"/>
                <w:sz w:val="18"/>
                <w:szCs w:val="18"/>
              </w:rPr>
            </w:pPr>
            <w:r w:rsidRPr="006D688A">
              <w:rPr>
                <w:rFonts w:cs="Arial"/>
                <w:sz w:val="18"/>
                <w:szCs w:val="18"/>
              </w:rPr>
              <w:t> </w:t>
            </w:r>
          </w:p>
        </w:tc>
        <w:tc>
          <w:tcPr>
            <w:tcW w:w="1199" w:type="dxa"/>
            <w:tcBorders>
              <w:top w:val="single" w:sz="4" w:space="0" w:color="auto"/>
              <w:left w:val="nil"/>
              <w:bottom w:val="single" w:sz="4" w:space="0" w:color="auto"/>
              <w:right w:val="nil"/>
            </w:tcBorders>
            <w:shd w:val="clear" w:color="FFFFFF" w:fill="FFFFFF"/>
            <w:noWrap/>
            <w:vAlign w:val="bottom"/>
            <w:hideMark/>
          </w:tcPr>
          <w:p w14:paraId="6089EA4B" w14:textId="77777777" w:rsidR="00520333" w:rsidRPr="006D688A" w:rsidRDefault="00520333" w:rsidP="005E5E0C">
            <w:pPr>
              <w:spacing w:after="0"/>
              <w:jc w:val="right"/>
              <w:rPr>
                <w:rFonts w:cs="Arial"/>
                <w:sz w:val="18"/>
                <w:szCs w:val="18"/>
              </w:rPr>
            </w:pPr>
            <w:r w:rsidRPr="006D688A">
              <w:rPr>
                <w:rFonts w:cs="Arial"/>
                <w:sz w:val="18"/>
                <w:szCs w:val="18"/>
              </w:rPr>
              <w:t>40,003,231</w:t>
            </w:r>
          </w:p>
        </w:tc>
      </w:tr>
      <w:tr w:rsidR="00520333" w:rsidRPr="006D688A" w14:paraId="02545604" w14:textId="77777777" w:rsidTr="005E5E0C">
        <w:trPr>
          <w:trHeight w:val="250"/>
        </w:trPr>
        <w:tc>
          <w:tcPr>
            <w:tcW w:w="4226" w:type="dxa"/>
            <w:tcBorders>
              <w:top w:val="nil"/>
              <w:left w:val="nil"/>
              <w:bottom w:val="nil"/>
              <w:right w:val="nil"/>
            </w:tcBorders>
            <w:shd w:val="clear" w:color="FFFFFF" w:fill="FFFFFF"/>
            <w:vAlign w:val="bottom"/>
            <w:hideMark/>
          </w:tcPr>
          <w:p w14:paraId="3B8FC3CB" w14:textId="77777777" w:rsidR="00520333" w:rsidRPr="006D688A" w:rsidRDefault="00520333" w:rsidP="005E5E0C">
            <w:pPr>
              <w:spacing w:after="0"/>
              <w:rPr>
                <w:rFonts w:cs="Arial"/>
                <w:sz w:val="18"/>
                <w:szCs w:val="18"/>
              </w:rPr>
            </w:pPr>
            <w:r w:rsidRPr="006D688A">
              <w:rPr>
                <w:rFonts w:cs="Arial"/>
                <w:sz w:val="18"/>
                <w:szCs w:val="18"/>
              </w:rPr>
              <w:t> </w:t>
            </w:r>
          </w:p>
        </w:tc>
        <w:tc>
          <w:tcPr>
            <w:tcW w:w="944" w:type="dxa"/>
            <w:tcBorders>
              <w:top w:val="nil"/>
              <w:left w:val="nil"/>
              <w:bottom w:val="nil"/>
              <w:right w:val="nil"/>
            </w:tcBorders>
            <w:shd w:val="clear" w:color="FFFFFF" w:fill="FFFFFF"/>
            <w:noWrap/>
            <w:vAlign w:val="bottom"/>
            <w:hideMark/>
          </w:tcPr>
          <w:p w14:paraId="15570E94"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124" w:type="dxa"/>
            <w:tcBorders>
              <w:top w:val="nil"/>
              <w:left w:val="nil"/>
              <w:bottom w:val="nil"/>
              <w:right w:val="nil"/>
            </w:tcBorders>
            <w:shd w:val="clear" w:color="FFFFFF" w:fill="FFFFFF"/>
            <w:noWrap/>
            <w:vAlign w:val="bottom"/>
            <w:hideMark/>
          </w:tcPr>
          <w:p w14:paraId="47D6F059" w14:textId="77777777" w:rsidR="00520333" w:rsidRPr="006D688A" w:rsidRDefault="00520333" w:rsidP="005E5E0C">
            <w:pPr>
              <w:spacing w:after="0"/>
              <w:jc w:val="right"/>
              <w:rPr>
                <w:rFonts w:cs="Arial"/>
                <w:b/>
                <w:bCs/>
                <w:sz w:val="18"/>
                <w:szCs w:val="18"/>
              </w:rPr>
            </w:pPr>
            <w:r w:rsidRPr="006D688A">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1BCF6319" w14:textId="77777777" w:rsidR="00520333" w:rsidRPr="006D688A" w:rsidRDefault="00520333" w:rsidP="005E5E0C">
            <w:pPr>
              <w:spacing w:after="0"/>
              <w:rPr>
                <w:rFonts w:cs="Arial"/>
                <w:sz w:val="18"/>
                <w:szCs w:val="18"/>
              </w:rPr>
            </w:pPr>
            <w:r w:rsidRPr="006D688A">
              <w:rPr>
                <w:rFonts w:cs="Arial"/>
                <w:sz w:val="18"/>
                <w:szCs w:val="18"/>
              </w:rPr>
              <w:t> </w:t>
            </w:r>
          </w:p>
        </w:tc>
        <w:tc>
          <w:tcPr>
            <w:tcW w:w="1122" w:type="dxa"/>
            <w:tcBorders>
              <w:top w:val="nil"/>
              <w:left w:val="nil"/>
              <w:bottom w:val="nil"/>
              <w:right w:val="nil"/>
            </w:tcBorders>
            <w:shd w:val="clear" w:color="FFFFFF" w:fill="FFFFFF"/>
            <w:noWrap/>
            <w:vAlign w:val="bottom"/>
            <w:hideMark/>
          </w:tcPr>
          <w:p w14:paraId="7E19649C" w14:textId="77777777" w:rsidR="00520333" w:rsidRPr="006D688A" w:rsidRDefault="00520333" w:rsidP="005E5E0C">
            <w:pPr>
              <w:spacing w:after="0"/>
              <w:jc w:val="right"/>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2F35AD28" w14:textId="77777777" w:rsidR="00520333" w:rsidRPr="006D688A" w:rsidRDefault="00520333" w:rsidP="005E5E0C">
            <w:pPr>
              <w:spacing w:after="0"/>
              <w:rPr>
                <w:rFonts w:cs="Arial"/>
                <w:sz w:val="18"/>
                <w:szCs w:val="18"/>
              </w:rPr>
            </w:pPr>
            <w:r w:rsidRPr="006D688A">
              <w:rPr>
                <w:rFonts w:cs="Arial"/>
                <w:sz w:val="18"/>
                <w:szCs w:val="18"/>
              </w:rPr>
              <w:t> </w:t>
            </w:r>
          </w:p>
        </w:tc>
        <w:tc>
          <w:tcPr>
            <w:tcW w:w="1199" w:type="dxa"/>
            <w:tcBorders>
              <w:top w:val="nil"/>
              <w:left w:val="nil"/>
              <w:bottom w:val="nil"/>
              <w:right w:val="nil"/>
            </w:tcBorders>
            <w:shd w:val="clear" w:color="FFFFFF" w:fill="FFFFFF"/>
            <w:noWrap/>
            <w:vAlign w:val="bottom"/>
            <w:hideMark/>
          </w:tcPr>
          <w:p w14:paraId="3940B45E" w14:textId="77777777" w:rsidR="00520333" w:rsidRPr="006D688A" w:rsidRDefault="00520333" w:rsidP="005E5E0C">
            <w:pPr>
              <w:spacing w:after="0"/>
              <w:jc w:val="right"/>
              <w:rPr>
                <w:rFonts w:cs="Arial"/>
                <w:sz w:val="18"/>
                <w:szCs w:val="18"/>
              </w:rPr>
            </w:pPr>
            <w:r w:rsidRPr="006D688A">
              <w:rPr>
                <w:rFonts w:cs="Arial"/>
                <w:sz w:val="18"/>
                <w:szCs w:val="18"/>
              </w:rPr>
              <w:t> </w:t>
            </w:r>
          </w:p>
        </w:tc>
      </w:tr>
      <w:tr w:rsidR="00520333" w:rsidRPr="006D688A" w14:paraId="0EBACA44" w14:textId="77777777" w:rsidTr="005E5E0C">
        <w:trPr>
          <w:trHeight w:val="250"/>
        </w:trPr>
        <w:tc>
          <w:tcPr>
            <w:tcW w:w="4226" w:type="dxa"/>
            <w:tcBorders>
              <w:top w:val="nil"/>
              <w:left w:val="nil"/>
              <w:bottom w:val="nil"/>
              <w:right w:val="nil"/>
            </w:tcBorders>
            <w:shd w:val="clear" w:color="FFFFFF" w:fill="FFFFFF"/>
            <w:vAlign w:val="bottom"/>
            <w:hideMark/>
          </w:tcPr>
          <w:p w14:paraId="78747F16" w14:textId="77777777" w:rsidR="00520333" w:rsidRPr="006D688A" w:rsidRDefault="00520333" w:rsidP="005E5E0C">
            <w:pPr>
              <w:spacing w:after="0"/>
              <w:rPr>
                <w:rFonts w:cs="Arial"/>
                <w:b/>
                <w:bCs/>
                <w:sz w:val="18"/>
                <w:szCs w:val="18"/>
              </w:rPr>
            </w:pPr>
            <w:r w:rsidRPr="006D688A">
              <w:rPr>
                <w:rFonts w:cs="Arial"/>
                <w:b/>
                <w:bCs/>
                <w:sz w:val="18"/>
                <w:szCs w:val="18"/>
              </w:rPr>
              <w:t>Gains</w:t>
            </w:r>
          </w:p>
        </w:tc>
        <w:tc>
          <w:tcPr>
            <w:tcW w:w="944" w:type="dxa"/>
            <w:tcBorders>
              <w:top w:val="nil"/>
              <w:left w:val="nil"/>
              <w:bottom w:val="nil"/>
              <w:right w:val="nil"/>
            </w:tcBorders>
            <w:shd w:val="clear" w:color="FFFFFF" w:fill="FFFFFF"/>
            <w:noWrap/>
            <w:vAlign w:val="bottom"/>
            <w:hideMark/>
          </w:tcPr>
          <w:p w14:paraId="283C7292"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124" w:type="dxa"/>
            <w:tcBorders>
              <w:top w:val="nil"/>
              <w:left w:val="nil"/>
              <w:bottom w:val="nil"/>
              <w:right w:val="nil"/>
            </w:tcBorders>
            <w:shd w:val="clear" w:color="FFFFFF" w:fill="FFFFFF"/>
            <w:noWrap/>
            <w:vAlign w:val="bottom"/>
            <w:hideMark/>
          </w:tcPr>
          <w:p w14:paraId="32041418" w14:textId="77777777" w:rsidR="00520333" w:rsidRPr="006D688A" w:rsidRDefault="00520333" w:rsidP="005E5E0C">
            <w:pPr>
              <w:spacing w:after="0"/>
              <w:jc w:val="right"/>
              <w:rPr>
                <w:rFonts w:cs="Arial"/>
                <w:b/>
                <w:bCs/>
                <w:sz w:val="18"/>
                <w:szCs w:val="18"/>
              </w:rPr>
            </w:pPr>
            <w:r w:rsidRPr="006D688A">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6183BA61" w14:textId="77777777" w:rsidR="00520333" w:rsidRPr="006D688A" w:rsidRDefault="00520333" w:rsidP="005E5E0C">
            <w:pPr>
              <w:spacing w:after="0"/>
              <w:rPr>
                <w:rFonts w:cs="Arial"/>
                <w:sz w:val="18"/>
                <w:szCs w:val="18"/>
              </w:rPr>
            </w:pPr>
            <w:r w:rsidRPr="006D688A">
              <w:rPr>
                <w:rFonts w:cs="Arial"/>
                <w:sz w:val="18"/>
                <w:szCs w:val="18"/>
              </w:rPr>
              <w:t> </w:t>
            </w:r>
          </w:p>
        </w:tc>
        <w:tc>
          <w:tcPr>
            <w:tcW w:w="1122" w:type="dxa"/>
            <w:tcBorders>
              <w:top w:val="nil"/>
              <w:left w:val="nil"/>
              <w:bottom w:val="nil"/>
              <w:right w:val="nil"/>
            </w:tcBorders>
            <w:shd w:val="clear" w:color="FFFFFF" w:fill="FFFFFF"/>
            <w:noWrap/>
            <w:vAlign w:val="bottom"/>
            <w:hideMark/>
          </w:tcPr>
          <w:p w14:paraId="1591F707" w14:textId="77777777" w:rsidR="00520333" w:rsidRPr="006D688A" w:rsidRDefault="00520333" w:rsidP="005E5E0C">
            <w:pPr>
              <w:spacing w:after="0"/>
              <w:jc w:val="right"/>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1BBE8E94" w14:textId="77777777" w:rsidR="00520333" w:rsidRPr="006D688A" w:rsidRDefault="00520333" w:rsidP="005E5E0C">
            <w:pPr>
              <w:spacing w:after="0"/>
              <w:rPr>
                <w:rFonts w:cs="Arial"/>
                <w:sz w:val="18"/>
                <w:szCs w:val="18"/>
              </w:rPr>
            </w:pPr>
            <w:r w:rsidRPr="006D688A">
              <w:rPr>
                <w:rFonts w:cs="Arial"/>
                <w:sz w:val="18"/>
                <w:szCs w:val="18"/>
              </w:rPr>
              <w:t> </w:t>
            </w:r>
          </w:p>
        </w:tc>
        <w:tc>
          <w:tcPr>
            <w:tcW w:w="1199" w:type="dxa"/>
            <w:tcBorders>
              <w:top w:val="nil"/>
              <w:left w:val="nil"/>
              <w:bottom w:val="nil"/>
              <w:right w:val="nil"/>
            </w:tcBorders>
            <w:shd w:val="clear" w:color="FFFFFF" w:fill="FFFFFF"/>
            <w:noWrap/>
            <w:vAlign w:val="bottom"/>
            <w:hideMark/>
          </w:tcPr>
          <w:p w14:paraId="78707EBB" w14:textId="77777777" w:rsidR="00520333" w:rsidRPr="006D688A" w:rsidRDefault="00520333" w:rsidP="005E5E0C">
            <w:pPr>
              <w:spacing w:after="0"/>
              <w:jc w:val="right"/>
              <w:rPr>
                <w:rFonts w:cs="Arial"/>
                <w:sz w:val="18"/>
                <w:szCs w:val="18"/>
              </w:rPr>
            </w:pPr>
            <w:r w:rsidRPr="006D688A">
              <w:rPr>
                <w:rFonts w:cs="Arial"/>
                <w:sz w:val="18"/>
                <w:szCs w:val="18"/>
              </w:rPr>
              <w:t> </w:t>
            </w:r>
          </w:p>
        </w:tc>
      </w:tr>
      <w:tr w:rsidR="00520333" w:rsidRPr="006D688A" w14:paraId="37FA9756" w14:textId="77777777" w:rsidTr="005E5E0C">
        <w:trPr>
          <w:trHeight w:val="250"/>
        </w:trPr>
        <w:tc>
          <w:tcPr>
            <w:tcW w:w="4226" w:type="dxa"/>
            <w:tcBorders>
              <w:top w:val="nil"/>
              <w:left w:val="nil"/>
              <w:bottom w:val="nil"/>
              <w:right w:val="nil"/>
            </w:tcBorders>
            <w:shd w:val="clear" w:color="FFFFFF" w:fill="FFFFFF"/>
            <w:vAlign w:val="bottom"/>
            <w:hideMark/>
          </w:tcPr>
          <w:p w14:paraId="2EEE4FC5" w14:textId="77777777" w:rsidR="00520333" w:rsidRPr="006D688A" w:rsidRDefault="00520333" w:rsidP="005E5E0C">
            <w:pPr>
              <w:spacing w:after="0"/>
              <w:ind w:leftChars="100" w:left="240"/>
              <w:rPr>
                <w:rFonts w:cs="Arial"/>
                <w:sz w:val="18"/>
                <w:szCs w:val="18"/>
              </w:rPr>
            </w:pPr>
            <w:r w:rsidRPr="006D688A">
              <w:rPr>
                <w:rFonts w:cs="Arial"/>
                <w:sz w:val="18"/>
                <w:szCs w:val="18"/>
              </w:rPr>
              <w:t>Other gains</w:t>
            </w:r>
          </w:p>
        </w:tc>
        <w:tc>
          <w:tcPr>
            <w:tcW w:w="944" w:type="dxa"/>
            <w:tcBorders>
              <w:top w:val="nil"/>
              <w:left w:val="nil"/>
              <w:bottom w:val="nil"/>
              <w:right w:val="nil"/>
            </w:tcBorders>
            <w:shd w:val="clear" w:color="FFFFFF" w:fill="FFFFFF"/>
            <w:noWrap/>
            <w:vAlign w:val="bottom"/>
            <w:hideMark/>
          </w:tcPr>
          <w:p w14:paraId="077713D5" w14:textId="77777777" w:rsidR="00520333" w:rsidRPr="006D688A" w:rsidRDefault="00520333" w:rsidP="005E5E0C">
            <w:pPr>
              <w:spacing w:after="0"/>
              <w:jc w:val="center"/>
              <w:rPr>
                <w:rFonts w:cs="Arial"/>
                <w:sz w:val="18"/>
                <w:szCs w:val="18"/>
              </w:rPr>
            </w:pPr>
            <w:r w:rsidRPr="006D688A">
              <w:rPr>
                <w:rFonts w:cs="Arial"/>
                <w:sz w:val="18"/>
                <w:szCs w:val="18"/>
              </w:rPr>
              <w:t>1.2D</w:t>
            </w:r>
          </w:p>
        </w:tc>
        <w:tc>
          <w:tcPr>
            <w:tcW w:w="1124" w:type="dxa"/>
            <w:tcBorders>
              <w:top w:val="nil"/>
              <w:left w:val="nil"/>
              <w:bottom w:val="nil"/>
              <w:right w:val="nil"/>
            </w:tcBorders>
            <w:shd w:val="clear" w:color="FFFFFF" w:fill="FFFFFF"/>
            <w:noWrap/>
            <w:vAlign w:val="bottom"/>
            <w:hideMark/>
          </w:tcPr>
          <w:p w14:paraId="7E408EFE" w14:textId="77777777" w:rsidR="00520333" w:rsidRPr="006D688A" w:rsidRDefault="00520333" w:rsidP="005E5E0C">
            <w:pPr>
              <w:spacing w:after="0"/>
              <w:jc w:val="right"/>
              <w:rPr>
                <w:rFonts w:cs="Arial"/>
                <w:b/>
                <w:bCs/>
                <w:sz w:val="18"/>
                <w:szCs w:val="18"/>
              </w:rPr>
            </w:pPr>
            <w:r w:rsidRPr="006D688A">
              <w:rPr>
                <w:rFonts w:cs="Arial"/>
                <w:b/>
                <w:bCs/>
                <w:sz w:val="18"/>
                <w:szCs w:val="18"/>
              </w:rPr>
              <w:t>1,079,918</w:t>
            </w:r>
          </w:p>
        </w:tc>
        <w:tc>
          <w:tcPr>
            <w:tcW w:w="236" w:type="dxa"/>
            <w:tcBorders>
              <w:top w:val="nil"/>
              <w:left w:val="nil"/>
              <w:bottom w:val="nil"/>
              <w:right w:val="nil"/>
            </w:tcBorders>
            <w:shd w:val="clear" w:color="FFFFFF" w:fill="FFFFFF"/>
            <w:noWrap/>
            <w:vAlign w:val="bottom"/>
            <w:hideMark/>
          </w:tcPr>
          <w:p w14:paraId="0DBAA475" w14:textId="77777777" w:rsidR="00520333" w:rsidRPr="006D688A" w:rsidRDefault="00520333" w:rsidP="005E5E0C">
            <w:pPr>
              <w:spacing w:after="0"/>
              <w:rPr>
                <w:rFonts w:cs="Arial"/>
                <w:sz w:val="18"/>
                <w:szCs w:val="18"/>
              </w:rPr>
            </w:pPr>
            <w:r w:rsidRPr="006D688A">
              <w:rPr>
                <w:rFonts w:cs="Arial"/>
                <w:sz w:val="18"/>
                <w:szCs w:val="18"/>
              </w:rPr>
              <w:t> </w:t>
            </w:r>
          </w:p>
        </w:tc>
        <w:tc>
          <w:tcPr>
            <w:tcW w:w="1122" w:type="dxa"/>
            <w:tcBorders>
              <w:top w:val="nil"/>
              <w:left w:val="nil"/>
              <w:bottom w:val="nil"/>
              <w:right w:val="nil"/>
            </w:tcBorders>
            <w:shd w:val="clear" w:color="FFFFFF" w:fill="FFFFFF"/>
            <w:noWrap/>
            <w:vAlign w:val="bottom"/>
            <w:hideMark/>
          </w:tcPr>
          <w:p w14:paraId="4C43CB7C" w14:textId="77777777" w:rsidR="00520333" w:rsidRPr="006D688A" w:rsidRDefault="00520333" w:rsidP="005E5E0C">
            <w:pPr>
              <w:spacing w:after="0"/>
              <w:jc w:val="right"/>
              <w:rPr>
                <w:rFonts w:cs="Arial"/>
                <w:sz w:val="18"/>
                <w:szCs w:val="18"/>
              </w:rPr>
            </w:pPr>
            <w:r w:rsidRPr="006D688A">
              <w:rPr>
                <w:rFonts w:cs="Arial"/>
                <w:sz w:val="18"/>
                <w:szCs w:val="18"/>
              </w:rPr>
              <w:t>1,198,317</w:t>
            </w:r>
          </w:p>
        </w:tc>
        <w:tc>
          <w:tcPr>
            <w:tcW w:w="236" w:type="dxa"/>
            <w:tcBorders>
              <w:top w:val="nil"/>
              <w:left w:val="nil"/>
              <w:bottom w:val="nil"/>
              <w:right w:val="nil"/>
            </w:tcBorders>
            <w:shd w:val="clear" w:color="FFFFFF" w:fill="FFFFFF"/>
            <w:noWrap/>
            <w:vAlign w:val="bottom"/>
            <w:hideMark/>
          </w:tcPr>
          <w:p w14:paraId="5FE2299D" w14:textId="77777777" w:rsidR="00520333" w:rsidRPr="006D688A" w:rsidRDefault="00520333" w:rsidP="005E5E0C">
            <w:pPr>
              <w:spacing w:after="0"/>
              <w:rPr>
                <w:rFonts w:cs="Arial"/>
                <w:sz w:val="18"/>
                <w:szCs w:val="18"/>
              </w:rPr>
            </w:pPr>
            <w:r w:rsidRPr="006D688A">
              <w:rPr>
                <w:rFonts w:cs="Arial"/>
                <w:sz w:val="18"/>
                <w:szCs w:val="18"/>
              </w:rPr>
              <w:t> </w:t>
            </w:r>
          </w:p>
        </w:tc>
        <w:tc>
          <w:tcPr>
            <w:tcW w:w="1199" w:type="dxa"/>
            <w:tcBorders>
              <w:top w:val="nil"/>
              <w:left w:val="nil"/>
              <w:bottom w:val="nil"/>
              <w:right w:val="nil"/>
            </w:tcBorders>
            <w:shd w:val="clear" w:color="FFFFFF" w:fill="FFFFFF"/>
            <w:noWrap/>
            <w:vAlign w:val="bottom"/>
            <w:hideMark/>
          </w:tcPr>
          <w:p w14:paraId="02635683" w14:textId="77777777" w:rsidR="00520333" w:rsidRPr="006D688A" w:rsidRDefault="00520333" w:rsidP="005E5E0C">
            <w:pPr>
              <w:spacing w:after="0"/>
              <w:jc w:val="right"/>
              <w:rPr>
                <w:rFonts w:cs="Arial"/>
                <w:sz w:val="18"/>
                <w:szCs w:val="18"/>
              </w:rPr>
            </w:pPr>
            <w:r w:rsidRPr="006D688A">
              <w:rPr>
                <w:rFonts w:cs="Arial"/>
                <w:sz w:val="18"/>
                <w:szCs w:val="18"/>
              </w:rPr>
              <w:t>312,300</w:t>
            </w:r>
          </w:p>
        </w:tc>
      </w:tr>
      <w:tr w:rsidR="00520333" w:rsidRPr="006D688A" w14:paraId="487E8436" w14:textId="77777777" w:rsidTr="005E5E0C">
        <w:trPr>
          <w:trHeight w:val="250"/>
        </w:trPr>
        <w:tc>
          <w:tcPr>
            <w:tcW w:w="4226" w:type="dxa"/>
            <w:tcBorders>
              <w:top w:val="nil"/>
              <w:left w:val="nil"/>
              <w:bottom w:val="nil"/>
              <w:right w:val="nil"/>
            </w:tcBorders>
            <w:shd w:val="clear" w:color="FFFFFF" w:fill="FFFFFF"/>
            <w:vAlign w:val="bottom"/>
            <w:hideMark/>
          </w:tcPr>
          <w:p w14:paraId="238C9D7B" w14:textId="77777777" w:rsidR="00520333" w:rsidRPr="006D688A" w:rsidRDefault="00520333" w:rsidP="005E5E0C">
            <w:pPr>
              <w:spacing w:after="0"/>
              <w:rPr>
                <w:rFonts w:cs="Arial"/>
                <w:b/>
                <w:bCs/>
                <w:sz w:val="18"/>
                <w:szCs w:val="18"/>
              </w:rPr>
            </w:pPr>
            <w:r w:rsidRPr="006D688A">
              <w:rPr>
                <w:rFonts w:cs="Arial"/>
                <w:b/>
                <w:bCs/>
                <w:sz w:val="18"/>
                <w:szCs w:val="18"/>
              </w:rPr>
              <w:t>Total gains</w:t>
            </w:r>
          </w:p>
        </w:tc>
        <w:tc>
          <w:tcPr>
            <w:tcW w:w="944" w:type="dxa"/>
            <w:tcBorders>
              <w:top w:val="nil"/>
              <w:left w:val="nil"/>
              <w:bottom w:val="nil"/>
              <w:right w:val="nil"/>
            </w:tcBorders>
            <w:shd w:val="clear" w:color="FFFFFF" w:fill="FFFFFF"/>
            <w:noWrap/>
            <w:vAlign w:val="bottom"/>
            <w:hideMark/>
          </w:tcPr>
          <w:p w14:paraId="64823CFE"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124" w:type="dxa"/>
            <w:tcBorders>
              <w:top w:val="single" w:sz="4" w:space="0" w:color="auto"/>
              <w:left w:val="nil"/>
              <w:bottom w:val="single" w:sz="4" w:space="0" w:color="auto"/>
              <w:right w:val="nil"/>
            </w:tcBorders>
            <w:shd w:val="clear" w:color="FFFFFF" w:fill="FFFFFF"/>
            <w:noWrap/>
            <w:vAlign w:val="bottom"/>
            <w:hideMark/>
          </w:tcPr>
          <w:p w14:paraId="736AB6C9" w14:textId="77777777" w:rsidR="00520333" w:rsidRPr="006D688A" w:rsidRDefault="00520333" w:rsidP="005E5E0C">
            <w:pPr>
              <w:spacing w:after="0"/>
              <w:jc w:val="right"/>
              <w:rPr>
                <w:rFonts w:cs="Arial"/>
                <w:b/>
                <w:bCs/>
                <w:sz w:val="18"/>
                <w:szCs w:val="18"/>
              </w:rPr>
            </w:pPr>
            <w:r w:rsidRPr="006D688A">
              <w:rPr>
                <w:rFonts w:cs="Arial"/>
                <w:b/>
                <w:bCs/>
                <w:sz w:val="18"/>
                <w:szCs w:val="18"/>
              </w:rPr>
              <w:t>1,079,918</w:t>
            </w:r>
          </w:p>
        </w:tc>
        <w:tc>
          <w:tcPr>
            <w:tcW w:w="236" w:type="dxa"/>
            <w:tcBorders>
              <w:top w:val="nil"/>
              <w:left w:val="nil"/>
              <w:bottom w:val="nil"/>
              <w:right w:val="nil"/>
            </w:tcBorders>
            <w:shd w:val="clear" w:color="FFFFFF" w:fill="FFFFFF"/>
            <w:noWrap/>
            <w:vAlign w:val="bottom"/>
            <w:hideMark/>
          </w:tcPr>
          <w:p w14:paraId="5FF3270B" w14:textId="77777777" w:rsidR="00520333" w:rsidRPr="006D688A" w:rsidRDefault="00520333" w:rsidP="005E5E0C">
            <w:pPr>
              <w:spacing w:after="0"/>
              <w:rPr>
                <w:rFonts w:cs="Arial"/>
                <w:sz w:val="18"/>
                <w:szCs w:val="18"/>
              </w:rPr>
            </w:pPr>
            <w:r w:rsidRPr="006D688A">
              <w:rPr>
                <w:rFonts w:cs="Arial"/>
                <w:sz w:val="18"/>
                <w:szCs w:val="18"/>
              </w:rPr>
              <w:t> </w:t>
            </w:r>
          </w:p>
        </w:tc>
        <w:tc>
          <w:tcPr>
            <w:tcW w:w="1122" w:type="dxa"/>
            <w:tcBorders>
              <w:top w:val="single" w:sz="4" w:space="0" w:color="auto"/>
              <w:left w:val="nil"/>
              <w:bottom w:val="single" w:sz="4" w:space="0" w:color="auto"/>
              <w:right w:val="nil"/>
            </w:tcBorders>
            <w:shd w:val="clear" w:color="FFFFFF" w:fill="FFFFFF"/>
            <w:noWrap/>
            <w:vAlign w:val="bottom"/>
            <w:hideMark/>
          </w:tcPr>
          <w:p w14:paraId="0E2DABBD" w14:textId="77777777" w:rsidR="00520333" w:rsidRPr="006D688A" w:rsidRDefault="00520333" w:rsidP="005E5E0C">
            <w:pPr>
              <w:spacing w:after="0"/>
              <w:jc w:val="right"/>
              <w:rPr>
                <w:rFonts w:cs="Arial"/>
                <w:sz w:val="18"/>
                <w:szCs w:val="18"/>
              </w:rPr>
            </w:pPr>
            <w:r w:rsidRPr="006D688A">
              <w:rPr>
                <w:rFonts w:cs="Arial"/>
                <w:sz w:val="18"/>
                <w:szCs w:val="18"/>
              </w:rPr>
              <w:t>1,198,317</w:t>
            </w:r>
          </w:p>
        </w:tc>
        <w:tc>
          <w:tcPr>
            <w:tcW w:w="236" w:type="dxa"/>
            <w:tcBorders>
              <w:top w:val="nil"/>
              <w:left w:val="nil"/>
              <w:bottom w:val="nil"/>
              <w:right w:val="nil"/>
            </w:tcBorders>
            <w:shd w:val="clear" w:color="FFFFFF" w:fill="FFFFFF"/>
            <w:noWrap/>
            <w:vAlign w:val="bottom"/>
            <w:hideMark/>
          </w:tcPr>
          <w:p w14:paraId="092223DE" w14:textId="77777777" w:rsidR="00520333" w:rsidRPr="006D688A" w:rsidRDefault="00520333" w:rsidP="005E5E0C">
            <w:pPr>
              <w:spacing w:after="0"/>
              <w:rPr>
                <w:rFonts w:cs="Arial"/>
                <w:sz w:val="18"/>
                <w:szCs w:val="18"/>
              </w:rPr>
            </w:pPr>
            <w:r w:rsidRPr="006D688A">
              <w:rPr>
                <w:rFonts w:cs="Arial"/>
                <w:sz w:val="18"/>
                <w:szCs w:val="18"/>
              </w:rPr>
              <w:t> </w:t>
            </w:r>
          </w:p>
        </w:tc>
        <w:tc>
          <w:tcPr>
            <w:tcW w:w="1199" w:type="dxa"/>
            <w:tcBorders>
              <w:top w:val="single" w:sz="4" w:space="0" w:color="auto"/>
              <w:left w:val="nil"/>
              <w:bottom w:val="single" w:sz="4" w:space="0" w:color="auto"/>
              <w:right w:val="nil"/>
            </w:tcBorders>
            <w:shd w:val="clear" w:color="FFFFFF" w:fill="FFFFFF"/>
            <w:noWrap/>
            <w:vAlign w:val="bottom"/>
            <w:hideMark/>
          </w:tcPr>
          <w:p w14:paraId="7DC6A395" w14:textId="77777777" w:rsidR="00520333" w:rsidRPr="006D688A" w:rsidRDefault="00520333" w:rsidP="005E5E0C">
            <w:pPr>
              <w:spacing w:after="0"/>
              <w:jc w:val="right"/>
              <w:rPr>
                <w:rFonts w:cs="Arial"/>
                <w:sz w:val="18"/>
                <w:szCs w:val="18"/>
              </w:rPr>
            </w:pPr>
            <w:r w:rsidRPr="006D688A">
              <w:rPr>
                <w:rFonts w:cs="Arial"/>
                <w:sz w:val="18"/>
                <w:szCs w:val="18"/>
              </w:rPr>
              <w:t>312,300</w:t>
            </w:r>
          </w:p>
        </w:tc>
      </w:tr>
      <w:tr w:rsidR="00520333" w:rsidRPr="006D688A" w14:paraId="7C43D616" w14:textId="77777777" w:rsidTr="005E5E0C">
        <w:trPr>
          <w:trHeight w:val="250"/>
        </w:trPr>
        <w:tc>
          <w:tcPr>
            <w:tcW w:w="4226" w:type="dxa"/>
            <w:tcBorders>
              <w:top w:val="nil"/>
              <w:left w:val="nil"/>
              <w:bottom w:val="nil"/>
              <w:right w:val="nil"/>
            </w:tcBorders>
            <w:shd w:val="clear" w:color="FFFFFF" w:fill="FFFFFF"/>
            <w:vAlign w:val="bottom"/>
            <w:hideMark/>
          </w:tcPr>
          <w:p w14:paraId="38A2F9D6" w14:textId="77777777" w:rsidR="00520333" w:rsidRPr="006D688A" w:rsidRDefault="00520333" w:rsidP="005E5E0C">
            <w:pPr>
              <w:spacing w:after="0"/>
              <w:ind w:leftChars="100" w:left="240"/>
              <w:rPr>
                <w:rFonts w:cs="Arial"/>
                <w:sz w:val="18"/>
                <w:szCs w:val="18"/>
              </w:rPr>
            </w:pPr>
            <w:r w:rsidRPr="006D688A">
              <w:rPr>
                <w:rFonts w:cs="Arial"/>
                <w:sz w:val="18"/>
                <w:szCs w:val="18"/>
              </w:rPr>
              <w:t> </w:t>
            </w:r>
          </w:p>
        </w:tc>
        <w:tc>
          <w:tcPr>
            <w:tcW w:w="944" w:type="dxa"/>
            <w:tcBorders>
              <w:top w:val="nil"/>
              <w:left w:val="nil"/>
              <w:bottom w:val="nil"/>
              <w:right w:val="nil"/>
            </w:tcBorders>
            <w:shd w:val="clear" w:color="FFFFFF" w:fill="FFFFFF"/>
            <w:noWrap/>
            <w:vAlign w:val="bottom"/>
            <w:hideMark/>
          </w:tcPr>
          <w:p w14:paraId="5F5767FF"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124" w:type="dxa"/>
            <w:tcBorders>
              <w:top w:val="nil"/>
              <w:left w:val="nil"/>
              <w:bottom w:val="nil"/>
              <w:right w:val="nil"/>
            </w:tcBorders>
            <w:shd w:val="clear" w:color="FFFFFF" w:fill="FFFFFF"/>
            <w:noWrap/>
            <w:vAlign w:val="bottom"/>
            <w:hideMark/>
          </w:tcPr>
          <w:p w14:paraId="373D9900" w14:textId="77777777" w:rsidR="00520333" w:rsidRPr="006D688A" w:rsidRDefault="00520333" w:rsidP="005E5E0C">
            <w:pPr>
              <w:spacing w:after="0"/>
              <w:jc w:val="right"/>
              <w:rPr>
                <w:rFonts w:cs="Arial"/>
                <w:b/>
                <w:bCs/>
                <w:sz w:val="18"/>
                <w:szCs w:val="18"/>
              </w:rPr>
            </w:pPr>
            <w:r w:rsidRPr="006D688A">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51235609" w14:textId="77777777" w:rsidR="00520333" w:rsidRPr="006D688A" w:rsidRDefault="00520333" w:rsidP="005E5E0C">
            <w:pPr>
              <w:spacing w:after="0"/>
              <w:rPr>
                <w:rFonts w:cs="Arial"/>
                <w:sz w:val="18"/>
                <w:szCs w:val="18"/>
              </w:rPr>
            </w:pPr>
            <w:r w:rsidRPr="006D688A">
              <w:rPr>
                <w:rFonts w:cs="Arial"/>
                <w:sz w:val="18"/>
                <w:szCs w:val="18"/>
              </w:rPr>
              <w:t> </w:t>
            </w:r>
          </w:p>
        </w:tc>
        <w:tc>
          <w:tcPr>
            <w:tcW w:w="1122" w:type="dxa"/>
            <w:tcBorders>
              <w:top w:val="nil"/>
              <w:left w:val="nil"/>
              <w:bottom w:val="nil"/>
              <w:right w:val="nil"/>
            </w:tcBorders>
            <w:shd w:val="clear" w:color="FFFFFF" w:fill="FFFFFF"/>
            <w:noWrap/>
            <w:vAlign w:val="bottom"/>
            <w:hideMark/>
          </w:tcPr>
          <w:p w14:paraId="53A88A95" w14:textId="77777777" w:rsidR="00520333" w:rsidRPr="006D688A" w:rsidRDefault="00520333" w:rsidP="005E5E0C">
            <w:pPr>
              <w:spacing w:after="0"/>
              <w:jc w:val="right"/>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03D964E0" w14:textId="77777777" w:rsidR="00520333" w:rsidRPr="006D688A" w:rsidRDefault="00520333" w:rsidP="005E5E0C">
            <w:pPr>
              <w:spacing w:after="0"/>
              <w:rPr>
                <w:rFonts w:cs="Arial"/>
                <w:sz w:val="18"/>
                <w:szCs w:val="18"/>
              </w:rPr>
            </w:pPr>
            <w:r w:rsidRPr="006D688A">
              <w:rPr>
                <w:rFonts w:cs="Arial"/>
                <w:sz w:val="18"/>
                <w:szCs w:val="18"/>
              </w:rPr>
              <w:t> </w:t>
            </w:r>
          </w:p>
        </w:tc>
        <w:tc>
          <w:tcPr>
            <w:tcW w:w="1199" w:type="dxa"/>
            <w:tcBorders>
              <w:top w:val="nil"/>
              <w:left w:val="nil"/>
              <w:bottom w:val="nil"/>
              <w:right w:val="nil"/>
            </w:tcBorders>
            <w:shd w:val="clear" w:color="FFFFFF" w:fill="FFFFFF"/>
            <w:noWrap/>
            <w:vAlign w:val="bottom"/>
            <w:hideMark/>
          </w:tcPr>
          <w:p w14:paraId="45FFAAAF" w14:textId="77777777" w:rsidR="00520333" w:rsidRPr="006D688A" w:rsidRDefault="00520333" w:rsidP="005E5E0C">
            <w:pPr>
              <w:spacing w:after="0"/>
              <w:jc w:val="right"/>
              <w:rPr>
                <w:rFonts w:cs="Arial"/>
                <w:sz w:val="18"/>
                <w:szCs w:val="18"/>
              </w:rPr>
            </w:pPr>
            <w:r w:rsidRPr="006D688A">
              <w:rPr>
                <w:rFonts w:cs="Arial"/>
                <w:sz w:val="18"/>
                <w:szCs w:val="18"/>
              </w:rPr>
              <w:t> </w:t>
            </w:r>
          </w:p>
        </w:tc>
      </w:tr>
      <w:tr w:rsidR="00520333" w:rsidRPr="006D688A" w14:paraId="2EF8406D" w14:textId="77777777" w:rsidTr="005E5E0C">
        <w:trPr>
          <w:trHeight w:val="250"/>
        </w:trPr>
        <w:tc>
          <w:tcPr>
            <w:tcW w:w="4226" w:type="dxa"/>
            <w:tcBorders>
              <w:top w:val="nil"/>
              <w:left w:val="nil"/>
              <w:bottom w:val="nil"/>
              <w:right w:val="nil"/>
            </w:tcBorders>
            <w:shd w:val="clear" w:color="FFFFFF" w:fill="FFFFFF"/>
            <w:vAlign w:val="bottom"/>
            <w:hideMark/>
          </w:tcPr>
          <w:p w14:paraId="5178F404" w14:textId="77777777" w:rsidR="00520333" w:rsidRPr="006D688A" w:rsidRDefault="00520333" w:rsidP="005E5E0C">
            <w:pPr>
              <w:spacing w:after="0"/>
              <w:rPr>
                <w:rFonts w:cs="Arial"/>
                <w:b/>
                <w:bCs/>
                <w:sz w:val="18"/>
                <w:szCs w:val="18"/>
              </w:rPr>
            </w:pPr>
            <w:r w:rsidRPr="006D688A">
              <w:rPr>
                <w:rFonts w:cs="Arial"/>
                <w:b/>
                <w:bCs/>
                <w:sz w:val="18"/>
                <w:szCs w:val="18"/>
              </w:rPr>
              <w:t>Total own-source income</w:t>
            </w:r>
          </w:p>
        </w:tc>
        <w:tc>
          <w:tcPr>
            <w:tcW w:w="944" w:type="dxa"/>
            <w:tcBorders>
              <w:top w:val="nil"/>
              <w:left w:val="nil"/>
              <w:bottom w:val="nil"/>
              <w:right w:val="nil"/>
            </w:tcBorders>
            <w:shd w:val="clear" w:color="FFFFFF" w:fill="FFFFFF"/>
            <w:noWrap/>
            <w:vAlign w:val="bottom"/>
            <w:hideMark/>
          </w:tcPr>
          <w:p w14:paraId="28361831"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124" w:type="dxa"/>
            <w:tcBorders>
              <w:top w:val="single" w:sz="4" w:space="0" w:color="auto"/>
              <w:left w:val="nil"/>
              <w:bottom w:val="single" w:sz="4" w:space="0" w:color="auto"/>
              <w:right w:val="nil"/>
            </w:tcBorders>
            <w:shd w:val="clear" w:color="FFFFFF" w:fill="FFFFFF"/>
            <w:noWrap/>
            <w:vAlign w:val="bottom"/>
            <w:hideMark/>
          </w:tcPr>
          <w:p w14:paraId="3E4AE85E" w14:textId="77777777" w:rsidR="00520333" w:rsidRPr="006D688A" w:rsidRDefault="00520333" w:rsidP="005E5E0C">
            <w:pPr>
              <w:spacing w:after="0"/>
              <w:jc w:val="right"/>
              <w:rPr>
                <w:rFonts w:cs="Arial"/>
                <w:b/>
                <w:bCs/>
                <w:sz w:val="18"/>
                <w:szCs w:val="18"/>
              </w:rPr>
            </w:pPr>
            <w:r w:rsidRPr="006D688A">
              <w:rPr>
                <w:rFonts w:cs="Arial"/>
                <w:b/>
                <w:bCs/>
                <w:sz w:val="18"/>
                <w:szCs w:val="18"/>
              </w:rPr>
              <w:t>42,948,745</w:t>
            </w:r>
          </w:p>
        </w:tc>
        <w:tc>
          <w:tcPr>
            <w:tcW w:w="236" w:type="dxa"/>
            <w:tcBorders>
              <w:top w:val="nil"/>
              <w:left w:val="nil"/>
              <w:bottom w:val="nil"/>
              <w:right w:val="nil"/>
            </w:tcBorders>
            <w:shd w:val="clear" w:color="FFFFFF" w:fill="FFFFFF"/>
            <w:noWrap/>
            <w:vAlign w:val="bottom"/>
            <w:hideMark/>
          </w:tcPr>
          <w:p w14:paraId="5AC12C72" w14:textId="77777777" w:rsidR="00520333" w:rsidRPr="006D688A" w:rsidRDefault="00520333" w:rsidP="005E5E0C">
            <w:pPr>
              <w:spacing w:after="0"/>
              <w:rPr>
                <w:rFonts w:cs="Arial"/>
                <w:sz w:val="18"/>
                <w:szCs w:val="18"/>
              </w:rPr>
            </w:pPr>
            <w:r w:rsidRPr="006D688A">
              <w:rPr>
                <w:rFonts w:cs="Arial"/>
                <w:sz w:val="18"/>
                <w:szCs w:val="18"/>
              </w:rPr>
              <w:t> </w:t>
            </w:r>
          </w:p>
        </w:tc>
        <w:tc>
          <w:tcPr>
            <w:tcW w:w="1122" w:type="dxa"/>
            <w:tcBorders>
              <w:top w:val="single" w:sz="4" w:space="0" w:color="auto"/>
              <w:left w:val="nil"/>
              <w:bottom w:val="single" w:sz="4" w:space="0" w:color="auto"/>
              <w:right w:val="nil"/>
            </w:tcBorders>
            <w:shd w:val="clear" w:color="FFFFFF" w:fill="FFFFFF"/>
            <w:noWrap/>
            <w:vAlign w:val="bottom"/>
            <w:hideMark/>
          </w:tcPr>
          <w:p w14:paraId="3FD30A80" w14:textId="77777777" w:rsidR="00520333" w:rsidRPr="006D688A" w:rsidRDefault="00520333" w:rsidP="005E5E0C">
            <w:pPr>
              <w:spacing w:after="0"/>
              <w:jc w:val="right"/>
              <w:rPr>
                <w:rFonts w:cs="Arial"/>
                <w:sz w:val="18"/>
                <w:szCs w:val="18"/>
              </w:rPr>
            </w:pPr>
            <w:r w:rsidRPr="006D688A">
              <w:rPr>
                <w:rFonts w:cs="Arial"/>
                <w:sz w:val="18"/>
                <w:szCs w:val="18"/>
              </w:rPr>
              <w:t>35,600,084</w:t>
            </w:r>
          </w:p>
        </w:tc>
        <w:tc>
          <w:tcPr>
            <w:tcW w:w="236" w:type="dxa"/>
            <w:tcBorders>
              <w:top w:val="nil"/>
              <w:left w:val="nil"/>
              <w:bottom w:val="nil"/>
              <w:right w:val="nil"/>
            </w:tcBorders>
            <w:shd w:val="clear" w:color="FFFFFF" w:fill="FFFFFF"/>
            <w:noWrap/>
            <w:vAlign w:val="bottom"/>
            <w:hideMark/>
          </w:tcPr>
          <w:p w14:paraId="1E46985C" w14:textId="77777777" w:rsidR="00520333" w:rsidRPr="006D688A" w:rsidRDefault="00520333" w:rsidP="005E5E0C">
            <w:pPr>
              <w:spacing w:after="0"/>
              <w:rPr>
                <w:rFonts w:cs="Arial"/>
                <w:sz w:val="18"/>
                <w:szCs w:val="18"/>
              </w:rPr>
            </w:pPr>
            <w:r w:rsidRPr="006D688A">
              <w:rPr>
                <w:rFonts w:cs="Arial"/>
                <w:sz w:val="18"/>
                <w:szCs w:val="18"/>
              </w:rPr>
              <w:t> </w:t>
            </w:r>
          </w:p>
        </w:tc>
        <w:tc>
          <w:tcPr>
            <w:tcW w:w="1199" w:type="dxa"/>
            <w:tcBorders>
              <w:top w:val="single" w:sz="4" w:space="0" w:color="auto"/>
              <w:left w:val="nil"/>
              <w:bottom w:val="single" w:sz="4" w:space="0" w:color="auto"/>
              <w:right w:val="nil"/>
            </w:tcBorders>
            <w:shd w:val="clear" w:color="FFFFFF" w:fill="FFFFFF"/>
            <w:noWrap/>
            <w:vAlign w:val="bottom"/>
            <w:hideMark/>
          </w:tcPr>
          <w:p w14:paraId="154FBC52" w14:textId="77777777" w:rsidR="00520333" w:rsidRPr="006D688A" w:rsidRDefault="00520333" w:rsidP="005E5E0C">
            <w:pPr>
              <w:spacing w:after="0"/>
              <w:jc w:val="right"/>
              <w:rPr>
                <w:rFonts w:cs="Arial"/>
                <w:sz w:val="18"/>
                <w:szCs w:val="18"/>
              </w:rPr>
            </w:pPr>
            <w:r w:rsidRPr="006D688A">
              <w:rPr>
                <w:rFonts w:cs="Arial"/>
                <w:sz w:val="18"/>
                <w:szCs w:val="18"/>
              </w:rPr>
              <w:t>40,315,531</w:t>
            </w:r>
          </w:p>
        </w:tc>
      </w:tr>
      <w:tr w:rsidR="00520333" w:rsidRPr="006D688A" w14:paraId="6FD44C0C" w14:textId="77777777" w:rsidTr="005E5E0C">
        <w:trPr>
          <w:trHeight w:val="250"/>
        </w:trPr>
        <w:tc>
          <w:tcPr>
            <w:tcW w:w="4226" w:type="dxa"/>
            <w:tcBorders>
              <w:top w:val="nil"/>
              <w:left w:val="nil"/>
              <w:bottom w:val="nil"/>
              <w:right w:val="nil"/>
            </w:tcBorders>
            <w:shd w:val="clear" w:color="FFFFFF" w:fill="FFFFFF"/>
            <w:vAlign w:val="bottom"/>
            <w:hideMark/>
          </w:tcPr>
          <w:p w14:paraId="04CC56A4" w14:textId="77777777" w:rsidR="00520333" w:rsidRPr="006D688A" w:rsidRDefault="00520333" w:rsidP="005E5E0C">
            <w:pPr>
              <w:spacing w:after="0"/>
              <w:rPr>
                <w:rFonts w:cs="Arial"/>
                <w:sz w:val="18"/>
                <w:szCs w:val="18"/>
              </w:rPr>
            </w:pPr>
            <w:r w:rsidRPr="006D688A">
              <w:rPr>
                <w:rFonts w:cs="Arial"/>
                <w:sz w:val="18"/>
                <w:szCs w:val="18"/>
              </w:rPr>
              <w:t> </w:t>
            </w:r>
          </w:p>
        </w:tc>
        <w:tc>
          <w:tcPr>
            <w:tcW w:w="944" w:type="dxa"/>
            <w:tcBorders>
              <w:top w:val="nil"/>
              <w:left w:val="nil"/>
              <w:bottom w:val="nil"/>
              <w:right w:val="nil"/>
            </w:tcBorders>
            <w:shd w:val="clear" w:color="FFFFFF" w:fill="FFFFFF"/>
            <w:noWrap/>
            <w:vAlign w:val="bottom"/>
            <w:hideMark/>
          </w:tcPr>
          <w:p w14:paraId="2E24782B"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124" w:type="dxa"/>
            <w:tcBorders>
              <w:top w:val="nil"/>
              <w:left w:val="nil"/>
              <w:bottom w:val="nil"/>
              <w:right w:val="nil"/>
            </w:tcBorders>
            <w:shd w:val="clear" w:color="FFFFFF" w:fill="FFFFFF"/>
            <w:noWrap/>
            <w:vAlign w:val="bottom"/>
            <w:hideMark/>
          </w:tcPr>
          <w:p w14:paraId="4822D200" w14:textId="77777777" w:rsidR="00520333" w:rsidRPr="006D688A" w:rsidRDefault="00520333" w:rsidP="005E5E0C">
            <w:pPr>
              <w:spacing w:after="0"/>
              <w:jc w:val="right"/>
              <w:rPr>
                <w:rFonts w:cs="Arial"/>
                <w:b/>
                <w:bCs/>
                <w:sz w:val="18"/>
                <w:szCs w:val="18"/>
              </w:rPr>
            </w:pPr>
            <w:r w:rsidRPr="006D688A">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7ADF35AB" w14:textId="77777777" w:rsidR="00520333" w:rsidRPr="006D688A" w:rsidRDefault="00520333" w:rsidP="005E5E0C">
            <w:pPr>
              <w:spacing w:after="0"/>
              <w:rPr>
                <w:rFonts w:cs="Arial"/>
                <w:sz w:val="18"/>
                <w:szCs w:val="18"/>
              </w:rPr>
            </w:pPr>
            <w:r w:rsidRPr="006D688A">
              <w:rPr>
                <w:rFonts w:cs="Arial"/>
                <w:sz w:val="18"/>
                <w:szCs w:val="18"/>
              </w:rPr>
              <w:t> </w:t>
            </w:r>
          </w:p>
        </w:tc>
        <w:tc>
          <w:tcPr>
            <w:tcW w:w="1122" w:type="dxa"/>
            <w:tcBorders>
              <w:top w:val="nil"/>
              <w:left w:val="nil"/>
              <w:bottom w:val="nil"/>
              <w:right w:val="nil"/>
            </w:tcBorders>
            <w:shd w:val="clear" w:color="FFFFFF" w:fill="FFFFFF"/>
            <w:noWrap/>
            <w:vAlign w:val="bottom"/>
            <w:hideMark/>
          </w:tcPr>
          <w:p w14:paraId="601AE1FF" w14:textId="77777777" w:rsidR="00520333" w:rsidRPr="006D688A" w:rsidRDefault="00520333" w:rsidP="005E5E0C">
            <w:pPr>
              <w:spacing w:after="0"/>
              <w:jc w:val="right"/>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025CDDAA" w14:textId="77777777" w:rsidR="00520333" w:rsidRPr="006D688A" w:rsidRDefault="00520333" w:rsidP="005E5E0C">
            <w:pPr>
              <w:spacing w:after="0"/>
              <w:rPr>
                <w:rFonts w:cs="Arial"/>
                <w:sz w:val="18"/>
                <w:szCs w:val="18"/>
              </w:rPr>
            </w:pPr>
            <w:r w:rsidRPr="006D688A">
              <w:rPr>
                <w:rFonts w:cs="Arial"/>
                <w:sz w:val="18"/>
                <w:szCs w:val="18"/>
              </w:rPr>
              <w:t> </w:t>
            </w:r>
          </w:p>
        </w:tc>
        <w:tc>
          <w:tcPr>
            <w:tcW w:w="1199" w:type="dxa"/>
            <w:tcBorders>
              <w:top w:val="nil"/>
              <w:left w:val="nil"/>
              <w:bottom w:val="nil"/>
              <w:right w:val="nil"/>
            </w:tcBorders>
            <w:shd w:val="clear" w:color="FFFFFF" w:fill="FFFFFF"/>
            <w:noWrap/>
            <w:vAlign w:val="bottom"/>
            <w:hideMark/>
          </w:tcPr>
          <w:p w14:paraId="3FB0770F" w14:textId="77777777" w:rsidR="00520333" w:rsidRPr="006D688A" w:rsidRDefault="00520333" w:rsidP="005E5E0C">
            <w:pPr>
              <w:spacing w:after="0"/>
              <w:jc w:val="right"/>
              <w:rPr>
                <w:rFonts w:cs="Arial"/>
                <w:sz w:val="18"/>
                <w:szCs w:val="18"/>
              </w:rPr>
            </w:pPr>
            <w:r w:rsidRPr="006D688A">
              <w:rPr>
                <w:rFonts w:cs="Arial"/>
                <w:sz w:val="18"/>
                <w:szCs w:val="18"/>
              </w:rPr>
              <w:t> </w:t>
            </w:r>
          </w:p>
        </w:tc>
      </w:tr>
      <w:tr w:rsidR="00520333" w:rsidRPr="006D688A" w14:paraId="37D5110C" w14:textId="77777777" w:rsidTr="005E5E0C">
        <w:trPr>
          <w:trHeight w:val="250"/>
        </w:trPr>
        <w:tc>
          <w:tcPr>
            <w:tcW w:w="4226" w:type="dxa"/>
            <w:tcBorders>
              <w:top w:val="nil"/>
              <w:left w:val="nil"/>
              <w:bottom w:val="nil"/>
              <w:right w:val="nil"/>
            </w:tcBorders>
            <w:shd w:val="clear" w:color="FFFFFF" w:fill="FFFFFF"/>
            <w:vAlign w:val="bottom"/>
            <w:hideMark/>
          </w:tcPr>
          <w:p w14:paraId="3E7651C9" w14:textId="77777777" w:rsidR="00520333" w:rsidRPr="006D688A" w:rsidRDefault="00520333" w:rsidP="005E5E0C">
            <w:pPr>
              <w:spacing w:after="0"/>
              <w:rPr>
                <w:rFonts w:cs="Arial"/>
                <w:b/>
                <w:bCs/>
                <w:sz w:val="18"/>
                <w:szCs w:val="18"/>
              </w:rPr>
            </w:pPr>
            <w:r w:rsidRPr="006D688A">
              <w:rPr>
                <w:rFonts w:cs="Arial"/>
                <w:b/>
                <w:bCs/>
                <w:sz w:val="18"/>
                <w:szCs w:val="18"/>
              </w:rPr>
              <w:t>Net (cost of)/contribution by services</w:t>
            </w:r>
          </w:p>
        </w:tc>
        <w:tc>
          <w:tcPr>
            <w:tcW w:w="944" w:type="dxa"/>
            <w:tcBorders>
              <w:top w:val="nil"/>
              <w:left w:val="nil"/>
              <w:bottom w:val="nil"/>
              <w:right w:val="nil"/>
            </w:tcBorders>
            <w:shd w:val="clear" w:color="FFFFFF" w:fill="FFFFFF"/>
            <w:noWrap/>
            <w:vAlign w:val="bottom"/>
            <w:hideMark/>
          </w:tcPr>
          <w:p w14:paraId="5C2C555F"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124" w:type="dxa"/>
            <w:tcBorders>
              <w:top w:val="single" w:sz="4" w:space="0" w:color="auto"/>
              <w:left w:val="nil"/>
              <w:bottom w:val="single" w:sz="4" w:space="0" w:color="auto"/>
              <w:right w:val="nil"/>
            </w:tcBorders>
            <w:shd w:val="clear" w:color="FFFFFF" w:fill="FFFFFF"/>
            <w:noWrap/>
            <w:vAlign w:val="bottom"/>
            <w:hideMark/>
          </w:tcPr>
          <w:p w14:paraId="2BD4170C" w14:textId="77777777" w:rsidR="00520333" w:rsidRPr="006D688A" w:rsidRDefault="00520333" w:rsidP="005E5E0C">
            <w:pPr>
              <w:spacing w:after="0"/>
              <w:jc w:val="right"/>
              <w:rPr>
                <w:rFonts w:cs="Arial"/>
                <w:b/>
                <w:bCs/>
                <w:sz w:val="18"/>
                <w:szCs w:val="18"/>
              </w:rPr>
            </w:pPr>
            <w:r w:rsidRPr="006D688A">
              <w:rPr>
                <w:rFonts w:cs="Arial"/>
                <w:b/>
                <w:bCs/>
                <w:sz w:val="18"/>
                <w:szCs w:val="18"/>
              </w:rPr>
              <w:t>(1,029,836)</w:t>
            </w:r>
          </w:p>
        </w:tc>
        <w:tc>
          <w:tcPr>
            <w:tcW w:w="236" w:type="dxa"/>
            <w:tcBorders>
              <w:top w:val="nil"/>
              <w:left w:val="nil"/>
              <w:bottom w:val="nil"/>
              <w:right w:val="nil"/>
            </w:tcBorders>
            <w:shd w:val="clear" w:color="FFFFFF" w:fill="FFFFFF"/>
            <w:noWrap/>
            <w:vAlign w:val="bottom"/>
            <w:hideMark/>
          </w:tcPr>
          <w:p w14:paraId="0284F2AB" w14:textId="77777777" w:rsidR="00520333" w:rsidRPr="006D688A" w:rsidRDefault="00520333" w:rsidP="005E5E0C">
            <w:pPr>
              <w:spacing w:after="0"/>
              <w:rPr>
                <w:rFonts w:cs="Arial"/>
                <w:sz w:val="18"/>
                <w:szCs w:val="18"/>
              </w:rPr>
            </w:pPr>
            <w:r w:rsidRPr="006D688A">
              <w:rPr>
                <w:rFonts w:cs="Arial"/>
                <w:sz w:val="18"/>
                <w:szCs w:val="18"/>
              </w:rPr>
              <w:t> </w:t>
            </w:r>
          </w:p>
        </w:tc>
        <w:tc>
          <w:tcPr>
            <w:tcW w:w="1122" w:type="dxa"/>
            <w:tcBorders>
              <w:top w:val="single" w:sz="4" w:space="0" w:color="auto"/>
              <w:left w:val="nil"/>
              <w:bottom w:val="single" w:sz="4" w:space="0" w:color="auto"/>
              <w:right w:val="nil"/>
            </w:tcBorders>
            <w:shd w:val="clear" w:color="FFFFFF" w:fill="FFFFFF"/>
            <w:noWrap/>
            <w:vAlign w:val="bottom"/>
            <w:hideMark/>
          </w:tcPr>
          <w:p w14:paraId="415E2C4A" w14:textId="77777777" w:rsidR="00520333" w:rsidRPr="006D688A" w:rsidRDefault="00520333" w:rsidP="005E5E0C">
            <w:pPr>
              <w:spacing w:after="0"/>
              <w:jc w:val="right"/>
              <w:rPr>
                <w:rFonts w:cs="Arial"/>
                <w:sz w:val="18"/>
                <w:szCs w:val="18"/>
              </w:rPr>
            </w:pPr>
            <w:r w:rsidRPr="006D688A">
              <w:rPr>
                <w:rFonts w:cs="Arial"/>
                <w:sz w:val="18"/>
                <w:szCs w:val="18"/>
              </w:rPr>
              <w:t>(1,430,472)</w:t>
            </w:r>
          </w:p>
        </w:tc>
        <w:tc>
          <w:tcPr>
            <w:tcW w:w="236" w:type="dxa"/>
            <w:tcBorders>
              <w:top w:val="nil"/>
              <w:left w:val="nil"/>
              <w:bottom w:val="nil"/>
              <w:right w:val="nil"/>
            </w:tcBorders>
            <w:shd w:val="clear" w:color="FFFFFF" w:fill="FFFFFF"/>
            <w:noWrap/>
            <w:vAlign w:val="bottom"/>
            <w:hideMark/>
          </w:tcPr>
          <w:p w14:paraId="54D5E621" w14:textId="77777777" w:rsidR="00520333" w:rsidRPr="006D688A" w:rsidRDefault="00520333" w:rsidP="005E5E0C">
            <w:pPr>
              <w:spacing w:after="0"/>
              <w:rPr>
                <w:rFonts w:cs="Arial"/>
                <w:sz w:val="18"/>
                <w:szCs w:val="18"/>
              </w:rPr>
            </w:pPr>
            <w:r w:rsidRPr="006D688A">
              <w:rPr>
                <w:rFonts w:cs="Arial"/>
                <w:sz w:val="18"/>
                <w:szCs w:val="18"/>
              </w:rPr>
              <w:t> </w:t>
            </w:r>
          </w:p>
        </w:tc>
        <w:tc>
          <w:tcPr>
            <w:tcW w:w="1199" w:type="dxa"/>
            <w:tcBorders>
              <w:top w:val="single" w:sz="4" w:space="0" w:color="auto"/>
              <w:left w:val="nil"/>
              <w:bottom w:val="single" w:sz="4" w:space="0" w:color="auto"/>
              <w:right w:val="nil"/>
            </w:tcBorders>
            <w:shd w:val="clear" w:color="FFFFFF" w:fill="FFFFFF"/>
            <w:noWrap/>
            <w:vAlign w:val="bottom"/>
            <w:hideMark/>
          </w:tcPr>
          <w:p w14:paraId="2CEA6944" w14:textId="77777777" w:rsidR="00520333" w:rsidRPr="006D688A" w:rsidRDefault="00520333" w:rsidP="005E5E0C">
            <w:pPr>
              <w:spacing w:after="0"/>
              <w:jc w:val="right"/>
              <w:rPr>
                <w:rFonts w:cs="Arial"/>
                <w:sz w:val="18"/>
                <w:szCs w:val="18"/>
              </w:rPr>
            </w:pPr>
            <w:r w:rsidRPr="006D688A">
              <w:rPr>
                <w:rFonts w:cs="Arial"/>
                <w:sz w:val="18"/>
                <w:szCs w:val="18"/>
              </w:rPr>
              <w:t>(1,817,066)</w:t>
            </w:r>
          </w:p>
        </w:tc>
      </w:tr>
      <w:tr w:rsidR="00520333" w:rsidRPr="006D688A" w14:paraId="15C9C2B3" w14:textId="77777777" w:rsidTr="005E5E0C">
        <w:trPr>
          <w:trHeight w:val="250"/>
        </w:trPr>
        <w:tc>
          <w:tcPr>
            <w:tcW w:w="4226" w:type="dxa"/>
            <w:tcBorders>
              <w:top w:val="nil"/>
              <w:left w:val="nil"/>
              <w:bottom w:val="nil"/>
              <w:right w:val="nil"/>
            </w:tcBorders>
            <w:shd w:val="clear" w:color="FFFFFF" w:fill="FFFFFF"/>
            <w:vAlign w:val="bottom"/>
            <w:hideMark/>
          </w:tcPr>
          <w:p w14:paraId="03FBCDCF" w14:textId="77777777" w:rsidR="00520333" w:rsidRPr="006D688A" w:rsidRDefault="00520333" w:rsidP="005E5E0C">
            <w:pPr>
              <w:spacing w:after="0"/>
              <w:rPr>
                <w:rFonts w:cs="Arial"/>
                <w:sz w:val="18"/>
                <w:szCs w:val="18"/>
              </w:rPr>
            </w:pPr>
            <w:r w:rsidRPr="006D688A">
              <w:rPr>
                <w:rFonts w:cs="Arial"/>
                <w:sz w:val="18"/>
                <w:szCs w:val="18"/>
              </w:rPr>
              <w:t> </w:t>
            </w:r>
          </w:p>
        </w:tc>
        <w:tc>
          <w:tcPr>
            <w:tcW w:w="944" w:type="dxa"/>
            <w:tcBorders>
              <w:top w:val="nil"/>
              <w:left w:val="nil"/>
              <w:bottom w:val="nil"/>
              <w:right w:val="nil"/>
            </w:tcBorders>
            <w:shd w:val="clear" w:color="FFFFFF" w:fill="FFFFFF"/>
            <w:noWrap/>
            <w:vAlign w:val="bottom"/>
            <w:hideMark/>
          </w:tcPr>
          <w:p w14:paraId="6E132682"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124" w:type="dxa"/>
            <w:tcBorders>
              <w:top w:val="nil"/>
              <w:left w:val="nil"/>
              <w:bottom w:val="nil"/>
              <w:right w:val="nil"/>
            </w:tcBorders>
            <w:shd w:val="clear" w:color="FFFFFF" w:fill="FFFFFF"/>
            <w:noWrap/>
            <w:vAlign w:val="bottom"/>
            <w:hideMark/>
          </w:tcPr>
          <w:p w14:paraId="6FB93EC9" w14:textId="77777777" w:rsidR="00520333" w:rsidRPr="006D688A" w:rsidRDefault="00520333" w:rsidP="005E5E0C">
            <w:pPr>
              <w:spacing w:after="0"/>
              <w:jc w:val="right"/>
              <w:rPr>
                <w:rFonts w:cs="Arial"/>
                <w:b/>
                <w:bCs/>
                <w:sz w:val="18"/>
                <w:szCs w:val="18"/>
              </w:rPr>
            </w:pPr>
            <w:r w:rsidRPr="006D688A">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30AAA513" w14:textId="77777777" w:rsidR="00520333" w:rsidRPr="006D688A" w:rsidRDefault="00520333" w:rsidP="005E5E0C">
            <w:pPr>
              <w:spacing w:after="0"/>
              <w:rPr>
                <w:rFonts w:cs="Arial"/>
                <w:sz w:val="18"/>
                <w:szCs w:val="18"/>
              </w:rPr>
            </w:pPr>
            <w:r w:rsidRPr="006D688A">
              <w:rPr>
                <w:rFonts w:cs="Arial"/>
                <w:sz w:val="18"/>
                <w:szCs w:val="18"/>
              </w:rPr>
              <w:t> </w:t>
            </w:r>
          </w:p>
        </w:tc>
        <w:tc>
          <w:tcPr>
            <w:tcW w:w="1122" w:type="dxa"/>
            <w:tcBorders>
              <w:top w:val="nil"/>
              <w:left w:val="nil"/>
              <w:bottom w:val="nil"/>
              <w:right w:val="nil"/>
            </w:tcBorders>
            <w:shd w:val="clear" w:color="FFFFFF" w:fill="FFFFFF"/>
            <w:noWrap/>
            <w:vAlign w:val="bottom"/>
            <w:hideMark/>
          </w:tcPr>
          <w:p w14:paraId="1D8B8DB7" w14:textId="77777777" w:rsidR="00520333" w:rsidRPr="006D688A" w:rsidRDefault="00520333" w:rsidP="005E5E0C">
            <w:pPr>
              <w:spacing w:after="0"/>
              <w:jc w:val="right"/>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0DC867B8" w14:textId="77777777" w:rsidR="00520333" w:rsidRPr="006D688A" w:rsidRDefault="00520333" w:rsidP="005E5E0C">
            <w:pPr>
              <w:spacing w:after="0"/>
              <w:rPr>
                <w:rFonts w:cs="Arial"/>
                <w:sz w:val="18"/>
                <w:szCs w:val="18"/>
              </w:rPr>
            </w:pPr>
            <w:r w:rsidRPr="006D688A">
              <w:rPr>
                <w:rFonts w:cs="Arial"/>
                <w:sz w:val="18"/>
                <w:szCs w:val="18"/>
              </w:rPr>
              <w:t> </w:t>
            </w:r>
          </w:p>
        </w:tc>
        <w:tc>
          <w:tcPr>
            <w:tcW w:w="1199" w:type="dxa"/>
            <w:tcBorders>
              <w:top w:val="nil"/>
              <w:left w:val="nil"/>
              <w:bottom w:val="nil"/>
              <w:right w:val="nil"/>
            </w:tcBorders>
            <w:shd w:val="clear" w:color="FFFFFF" w:fill="FFFFFF"/>
            <w:noWrap/>
            <w:vAlign w:val="bottom"/>
            <w:hideMark/>
          </w:tcPr>
          <w:p w14:paraId="5C3FC732" w14:textId="77777777" w:rsidR="00520333" w:rsidRPr="006D688A" w:rsidRDefault="00520333" w:rsidP="005E5E0C">
            <w:pPr>
              <w:spacing w:after="0"/>
              <w:jc w:val="right"/>
              <w:rPr>
                <w:rFonts w:cs="Arial"/>
                <w:sz w:val="18"/>
                <w:szCs w:val="18"/>
              </w:rPr>
            </w:pPr>
            <w:r w:rsidRPr="006D688A">
              <w:rPr>
                <w:rFonts w:cs="Arial"/>
                <w:sz w:val="18"/>
                <w:szCs w:val="18"/>
              </w:rPr>
              <w:t> </w:t>
            </w:r>
          </w:p>
        </w:tc>
      </w:tr>
      <w:tr w:rsidR="00520333" w:rsidRPr="006D688A" w14:paraId="3D823E6D" w14:textId="77777777" w:rsidTr="005E5E0C">
        <w:trPr>
          <w:trHeight w:val="250"/>
        </w:trPr>
        <w:tc>
          <w:tcPr>
            <w:tcW w:w="4226" w:type="dxa"/>
            <w:tcBorders>
              <w:top w:val="nil"/>
              <w:left w:val="nil"/>
              <w:bottom w:val="nil"/>
              <w:right w:val="nil"/>
            </w:tcBorders>
            <w:shd w:val="clear" w:color="FFFFFF" w:fill="FFFFFF"/>
            <w:vAlign w:val="bottom"/>
            <w:hideMark/>
          </w:tcPr>
          <w:p w14:paraId="783F1854" w14:textId="77777777" w:rsidR="00520333" w:rsidRPr="006D688A" w:rsidRDefault="00520333" w:rsidP="005E5E0C">
            <w:pPr>
              <w:spacing w:after="0"/>
              <w:rPr>
                <w:rFonts w:cs="Arial"/>
                <w:sz w:val="18"/>
                <w:szCs w:val="18"/>
              </w:rPr>
            </w:pPr>
            <w:r w:rsidRPr="006D688A">
              <w:rPr>
                <w:rFonts w:cs="Arial"/>
                <w:sz w:val="18"/>
                <w:szCs w:val="18"/>
              </w:rPr>
              <w:t>Revenue from Government</w:t>
            </w:r>
          </w:p>
        </w:tc>
        <w:tc>
          <w:tcPr>
            <w:tcW w:w="944" w:type="dxa"/>
            <w:tcBorders>
              <w:top w:val="nil"/>
              <w:left w:val="nil"/>
              <w:bottom w:val="nil"/>
              <w:right w:val="nil"/>
            </w:tcBorders>
            <w:shd w:val="clear" w:color="FFFFFF" w:fill="FFFFFF"/>
            <w:noWrap/>
            <w:vAlign w:val="bottom"/>
            <w:hideMark/>
          </w:tcPr>
          <w:p w14:paraId="27953D69"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124" w:type="dxa"/>
            <w:tcBorders>
              <w:top w:val="nil"/>
              <w:left w:val="nil"/>
              <w:bottom w:val="nil"/>
              <w:right w:val="nil"/>
            </w:tcBorders>
            <w:shd w:val="clear" w:color="FFFFFF" w:fill="FFFFFF"/>
            <w:noWrap/>
            <w:vAlign w:val="bottom"/>
            <w:hideMark/>
          </w:tcPr>
          <w:p w14:paraId="2361B864" w14:textId="77777777" w:rsidR="00520333" w:rsidRPr="006D688A" w:rsidRDefault="00520333" w:rsidP="005E5E0C">
            <w:pPr>
              <w:spacing w:after="0"/>
              <w:jc w:val="right"/>
              <w:rPr>
                <w:rFonts w:cs="Arial"/>
                <w:b/>
                <w:bCs/>
                <w:sz w:val="18"/>
                <w:szCs w:val="18"/>
              </w:rPr>
            </w:pPr>
            <w:r w:rsidRPr="006D688A">
              <w:rPr>
                <w:rFonts w:cs="Arial"/>
                <w:b/>
                <w:bCs/>
                <w:sz w:val="18"/>
                <w:szCs w:val="18"/>
              </w:rPr>
              <w:t>2,032,420</w:t>
            </w:r>
          </w:p>
        </w:tc>
        <w:tc>
          <w:tcPr>
            <w:tcW w:w="236" w:type="dxa"/>
            <w:tcBorders>
              <w:top w:val="nil"/>
              <w:left w:val="nil"/>
              <w:bottom w:val="nil"/>
              <w:right w:val="nil"/>
            </w:tcBorders>
            <w:shd w:val="clear" w:color="FFFFFF" w:fill="FFFFFF"/>
            <w:noWrap/>
            <w:vAlign w:val="bottom"/>
            <w:hideMark/>
          </w:tcPr>
          <w:p w14:paraId="76EBA699" w14:textId="77777777" w:rsidR="00520333" w:rsidRPr="006D688A" w:rsidRDefault="00520333" w:rsidP="005E5E0C">
            <w:pPr>
              <w:spacing w:after="0"/>
              <w:rPr>
                <w:rFonts w:cs="Arial"/>
                <w:sz w:val="18"/>
                <w:szCs w:val="18"/>
              </w:rPr>
            </w:pPr>
            <w:r w:rsidRPr="006D688A">
              <w:rPr>
                <w:rFonts w:cs="Arial"/>
                <w:sz w:val="18"/>
                <w:szCs w:val="18"/>
              </w:rPr>
              <w:t> </w:t>
            </w:r>
          </w:p>
        </w:tc>
        <w:tc>
          <w:tcPr>
            <w:tcW w:w="1122" w:type="dxa"/>
            <w:tcBorders>
              <w:top w:val="nil"/>
              <w:left w:val="nil"/>
              <w:bottom w:val="nil"/>
              <w:right w:val="nil"/>
            </w:tcBorders>
            <w:shd w:val="clear" w:color="FFFFFF" w:fill="FFFFFF"/>
            <w:noWrap/>
            <w:vAlign w:val="bottom"/>
            <w:hideMark/>
          </w:tcPr>
          <w:p w14:paraId="4963265B" w14:textId="77777777" w:rsidR="00520333" w:rsidRPr="006D688A" w:rsidRDefault="00520333" w:rsidP="005E5E0C">
            <w:pPr>
              <w:spacing w:after="0"/>
              <w:jc w:val="right"/>
              <w:rPr>
                <w:rFonts w:cs="Arial"/>
                <w:sz w:val="18"/>
                <w:szCs w:val="18"/>
              </w:rPr>
            </w:pPr>
            <w:r w:rsidRPr="006D688A">
              <w:rPr>
                <w:rFonts w:cs="Arial"/>
                <w:sz w:val="18"/>
                <w:szCs w:val="18"/>
              </w:rPr>
              <w:t>1,445,361</w:t>
            </w:r>
          </w:p>
        </w:tc>
        <w:tc>
          <w:tcPr>
            <w:tcW w:w="236" w:type="dxa"/>
            <w:tcBorders>
              <w:top w:val="nil"/>
              <w:left w:val="nil"/>
              <w:bottom w:val="nil"/>
              <w:right w:val="nil"/>
            </w:tcBorders>
            <w:shd w:val="clear" w:color="FFFFFF" w:fill="FFFFFF"/>
            <w:noWrap/>
            <w:vAlign w:val="bottom"/>
            <w:hideMark/>
          </w:tcPr>
          <w:p w14:paraId="7BC344C0" w14:textId="77777777" w:rsidR="00520333" w:rsidRPr="006D688A" w:rsidRDefault="00520333" w:rsidP="005E5E0C">
            <w:pPr>
              <w:spacing w:after="0"/>
              <w:rPr>
                <w:rFonts w:cs="Arial"/>
                <w:sz w:val="18"/>
                <w:szCs w:val="18"/>
              </w:rPr>
            </w:pPr>
            <w:r w:rsidRPr="006D688A">
              <w:rPr>
                <w:rFonts w:cs="Arial"/>
                <w:sz w:val="18"/>
                <w:szCs w:val="18"/>
              </w:rPr>
              <w:t> </w:t>
            </w:r>
          </w:p>
        </w:tc>
        <w:tc>
          <w:tcPr>
            <w:tcW w:w="1199" w:type="dxa"/>
            <w:tcBorders>
              <w:top w:val="nil"/>
              <w:left w:val="nil"/>
              <w:bottom w:val="nil"/>
              <w:right w:val="nil"/>
            </w:tcBorders>
            <w:shd w:val="clear" w:color="FFFFFF" w:fill="FFFFFF"/>
            <w:noWrap/>
            <w:vAlign w:val="bottom"/>
            <w:hideMark/>
          </w:tcPr>
          <w:p w14:paraId="0D3175D6" w14:textId="77777777" w:rsidR="00520333" w:rsidRPr="006D688A" w:rsidRDefault="00520333" w:rsidP="005E5E0C">
            <w:pPr>
              <w:spacing w:after="0"/>
              <w:jc w:val="right"/>
              <w:rPr>
                <w:rFonts w:cs="Arial"/>
                <w:sz w:val="18"/>
                <w:szCs w:val="18"/>
              </w:rPr>
            </w:pPr>
            <w:r w:rsidRPr="006D688A">
              <w:rPr>
                <w:rFonts w:cs="Arial"/>
                <w:sz w:val="18"/>
                <w:szCs w:val="18"/>
              </w:rPr>
              <w:t>1,984,176</w:t>
            </w:r>
          </w:p>
        </w:tc>
      </w:tr>
      <w:tr w:rsidR="00520333" w:rsidRPr="006D688A" w14:paraId="573F39E0" w14:textId="77777777" w:rsidTr="005E5E0C">
        <w:trPr>
          <w:trHeight w:val="250"/>
        </w:trPr>
        <w:tc>
          <w:tcPr>
            <w:tcW w:w="4226" w:type="dxa"/>
            <w:tcBorders>
              <w:top w:val="nil"/>
              <w:left w:val="nil"/>
              <w:bottom w:val="nil"/>
              <w:right w:val="nil"/>
            </w:tcBorders>
            <w:shd w:val="clear" w:color="FFFFFF" w:fill="FFFFFF"/>
            <w:vAlign w:val="bottom"/>
            <w:hideMark/>
          </w:tcPr>
          <w:p w14:paraId="48A1B177" w14:textId="77777777" w:rsidR="00520333" w:rsidRPr="006D688A" w:rsidRDefault="00520333" w:rsidP="005E5E0C">
            <w:pPr>
              <w:spacing w:after="0"/>
              <w:rPr>
                <w:rFonts w:cs="Arial"/>
                <w:b/>
                <w:bCs/>
                <w:sz w:val="18"/>
                <w:szCs w:val="18"/>
              </w:rPr>
            </w:pPr>
            <w:r w:rsidRPr="006D688A">
              <w:rPr>
                <w:rFonts w:cs="Arial"/>
                <w:b/>
                <w:bCs/>
                <w:sz w:val="18"/>
                <w:szCs w:val="18"/>
              </w:rPr>
              <w:t xml:space="preserve">Surplus/(Deficit) </w:t>
            </w:r>
          </w:p>
        </w:tc>
        <w:tc>
          <w:tcPr>
            <w:tcW w:w="944" w:type="dxa"/>
            <w:tcBorders>
              <w:top w:val="nil"/>
              <w:left w:val="nil"/>
              <w:bottom w:val="nil"/>
              <w:right w:val="nil"/>
            </w:tcBorders>
            <w:shd w:val="clear" w:color="FFFFFF" w:fill="FFFFFF"/>
            <w:noWrap/>
            <w:vAlign w:val="bottom"/>
            <w:hideMark/>
          </w:tcPr>
          <w:p w14:paraId="7E220236"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124" w:type="dxa"/>
            <w:tcBorders>
              <w:top w:val="single" w:sz="4" w:space="0" w:color="auto"/>
              <w:left w:val="nil"/>
              <w:bottom w:val="single" w:sz="4" w:space="0" w:color="auto"/>
              <w:right w:val="nil"/>
            </w:tcBorders>
            <w:shd w:val="clear" w:color="FFFFFF" w:fill="FFFFFF"/>
            <w:noWrap/>
            <w:vAlign w:val="bottom"/>
            <w:hideMark/>
          </w:tcPr>
          <w:p w14:paraId="79BBC59A" w14:textId="77777777" w:rsidR="00520333" w:rsidRPr="006D688A" w:rsidRDefault="00520333" w:rsidP="005E5E0C">
            <w:pPr>
              <w:spacing w:after="0"/>
              <w:jc w:val="right"/>
              <w:rPr>
                <w:rFonts w:cs="Arial"/>
                <w:b/>
                <w:bCs/>
                <w:sz w:val="18"/>
                <w:szCs w:val="18"/>
              </w:rPr>
            </w:pPr>
            <w:r w:rsidRPr="006D688A">
              <w:rPr>
                <w:rFonts w:cs="Arial"/>
                <w:b/>
                <w:bCs/>
                <w:sz w:val="18"/>
                <w:szCs w:val="18"/>
              </w:rPr>
              <w:t>1,002,584</w:t>
            </w:r>
          </w:p>
        </w:tc>
        <w:tc>
          <w:tcPr>
            <w:tcW w:w="236" w:type="dxa"/>
            <w:tcBorders>
              <w:top w:val="nil"/>
              <w:left w:val="nil"/>
              <w:bottom w:val="nil"/>
              <w:right w:val="nil"/>
            </w:tcBorders>
            <w:shd w:val="clear" w:color="FFFFFF" w:fill="FFFFFF"/>
            <w:noWrap/>
            <w:vAlign w:val="bottom"/>
            <w:hideMark/>
          </w:tcPr>
          <w:p w14:paraId="3398AC0B" w14:textId="77777777" w:rsidR="00520333" w:rsidRPr="006D688A" w:rsidRDefault="00520333" w:rsidP="005E5E0C">
            <w:pPr>
              <w:spacing w:after="0"/>
              <w:rPr>
                <w:rFonts w:cs="Arial"/>
                <w:sz w:val="18"/>
                <w:szCs w:val="18"/>
              </w:rPr>
            </w:pPr>
            <w:r w:rsidRPr="006D688A">
              <w:rPr>
                <w:rFonts w:cs="Arial"/>
                <w:sz w:val="18"/>
                <w:szCs w:val="18"/>
              </w:rPr>
              <w:t> </w:t>
            </w:r>
          </w:p>
        </w:tc>
        <w:tc>
          <w:tcPr>
            <w:tcW w:w="1122" w:type="dxa"/>
            <w:tcBorders>
              <w:top w:val="single" w:sz="4" w:space="0" w:color="auto"/>
              <w:left w:val="nil"/>
              <w:bottom w:val="single" w:sz="4" w:space="0" w:color="auto"/>
              <w:right w:val="nil"/>
            </w:tcBorders>
            <w:shd w:val="clear" w:color="FFFFFF" w:fill="FFFFFF"/>
            <w:noWrap/>
            <w:vAlign w:val="bottom"/>
            <w:hideMark/>
          </w:tcPr>
          <w:p w14:paraId="030CE8A8" w14:textId="77777777" w:rsidR="00520333" w:rsidRPr="006D688A" w:rsidRDefault="00520333" w:rsidP="005E5E0C">
            <w:pPr>
              <w:spacing w:after="0"/>
              <w:jc w:val="right"/>
              <w:rPr>
                <w:rFonts w:cs="Arial"/>
                <w:sz w:val="18"/>
                <w:szCs w:val="18"/>
              </w:rPr>
            </w:pPr>
            <w:r w:rsidRPr="006D688A">
              <w:rPr>
                <w:rFonts w:cs="Arial"/>
                <w:sz w:val="18"/>
                <w:szCs w:val="18"/>
              </w:rPr>
              <w:t>14,889</w:t>
            </w:r>
          </w:p>
        </w:tc>
        <w:tc>
          <w:tcPr>
            <w:tcW w:w="236" w:type="dxa"/>
            <w:tcBorders>
              <w:top w:val="nil"/>
              <w:left w:val="nil"/>
              <w:bottom w:val="nil"/>
              <w:right w:val="nil"/>
            </w:tcBorders>
            <w:shd w:val="clear" w:color="FFFFFF" w:fill="FFFFFF"/>
            <w:noWrap/>
            <w:vAlign w:val="bottom"/>
            <w:hideMark/>
          </w:tcPr>
          <w:p w14:paraId="21463386" w14:textId="77777777" w:rsidR="00520333" w:rsidRPr="006D688A" w:rsidRDefault="00520333" w:rsidP="005E5E0C">
            <w:pPr>
              <w:spacing w:after="0"/>
              <w:rPr>
                <w:rFonts w:cs="Arial"/>
                <w:sz w:val="18"/>
                <w:szCs w:val="18"/>
              </w:rPr>
            </w:pPr>
            <w:r w:rsidRPr="006D688A">
              <w:rPr>
                <w:rFonts w:cs="Arial"/>
                <w:sz w:val="18"/>
                <w:szCs w:val="18"/>
              </w:rPr>
              <w:t> </w:t>
            </w:r>
          </w:p>
        </w:tc>
        <w:tc>
          <w:tcPr>
            <w:tcW w:w="1199" w:type="dxa"/>
            <w:tcBorders>
              <w:top w:val="single" w:sz="4" w:space="0" w:color="auto"/>
              <w:left w:val="nil"/>
              <w:bottom w:val="single" w:sz="4" w:space="0" w:color="auto"/>
              <w:right w:val="nil"/>
            </w:tcBorders>
            <w:shd w:val="clear" w:color="FFFFFF" w:fill="FFFFFF"/>
            <w:noWrap/>
            <w:vAlign w:val="bottom"/>
            <w:hideMark/>
          </w:tcPr>
          <w:p w14:paraId="1D3361E4" w14:textId="77777777" w:rsidR="00520333" w:rsidRPr="006D688A" w:rsidRDefault="00520333" w:rsidP="005E5E0C">
            <w:pPr>
              <w:spacing w:after="0"/>
              <w:jc w:val="right"/>
              <w:rPr>
                <w:rFonts w:cs="Arial"/>
                <w:sz w:val="18"/>
                <w:szCs w:val="18"/>
              </w:rPr>
            </w:pPr>
            <w:r w:rsidRPr="006D688A">
              <w:rPr>
                <w:rFonts w:cs="Arial"/>
                <w:sz w:val="18"/>
                <w:szCs w:val="18"/>
              </w:rPr>
              <w:t>167,110</w:t>
            </w:r>
          </w:p>
        </w:tc>
      </w:tr>
      <w:tr w:rsidR="00520333" w:rsidRPr="006D688A" w14:paraId="4FF0FDFE" w14:textId="77777777" w:rsidTr="005E5E0C">
        <w:trPr>
          <w:trHeight w:val="250"/>
        </w:trPr>
        <w:tc>
          <w:tcPr>
            <w:tcW w:w="4226" w:type="dxa"/>
            <w:tcBorders>
              <w:top w:val="nil"/>
              <w:left w:val="nil"/>
              <w:bottom w:val="nil"/>
              <w:right w:val="nil"/>
            </w:tcBorders>
            <w:shd w:val="clear" w:color="FFFFFF" w:fill="FFFFFF"/>
            <w:vAlign w:val="bottom"/>
            <w:hideMark/>
          </w:tcPr>
          <w:p w14:paraId="2F9C1C3F" w14:textId="77777777" w:rsidR="00520333" w:rsidRPr="006D688A" w:rsidRDefault="00520333" w:rsidP="005E5E0C">
            <w:pPr>
              <w:spacing w:after="0"/>
              <w:rPr>
                <w:rFonts w:cs="Arial"/>
                <w:sz w:val="18"/>
                <w:szCs w:val="18"/>
              </w:rPr>
            </w:pPr>
            <w:r w:rsidRPr="006D688A">
              <w:rPr>
                <w:rFonts w:cs="Arial"/>
                <w:sz w:val="18"/>
                <w:szCs w:val="18"/>
              </w:rPr>
              <w:t> </w:t>
            </w:r>
          </w:p>
        </w:tc>
        <w:tc>
          <w:tcPr>
            <w:tcW w:w="944" w:type="dxa"/>
            <w:tcBorders>
              <w:top w:val="nil"/>
              <w:left w:val="nil"/>
              <w:bottom w:val="nil"/>
              <w:right w:val="nil"/>
            </w:tcBorders>
            <w:shd w:val="clear" w:color="FFFFFF" w:fill="FFFFFF"/>
            <w:noWrap/>
            <w:vAlign w:val="bottom"/>
            <w:hideMark/>
          </w:tcPr>
          <w:p w14:paraId="12F45682"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124" w:type="dxa"/>
            <w:tcBorders>
              <w:top w:val="nil"/>
              <w:left w:val="nil"/>
              <w:bottom w:val="nil"/>
              <w:right w:val="nil"/>
            </w:tcBorders>
            <w:shd w:val="clear" w:color="FFFFFF" w:fill="FFFFFF"/>
            <w:noWrap/>
            <w:vAlign w:val="bottom"/>
            <w:hideMark/>
          </w:tcPr>
          <w:p w14:paraId="42A786DA" w14:textId="77777777" w:rsidR="00520333" w:rsidRPr="006D688A" w:rsidRDefault="00520333" w:rsidP="005E5E0C">
            <w:pPr>
              <w:spacing w:after="0"/>
              <w:jc w:val="right"/>
              <w:rPr>
                <w:rFonts w:cs="Arial"/>
                <w:b/>
                <w:bCs/>
                <w:sz w:val="18"/>
                <w:szCs w:val="18"/>
              </w:rPr>
            </w:pPr>
            <w:r w:rsidRPr="006D688A">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2FED39EE" w14:textId="77777777" w:rsidR="00520333" w:rsidRPr="006D688A" w:rsidRDefault="00520333" w:rsidP="005E5E0C">
            <w:pPr>
              <w:spacing w:after="0"/>
              <w:rPr>
                <w:rFonts w:cs="Arial"/>
                <w:sz w:val="18"/>
                <w:szCs w:val="18"/>
              </w:rPr>
            </w:pPr>
            <w:r w:rsidRPr="006D688A">
              <w:rPr>
                <w:rFonts w:cs="Arial"/>
                <w:sz w:val="18"/>
                <w:szCs w:val="18"/>
              </w:rPr>
              <w:t> </w:t>
            </w:r>
          </w:p>
        </w:tc>
        <w:tc>
          <w:tcPr>
            <w:tcW w:w="1122" w:type="dxa"/>
            <w:tcBorders>
              <w:top w:val="nil"/>
              <w:left w:val="nil"/>
              <w:bottom w:val="nil"/>
              <w:right w:val="nil"/>
            </w:tcBorders>
            <w:shd w:val="clear" w:color="FFFFFF" w:fill="FFFFFF"/>
            <w:noWrap/>
            <w:vAlign w:val="bottom"/>
            <w:hideMark/>
          </w:tcPr>
          <w:p w14:paraId="3AD4260B" w14:textId="77777777" w:rsidR="00520333" w:rsidRPr="006D688A" w:rsidRDefault="00520333" w:rsidP="005E5E0C">
            <w:pPr>
              <w:spacing w:after="0"/>
              <w:jc w:val="right"/>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77C451E1" w14:textId="77777777" w:rsidR="00520333" w:rsidRPr="006D688A" w:rsidRDefault="00520333" w:rsidP="005E5E0C">
            <w:pPr>
              <w:spacing w:after="0"/>
              <w:rPr>
                <w:rFonts w:cs="Arial"/>
                <w:sz w:val="18"/>
                <w:szCs w:val="18"/>
              </w:rPr>
            </w:pPr>
            <w:r w:rsidRPr="006D688A">
              <w:rPr>
                <w:rFonts w:cs="Arial"/>
                <w:sz w:val="18"/>
                <w:szCs w:val="18"/>
              </w:rPr>
              <w:t> </w:t>
            </w:r>
          </w:p>
        </w:tc>
        <w:tc>
          <w:tcPr>
            <w:tcW w:w="1199" w:type="dxa"/>
            <w:tcBorders>
              <w:top w:val="nil"/>
              <w:left w:val="nil"/>
              <w:bottom w:val="nil"/>
              <w:right w:val="nil"/>
            </w:tcBorders>
            <w:shd w:val="clear" w:color="FFFFFF" w:fill="FFFFFF"/>
            <w:noWrap/>
            <w:vAlign w:val="bottom"/>
            <w:hideMark/>
          </w:tcPr>
          <w:p w14:paraId="4186156E" w14:textId="77777777" w:rsidR="00520333" w:rsidRPr="006D688A" w:rsidRDefault="00520333" w:rsidP="005E5E0C">
            <w:pPr>
              <w:spacing w:after="0"/>
              <w:jc w:val="right"/>
              <w:rPr>
                <w:rFonts w:cs="Arial"/>
                <w:sz w:val="18"/>
                <w:szCs w:val="18"/>
              </w:rPr>
            </w:pPr>
            <w:r w:rsidRPr="006D688A">
              <w:rPr>
                <w:rFonts w:cs="Arial"/>
                <w:sz w:val="18"/>
                <w:szCs w:val="18"/>
              </w:rPr>
              <w:t> </w:t>
            </w:r>
          </w:p>
        </w:tc>
      </w:tr>
      <w:tr w:rsidR="00520333" w:rsidRPr="006D688A" w14:paraId="16F53A5F" w14:textId="77777777" w:rsidTr="005E5E0C">
        <w:trPr>
          <w:trHeight w:val="250"/>
        </w:trPr>
        <w:tc>
          <w:tcPr>
            <w:tcW w:w="4226" w:type="dxa"/>
            <w:tcBorders>
              <w:top w:val="nil"/>
              <w:left w:val="nil"/>
              <w:bottom w:val="nil"/>
              <w:right w:val="nil"/>
            </w:tcBorders>
            <w:shd w:val="clear" w:color="FFFFFF" w:fill="FFFFFF"/>
            <w:vAlign w:val="bottom"/>
            <w:hideMark/>
          </w:tcPr>
          <w:p w14:paraId="6B4CDBBA" w14:textId="77777777" w:rsidR="00520333" w:rsidRPr="006D688A" w:rsidRDefault="00520333" w:rsidP="005E5E0C">
            <w:pPr>
              <w:spacing w:after="0"/>
              <w:rPr>
                <w:rFonts w:cs="Arial"/>
                <w:b/>
                <w:bCs/>
                <w:sz w:val="18"/>
                <w:szCs w:val="18"/>
              </w:rPr>
            </w:pPr>
            <w:r w:rsidRPr="006D688A">
              <w:rPr>
                <w:rFonts w:cs="Arial"/>
                <w:b/>
                <w:bCs/>
                <w:sz w:val="18"/>
                <w:szCs w:val="18"/>
              </w:rPr>
              <w:t>OTHER COMPREHENSIVE INCOME</w:t>
            </w:r>
          </w:p>
        </w:tc>
        <w:tc>
          <w:tcPr>
            <w:tcW w:w="944" w:type="dxa"/>
            <w:tcBorders>
              <w:top w:val="nil"/>
              <w:left w:val="nil"/>
              <w:bottom w:val="nil"/>
              <w:right w:val="nil"/>
            </w:tcBorders>
            <w:shd w:val="clear" w:color="FFFFFF" w:fill="FFFFFF"/>
            <w:noWrap/>
            <w:vAlign w:val="bottom"/>
            <w:hideMark/>
          </w:tcPr>
          <w:p w14:paraId="7E966255"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124" w:type="dxa"/>
            <w:tcBorders>
              <w:top w:val="nil"/>
              <w:left w:val="nil"/>
              <w:bottom w:val="nil"/>
              <w:right w:val="nil"/>
            </w:tcBorders>
            <w:shd w:val="clear" w:color="FFFFFF" w:fill="FFFFFF"/>
            <w:noWrap/>
            <w:vAlign w:val="bottom"/>
            <w:hideMark/>
          </w:tcPr>
          <w:p w14:paraId="6A474924" w14:textId="77777777" w:rsidR="00520333" w:rsidRPr="006D688A" w:rsidRDefault="00520333" w:rsidP="005E5E0C">
            <w:pPr>
              <w:spacing w:after="0"/>
              <w:jc w:val="right"/>
              <w:rPr>
                <w:rFonts w:cs="Arial"/>
                <w:b/>
                <w:bCs/>
                <w:sz w:val="18"/>
                <w:szCs w:val="18"/>
              </w:rPr>
            </w:pPr>
            <w:r w:rsidRPr="006D688A">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4BCDEA6E" w14:textId="77777777" w:rsidR="00520333" w:rsidRPr="006D688A" w:rsidRDefault="00520333" w:rsidP="005E5E0C">
            <w:pPr>
              <w:spacing w:after="0"/>
              <w:rPr>
                <w:rFonts w:cs="Arial"/>
                <w:sz w:val="18"/>
                <w:szCs w:val="18"/>
              </w:rPr>
            </w:pPr>
            <w:r w:rsidRPr="006D688A">
              <w:rPr>
                <w:rFonts w:cs="Arial"/>
                <w:sz w:val="18"/>
                <w:szCs w:val="18"/>
              </w:rPr>
              <w:t> </w:t>
            </w:r>
          </w:p>
        </w:tc>
        <w:tc>
          <w:tcPr>
            <w:tcW w:w="1122" w:type="dxa"/>
            <w:tcBorders>
              <w:top w:val="nil"/>
              <w:left w:val="nil"/>
              <w:bottom w:val="nil"/>
              <w:right w:val="nil"/>
            </w:tcBorders>
            <w:shd w:val="clear" w:color="FFFFFF" w:fill="FFFFFF"/>
            <w:noWrap/>
            <w:vAlign w:val="bottom"/>
            <w:hideMark/>
          </w:tcPr>
          <w:p w14:paraId="35A75D92" w14:textId="77777777" w:rsidR="00520333" w:rsidRPr="006D688A" w:rsidRDefault="00520333" w:rsidP="005E5E0C">
            <w:pPr>
              <w:spacing w:after="0"/>
              <w:jc w:val="right"/>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70BD7B2F" w14:textId="77777777" w:rsidR="00520333" w:rsidRPr="006D688A" w:rsidRDefault="00520333" w:rsidP="005E5E0C">
            <w:pPr>
              <w:spacing w:after="0"/>
              <w:rPr>
                <w:rFonts w:cs="Arial"/>
                <w:sz w:val="18"/>
                <w:szCs w:val="18"/>
              </w:rPr>
            </w:pPr>
            <w:r w:rsidRPr="006D688A">
              <w:rPr>
                <w:rFonts w:cs="Arial"/>
                <w:sz w:val="18"/>
                <w:szCs w:val="18"/>
              </w:rPr>
              <w:t> </w:t>
            </w:r>
          </w:p>
        </w:tc>
        <w:tc>
          <w:tcPr>
            <w:tcW w:w="1199" w:type="dxa"/>
            <w:tcBorders>
              <w:top w:val="nil"/>
              <w:left w:val="nil"/>
              <w:bottom w:val="nil"/>
              <w:right w:val="nil"/>
            </w:tcBorders>
            <w:shd w:val="clear" w:color="FFFFFF" w:fill="FFFFFF"/>
            <w:noWrap/>
            <w:vAlign w:val="bottom"/>
            <w:hideMark/>
          </w:tcPr>
          <w:p w14:paraId="302BAF6A" w14:textId="77777777" w:rsidR="00520333" w:rsidRPr="006D688A" w:rsidRDefault="00520333" w:rsidP="005E5E0C">
            <w:pPr>
              <w:spacing w:after="0"/>
              <w:jc w:val="right"/>
              <w:rPr>
                <w:rFonts w:cs="Arial"/>
                <w:sz w:val="18"/>
                <w:szCs w:val="18"/>
              </w:rPr>
            </w:pPr>
            <w:r w:rsidRPr="006D688A">
              <w:rPr>
                <w:rFonts w:cs="Arial"/>
                <w:sz w:val="18"/>
                <w:szCs w:val="18"/>
              </w:rPr>
              <w:t> </w:t>
            </w:r>
          </w:p>
        </w:tc>
      </w:tr>
      <w:tr w:rsidR="00520333" w:rsidRPr="006D688A" w14:paraId="109A6C02" w14:textId="77777777" w:rsidTr="005E5E0C">
        <w:trPr>
          <w:trHeight w:val="460"/>
        </w:trPr>
        <w:tc>
          <w:tcPr>
            <w:tcW w:w="4226" w:type="dxa"/>
            <w:tcBorders>
              <w:top w:val="nil"/>
              <w:left w:val="nil"/>
              <w:bottom w:val="nil"/>
              <w:right w:val="nil"/>
            </w:tcBorders>
            <w:shd w:val="clear" w:color="FFFFFF" w:fill="FFFFFF"/>
            <w:vAlign w:val="bottom"/>
            <w:hideMark/>
          </w:tcPr>
          <w:p w14:paraId="58CCFF37" w14:textId="77777777" w:rsidR="00520333" w:rsidRPr="006D688A" w:rsidRDefault="00520333" w:rsidP="005E5E0C">
            <w:pPr>
              <w:spacing w:after="0"/>
              <w:rPr>
                <w:rFonts w:cs="Arial"/>
                <w:b/>
                <w:bCs/>
                <w:sz w:val="18"/>
                <w:szCs w:val="18"/>
              </w:rPr>
            </w:pPr>
            <w:r w:rsidRPr="006D688A">
              <w:rPr>
                <w:rFonts w:cs="Arial"/>
                <w:b/>
                <w:bCs/>
                <w:sz w:val="18"/>
                <w:szCs w:val="18"/>
              </w:rPr>
              <w:t>Items not subject to subsequent reclassification to net cost of services</w:t>
            </w:r>
          </w:p>
        </w:tc>
        <w:tc>
          <w:tcPr>
            <w:tcW w:w="944" w:type="dxa"/>
            <w:tcBorders>
              <w:top w:val="nil"/>
              <w:left w:val="nil"/>
              <w:bottom w:val="nil"/>
              <w:right w:val="nil"/>
            </w:tcBorders>
            <w:shd w:val="clear" w:color="FFFFFF" w:fill="FFFFFF"/>
            <w:noWrap/>
            <w:vAlign w:val="bottom"/>
            <w:hideMark/>
          </w:tcPr>
          <w:p w14:paraId="4B67BD5E"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124" w:type="dxa"/>
            <w:tcBorders>
              <w:top w:val="nil"/>
              <w:left w:val="nil"/>
              <w:bottom w:val="nil"/>
              <w:right w:val="nil"/>
            </w:tcBorders>
            <w:shd w:val="clear" w:color="FFFFFF" w:fill="FFFFFF"/>
            <w:noWrap/>
            <w:vAlign w:val="bottom"/>
            <w:hideMark/>
          </w:tcPr>
          <w:p w14:paraId="65D89790" w14:textId="77777777" w:rsidR="00520333" w:rsidRPr="006D688A" w:rsidRDefault="00520333" w:rsidP="005E5E0C">
            <w:pPr>
              <w:spacing w:after="0"/>
              <w:jc w:val="right"/>
              <w:rPr>
                <w:rFonts w:cs="Arial"/>
                <w:b/>
                <w:bCs/>
                <w:sz w:val="18"/>
                <w:szCs w:val="18"/>
              </w:rPr>
            </w:pPr>
            <w:r w:rsidRPr="006D688A">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413B560A" w14:textId="77777777" w:rsidR="00520333" w:rsidRPr="006D688A" w:rsidRDefault="00520333" w:rsidP="005E5E0C">
            <w:pPr>
              <w:spacing w:after="0"/>
              <w:rPr>
                <w:rFonts w:cs="Arial"/>
                <w:sz w:val="18"/>
                <w:szCs w:val="18"/>
              </w:rPr>
            </w:pPr>
            <w:r w:rsidRPr="006D688A">
              <w:rPr>
                <w:rFonts w:cs="Arial"/>
                <w:sz w:val="18"/>
                <w:szCs w:val="18"/>
              </w:rPr>
              <w:t> </w:t>
            </w:r>
          </w:p>
        </w:tc>
        <w:tc>
          <w:tcPr>
            <w:tcW w:w="1122" w:type="dxa"/>
            <w:tcBorders>
              <w:top w:val="nil"/>
              <w:left w:val="nil"/>
              <w:bottom w:val="nil"/>
              <w:right w:val="nil"/>
            </w:tcBorders>
            <w:shd w:val="clear" w:color="FFFFFF" w:fill="FFFFFF"/>
            <w:noWrap/>
            <w:vAlign w:val="bottom"/>
            <w:hideMark/>
          </w:tcPr>
          <w:p w14:paraId="1C609899" w14:textId="77777777" w:rsidR="00520333" w:rsidRPr="006D688A" w:rsidRDefault="00520333" w:rsidP="005E5E0C">
            <w:pPr>
              <w:spacing w:after="0"/>
              <w:jc w:val="right"/>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40CAECB0" w14:textId="77777777" w:rsidR="00520333" w:rsidRPr="006D688A" w:rsidRDefault="00520333" w:rsidP="005E5E0C">
            <w:pPr>
              <w:spacing w:after="0"/>
              <w:rPr>
                <w:rFonts w:cs="Arial"/>
                <w:sz w:val="18"/>
                <w:szCs w:val="18"/>
              </w:rPr>
            </w:pPr>
            <w:r w:rsidRPr="006D688A">
              <w:rPr>
                <w:rFonts w:cs="Arial"/>
                <w:sz w:val="18"/>
                <w:szCs w:val="18"/>
              </w:rPr>
              <w:t> </w:t>
            </w:r>
          </w:p>
        </w:tc>
        <w:tc>
          <w:tcPr>
            <w:tcW w:w="1199" w:type="dxa"/>
            <w:tcBorders>
              <w:top w:val="nil"/>
              <w:left w:val="nil"/>
              <w:bottom w:val="nil"/>
              <w:right w:val="nil"/>
            </w:tcBorders>
            <w:shd w:val="clear" w:color="FFFFFF" w:fill="FFFFFF"/>
            <w:noWrap/>
            <w:vAlign w:val="bottom"/>
            <w:hideMark/>
          </w:tcPr>
          <w:p w14:paraId="43E7043D" w14:textId="77777777" w:rsidR="00520333" w:rsidRPr="006D688A" w:rsidRDefault="00520333" w:rsidP="005E5E0C">
            <w:pPr>
              <w:spacing w:after="0"/>
              <w:jc w:val="right"/>
              <w:rPr>
                <w:rFonts w:cs="Arial"/>
                <w:sz w:val="18"/>
                <w:szCs w:val="18"/>
              </w:rPr>
            </w:pPr>
            <w:r w:rsidRPr="006D688A">
              <w:rPr>
                <w:rFonts w:cs="Arial"/>
                <w:sz w:val="18"/>
                <w:szCs w:val="18"/>
              </w:rPr>
              <w:t> </w:t>
            </w:r>
          </w:p>
        </w:tc>
      </w:tr>
      <w:tr w:rsidR="00520333" w:rsidRPr="006D688A" w14:paraId="36608707" w14:textId="77777777" w:rsidTr="005E5E0C">
        <w:trPr>
          <w:trHeight w:val="250"/>
        </w:trPr>
        <w:tc>
          <w:tcPr>
            <w:tcW w:w="4226" w:type="dxa"/>
            <w:tcBorders>
              <w:top w:val="nil"/>
              <w:left w:val="nil"/>
              <w:bottom w:val="nil"/>
              <w:right w:val="nil"/>
            </w:tcBorders>
            <w:shd w:val="clear" w:color="FFFFFF" w:fill="FFFFFF"/>
            <w:vAlign w:val="bottom"/>
            <w:hideMark/>
          </w:tcPr>
          <w:p w14:paraId="0F2E4605" w14:textId="77777777" w:rsidR="00520333" w:rsidRPr="006D688A" w:rsidRDefault="00520333" w:rsidP="005E5E0C">
            <w:pPr>
              <w:spacing w:after="0"/>
              <w:ind w:leftChars="100" w:left="240"/>
              <w:rPr>
                <w:rFonts w:cs="Arial"/>
                <w:sz w:val="18"/>
                <w:szCs w:val="18"/>
              </w:rPr>
            </w:pPr>
            <w:r w:rsidRPr="006D688A">
              <w:rPr>
                <w:rFonts w:cs="Arial"/>
                <w:sz w:val="18"/>
                <w:szCs w:val="18"/>
              </w:rPr>
              <w:t>Changes in asset revaluation reserve</w:t>
            </w:r>
          </w:p>
        </w:tc>
        <w:tc>
          <w:tcPr>
            <w:tcW w:w="944" w:type="dxa"/>
            <w:tcBorders>
              <w:top w:val="nil"/>
              <w:left w:val="nil"/>
              <w:bottom w:val="nil"/>
              <w:right w:val="nil"/>
            </w:tcBorders>
            <w:shd w:val="clear" w:color="FFFFFF" w:fill="FFFFFF"/>
            <w:noWrap/>
            <w:vAlign w:val="bottom"/>
            <w:hideMark/>
          </w:tcPr>
          <w:p w14:paraId="7D40F79E"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124" w:type="dxa"/>
            <w:tcBorders>
              <w:top w:val="nil"/>
              <w:left w:val="nil"/>
              <w:bottom w:val="nil"/>
              <w:right w:val="nil"/>
            </w:tcBorders>
            <w:shd w:val="clear" w:color="FFFFFF" w:fill="FFFFFF"/>
            <w:noWrap/>
            <w:vAlign w:val="bottom"/>
            <w:hideMark/>
          </w:tcPr>
          <w:p w14:paraId="40686561" w14:textId="77777777" w:rsidR="00520333" w:rsidRPr="006D688A" w:rsidRDefault="00520333" w:rsidP="005E5E0C">
            <w:pPr>
              <w:spacing w:after="0"/>
              <w:jc w:val="right"/>
              <w:rPr>
                <w:rFonts w:cs="Arial"/>
                <w:b/>
                <w:bCs/>
                <w:sz w:val="18"/>
                <w:szCs w:val="18"/>
              </w:rPr>
            </w:pPr>
            <w:r w:rsidRPr="006D688A">
              <w:rPr>
                <w:rFonts w:cs="Arial"/>
                <w:b/>
                <w:bCs/>
                <w:sz w:val="18"/>
                <w:szCs w:val="18"/>
              </w:rPr>
              <w:t>8,552</w:t>
            </w:r>
          </w:p>
        </w:tc>
        <w:tc>
          <w:tcPr>
            <w:tcW w:w="236" w:type="dxa"/>
            <w:tcBorders>
              <w:top w:val="nil"/>
              <w:left w:val="nil"/>
              <w:bottom w:val="nil"/>
              <w:right w:val="nil"/>
            </w:tcBorders>
            <w:shd w:val="clear" w:color="FFFFFF" w:fill="FFFFFF"/>
            <w:noWrap/>
            <w:vAlign w:val="bottom"/>
            <w:hideMark/>
          </w:tcPr>
          <w:p w14:paraId="0006132F" w14:textId="77777777" w:rsidR="00520333" w:rsidRPr="006D688A" w:rsidRDefault="00520333" w:rsidP="005E5E0C">
            <w:pPr>
              <w:spacing w:after="0"/>
              <w:rPr>
                <w:rFonts w:cs="Arial"/>
                <w:sz w:val="18"/>
                <w:szCs w:val="18"/>
              </w:rPr>
            </w:pPr>
            <w:r w:rsidRPr="006D688A">
              <w:rPr>
                <w:rFonts w:cs="Arial"/>
                <w:sz w:val="18"/>
                <w:szCs w:val="18"/>
              </w:rPr>
              <w:t> </w:t>
            </w:r>
          </w:p>
        </w:tc>
        <w:tc>
          <w:tcPr>
            <w:tcW w:w="1122" w:type="dxa"/>
            <w:tcBorders>
              <w:top w:val="nil"/>
              <w:left w:val="nil"/>
              <w:bottom w:val="nil"/>
              <w:right w:val="nil"/>
            </w:tcBorders>
            <w:shd w:val="clear" w:color="FFFFFF" w:fill="FFFFFF"/>
            <w:noWrap/>
            <w:vAlign w:val="bottom"/>
            <w:hideMark/>
          </w:tcPr>
          <w:p w14:paraId="041A967E" w14:textId="77777777" w:rsidR="00520333" w:rsidRPr="006D688A" w:rsidRDefault="00520333" w:rsidP="005E5E0C">
            <w:pPr>
              <w:spacing w:after="0"/>
              <w:jc w:val="right"/>
              <w:rPr>
                <w:rFonts w:cs="Arial"/>
                <w:sz w:val="18"/>
                <w:szCs w:val="18"/>
              </w:rPr>
            </w:pPr>
            <w:r w:rsidRPr="006D688A">
              <w:rPr>
                <w:rFonts w:cs="Arial"/>
                <w:sz w:val="18"/>
                <w:szCs w:val="18"/>
              </w:rPr>
              <w:t>17,285</w:t>
            </w:r>
          </w:p>
        </w:tc>
        <w:tc>
          <w:tcPr>
            <w:tcW w:w="236" w:type="dxa"/>
            <w:tcBorders>
              <w:top w:val="nil"/>
              <w:left w:val="nil"/>
              <w:bottom w:val="nil"/>
              <w:right w:val="nil"/>
            </w:tcBorders>
            <w:shd w:val="clear" w:color="FFFFFF" w:fill="FFFFFF"/>
            <w:noWrap/>
            <w:vAlign w:val="bottom"/>
            <w:hideMark/>
          </w:tcPr>
          <w:p w14:paraId="0B0C1DE5" w14:textId="77777777" w:rsidR="00520333" w:rsidRPr="006D688A" w:rsidRDefault="00520333" w:rsidP="005E5E0C">
            <w:pPr>
              <w:spacing w:after="0"/>
              <w:rPr>
                <w:rFonts w:cs="Arial"/>
                <w:sz w:val="18"/>
                <w:szCs w:val="18"/>
              </w:rPr>
            </w:pPr>
            <w:r w:rsidRPr="006D688A">
              <w:rPr>
                <w:rFonts w:cs="Arial"/>
                <w:sz w:val="18"/>
                <w:szCs w:val="18"/>
              </w:rPr>
              <w:t> </w:t>
            </w:r>
          </w:p>
        </w:tc>
        <w:tc>
          <w:tcPr>
            <w:tcW w:w="1199" w:type="dxa"/>
            <w:tcBorders>
              <w:top w:val="nil"/>
              <w:left w:val="nil"/>
              <w:bottom w:val="nil"/>
              <w:right w:val="nil"/>
            </w:tcBorders>
            <w:shd w:val="clear" w:color="FFFFFF" w:fill="FFFFFF"/>
            <w:noWrap/>
            <w:vAlign w:val="bottom"/>
            <w:hideMark/>
          </w:tcPr>
          <w:p w14:paraId="6AE38B36" w14:textId="77777777" w:rsidR="00520333" w:rsidRPr="006D688A" w:rsidRDefault="00520333" w:rsidP="005E5E0C">
            <w:pPr>
              <w:spacing w:after="0"/>
              <w:jc w:val="right"/>
              <w:rPr>
                <w:rFonts w:cs="Arial"/>
                <w:sz w:val="18"/>
                <w:szCs w:val="18"/>
              </w:rPr>
            </w:pPr>
            <w:r w:rsidRPr="006D688A">
              <w:rPr>
                <w:rFonts w:cs="Arial"/>
                <w:sz w:val="18"/>
                <w:szCs w:val="18"/>
              </w:rPr>
              <w:t xml:space="preserve"> -</w:t>
            </w:r>
          </w:p>
        </w:tc>
      </w:tr>
      <w:tr w:rsidR="00520333" w:rsidRPr="006D688A" w14:paraId="0A50DA98" w14:textId="77777777" w:rsidTr="005E5E0C">
        <w:trPr>
          <w:trHeight w:val="250"/>
        </w:trPr>
        <w:tc>
          <w:tcPr>
            <w:tcW w:w="4226" w:type="dxa"/>
            <w:tcBorders>
              <w:top w:val="nil"/>
              <w:left w:val="nil"/>
              <w:bottom w:val="nil"/>
              <w:right w:val="nil"/>
            </w:tcBorders>
            <w:shd w:val="clear" w:color="FFFFFF" w:fill="FFFFFF"/>
            <w:vAlign w:val="bottom"/>
            <w:hideMark/>
          </w:tcPr>
          <w:p w14:paraId="3028FB46" w14:textId="77777777" w:rsidR="00520333" w:rsidRPr="006D688A" w:rsidRDefault="00520333" w:rsidP="005E5E0C">
            <w:pPr>
              <w:spacing w:after="0"/>
              <w:rPr>
                <w:rFonts w:cs="Arial"/>
                <w:b/>
                <w:bCs/>
                <w:sz w:val="18"/>
                <w:szCs w:val="18"/>
              </w:rPr>
            </w:pPr>
            <w:r w:rsidRPr="006D688A">
              <w:rPr>
                <w:rFonts w:cs="Arial"/>
                <w:b/>
                <w:bCs/>
                <w:sz w:val="18"/>
                <w:szCs w:val="18"/>
              </w:rPr>
              <w:t>Total other comprehensive income</w:t>
            </w:r>
          </w:p>
        </w:tc>
        <w:tc>
          <w:tcPr>
            <w:tcW w:w="944" w:type="dxa"/>
            <w:tcBorders>
              <w:top w:val="nil"/>
              <w:left w:val="nil"/>
              <w:bottom w:val="nil"/>
              <w:right w:val="nil"/>
            </w:tcBorders>
            <w:shd w:val="clear" w:color="FFFFFF" w:fill="FFFFFF"/>
            <w:noWrap/>
            <w:vAlign w:val="bottom"/>
            <w:hideMark/>
          </w:tcPr>
          <w:p w14:paraId="2F3C7D34"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124" w:type="dxa"/>
            <w:tcBorders>
              <w:top w:val="single" w:sz="4" w:space="0" w:color="auto"/>
              <w:left w:val="nil"/>
              <w:bottom w:val="single" w:sz="4" w:space="0" w:color="auto"/>
              <w:right w:val="nil"/>
            </w:tcBorders>
            <w:shd w:val="clear" w:color="FFFFFF" w:fill="FFFFFF"/>
            <w:noWrap/>
            <w:vAlign w:val="bottom"/>
            <w:hideMark/>
          </w:tcPr>
          <w:p w14:paraId="3E9C0663" w14:textId="77777777" w:rsidR="00520333" w:rsidRPr="006D688A" w:rsidRDefault="00520333" w:rsidP="005E5E0C">
            <w:pPr>
              <w:spacing w:after="0"/>
              <w:jc w:val="right"/>
              <w:rPr>
                <w:rFonts w:cs="Arial"/>
                <w:b/>
                <w:bCs/>
                <w:sz w:val="18"/>
                <w:szCs w:val="18"/>
              </w:rPr>
            </w:pPr>
            <w:r w:rsidRPr="006D688A">
              <w:rPr>
                <w:rFonts w:cs="Arial"/>
                <w:b/>
                <w:bCs/>
                <w:sz w:val="18"/>
                <w:szCs w:val="18"/>
              </w:rPr>
              <w:t>8,552</w:t>
            </w:r>
          </w:p>
        </w:tc>
        <w:tc>
          <w:tcPr>
            <w:tcW w:w="236" w:type="dxa"/>
            <w:tcBorders>
              <w:top w:val="nil"/>
              <w:left w:val="nil"/>
              <w:bottom w:val="nil"/>
              <w:right w:val="nil"/>
            </w:tcBorders>
            <w:shd w:val="clear" w:color="FFFFFF" w:fill="FFFFFF"/>
            <w:noWrap/>
            <w:vAlign w:val="bottom"/>
            <w:hideMark/>
          </w:tcPr>
          <w:p w14:paraId="02ADDD49" w14:textId="77777777" w:rsidR="00520333" w:rsidRPr="006D688A" w:rsidRDefault="00520333" w:rsidP="005E5E0C">
            <w:pPr>
              <w:spacing w:after="0"/>
              <w:rPr>
                <w:rFonts w:cs="Arial"/>
                <w:sz w:val="18"/>
                <w:szCs w:val="18"/>
              </w:rPr>
            </w:pPr>
            <w:r w:rsidRPr="006D688A">
              <w:rPr>
                <w:rFonts w:cs="Arial"/>
                <w:sz w:val="18"/>
                <w:szCs w:val="18"/>
              </w:rPr>
              <w:t> </w:t>
            </w:r>
          </w:p>
        </w:tc>
        <w:tc>
          <w:tcPr>
            <w:tcW w:w="1122" w:type="dxa"/>
            <w:tcBorders>
              <w:top w:val="single" w:sz="4" w:space="0" w:color="auto"/>
              <w:left w:val="nil"/>
              <w:bottom w:val="single" w:sz="4" w:space="0" w:color="auto"/>
              <w:right w:val="nil"/>
            </w:tcBorders>
            <w:shd w:val="clear" w:color="FFFFFF" w:fill="FFFFFF"/>
            <w:noWrap/>
            <w:vAlign w:val="bottom"/>
            <w:hideMark/>
          </w:tcPr>
          <w:p w14:paraId="630EDA69" w14:textId="77777777" w:rsidR="00520333" w:rsidRPr="006D688A" w:rsidRDefault="00520333" w:rsidP="005E5E0C">
            <w:pPr>
              <w:spacing w:after="0"/>
              <w:jc w:val="right"/>
              <w:rPr>
                <w:rFonts w:cs="Arial"/>
                <w:sz w:val="18"/>
                <w:szCs w:val="18"/>
              </w:rPr>
            </w:pPr>
            <w:r w:rsidRPr="006D688A">
              <w:rPr>
                <w:rFonts w:cs="Arial"/>
                <w:sz w:val="18"/>
                <w:szCs w:val="18"/>
              </w:rPr>
              <w:t>17,285</w:t>
            </w:r>
          </w:p>
        </w:tc>
        <w:tc>
          <w:tcPr>
            <w:tcW w:w="236" w:type="dxa"/>
            <w:tcBorders>
              <w:top w:val="nil"/>
              <w:left w:val="nil"/>
              <w:bottom w:val="nil"/>
              <w:right w:val="nil"/>
            </w:tcBorders>
            <w:shd w:val="clear" w:color="FFFFFF" w:fill="FFFFFF"/>
            <w:noWrap/>
            <w:vAlign w:val="bottom"/>
            <w:hideMark/>
          </w:tcPr>
          <w:p w14:paraId="4BDDE462" w14:textId="77777777" w:rsidR="00520333" w:rsidRPr="006D688A" w:rsidRDefault="00520333" w:rsidP="005E5E0C">
            <w:pPr>
              <w:spacing w:after="0"/>
              <w:rPr>
                <w:rFonts w:cs="Arial"/>
                <w:sz w:val="18"/>
                <w:szCs w:val="18"/>
              </w:rPr>
            </w:pPr>
            <w:r w:rsidRPr="006D688A">
              <w:rPr>
                <w:rFonts w:cs="Arial"/>
                <w:sz w:val="18"/>
                <w:szCs w:val="18"/>
              </w:rPr>
              <w:t> </w:t>
            </w:r>
          </w:p>
        </w:tc>
        <w:tc>
          <w:tcPr>
            <w:tcW w:w="1199" w:type="dxa"/>
            <w:tcBorders>
              <w:top w:val="single" w:sz="4" w:space="0" w:color="auto"/>
              <w:left w:val="nil"/>
              <w:bottom w:val="single" w:sz="4" w:space="0" w:color="auto"/>
              <w:right w:val="nil"/>
            </w:tcBorders>
            <w:shd w:val="clear" w:color="FFFFFF" w:fill="FFFFFF"/>
            <w:noWrap/>
            <w:vAlign w:val="bottom"/>
            <w:hideMark/>
          </w:tcPr>
          <w:p w14:paraId="1A8F6636" w14:textId="77777777" w:rsidR="00520333" w:rsidRPr="006D688A" w:rsidRDefault="00520333" w:rsidP="005E5E0C">
            <w:pPr>
              <w:spacing w:after="0"/>
              <w:jc w:val="right"/>
              <w:rPr>
                <w:rFonts w:cs="Arial"/>
                <w:sz w:val="18"/>
                <w:szCs w:val="18"/>
              </w:rPr>
            </w:pPr>
            <w:r w:rsidRPr="006D688A">
              <w:rPr>
                <w:rFonts w:cs="Arial"/>
                <w:sz w:val="18"/>
                <w:szCs w:val="18"/>
              </w:rPr>
              <w:t>-</w:t>
            </w:r>
          </w:p>
        </w:tc>
      </w:tr>
      <w:tr w:rsidR="00520333" w:rsidRPr="006D688A" w14:paraId="6AA98079" w14:textId="77777777" w:rsidTr="005E5E0C">
        <w:trPr>
          <w:trHeight w:val="250"/>
        </w:trPr>
        <w:tc>
          <w:tcPr>
            <w:tcW w:w="4226" w:type="dxa"/>
            <w:tcBorders>
              <w:top w:val="nil"/>
              <w:left w:val="nil"/>
              <w:bottom w:val="nil"/>
              <w:right w:val="nil"/>
            </w:tcBorders>
            <w:shd w:val="clear" w:color="FFFFFF" w:fill="FFFFFF"/>
            <w:vAlign w:val="bottom"/>
            <w:hideMark/>
          </w:tcPr>
          <w:p w14:paraId="5ADEBCCE" w14:textId="77777777" w:rsidR="00520333" w:rsidRPr="006D688A" w:rsidRDefault="00520333" w:rsidP="005E5E0C">
            <w:pPr>
              <w:spacing w:after="0"/>
              <w:rPr>
                <w:rFonts w:cs="Arial"/>
                <w:sz w:val="18"/>
                <w:szCs w:val="18"/>
              </w:rPr>
            </w:pPr>
            <w:r w:rsidRPr="006D688A">
              <w:rPr>
                <w:rFonts w:cs="Arial"/>
                <w:sz w:val="18"/>
                <w:szCs w:val="18"/>
              </w:rPr>
              <w:t> </w:t>
            </w:r>
          </w:p>
        </w:tc>
        <w:tc>
          <w:tcPr>
            <w:tcW w:w="944" w:type="dxa"/>
            <w:tcBorders>
              <w:top w:val="nil"/>
              <w:left w:val="nil"/>
              <w:bottom w:val="nil"/>
              <w:right w:val="nil"/>
            </w:tcBorders>
            <w:shd w:val="clear" w:color="FFFFFF" w:fill="FFFFFF"/>
            <w:noWrap/>
            <w:vAlign w:val="bottom"/>
            <w:hideMark/>
          </w:tcPr>
          <w:p w14:paraId="2DFDFE88"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124" w:type="dxa"/>
            <w:tcBorders>
              <w:top w:val="nil"/>
              <w:left w:val="nil"/>
              <w:bottom w:val="nil"/>
              <w:right w:val="nil"/>
            </w:tcBorders>
            <w:shd w:val="clear" w:color="FFFFFF" w:fill="FFFFFF"/>
            <w:noWrap/>
            <w:vAlign w:val="bottom"/>
            <w:hideMark/>
          </w:tcPr>
          <w:p w14:paraId="041A7D21" w14:textId="77777777" w:rsidR="00520333" w:rsidRPr="006D688A" w:rsidRDefault="00520333" w:rsidP="005E5E0C">
            <w:pPr>
              <w:spacing w:after="0"/>
              <w:jc w:val="right"/>
              <w:rPr>
                <w:rFonts w:cs="Arial"/>
                <w:b/>
                <w:bCs/>
                <w:sz w:val="18"/>
                <w:szCs w:val="18"/>
              </w:rPr>
            </w:pPr>
            <w:r w:rsidRPr="006D688A">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073F06AD" w14:textId="77777777" w:rsidR="00520333" w:rsidRPr="006D688A" w:rsidRDefault="00520333" w:rsidP="005E5E0C">
            <w:pPr>
              <w:spacing w:after="0"/>
              <w:rPr>
                <w:rFonts w:cs="Arial"/>
                <w:sz w:val="18"/>
                <w:szCs w:val="18"/>
              </w:rPr>
            </w:pPr>
            <w:r w:rsidRPr="006D688A">
              <w:rPr>
                <w:rFonts w:cs="Arial"/>
                <w:sz w:val="18"/>
                <w:szCs w:val="18"/>
              </w:rPr>
              <w:t> </w:t>
            </w:r>
          </w:p>
        </w:tc>
        <w:tc>
          <w:tcPr>
            <w:tcW w:w="1122" w:type="dxa"/>
            <w:tcBorders>
              <w:top w:val="nil"/>
              <w:left w:val="nil"/>
              <w:bottom w:val="nil"/>
              <w:right w:val="nil"/>
            </w:tcBorders>
            <w:shd w:val="clear" w:color="FFFFFF" w:fill="FFFFFF"/>
            <w:noWrap/>
            <w:vAlign w:val="bottom"/>
            <w:hideMark/>
          </w:tcPr>
          <w:p w14:paraId="17EFCA5B" w14:textId="77777777" w:rsidR="00520333" w:rsidRPr="006D688A" w:rsidRDefault="00520333" w:rsidP="005E5E0C">
            <w:pPr>
              <w:spacing w:after="0"/>
              <w:jc w:val="right"/>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6532BEAD" w14:textId="77777777" w:rsidR="00520333" w:rsidRPr="006D688A" w:rsidRDefault="00520333" w:rsidP="005E5E0C">
            <w:pPr>
              <w:spacing w:after="0"/>
              <w:rPr>
                <w:rFonts w:cs="Arial"/>
                <w:sz w:val="18"/>
                <w:szCs w:val="18"/>
              </w:rPr>
            </w:pPr>
            <w:r w:rsidRPr="006D688A">
              <w:rPr>
                <w:rFonts w:cs="Arial"/>
                <w:sz w:val="18"/>
                <w:szCs w:val="18"/>
              </w:rPr>
              <w:t> </w:t>
            </w:r>
          </w:p>
        </w:tc>
        <w:tc>
          <w:tcPr>
            <w:tcW w:w="1199" w:type="dxa"/>
            <w:tcBorders>
              <w:top w:val="nil"/>
              <w:left w:val="nil"/>
              <w:bottom w:val="nil"/>
              <w:right w:val="nil"/>
            </w:tcBorders>
            <w:shd w:val="clear" w:color="FFFFFF" w:fill="FFFFFF"/>
            <w:noWrap/>
            <w:vAlign w:val="bottom"/>
            <w:hideMark/>
          </w:tcPr>
          <w:p w14:paraId="66C9E6D6" w14:textId="77777777" w:rsidR="00520333" w:rsidRPr="006D688A" w:rsidRDefault="00520333" w:rsidP="005E5E0C">
            <w:pPr>
              <w:spacing w:after="0"/>
              <w:jc w:val="right"/>
              <w:rPr>
                <w:rFonts w:cs="Arial"/>
                <w:sz w:val="18"/>
                <w:szCs w:val="18"/>
              </w:rPr>
            </w:pPr>
            <w:r w:rsidRPr="006D688A">
              <w:rPr>
                <w:rFonts w:cs="Arial"/>
                <w:sz w:val="18"/>
                <w:szCs w:val="18"/>
              </w:rPr>
              <w:t> </w:t>
            </w:r>
          </w:p>
        </w:tc>
      </w:tr>
      <w:tr w:rsidR="00520333" w:rsidRPr="006D688A" w14:paraId="12658889" w14:textId="77777777" w:rsidTr="005E5E0C">
        <w:trPr>
          <w:trHeight w:val="250"/>
        </w:trPr>
        <w:tc>
          <w:tcPr>
            <w:tcW w:w="4226" w:type="dxa"/>
            <w:tcBorders>
              <w:top w:val="nil"/>
              <w:left w:val="nil"/>
              <w:bottom w:val="nil"/>
              <w:right w:val="nil"/>
            </w:tcBorders>
            <w:shd w:val="clear" w:color="FFFFFF" w:fill="FFFFFF"/>
            <w:vAlign w:val="bottom"/>
            <w:hideMark/>
          </w:tcPr>
          <w:p w14:paraId="03B28EE8" w14:textId="77777777" w:rsidR="00520333" w:rsidRPr="006D688A" w:rsidRDefault="00520333" w:rsidP="005E5E0C">
            <w:pPr>
              <w:spacing w:after="0"/>
              <w:rPr>
                <w:rFonts w:cs="Arial"/>
                <w:b/>
                <w:bCs/>
                <w:sz w:val="18"/>
                <w:szCs w:val="18"/>
              </w:rPr>
            </w:pPr>
            <w:r w:rsidRPr="006D688A">
              <w:rPr>
                <w:rFonts w:cs="Arial"/>
                <w:b/>
                <w:bCs/>
                <w:sz w:val="18"/>
                <w:szCs w:val="18"/>
              </w:rPr>
              <w:t>Total comprehensive income/(loss)</w:t>
            </w:r>
          </w:p>
        </w:tc>
        <w:tc>
          <w:tcPr>
            <w:tcW w:w="944" w:type="dxa"/>
            <w:tcBorders>
              <w:top w:val="nil"/>
              <w:left w:val="nil"/>
              <w:bottom w:val="nil"/>
              <w:right w:val="nil"/>
            </w:tcBorders>
            <w:shd w:val="clear" w:color="FFFFFF" w:fill="FFFFFF"/>
            <w:noWrap/>
            <w:vAlign w:val="bottom"/>
            <w:hideMark/>
          </w:tcPr>
          <w:p w14:paraId="742111CD"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124" w:type="dxa"/>
            <w:tcBorders>
              <w:top w:val="single" w:sz="4" w:space="0" w:color="auto"/>
              <w:left w:val="nil"/>
              <w:bottom w:val="single" w:sz="4" w:space="0" w:color="auto"/>
              <w:right w:val="nil"/>
            </w:tcBorders>
            <w:shd w:val="clear" w:color="FFFFFF" w:fill="FFFFFF"/>
            <w:noWrap/>
            <w:vAlign w:val="bottom"/>
            <w:hideMark/>
          </w:tcPr>
          <w:p w14:paraId="33B4D62A" w14:textId="77777777" w:rsidR="00520333" w:rsidRPr="006D688A" w:rsidRDefault="00520333" w:rsidP="005E5E0C">
            <w:pPr>
              <w:spacing w:after="0"/>
              <w:jc w:val="right"/>
              <w:rPr>
                <w:rFonts w:cs="Arial"/>
                <w:b/>
                <w:bCs/>
                <w:sz w:val="18"/>
                <w:szCs w:val="18"/>
              </w:rPr>
            </w:pPr>
            <w:r w:rsidRPr="006D688A">
              <w:rPr>
                <w:rFonts w:cs="Arial"/>
                <w:b/>
                <w:bCs/>
                <w:sz w:val="18"/>
                <w:szCs w:val="18"/>
              </w:rPr>
              <w:t>1,011,136</w:t>
            </w:r>
          </w:p>
        </w:tc>
        <w:tc>
          <w:tcPr>
            <w:tcW w:w="236" w:type="dxa"/>
            <w:tcBorders>
              <w:top w:val="nil"/>
              <w:left w:val="nil"/>
              <w:bottom w:val="nil"/>
              <w:right w:val="nil"/>
            </w:tcBorders>
            <w:shd w:val="clear" w:color="FFFFFF" w:fill="FFFFFF"/>
            <w:noWrap/>
            <w:vAlign w:val="bottom"/>
            <w:hideMark/>
          </w:tcPr>
          <w:p w14:paraId="3B88EA4A" w14:textId="77777777" w:rsidR="00520333" w:rsidRPr="006D688A" w:rsidRDefault="00520333" w:rsidP="005E5E0C">
            <w:pPr>
              <w:spacing w:after="0"/>
              <w:rPr>
                <w:rFonts w:cs="Arial"/>
                <w:sz w:val="18"/>
                <w:szCs w:val="18"/>
              </w:rPr>
            </w:pPr>
            <w:r w:rsidRPr="006D688A">
              <w:rPr>
                <w:rFonts w:cs="Arial"/>
                <w:sz w:val="18"/>
                <w:szCs w:val="18"/>
              </w:rPr>
              <w:t> </w:t>
            </w:r>
          </w:p>
        </w:tc>
        <w:tc>
          <w:tcPr>
            <w:tcW w:w="1122" w:type="dxa"/>
            <w:tcBorders>
              <w:top w:val="single" w:sz="4" w:space="0" w:color="auto"/>
              <w:left w:val="nil"/>
              <w:bottom w:val="single" w:sz="4" w:space="0" w:color="auto"/>
              <w:right w:val="nil"/>
            </w:tcBorders>
            <w:shd w:val="clear" w:color="FFFFFF" w:fill="FFFFFF"/>
            <w:noWrap/>
            <w:vAlign w:val="bottom"/>
            <w:hideMark/>
          </w:tcPr>
          <w:p w14:paraId="0E90FB58" w14:textId="77777777" w:rsidR="00520333" w:rsidRPr="006D688A" w:rsidRDefault="00520333" w:rsidP="005E5E0C">
            <w:pPr>
              <w:spacing w:after="0"/>
              <w:jc w:val="right"/>
              <w:rPr>
                <w:rFonts w:cs="Arial"/>
                <w:sz w:val="18"/>
                <w:szCs w:val="18"/>
              </w:rPr>
            </w:pPr>
            <w:r w:rsidRPr="006D688A">
              <w:rPr>
                <w:rFonts w:cs="Arial"/>
                <w:sz w:val="18"/>
                <w:szCs w:val="18"/>
              </w:rPr>
              <w:t>32,174</w:t>
            </w:r>
          </w:p>
        </w:tc>
        <w:tc>
          <w:tcPr>
            <w:tcW w:w="236" w:type="dxa"/>
            <w:tcBorders>
              <w:top w:val="nil"/>
              <w:left w:val="nil"/>
              <w:bottom w:val="nil"/>
              <w:right w:val="nil"/>
            </w:tcBorders>
            <w:shd w:val="clear" w:color="FFFFFF" w:fill="FFFFFF"/>
            <w:noWrap/>
            <w:vAlign w:val="bottom"/>
            <w:hideMark/>
          </w:tcPr>
          <w:p w14:paraId="6B070601" w14:textId="77777777" w:rsidR="00520333" w:rsidRPr="006D688A" w:rsidRDefault="00520333" w:rsidP="005E5E0C">
            <w:pPr>
              <w:spacing w:after="0"/>
              <w:rPr>
                <w:rFonts w:cs="Arial"/>
                <w:sz w:val="18"/>
                <w:szCs w:val="18"/>
              </w:rPr>
            </w:pPr>
            <w:r w:rsidRPr="006D688A">
              <w:rPr>
                <w:rFonts w:cs="Arial"/>
                <w:sz w:val="18"/>
                <w:szCs w:val="18"/>
              </w:rPr>
              <w:t> </w:t>
            </w:r>
          </w:p>
        </w:tc>
        <w:tc>
          <w:tcPr>
            <w:tcW w:w="1199" w:type="dxa"/>
            <w:tcBorders>
              <w:top w:val="single" w:sz="4" w:space="0" w:color="auto"/>
              <w:left w:val="nil"/>
              <w:bottom w:val="single" w:sz="4" w:space="0" w:color="auto"/>
              <w:right w:val="nil"/>
            </w:tcBorders>
            <w:shd w:val="clear" w:color="FFFFFF" w:fill="FFFFFF"/>
            <w:noWrap/>
            <w:vAlign w:val="bottom"/>
            <w:hideMark/>
          </w:tcPr>
          <w:p w14:paraId="077E468F" w14:textId="77777777" w:rsidR="00520333" w:rsidRPr="006D688A" w:rsidRDefault="00520333" w:rsidP="005E5E0C">
            <w:pPr>
              <w:spacing w:after="0"/>
              <w:jc w:val="right"/>
              <w:rPr>
                <w:rFonts w:cs="Arial"/>
                <w:sz w:val="18"/>
                <w:szCs w:val="18"/>
              </w:rPr>
            </w:pPr>
            <w:r w:rsidRPr="006D688A">
              <w:rPr>
                <w:rFonts w:cs="Arial"/>
                <w:sz w:val="18"/>
                <w:szCs w:val="18"/>
              </w:rPr>
              <w:t>167,110</w:t>
            </w:r>
          </w:p>
        </w:tc>
      </w:tr>
    </w:tbl>
    <w:p w14:paraId="5C33A62B" w14:textId="77777777" w:rsidR="00520333" w:rsidRPr="006D688A" w:rsidRDefault="00520333" w:rsidP="003203A1">
      <w:pPr>
        <w:pStyle w:val="ReferenceText"/>
      </w:pPr>
    </w:p>
    <w:p w14:paraId="447A9484" w14:textId="77777777" w:rsidR="00520333" w:rsidRPr="006D688A" w:rsidRDefault="00520333" w:rsidP="003203A1">
      <w:pPr>
        <w:pStyle w:val="ReferenceText"/>
      </w:pPr>
      <w:r w:rsidRPr="006D688A">
        <w:t>The above statement should be read in conjunction with the accompanying notes.</w:t>
      </w:r>
    </w:p>
    <w:p w14:paraId="2DA05E13" w14:textId="77777777" w:rsidR="00520333" w:rsidRPr="006D688A" w:rsidRDefault="00520333" w:rsidP="003203A1">
      <w:pPr>
        <w:pStyle w:val="ReferenceText"/>
      </w:pPr>
      <w:r w:rsidRPr="006D688A">
        <w:rPr>
          <w:vertAlign w:val="superscript"/>
        </w:rPr>
        <w:t xml:space="preserve">1 </w:t>
      </w:r>
      <w:r w:rsidRPr="006D688A">
        <w:t>Original Budget refers to the figures published in the 2023-24 Portfolio Budget Statements</w:t>
      </w:r>
    </w:p>
    <w:p w14:paraId="7C45DBBC" w14:textId="77777777" w:rsidR="00520333" w:rsidRPr="005E5E0C" w:rsidRDefault="00520333" w:rsidP="00520333">
      <w:pPr>
        <w:spacing w:line="240" w:lineRule="auto"/>
        <w:rPr>
          <w:lang w:eastAsia="en-AU"/>
        </w:rPr>
      </w:pPr>
      <w:r>
        <w:br w:type="page"/>
      </w:r>
    </w:p>
    <w:p w14:paraId="09100A0D" w14:textId="77777777" w:rsidR="00AA02E5" w:rsidRPr="00AA02E5" w:rsidRDefault="00AA02E5" w:rsidP="00AA02E5">
      <w:pPr>
        <w:spacing w:after="0" w:line="240" w:lineRule="auto"/>
        <w:rPr>
          <w:b/>
          <w:bCs/>
        </w:rPr>
      </w:pPr>
      <w:r w:rsidRPr="00AA02E5">
        <w:rPr>
          <w:b/>
          <w:bCs/>
        </w:rPr>
        <w:lastRenderedPageBreak/>
        <w:t>National Disability Insurance Agency</w:t>
      </w:r>
    </w:p>
    <w:p w14:paraId="475E4919" w14:textId="77777777" w:rsidR="00AA02E5" w:rsidRPr="00AA02E5" w:rsidRDefault="00AA02E5" w:rsidP="00AA02E5">
      <w:pPr>
        <w:spacing w:after="0" w:line="240" w:lineRule="auto"/>
        <w:rPr>
          <w:b/>
          <w:bCs/>
        </w:rPr>
      </w:pPr>
      <w:r w:rsidRPr="00AA02E5">
        <w:rPr>
          <w:b/>
          <w:bCs/>
        </w:rPr>
        <w:t>STATEMENT OF COMPREHENSIVE INCOME</w:t>
      </w:r>
    </w:p>
    <w:p w14:paraId="07271CA7" w14:textId="77777777" w:rsidR="00AA02E5" w:rsidRPr="00AA02E5" w:rsidRDefault="00AA02E5" w:rsidP="00C821EB">
      <w:pPr>
        <w:pBdr>
          <w:bottom w:val="single" w:sz="8" w:space="1" w:color="auto"/>
        </w:pBdr>
        <w:spacing w:line="240" w:lineRule="auto"/>
        <w:rPr>
          <w:i/>
          <w:iCs/>
        </w:rPr>
      </w:pPr>
      <w:r w:rsidRPr="00AA02E5">
        <w:rPr>
          <w:i/>
          <w:iCs/>
        </w:rPr>
        <w:t>for the year ended 30 June 2024</w:t>
      </w:r>
    </w:p>
    <w:p w14:paraId="1F0BBD86" w14:textId="77777777" w:rsidR="00520333" w:rsidRPr="007B1751" w:rsidRDefault="00520333" w:rsidP="006D688A">
      <w:pPr>
        <w:pStyle w:val="PolicyheadingDept"/>
        <w:pBdr>
          <w:top w:val="none" w:sz="0" w:space="0" w:color="auto"/>
          <w:left w:val="none" w:sz="0" w:space="0" w:color="auto"/>
          <w:bottom w:val="none" w:sz="0" w:space="0" w:color="auto"/>
          <w:right w:val="none" w:sz="0" w:space="0" w:color="auto"/>
        </w:pBdr>
        <w:spacing w:before="120"/>
      </w:pPr>
      <w:r w:rsidRPr="007B1751">
        <w:t xml:space="preserve">Budget Variances Commentary </w:t>
      </w:r>
    </w:p>
    <w:p w14:paraId="20728BD5" w14:textId="77777777" w:rsidR="00520333" w:rsidRDefault="00520333" w:rsidP="006D688A">
      <w:pPr>
        <w:pStyle w:val="PolicyheadingDept"/>
        <w:pBdr>
          <w:top w:val="none" w:sz="0" w:space="0" w:color="auto"/>
          <w:left w:val="none" w:sz="0" w:space="0" w:color="auto"/>
          <w:bottom w:val="none" w:sz="0" w:space="0" w:color="auto"/>
          <w:right w:val="none" w:sz="0" w:space="0" w:color="auto"/>
        </w:pBdr>
        <w:spacing w:before="120"/>
      </w:pPr>
      <w:r w:rsidRPr="00E12B5F">
        <w:t>Statement of Comprehensive Income</w:t>
      </w:r>
    </w:p>
    <w:p w14:paraId="656B2F29" w14:textId="77777777" w:rsidR="00520333" w:rsidRPr="006D688A" w:rsidRDefault="00520333" w:rsidP="00520333">
      <w:pPr>
        <w:spacing w:before="100" w:beforeAutospacing="1" w:after="0" w:line="240" w:lineRule="auto"/>
        <w:rPr>
          <w:rFonts w:cs="Arial"/>
          <w:sz w:val="18"/>
          <w:szCs w:val="18"/>
          <w:lang w:eastAsia="en-AU"/>
        </w:rPr>
      </w:pPr>
      <w:r w:rsidRPr="006D688A">
        <w:rPr>
          <w:rFonts w:cs="Arial"/>
          <w:sz w:val="18"/>
          <w:szCs w:val="18"/>
          <w:lang w:eastAsia="en-AU"/>
        </w:rPr>
        <w:t>The following major variance explanations between the Original Budget as presented in the 2023-24 Portfolio Budget Statements and the 2023–24 financial statements are presented in accordance with Australian Accounting Standards. The 2023–24 Portfolio Budget Statements contain the original financial statements’ budget estimates presented to Parliament in respect of the 2023–24 financial year. The information presented below should be read in the context of the following:</w:t>
      </w:r>
    </w:p>
    <w:p w14:paraId="5BFD2E5B" w14:textId="77777777" w:rsidR="00520333" w:rsidRPr="006D688A" w:rsidRDefault="00520333" w:rsidP="007D1B8F">
      <w:pPr>
        <w:spacing w:before="180" w:after="0" w:line="240" w:lineRule="auto"/>
        <w:rPr>
          <w:rFonts w:cs="Arial"/>
          <w:sz w:val="18"/>
          <w:szCs w:val="18"/>
          <w:lang w:eastAsia="en-AU"/>
        </w:rPr>
      </w:pPr>
      <w:r w:rsidRPr="006D688A">
        <w:rPr>
          <w:rFonts w:cs="Arial"/>
          <w:sz w:val="18"/>
          <w:szCs w:val="18"/>
          <w:lang w:eastAsia="en-AU"/>
        </w:rPr>
        <w:t>· major variances are determined in accordance with Department of Finance guidelines; and</w:t>
      </w:r>
    </w:p>
    <w:p w14:paraId="1AE83992" w14:textId="77777777" w:rsidR="00520333" w:rsidRPr="006D688A" w:rsidRDefault="00520333" w:rsidP="007D1B8F">
      <w:pPr>
        <w:spacing w:before="180" w:after="180" w:line="240" w:lineRule="auto"/>
        <w:rPr>
          <w:rFonts w:cs="Arial"/>
          <w:sz w:val="18"/>
          <w:szCs w:val="18"/>
          <w:lang w:eastAsia="en-AU"/>
        </w:rPr>
      </w:pPr>
      <w:r w:rsidRPr="006D688A">
        <w:rPr>
          <w:rFonts w:cs="Arial"/>
          <w:sz w:val="18"/>
          <w:szCs w:val="18"/>
          <w:lang w:eastAsia="en-AU"/>
        </w:rPr>
        <w:t>· the Budget is not audited.</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398"/>
        <w:gridCol w:w="5756"/>
      </w:tblGrid>
      <w:tr w:rsidR="00520333" w:rsidRPr="006D688A" w14:paraId="320B4650" w14:textId="77777777" w:rsidTr="00AA02E5">
        <w:trPr>
          <w:trHeight w:val="273"/>
          <w:tblHeader/>
        </w:trPr>
        <w:tc>
          <w:tcPr>
            <w:tcW w:w="0" w:type="auto"/>
            <w:shd w:val="clear" w:color="000000" w:fill="FFFFFF"/>
            <w:noWrap/>
            <w:vAlign w:val="center"/>
            <w:hideMark/>
          </w:tcPr>
          <w:p w14:paraId="31CD21BB" w14:textId="77777777" w:rsidR="00520333" w:rsidRPr="006D688A" w:rsidRDefault="00520333" w:rsidP="005E5E0C">
            <w:pPr>
              <w:spacing w:after="0" w:line="240" w:lineRule="auto"/>
              <w:rPr>
                <w:rFonts w:cs="Arial"/>
                <w:b/>
                <w:bCs/>
                <w:color w:val="000000"/>
                <w:sz w:val="18"/>
                <w:szCs w:val="18"/>
                <w:lang w:eastAsia="en-AU"/>
              </w:rPr>
            </w:pPr>
            <w:r w:rsidRPr="006D688A">
              <w:rPr>
                <w:rFonts w:cs="Arial"/>
                <w:b/>
                <w:bCs/>
                <w:color w:val="000000"/>
                <w:sz w:val="18"/>
                <w:szCs w:val="18"/>
                <w:lang w:eastAsia="en-AU"/>
              </w:rPr>
              <w:t>Affected line items</w:t>
            </w:r>
          </w:p>
        </w:tc>
        <w:tc>
          <w:tcPr>
            <w:tcW w:w="0" w:type="auto"/>
            <w:shd w:val="clear" w:color="000000" w:fill="FFFFFF"/>
            <w:vAlign w:val="center"/>
            <w:hideMark/>
          </w:tcPr>
          <w:p w14:paraId="2593CC24" w14:textId="77777777" w:rsidR="00520333" w:rsidRPr="006D688A" w:rsidRDefault="00520333" w:rsidP="005E5E0C">
            <w:pPr>
              <w:spacing w:after="0" w:line="240" w:lineRule="auto"/>
              <w:rPr>
                <w:rFonts w:cs="Arial"/>
                <w:b/>
                <w:bCs/>
                <w:color w:val="000000"/>
                <w:sz w:val="18"/>
                <w:szCs w:val="18"/>
                <w:lang w:eastAsia="en-AU"/>
              </w:rPr>
            </w:pPr>
            <w:r w:rsidRPr="006D688A">
              <w:rPr>
                <w:rFonts w:cs="Arial"/>
                <w:b/>
                <w:bCs/>
                <w:color w:val="000000"/>
                <w:sz w:val="18"/>
                <w:szCs w:val="18"/>
                <w:lang w:eastAsia="en-AU"/>
              </w:rPr>
              <w:t>Explanations of major variances</w:t>
            </w:r>
          </w:p>
        </w:tc>
      </w:tr>
      <w:tr w:rsidR="00AA02E5" w:rsidRPr="006D688A" w14:paraId="494C7AE5" w14:textId="77777777" w:rsidTr="00753A44">
        <w:trPr>
          <w:trHeight w:val="1509"/>
        </w:trPr>
        <w:tc>
          <w:tcPr>
            <w:tcW w:w="0" w:type="auto"/>
            <w:shd w:val="clear" w:color="auto" w:fill="auto"/>
            <w:noWrap/>
          </w:tcPr>
          <w:p w14:paraId="75953E9B" w14:textId="77777777" w:rsidR="00AA02E5" w:rsidRPr="006D688A" w:rsidRDefault="00AA02E5" w:rsidP="005E5E0C">
            <w:pPr>
              <w:spacing w:after="0" w:line="240" w:lineRule="auto"/>
              <w:rPr>
                <w:rFonts w:cs="Arial"/>
                <w:color w:val="000000"/>
                <w:sz w:val="18"/>
                <w:szCs w:val="18"/>
                <w:lang w:eastAsia="en-AU"/>
              </w:rPr>
            </w:pPr>
            <w:r w:rsidRPr="006D688A">
              <w:rPr>
                <w:rFonts w:cs="Arial"/>
                <w:color w:val="000000"/>
                <w:sz w:val="18"/>
                <w:szCs w:val="18"/>
                <w:lang w:eastAsia="en-AU"/>
              </w:rPr>
              <w:t>Expenses</w:t>
            </w:r>
          </w:p>
          <w:p w14:paraId="798FAE73" w14:textId="77777777" w:rsidR="00AA02E5" w:rsidRPr="006D688A" w:rsidRDefault="00AA02E5" w:rsidP="005E5E0C">
            <w:pPr>
              <w:spacing w:after="0" w:line="240" w:lineRule="auto"/>
              <w:rPr>
                <w:rFonts w:cs="Arial"/>
                <w:i/>
                <w:iCs/>
                <w:color w:val="000000"/>
                <w:sz w:val="18"/>
                <w:szCs w:val="18"/>
                <w:lang w:eastAsia="en-AU"/>
              </w:rPr>
            </w:pPr>
            <w:r w:rsidRPr="006D688A">
              <w:rPr>
                <w:rFonts w:cs="Arial"/>
                <w:i/>
                <w:iCs/>
                <w:color w:val="000000"/>
                <w:sz w:val="18"/>
                <w:szCs w:val="18"/>
                <w:lang w:eastAsia="en-AU"/>
              </w:rPr>
              <w:t>Employee benefits</w:t>
            </w:r>
          </w:p>
        </w:tc>
        <w:tc>
          <w:tcPr>
            <w:tcW w:w="0" w:type="auto"/>
            <w:vAlign w:val="center"/>
          </w:tcPr>
          <w:p w14:paraId="18247295" w14:textId="77777777" w:rsidR="00AA02E5" w:rsidRPr="006D688A" w:rsidRDefault="00AA02E5" w:rsidP="0047225D">
            <w:pPr>
              <w:spacing w:after="60" w:line="240" w:lineRule="auto"/>
              <w:jc w:val="both"/>
              <w:rPr>
                <w:rFonts w:cs="Arial"/>
                <w:color w:val="0D0D0D"/>
                <w:sz w:val="18"/>
                <w:szCs w:val="18"/>
                <w:lang w:eastAsia="en-AU"/>
              </w:rPr>
            </w:pPr>
            <w:r w:rsidRPr="006D688A">
              <w:rPr>
                <w:rFonts w:cs="Arial"/>
                <w:color w:val="0D0D0D"/>
                <w:sz w:val="18"/>
                <w:szCs w:val="18"/>
                <w:lang w:eastAsia="en-AU"/>
              </w:rPr>
              <w:t xml:space="preserve">The increase is attributable to the average staffing levels for employees increasing during the year more than estimated in the Original Budget. The NDIS Act requires all decisions of the Agency that impact on participants may only be made by APS staff. The variance to Original Budget has arisen as the Agency has sought to prioritise its recruitment activity towards APS employees under the Government’s Strategic Commissioning Framework. </w:t>
            </w:r>
          </w:p>
        </w:tc>
      </w:tr>
      <w:tr w:rsidR="00520333" w:rsidRPr="006D688A" w14:paraId="5EA56059" w14:textId="77777777" w:rsidTr="00AA02E5">
        <w:trPr>
          <w:trHeight w:val="1527"/>
        </w:trPr>
        <w:tc>
          <w:tcPr>
            <w:tcW w:w="0" w:type="auto"/>
            <w:shd w:val="clear" w:color="auto" w:fill="auto"/>
            <w:noWrap/>
          </w:tcPr>
          <w:p w14:paraId="783ABCFE" w14:textId="77777777" w:rsidR="00520333" w:rsidRPr="006D688A" w:rsidRDefault="00520333" w:rsidP="005E5E0C">
            <w:pPr>
              <w:spacing w:after="0" w:line="240" w:lineRule="auto"/>
              <w:rPr>
                <w:rFonts w:cs="Arial"/>
                <w:color w:val="000000"/>
                <w:sz w:val="18"/>
                <w:szCs w:val="18"/>
                <w:lang w:eastAsia="en-AU"/>
              </w:rPr>
            </w:pPr>
            <w:r w:rsidRPr="006D688A">
              <w:rPr>
                <w:rFonts w:cs="Arial"/>
                <w:color w:val="000000"/>
                <w:sz w:val="18"/>
                <w:szCs w:val="18"/>
                <w:lang w:eastAsia="en-AU"/>
              </w:rPr>
              <w:t>Expenses</w:t>
            </w:r>
          </w:p>
          <w:p w14:paraId="00715DFB" w14:textId="77777777" w:rsidR="00520333" w:rsidRPr="006D688A" w:rsidRDefault="00520333" w:rsidP="005E5E0C">
            <w:pPr>
              <w:spacing w:after="0" w:line="240" w:lineRule="auto"/>
              <w:rPr>
                <w:rFonts w:cs="Arial"/>
                <w:color w:val="000000"/>
                <w:sz w:val="18"/>
                <w:szCs w:val="18"/>
                <w:lang w:eastAsia="en-AU"/>
              </w:rPr>
            </w:pPr>
            <w:r w:rsidRPr="006D688A">
              <w:rPr>
                <w:rFonts w:cs="Arial"/>
                <w:i/>
                <w:iCs/>
                <w:color w:val="000000"/>
                <w:sz w:val="18"/>
                <w:szCs w:val="18"/>
                <w:lang w:eastAsia="en-AU"/>
              </w:rPr>
              <w:t>Suppliers, Community partnership costs</w:t>
            </w:r>
          </w:p>
        </w:tc>
        <w:tc>
          <w:tcPr>
            <w:tcW w:w="0" w:type="auto"/>
            <w:vAlign w:val="center"/>
          </w:tcPr>
          <w:p w14:paraId="182F037C" w14:textId="77777777" w:rsidR="00520333" w:rsidRPr="006D688A" w:rsidRDefault="00520333" w:rsidP="0047225D">
            <w:pPr>
              <w:spacing w:after="60" w:line="240" w:lineRule="auto"/>
              <w:jc w:val="both"/>
              <w:rPr>
                <w:rFonts w:cs="Arial"/>
                <w:color w:val="0D0D0D"/>
                <w:sz w:val="18"/>
                <w:szCs w:val="18"/>
                <w:lang w:eastAsia="en-AU"/>
              </w:rPr>
            </w:pPr>
            <w:r w:rsidRPr="006D688A">
              <w:rPr>
                <w:rFonts w:cs="Arial"/>
                <w:color w:val="0D0D0D"/>
                <w:sz w:val="18"/>
                <w:szCs w:val="18"/>
                <w:lang w:eastAsia="en-AU"/>
              </w:rPr>
              <w:t xml:space="preserve">The Commonwealth Budget process does not allow for the separate reporting of community partnership costs and supplier expenses. As a result, these are budgeted together against supplier expenses. For actuals purposes, the agency has split these out to provide greater clarity for users. The variance to Original Budget is primarily driven by the Agency’s decision to prioritise its incoming recruitment activity towards APS employees and away from labour hire / contract arrangements. </w:t>
            </w:r>
          </w:p>
        </w:tc>
      </w:tr>
      <w:tr w:rsidR="00520333" w:rsidRPr="006D688A" w14:paraId="6CD4C239" w14:textId="77777777" w:rsidTr="00AA02E5">
        <w:trPr>
          <w:trHeight w:val="698"/>
        </w:trPr>
        <w:tc>
          <w:tcPr>
            <w:tcW w:w="0" w:type="auto"/>
            <w:shd w:val="clear" w:color="auto" w:fill="auto"/>
            <w:noWrap/>
          </w:tcPr>
          <w:p w14:paraId="096E136F" w14:textId="77777777" w:rsidR="00520333" w:rsidRPr="006D688A" w:rsidRDefault="00520333" w:rsidP="005E5E0C">
            <w:pPr>
              <w:spacing w:after="0" w:line="240" w:lineRule="auto"/>
              <w:rPr>
                <w:rFonts w:cs="Arial"/>
                <w:color w:val="000000"/>
                <w:sz w:val="18"/>
                <w:szCs w:val="18"/>
                <w:lang w:eastAsia="en-AU"/>
              </w:rPr>
            </w:pPr>
            <w:r w:rsidRPr="006D688A">
              <w:rPr>
                <w:rFonts w:cs="Arial"/>
                <w:color w:val="000000"/>
                <w:sz w:val="18"/>
                <w:szCs w:val="18"/>
                <w:lang w:eastAsia="en-AU"/>
              </w:rPr>
              <w:t>Expenses</w:t>
            </w:r>
          </w:p>
          <w:p w14:paraId="5EEC4411" w14:textId="77777777" w:rsidR="00520333" w:rsidRPr="006D688A" w:rsidRDefault="00520333" w:rsidP="005E5E0C">
            <w:pPr>
              <w:spacing w:after="0" w:line="240" w:lineRule="auto"/>
              <w:rPr>
                <w:rFonts w:cs="Arial"/>
                <w:color w:val="000000"/>
                <w:sz w:val="18"/>
                <w:szCs w:val="18"/>
                <w:lang w:eastAsia="en-AU"/>
              </w:rPr>
            </w:pPr>
            <w:r w:rsidRPr="006D688A">
              <w:rPr>
                <w:rFonts w:cs="Arial"/>
                <w:color w:val="000000"/>
                <w:sz w:val="18"/>
                <w:szCs w:val="18"/>
                <w:lang w:eastAsia="en-AU"/>
              </w:rPr>
              <w:t>Participant plan expenses</w:t>
            </w:r>
          </w:p>
        </w:tc>
        <w:tc>
          <w:tcPr>
            <w:tcW w:w="0" w:type="auto"/>
            <w:vAlign w:val="center"/>
          </w:tcPr>
          <w:p w14:paraId="28FC299A" w14:textId="77777777" w:rsidR="00520333" w:rsidRPr="006D688A" w:rsidRDefault="00520333" w:rsidP="0047225D">
            <w:pPr>
              <w:spacing w:after="60" w:line="240" w:lineRule="auto"/>
              <w:jc w:val="both"/>
              <w:rPr>
                <w:rFonts w:cs="Arial"/>
                <w:color w:val="000000"/>
                <w:sz w:val="18"/>
                <w:szCs w:val="18"/>
                <w:lang w:eastAsia="en-AU"/>
              </w:rPr>
            </w:pPr>
            <w:r w:rsidRPr="006D688A">
              <w:rPr>
                <w:rFonts w:cs="Arial"/>
                <w:color w:val="000000"/>
                <w:sz w:val="18"/>
                <w:szCs w:val="18"/>
                <w:lang w:eastAsia="en-AU"/>
              </w:rPr>
              <w:t>Compared to what was projected at the time of the 2023-24 Budget, the Scheme has experienced higher participant plan expenses. This was due to higher than anticipated average package costs. These expenses were funded through two additional appropriations provided in Appropriation Acts 3 and 5 2023-24, as described below under “Rendering of services”.</w:t>
            </w:r>
          </w:p>
        </w:tc>
      </w:tr>
      <w:tr w:rsidR="00520333" w:rsidRPr="006D688A" w14:paraId="65EFC123" w14:textId="77777777" w:rsidTr="00AA02E5">
        <w:trPr>
          <w:trHeight w:val="794"/>
        </w:trPr>
        <w:tc>
          <w:tcPr>
            <w:tcW w:w="0" w:type="auto"/>
            <w:shd w:val="clear" w:color="auto" w:fill="auto"/>
            <w:noWrap/>
          </w:tcPr>
          <w:p w14:paraId="392BF746" w14:textId="77777777" w:rsidR="00520333" w:rsidRPr="006D688A" w:rsidRDefault="00520333" w:rsidP="005E5E0C">
            <w:pPr>
              <w:spacing w:after="0" w:line="240" w:lineRule="auto"/>
              <w:rPr>
                <w:rFonts w:cs="Arial"/>
                <w:color w:val="000000"/>
                <w:sz w:val="18"/>
                <w:szCs w:val="18"/>
                <w:lang w:eastAsia="en-AU"/>
              </w:rPr>
            </w:pPr>
            <w:r w:rsidRPr="006D688A">
              <w:rPr>
                <w:rFonts w:cs="Arial"/>
                <w:color w:val="000000"/>
                <w:sz w:val="18"/>
                <w:szCs w:val="18"/>
                <w:lang w:eastAsia="en-AU"/>
              </w:rPr>
              <w:t>Own-source revenue</w:t>
            </w:r>
          </w:p>
          <w:p w14:paraId="66BA07ED" w14:textId="77777777" w:rsidR="00520333" w:rsidRPr="006D688A" w:rsidRDefault="00520333" w:rsidP="005E5E0C">
            <w:pPr>
              <w:spacing w:after="0" w:line="240" w:lineRule="auto"/>
              <w:rPr>
                <w:rFonts w:cs="Arial"/>
                <w:color w:val="000000"/>
                <w:sz w:val="18"/>
                <w:szCs w:val="18"/>
                <w:lang w:eastAsia="en-AU"/>
              </w:rPr>
            </w:pPr>
            <w:r w:rsidRPr="006D688A">
              <w:rPr>
                <w:rFonts w:cs="Arial"/>
                <w:i/>
                <w:iCs/>
                <w:color w:val="000000"/>
                <w:sz w:val="18"/>
                <w:szCs w:val="18"/>
                <w:lang w:eastAsia="en-AU"/>
              </w:rPr>
              <w:t>Rendering of Services</w:t>
            </w:r>
          </w:p>
        </w:tc>
        <w:tc>
          <w:tcPr>
            <w:tcW w:w="0" w:type="auto"/>
          </w:tcPr>
          <w:p w14:paraId="09CF0497" w14:textId="77777777" w:rsidR="00520333" w:rsidRPr="006D688A" w:rsidRDefault="00520333" w:rsidP="0047225D">
            <w:pPr>
              <w:spacing w:after="60" w:line="240" w:lineRule="auto"/>
              <w:rPr>
                <w:rFonts w:cs="Arial"/>
                <w:color w:val="0D0D0D"/>
                <w:sz w:val="18"/>
                <w:szCs w:val="18"/>
                <w:lang w:eastAsia="en-AU"/>
              </w:rPr>
            </w:pPr>
            <w:r w:rsidRPr="006D688A">
              <w:rPr>
                <w:rFonts w:cs="Arial"/>
                <w:color w:val="0D0D0D"/>
                <w:sz w:val="18"/>
                <w:szCs w:val="18"/>
                <w:lang w:eastAsia="en-AU"/>
              </w:rPr>
              <w:t>Additional funding of $2,405.4M was provided by the Government additional estimate processes. This was offset by greater than expected growth in in-kind revenue.</w:t>
            </w:r>
          </w:p>
        </w:tc>
      </w:tr>
      <w:tr w:rsidR="00520333" w:rsidRPr="006D688A" w14:paraId="03804BAC" w14:textId="77777777" w:rsidTr="00AA02E5">
        <w:trPr>
          <w:trHeight w:val="819"/>
        </w:trPr>
        <w:tc>
          <w:tcPr>
            <w:tcW w:w="0" w:type="auto"/>
            <w:shd w:val="clear" w:color="auto" w:fill="auto"/>
            <w:noWrap/>
          </w:tcPr>
          <w:p w14:paraId="39D142F7" w14:textId="77777777" w:rsidR="00520333" w:rsidRPr="006D688A" w:rsidRDefault="00520333" w:rsidP="005E5E0C">
            <w:pPr>
              <w:spacing w:after="0" w:line="240" w:lineRule="auto"/>
              <w:rPr>
                <w:rFonts w:cs="Arial"/>
                <w:color w:val="000000"/>
                <w:sz w:val="18"/>
                <w:szCs w:val="18"/>
                <w:lang w:eastAsia="en-AU"/>
              </w:rPr>
            </w:pPr>
            <w:r w:rsidRPr="006D688A">
              <w:rPr>
                <w:rFonts w:cs="Arial"/>
                <w:color w:val="000000"/>
                <w:sz w:val="18"/>
                <w:szCs w:val="18"/>
                <w:lang w:eastAsia="en-AU"/>
              </w:rPr>
              <w:t>Own-source revenue</w:t>
            </w:r>
          </w:p>
          <w:p w14:paraId="2C02E31C" w14:textId="77777777" w:rsidR="00520333" w:rsidRPr="006D688A" w:rsidRDefault="00520333" w:rsidP="005E5E0C">
            <w:pPr>
              <w:spacing w:after="0" w:line="240" w:lineRule="auto"/>
              <w:rPr>
                <w:rFonts w:cs="Arial"/>
                <w:color w:val="000000"/>
                <w:sz w:val="18"/>
                <w:szCs w:val="18"/>
                <w:lang w:eastAsia="en-AU"/>
              </w:rPr>
            </w:pPr>
            <w:r w:rsidRPr="006D688A">
              <w:rPr>
                <w:rFonts w:cs="Arial"/>
                <w:i/>
                <w:iCs/>
                <w:color w:val="000000"/>
                <w:sz w:val="18"/>
                <w:szCs w:val="18"/>
                <w:lang w:eastAsia="en-AU"/>
              </w:rPr>
              <w:t>Other revenue</w:t>
            </w:r>
          </w:p>
        </w:tc>
        <w:tc>
          <w:tcPr>
            <w:tcW w:w="0" w:type="auto"/>
            <w:vAlign w:val="center"/>
          </w:tcPr>
          <w:p w14:paraId="05CF79CC" w14:textId="77777777" w:rsidR="00520333" w:rsidRPr="006D688A" w:rsidRDefault="00520333" w:rsidP="0047225D">
            <w:pPr>
              <w:spacing w:after="60" w:line="240" w:lineRule="auto"/>
              <w:jc w:val="both"/>
              <w:rPr>
                <w:rFonts w:cs="Arial"/>
                <w:color w:val="0D0D0D"/>
                <w:sz w:val="18"/>
                <w:szCs w:val="18"/>
                <w:lang w:eastAsia="en-AU"/>
              </w:rPr>
            </w:pPr>
            <w:r w:rsidRPr="006D688A">
              <w:rPr>
                <w:rFonts w:cs="Arial"/>
                <w:color w:val="0D0D0D"/>
                <w:sz w:val="18"/>
                <w:szCs w:val="18"/>
                <w:lang w:eastAsia="en-AU"/>
              </w:rPr>
              <w:t>Compensation receipts are calculated on a case by case basis making it difficult to budget. The Original Budget figure was based on estimates of recoveries associated with the Fraud Fusion Taskforce measure contained in the October 2022-23 budget, however these recoveries were instead to be realised through law enforcement agencies rather than flowing through the Agency.</w:t>
            </w:r>
          </w:p>
        </w:tc>
      </w:tr>
      <w:tr w:rsidR="00520333" w:rsidRPr="006D688A" w14:paraId="28992D2A" w14:textId="77777777" w:rsidTr="00AA02E5">
        <w:trPr>
          <w:cantSplit/>
          <w:trHeight w:val="547"/>
        </w:trPr>
        <w:tc>
          <w:tcPr>
            <w:tcW w:w="0" w:type="auto"/>
            <w:shd w:val="clear" w:color="auto" w:fill="auto"/>
            <w:noWrap/>
          </w:tcPr>
          <w:p w14:paraId="6BE3C0AD" w14:textId="77777777" w:rsidR="00520333" w:rsidRPr="006D688A" w:rsidRDefault="00520333" w:rsidP="005E5E0C">
            <w:pPr>
              <w:spacing w:after="0" w:line="240" w:lineRule="auto"/>
              <w:rPr>
                <w:rFonts w:cs="Arial"/>
                <w:color w:val="000000"/>
                <w:sz w:val="18"/>
                <w:szCs w:val="18"/>
                <w:lang w:eastAsia="en-AU"/>
              </w:rPr>
            </w:pPr>
            <w:r w:rsidRPr="006D688A">
              <w:rPr>
                <w:rFonts w:cs="Arial"/>
                <w:color w:val="000000"/>
                <w:sz w:val="18"/>
                <w:szCs w:val="18"/>
                <w:lang w:eastAsia="en-AU"/>
              </w:rPr>
              <w:t>Own-source revenue</w:t>
            </w:r>
          </w:p>
          <w:p w14:paraId="1B6399B9" w14:textId="77777777" w:rsidR="00520333" w:rsidRPr="006D688A" w:rsidRDefault="00520333" w:rsidP="005E5E0C">
            <w:pPr>
              <w:spacing w:after="0" w:line="240" w:lineRule="auto"/>
              <w:rPr>
                <w:rFonts w:cs="Arial"/>
                <w:color w:val="000000"/>
                <w:sz w:val="18"/>
                <w:szCs w:val="18"/>
                <w:lang w:eastAsia="en-AU"/>
              </w:rPr>
            </w:pPr>
            <w:r w:rsidRPr="006D688A">
              <w:rPr>
                <w:rFonts w:cs="Arial"/>
                <w:i/>
                <w:iCs/>
                <w:color w:val="000000"/>
                <w:sz w:val="18"/>
                <w:szCs w:val="18"/>
                <w:lang w:eastAsia="en-AU"/>
              </w:rPr>
              <w:t>Interest</w:t>
            </w:r>
          </w:p>
        </w:tc>
        <w:tc>
          <w:tcPr>
            <w:tcW w:w="0" w:type="auto"/>
            <w:vAlign w:val="center"/>
          </w:tcPr>
          <w:p w14:paraId="570CFED6" w14:textId="77777777" w:rsidR="00520333" w:rsidRPr="006D688A" w:rsidRDefault="00520333" w:rsidP="0047225D">
            <w:pPr>
              <w:spacing w:after="60" w:line="240" w:lineRule="auto"/>
              <w:jc w:val="both"/>
              <w:rPr>
                <w:rFonts w:cs="Arial"/>
                <w:color w:val="0D0D0D"/>
                <w:sz w:val="18"/>
                <w:szCs w:val="18"/>
                <w:lang w:eastAsia="en-AU"/>
              </w:rPr>
            </w:pPr>
            <w:r w:rsidRPr="006D688A">
              <w:rPr>
                <w:rFonts w:cs="Arial"/>
                <w:color w:val="0D0D0D"/>
                <w:sz w:val="18"/>
                <w:szCs w:val="18"/>
                <w:lang w:eastAsia="en-AU"/>
              </w:rPr>
              <w:t>The increase in interest revenue reflects higher than anticipated interest rates.</w:t>
            </w:r>
          </w:p>
        </w:tc>
      </w:tr>
      <w:tr w:rsidR="00520333" w:rsidRPr="006D688A" w14:paraId="56671992" w14:textId="77777777" w:rsidTr="007D1B8F">
        <w:trPr>
          <w:trHeight w:val="629"/>
        </w:trPr>
        <w:tc>
          <w:tcPr>
            <w:tcW w:w="0" w:type="auto"/>
            <w:shd w:val="clear" w:color="auto" w:fill="auto"/>
            <w:noWrap/>
            <w:hideMark/>
          </w:tcPr>
          <w:p w14:paraId="17665A6F" w14:textId="77777777" w:rsidR="00520333" w:rsidRPr="006D688A" w:rsidRDefault="00520333" w:rsidP="005E5E0C">
            <w:pPr>
              <w:spacing w:after="0" w:line="240" w:lineRule="auto"/>
              <w:jc w:val="both"/>
              <w:rPr>
                <w:rFonts w:cs="Arial"/>
                <w:i/>
                <w:iCs/>
                <w:color w:val="000000"/>
                <w:sz w:val="18"/>
                <w:szCs w:val="18"/>
                <w:lang w:eastAsia="en-AU"/>
              </w:rPr>
            </w:pPr>
            <w:r w:rsidRPr="006D688A">
              <w:rPr>
                <w:rFonts w:cs="Arial"/>
                <w:color w:val="000000"/>
                <w:sz w:val="18"/>
                <w:szCs w:val="18"/>
                <w:lang w:eastAsia="en-AU"/>
              </w:rPr>
              <w:t>Gains</w:t>
            </w:r>
            <w:r w:rsidRPr="006D688A" w:rsidDel="00CA46D0">
              <w:rPr>
                <w:rFonts w:cs="Arial"/>
                <w:i/>
                <w:iCs/>
                <w:color w:val="000000"/>
                <w:sz w:val="18"/>
                <w:szCs w:val="18"/>
                <w:lang w:eastAsia="en-AU"/>
              </w:rPr>
              <w:t xml:space="preserve"> </w:t>
            </w:r>
          </w:p>
          <w:p w14:paraId="4CA81450" w14:textId="77777777" w:rsidR="00520333" w:rsidRPr="006D688A" w:rsidRDefault="00520333" w:rsidP="005E5E0C">
            <w:pPr>
              <w:spacing w:after="0" w:line="240" w:lineRule="auto"/>
              <w:rPr>
                <w:rFonts w:cs="Arial"/>
                <w:i/>
                <w:iCs/>
                <w:color w:val="000000"/>
                <w:sz w:val="18"/>
                <w:szCs w:val="18"/>
                <w:lang w:eastAsia="en-AU"/>
              </w:rPr>
            </w:pPr>
            <w:r w:rsidRPr="006D688A">
              <w:rPr>
                <w:rFonts w:cs="Arial"/>
                <w:i/>
                <w:iCs/>
                <w:color w:val="000000"/>
                <w:sz w:val="18"/>
                <w:szCs w:val="18"/>
                <w:lang w:eastAsia="en-AU"/>
              </w:rPr>
              <w:t>Other gains</w:t>
            </w:r>
          </w:p>
        </w:tc>
        <w:tc>
          <w:tcPr>
            <w:tcW w:w="0" w:type="auto"/>
          </w:tcPr>
          <w:p w14:paraId="67201F8C" w14:textId="77777777" w:rsidR="00520333" w:rsidRPr="006D688A" w:rsidRDefault="00520333" w:rsidP="0047225D">
            <w:pPr>
              <w:spacing w:after="60" w:line="240" w:lineRule="auto"/>
              <w:rPr>
                <w:rFonts w:cs="Arial"/>
                <w:color w:val="0D0D0D"/>
                <w:sz w:val="18"/>
                <w:szCs w:val="18"/>
                <w:lang w:eastAsia="en-AU"/>
              </w:rPr>
            </w:pPr>
            <w:r w:rsidRPr="006D688A">
              <w:rPr>
                <w:rFonts w:cs="Arial"/>
                <w:color w:val="0D0D0D"/>
                <w:sz w:val="18"/>
                <w:szCs w:val="18"/>
                <w:lang w:eastAsia="en-AU"/>
              </w:rPr>
              <w:t>Other gains include in-kind contributions made to the Scheme by state and territory governments. The Original Budget did not anticipate extensions to in-kind arrangements.</w:t>
            </w:r>
          </w:p>
        </w:tc>
      </w:tr>
      <w:tr w:rsidR="00520333" w:rsidRPr="006D688A" w14:paraId="629CB50F" w14:textId="77777777" w:rsidTr="00AA02E5">
        <w:trPr>
          <w:trHeight w:val="104"/>
        </w:trPr>
        <w:tc>
          <w:tcPr>
            <w:tcW w:w="0" w:type="auto"/>
            <w:shd w:val="clear" w:color="auto" w:fill="auto"/>
            <w:noWrap/>
          </w:tcPr>
          <w:p w14:paraId="4C4CDC77" w14:textId="77777777" w:rsidR="00520333" w:rsidRPr="006D688A" w:rsidRDefault="00520333" w:rsidP="005E5E0C">
            <w:pPr>
              <w:spacing w:after="0" w:line="240" w:lineRule="auto"/>
              <w:rPr>
                <w:rFonts w:cs="Arial"/>
                <w:color w:val="000000"/>
                <w:sz w:val="18"/>
                <w:szCs w:val="18"/>
                <w:lang w:eastAsia="en-AU"/>
              </w:rPr>
            </w:pPr>
            <w:r w:rsidRPr="006D688A">
              <w:rPr>
                <w:rFonts w:cs="Arial"/>
                <w:color w:val="000000"/>
                <w:sz w:val="18"/>
                <w:szCs w:val="18"/>
                <w:lang w:eastAsia="en-AU"/>
              </w:rPr>
              <w:t>Revenue from Government</w:t>
            </w:r>
          </w:p>
          <w:p w14:paraId="3BB2A6AF" w14:textId="77777777" w:rsidR="00520333" w:rsidRPr="006D688A" w:rsidRDefault="00520333" w:rsidP="005E5E0C">
            <w:pPr>
              <w:spacing w:after="0" w:line="240" w:lineRule="auto"/>
              <w:rPr>
                <w:rFonts w:cs="Arial"/>
                <w:i/>
                <w:iCs/>
                <w:color w:val="000000"/>
                <w:sz w:val="18"/>
                <w:szCs w:val="18"/>
                <w:lang w:eastAsia="en-AU"/>
              </w:rPr>
            </w:pPr>
            <w:r w:rsidRPr="006D688A">
              <w:rPr>
                <w:rFonts w:cs="Arial"/>
                <w:i/>
                <w:iCs/>
                <w:color w:val="000000"/>
                <w:sz w:val="18"/>
                <w:szCs w:val="18"/>
                <w:lang w:eastAsia="en-AU"/>
              </w:rPr>
              <w:t>Revenue from Government</w:t>
            </w:r>
          </w:p>
        </w:tc>
        <w:tc>
          <w:tcPr>
            <w:tcW w:w="0" w:type="auto"/>
            <w:vAlign w:val="center"/>
          </w:tcPr>
          <w:p w14:paraId="4FB15F2A" w14:textId="77777777" w:rsidR="00520333" w:rsidRPr="006D688A" w:rsidDel="00DF3A9E" w:rsidRDefault="00520333" w:rsidP="0047225D">
            <w:pPr>
              <w:spacing w:after="60" w:line="240" w:lineRule="auto"/>
              <w:jc w:val="both"/>
              <w:rPr>
                <w:rFonts w:cs="Arial"/>
                <w:color w:val="0D0D0D"/>
                <w:sz w:val="18"/>
                <w:szCs w:val="18"/>
                <w:lang w:eastAsia="en-AU"/>
              </w:rPr>
            </w:pPr>
            <w:r w:rsidRPr="006D688A">
              <w:rPr>
                <w:rFonts w:cs="Arial"/>
                <w:color w:val="0D0D0D"/>
                <w:sz w:val="18"/>
                <w:szCs w:val="18"/>
                <w:lang w:eastAsia="en-AU"/>
              </w:rPr>
              <w:t>The Original Budget did not anticipate the additional funding received by the Agency through Appropriation Acts 3 and 5 of 2023-24 for Additional Estimates and Supplementary Additional Estimates measures.</w:t>
            </w:r>
          </w:p>
        </w:tc>
      </w:tr>
      <w:tr w:rsidR="00520333" w:rsidRPr="006D688A" w14:paraId="0C2D24F3" w14:textId="77777777" w:rsidTr="00AA02E5">
        <w:trPr>
          <w:trHeight w:val="104"/>
        </w:trPr>
        <w:tc>
          <w:tcPr>
            <w:tcW w:w="0" w:type="auto"/>
            <w:shd w:val="clear" w:color="auto" w:fill="auto"/>
            <w:noWrap/>
          </w:tcPr>
          <w:p w14:paraId="30DAE262" w14:textId="77777777" w:rsidR="00520333" w:rsidRPr="006D688A" w:rsidRDefault="00520333" w:rsidP="005E5E0C">
            <w:pPr>
              <w:spacing w:after="0" w:line="240" w:lineRule="auto"/>
              <w:rPr>
                <w:rFonts w:cs="Arial"/>
                <w:color w:val="000000"/>
                <w:sz w:val="18"/>
                <w:szCs w:val="18"/>
                <w:lang w:eastAsia="en-AU"/>
              </w:rPr>
            </w:pPr>
            <w:r w:rsidRPr="006D688A">
              <w:rPr>
                <w:rFonts w:cs="Arial"/>
                <w:color w:val="000000"/>
                <w:sz w:val="18"/>
                <w:szCs w:val="18"/>
                <w:lang w:eastAsia="en-AU"/>
              </w:rPr>
              <w:t>Other Comprehensive Income</w:t>
            </w:r>
          </w:p>
          <w:p w14:paraId="582B8C96" w14:textId="77777777" w:rsidR="00520333" w:rsidRPr="006D688A" w:rsidRDefault="00520333" w:rsidP="005E5E0C">
            <w:pPr>
              <w:spacing w:after="0" w:line="240" w:lineRule="auto"/>
              <w:rPr>
                <w:rFonts w:cs="Arial"/>
                <w:color w:val="000000"/>
                <w:sz w:val="18"/>
                <w:szCs w:val="18"/>
                <w:lang w:eastAsia="en-AU"/>
              </w:rPr>
            </w:pPr>
            <w:r w:rsidRPr="006D688A">
              <w:rPr>
                <w:rFonts w:cs="Arial"/>
                <w:i/>
                <w:iCs/>
                <w:color w:val="000000"/>
                <w:sz w:val="18"/>
                <w:szCs w:val="18"/>
                <w:lang w:eastAsia="en-AU"/>
              </w:rPr>
              <w:t>Changes in asset revaluation reserve</w:t>
            </w:r>
          </w:p>
        </w:tc>
        <w:tc>
          <w:tcPr>
            <w:tcW w:w="0" w:type="auto"/>
            <w:vAlign w:val="center"/>
          </w:tcPr>
          <w:p w14:paraId="19BD3F2B" w14:textId="77777777" w:rsidR="00520333" w:rsidRPr="006D688A" w:rsidRDefault="00520333" w:rsidP="0047225D">
            <w:pPr>
              <w:spacing w:after="60" w:line="240" w:lineRule="auto"/>
              <w:jc w:val="both"/>
              <w:rPr>
                <w:rFonts w:cs="Arial"/>
                <w:color w:val="0D0D0D"/>
                <w:sz w:val="18"/>
                <w:szCs w:val="18"/>
                <w:lang w:eastAsia="en-AU"/>
              </w:rPr>
            </w:pPr>
            <w:r w:rsidRPr="006D688A">
              <w:rPr>
                <w:rFonts w:cs="Arial"/>
                <w:color w:val="0D0D0D"/>
                <w:sz w:val="18"/>
                <w:szCs w:val="18"/>
                <w:lang w:eastAsia="en-AU"/>
              </w:rPr>
              <w:t>The external revaluation of the Agency's leasehold improvements resulted in a revaluation increment of $8.6m during the year. This could not be contemplated at the time the Original Budget was constructed.</w:t>
            </w:r>
          </w:p>
        </w:tc>
      </w:tr>
    </w:tbl>
    <w:p w14:paraId="3AEF26F7" w14:textId="77777777" w:rsidR="00520333" w:rsidRDefault="00520333" w:rsidP="003203A1">
      <w:pPr>
        <w:pStyle w:val="ReferenceText"/>
        <w:sectPr w:rsidR="00520333" w:rsidSect="007D1B8F">
          <w:headerReference w:type="default" r:id="rId45"/>
          <w:footerReference w:type="default" r:id="rId46"/>
          <w:pgSz w:w="11906" w:h="16838" w:code="9"/>
          <w:pgMar w:top="1361" w:right="1361" w:bottom="1361" w:left="1361" w:header="561" w:footer="374" w:gutter="0"/>
          <w:cols w:space="708"/>
          <w:docGrid w:linePitch="360"/>
        </w:sectPr>
      </w:pPr>
    </w:p>
    <w:p w14:paraId="155A11CF" w14:textId="77777777" w:rsidR="00AA02E5" w:rsidRPr="00AA02E5" w:rsidRDefault="00AA02E5" w:rsidP="00AA02E5">
      <w:pPr>
        <w:spacing w:after="0" w:line="240" w:lineRule="auto"/>
        <w:rPr>
          <w:b/>
          <w:bCs/>
        </w:rPr>
      </w:pPr>
      <w:r w:rsidRPr="00AA02E5">
        <w:rPr>
          <w:b/>
          <w:bCs/>
        </w:rPr>
        <w:lastRenderedPageBreak/>
        <w:t>National Disability Insurance Agency</w:t>
      </w:r>
    </w:p>
    <w:p w14:paraId="3B69DD49" w14:textId="29824D74" w:rsidR="00AA02E5" w:rsidRPr="00AA02E5" w:rsidRDefault="00AA02E5" w:rsidP="00AA02E5">
      <w:pPr>
        <w:spacing w:after="0" w:line="240" w:lineRule="auto"/>
        <w:rPr>
          <w:b/>
          <w:bCs/>
        </w:rPr>
      </w:pPr>
      <w:r w:rsidRPr="00AA02E5">
        <w:rPr>
          <w:b/>
          <w:bCs/>
        </w:rPr>
        <w:t xml:space="preserve">STATEMENT OF </w:t>
      </w:r>
      <w:r>
        <w:rPr>
          <w:b/>
          <w:bCs/>
        </w:rPr>
        <w:t>FINANCIAL POSITION</w:t>
      </w:r>
    </w:p>
    <w:p w14:paraId="675AFE00" w14:textId="2304FB10" w:rsidR="00AA02E5" w:rsidRPr="00AA02E5" w:rsidRDefault="006D688A" w:rsidP="00C821EB">
      <w:pPr>
        <w:pBdr>
          <w:bottom w:val="single" w:sz="8" w:space="1" w:color="auto"/>
        </w:pBdr>
        <w:spacing w:line="240" w:lineRule="auto"/>
        <w:rPr>
          <w:i/>
          <w:iCs/>
        </w:rPr>
      </w:pPr>
      <w:r>
        <w:rPr>
          <w:i/>
          <w:iCs/>
        </w:rPr>
        <w:t>as at</w:t>
      </w:r>
      <w:r w:rsidR="00AA02E5" w:rsidRPr="00AA02E5">
        <w:rPr>
          <w:i/>
          <w:iCs/>
        </w:rPr>
        <w:t xml:space="preserve"> 30 June 2024</w:t>
      </w:r>
    </w:p>
    <w:tbl>
      <w:tblPr>
        <w:tblW w:w="9087" w:type="dxa"/>
        <w:tblLayout w:type="fixed"/>
        <w:tblCellMar>
          <w:left w:w="57" w:type="dxa"/>
          <w:right w:w="57" w:type="dxa"/>
        </w:tblCellMar>
        <w:tblLook w:val="04A0" w:firstRow="1" w:lastRow="0" w:firstColumn="1" w:lastColumn="0" w:noHBand="0" w:noVBand="1"/>
      </w:tblPr>
      <w:tblGrid>
        <w:gridCol w:w="4224"/>
        <w:gridCol w:w="1273"/>
        <w:gridCol w:w="1046"/>
        <w:gridCol w:w="236"/>
        <w:gridCol w:w="1036"/>
        <w:gridCol w:w="236"/>
        <w:gridCol w:w="1036"/>
      </w:tblGrid>
      <w:tr w:rsidR="00520333" w:rsidRPr="006D688A" w14:paraId="23D877B3" w14:textId="77777777" w:rsidTr="005E5E0C">
        <w:trPr>
          <w:trHeight w:val="500"/>
        </w:trPr>
        <w:tc>
          <w:tcPr>
            <w:tcW w:w="4224" w:type="dxa"/>
            <w:tcBorders>
              <w:top w:val="single" w:sz="8" w:space="0" w:color="800080"/>
              <w:left w:val="nil"/>
              <w:bottom w:val="nil"/>
              <w:right w:val="nil"/>
            </w:tcBorders>
            <w:shd w:val="clear" w:color="FFFFFF" w:fill="FFFFFF"/>
            <w:noWrap/>
            <w:vAlign w:val="bottom"/>
            <w:hideMark/>
          </w:tcPr>
          <w:p w14:paraId="03B69D69" w14:textId="77777777" w:rsidR="00520333" w:rsidRPr="006D688A" w:rsidRDefault="00520333" w:rsidP="005E5E0C">
            <w:pPr>
              <w:spacing w:after="0"/>
              <w:rPr>
                <w:rFonts w:cs="Arial"/>
                <w:sz w:val="18"/>
                <w:szCs w:val="18"/>
              </w:rPr>
            </w:pPr>
            <w:bookmarkStart w:id="112" w:name="Note_DBSTABLE1" w:colFirst="0" w:colLast="0"/>
            <w:r w:rsidRPr="006D688A">
              <w:rPr>
                <w:rFonts w:cs="Arial"/>
                <w:sz w:val="18"/>
                <w:szCs w:val="18"/>
              </w:rPr>
              <w:t> </w:t>
            </w:r>
          </w:p>
        </w:tc>
        <w:tc>
          <w:tcPr>
            <w:tcW w:w="1273" w:type="dxa"/>
            <w:tcBorders>
              <w:top w:val="single" w:sz="8" w:space="0" w:color="800080"/>
              <w:left w:val="nil"/>
              <w:bottom w:val="nil"/>
              <w:right w:val="nil"/>
            </w:tcBorders>
            <w:shd w:val="clear" w:color="FFFFFF" w:fill="FFFFFF"/>
            <w:noWrap/>
            <w:vAlign w:val="bottom"/>
            <w:hideMark/>
          </w:tcPr>
          <w:p w14:paraId="0FC18A28" w14:textId="77777777" w:rsidR="00520333" w:rsidRPr="006D688A" w:rsidRDefault="00520333" w:rsidP="005E5E0C">
            <w:pPr>
              <w:spacing w:after="0"/>
              <w:rPr>
                <w:rFonts w:cs="Arial"/>
                <w:sz w:val="18"/>
                <w:szCs w:val="18"/>
              </w:rPr>
            </w:pPr>
            <w:r w:rsidRPr="006D688A">
              <w:rPr>
                <w:rFonts w:cs="Arial"/>
                <w:sz w:val="18"/>
                <w:szCs w:val="18"/>
              </w:rPr>
              <w:t> </w:t>
            </w:r>
          </w:p>
        </w:tc>
        <w:tc>
          <w:tcPr>
            <w:tcW w:w="1046" w:type="dxa"/>
            <w:tcBorders>
              <w:top w:val="single" w:sz="8" w:space="0" w:color="800080"/>
              <w:left w:val="nil"/>
              <w:bottom w:val="nil"/>
              <w:right w:val="nil"/>
            </w:tcBorders>
            <w:shd w:val="clear" w:color="FFFFFF" w:fill="FFFFFF"/>
            <w:noWrap/>
            <w:vAlign w:val="bottom"/>
            <w:hideMark/>
          </w:tcPr>
          <w:p w14:paraId="0EDDDF2D" w14:textId="77777777" w:rsidR="00520333" w:rsidRPr="006D688A" w:rsidRDefault="00520333" w:rsidP="005E5E0C">
            <w:pPr>
              <w:spacing w:after="0"/>
              <w:jc w:val="right"/>
              <w:rPr>
                <w:rFonts w:cs="Arial"/>
                <w:b/>
                <w:bCs/>
                <w:sz w:val="18"/>
                <w:szCs w:val="18"/>
              </w:rPr>
            </w:pPr>
            <w:r w:rsidRPr="006D688A">
              <w:rPr>
                <w:rFonts w:cs="Arial"/>
                <w:b/>
                <w:bCs/>
                <w:sz w:val="18"/>
                <w:szCs w:val="18"/>
              </w:rPr>
              <w:t> </w:t>
            </w:r>
          </w:p>
        </w:tc>
        <w:tc>
          <w:tcPr>
            <w:tcW w:w="236" w:type="dxa"/>
            <w:tcBorders>
              <w:top w:val="single" w:sz="8" w:space="0" w:color="800080"/>
              <w:left w:val="nil"/>
              <w:bottom w:val="nil"/>
              <w:right w:val="nil"/>
            </w:tcBorders>
            <w:shd w:val="clear" w:color="FFFFFF" w:fill="FFFFFF"/>
            <w:noWrap/>
            <w:vAlign w:val="bottom"/>
            <w:hideMark/>
          </w:tcPr>
          <w:p w14:paraId="70C76F20"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single" w:sz="8" w:space="0" w:color="800080"/>
              <w:left w:val="nil"/>
              <w:bottom w:val="nil"/>
              <w:right w:val="nil"/>
            </w:tcBorders>
            <w:shd w:val="clear" w:color="FFFFFF" w:fill="FFFFFF"/>
            <w:noWrap/>
            <w:vAlign w:val="bottom"/>
            <w:hideMark/>
          </w:tcPr>
          <w:p w14:paraId="2DFF1E28" w14:textId="77777777" w:rsidR="00520333" w:rsidRPr="006D688A" w:rsidRDefault="00520333" w:rsidP="005E5E0C">
            <w:pPr>
              <w:spacing w:after="0"/>
              <w:jc w:val="right"/>
              <w:rPr>
                <w:rFonts w:cs="Arial"/>
                <w:sz w:val="18"/>
                <w:szCs w:val="18"/>
              </w:rPr>
            </w:pPr>
            <w:r w:rsidRPr="006D688A">
              <w:rPr>
                <w:rFonts w:cs="Arial"/>
                <w:sz w:val="18"/>
                <w:szCs w:val="18"/>
              </w:rPr>
              <w:t> </w:t>
            </w:r>
          </w:p>
        </w:tc>
        <w:tc>
          <w:tcPr>
            <w:tcW w:w="236" w:type="dxa"/>
            <w:tcBorders>
              <w:top w:val="single" w:sz="8" w:space="0" w:color="800080"/>
              <w:left w:val="nil"/>
              <w:bottom w:val="nil"/>
              <w:right w:val="nil"/>
            </w:tcBorders>
            <w:shd w:val="clear" w:color="FFFFFF" w:fill="FFFFFF"/>
            <w:noWrap/>
            <w:vAlign w:val="bottom"/>
            <w:hideMark/>
          </w:tcPr>
          <w:p w14:paraId="2F349E01"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single" w:sz="8" w:space="0" w:color="800080"/>
              <w:left w:val="nil"/>
              <w:bottom w:val="nil"/>
              <w:right w:val="nil"/>
            </w:tcBorders>
            <w:shd w:val="clear" w:color="FFFFFF" w:fill="FFFFFF"/>
            <w:vAlign w:val="bottom"/>
            <w:hideMark/>
          </w:tcPr>
          <w:p w14:paraId="109E4C0E" w14:textId="77777777" w:rsidR="00520333" w:rsidRPr="006D688A" w:rsidRDefault="00520333" w:rsidP="005E5E0C">
            <w:pPr>
              <w:spacing w:after="0"/>
              <w:jc w:val="right"/>
              <w:rPr>
                <w:rFonts w:cs="Arial"/>
                <w:color w:val="6B2976"/>
                <w:sz w:val="18"/>
                <w:szCs w:val="18"/>
              </w:rPr>
            </w:pPr>
            <w:r w:rsidRPr="006D688A">
              <w:rPr>
                <w:rFonts w:cs="Arial"/>
                <w:color w:val="6B2976"/>
                <w:sz w:val="18"/>
                <w:szCs w:val="18"/>
              </w:rPr>
              <w:t>Original</w:t>
            </w:r>
            <w:r w:rsidRPr="006D688A">
              <w:rPr>
                <w:rFonts w:cs="Arial"/>
                <w:color w:val="6B2976"/>
                <w:sz w:val="18"/>
                <w:szCs w:val="18"/>
              </w:rPr>
              <w:br/>
              <w:t>Budget</w:t>
            </w:r>
            <w:r w:rsidRPr="006D688A">
              <w:rPr>
                <w:rFonts w:cs="Arial"/>
                <w:color w:val="6B2976"/>
                <w:sz w:val="18"/>
                <w:szCs w:val="18"/>
                <w:vertAlign w:val="superscript"/>
              </w:rPr>
              <w:t>1</w:t>
            </w:r>
          </w:p>
        </w:tc>
      </w:tr>
      <w:bookmarkEnd w:id="112"/>
      <w:tr w:rsidR="00520333" w:rsidRPr="006D688A" w14:paraId="14BB5A27" w14:textId="77777777" w:rsidTr="005E5E0C">
        <w:trPr>
          <w:trHeight w:val="260"/>
        </w:trPr>
        <w:tc>
          <w:tcPr>
            <w:tcW w:w="4224" w:type="dxa"/>
            <w:tcBorders>
              <w:top w:val="nil"/>
              <w:left w:val="nil"/>
              <w:bottom w:val="nil"/>
              <w:right w:val="nil"/>
            </w:tcBorders>
            <w:shd w:val="clear" w:color="FFFFFF" w:fill="FFFFFF"/>
            <w:noWrap/>
            <w:vAlign w:val="bottom"/>
            <w:hideMark/>
          </w:tcPr>
          <w:p w14:paraId="4274D3DC" w14:textId="77777777" w:rsidR="00520333" w:rsidRPr="006D688A" w:rsidRDefault="00520333" w:rsidP="005E5E0C">
            <w:pPr>
              <w:spacing w:after="0"/>
              <w:rPr>
                <w:rFonts w:cs="Arial"/>
                <w:sz w:val="18"/>
                <w:szCs w:val="18"/>
              </w:rPr>
            </w:pPr>
            <w:r w:rsidRPr="006D688A">
              <w:rPr>
                <w:rFonts w:cs="Arial"/>
                <w:sz w:val="18"/>
                <w:szCs w:val="18"/>
              </w:rPr>
              <w:t> </w:t>
            </w:r>
          </w:p>
        </w:tc>
        <w:tc>
          <w:tcPr>
            <w:tcW w:w="1273" w:type="dxa"/>
            <w:tcBorders>
              <w:top w:val="nil"/>
              <w:left w:val="nil"/>
              <w:bottom w:val="nil"/>
              <w:right w:val="nil"/>
            </w:tcBorders>
            <w:shd w:val="clear" w:color="FFFFFF" w:fill="FFFFFF"/>
            <w:noWrap/>
            <w:vAlign w:val="bottom"/>
            <w:hideMark/>
          </w:tcPr>
          <w:p w14:paraId="16F083DA" w14:textId="77777777" w:rsidR="00520333" w:rsidRPr="006D688A" w:rsidRDefault="00520333" w:rsidP="005E5E0C">
            <w:pPr>
              <w:spacing w:after="0"/>
              <w:rPr>
                <w:rFonts w:cs="Arial"/>
                <w:sz w:val="18"/>
                <w:szCs w:val="18"/>
              </w:rPr>
            </w:pPr>
            <w:r w:rsidRPr="006D688A">
              <w:rPr>
                <w:rFonts w:cs="Arial"/>
                <w:sz w:val="18"/>
                <w:szCs w:val="18"/>
              </w:rPr>
              <w:t> </w:t>
            </w:r>
          </w:p>
        </w:tc>
        <w:tc>
          <w:tcPr>
            <w:tcW w:w="1046" w:type="dxa"/>
            <w:tcBorders>
              <w:top w:val="nil"/>
              <w:left w:val="nil"/>
              <w:bottom w:val="nil"/>
              <w:right w:val="nil"/>
            </w:tcBorders>
            <w:shd w:val="clear" w:color="FFFFFF" w:fill="FFFFFF"/>
            <w:noWrap/>
            <w:vAlign w:val="bottom"/>
            <w:hideMark/>
          </w:tcPr>
          <w:p w14:paraId="23FF0F60" w14:textId="77777777" w:rsidR="00520333" w:rsidRPr="006D688A" w:rsidRDefault="00520333" w:rsidP="005E5E0C">
            <w:pPr>
              <w:spacing w:after="0"/>
              <w:jc w:val="right"/>
              <w:rPr>
                <w:rFonts w:cs="Arial"/>
                <w:b/>
                <w:bCs/>
                <w:sz w:val="18"/>
                <w:szCs w:val="18"/>
              </w:rPr>
            </w:pPr>
            <w:r w:rsidRPr="006D688A">
              <w:rPr>
                <w:rFonts w:cs="Arial"/>
                <w:b/>
                <w:bCs/>
                <w:sz w:val="18"/>
                <w:szCs w:val="18"/>
              </w:rPr>
              <w:t>2024</w:t>
            </w:r>
          </w:p>
        </w:tc>
        <w:tc>
          <w:tcPr>
            <w:tcW w:w="236" w:type="dxa"/>
            <w:tcBorders>
              <w:top w:val="nil"/>
              <w:left w:val="nil"/>
              <w:bottom w:val="nil"/>
              <w:right w:val="nil"/>
            </w:tcBorders>
            <w:shd w:val="clear" w:color="FFFFFF" w:fill="FFFFFF"/>
            <w:noWrap/>
            <w:vAlign w:val="bottom"/>
            <w:hideMark/>
          </w:tcPr>
          <w:p w14:paraId="0AFD8CCD"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3C0F4D6B" w14:textId="77777777" w:rsidR="00520333" w:rsidRPr="006D688A" w:rsidRDefault="00520333" w:rsidP="005E5E0C">
            <w:pPr>
              <w:spacing w:after="0"/>
              <w:jc w:val="right"/>
              <w:rPr>
                <w:rFonts w:cs="Arial"/>
                <w:sz w:val="18"/>
                <w:szCs w:val="18"/>
              </w:rPr>
            </w:pPr>
            <w:r w:rsidRPr="006D688A">
              <w:rPr>
                <w:rFonts w:cs="Arial"/>
                <w:sz w:val="18"/>
                <w:szCs w:val="18"/>
              </w:rPr>
              <w:t>2023</w:t>
            </w:r>
          </w:p>
        </w:tc>
        <w:tc>
          <w:tcPr>
            <w:tcW w:w="236" w:type="dxa"/>
            <w:tcBorders>
              <w:top w:val="nil"/>
              <w:left w:val="nil"/>
              <w:bottom w:val="nil"/>
              <w:right w:val="nil"/>
            </w:tcBorders>
            <w:shd w:val="clear" w:color="FFFFFF" w:fill="FFFFFF"/>
            <w:noWrap/>
            <w:vAlign w:val="bottom"/>
            <w:hideMark/>
          </w:tcPr>
          <w:p w14:paraId="3219DD82"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2553A3B0" w14:textId="77777777" w:rsidR="00520333" w:rsidRPr="006D688A" w:rsidRDefault="00520333" w:rsidP="005E5E0C">
            <w:pPr>
              <w:spacing w:after="0"/>
              <w:jc w:val="right"/>
              <w:rPr>
                <w:rFonts w:cs="Arial"/>
                <w:color w:val="6B2976"/>
                <w:sz w:val="18"/>
                <w:szCs w:val="18"/>
              </w:rPr>
            </w:pPr>
            <w:r w:rsidRPr="006D688A">
              <w:rPr>
                <w:rFonts w:cs="Arial"/>
                <w:color w:val="6B2976"/>
                <w:sz w:val="18"/>
                <w:szCs w:val="18"/>
              </w:rPr>
              <w:t>2024</w:t>
            </w:r>
          </w:p>
        </w:tc>
      </w:tr>
      <w:tr w:rsidR="00520333" w:rsidRPr="006D688A" w14:paraId="7EB39CE8" w14:textId="77777777" w:rsidTr="005E5E0C">
        <w:trPr>
          <w:trHeight w:val="270"/>
        </w:trPr>
        <w:tc>
          <w:tcPr>
            <w:tcW w:w="4224" w:type="dxa"/>
            <w:tcBorders>
              <w:top w:val="nil"/>
              <w:left w:val="nil"/>
              <w:bottom w:val="single" w:sz="8" w:space="0" w:color="800080"/>
              <w:right w:val="nil"/>
            </w:tcBorders>
            <w:shd w:val="clear" w:color="FFFFFF" w:fill="FFFFFF"/>
            <w:noWrap/>
            <w:vAlign w:val="bottom"/>
            <w:hideMark/>
          </w:tcPr>
          <w:p w14:paraId="727E3B05" w14:textId="77777777" w:rsidR="00520333" w:rsidRPr="006D688A" w:rsidRDefault="00520333" w:rsidP="005E5E0C">
            <w:pPr>
              <w:spacing w:after="0"/>
              <w:rPr>
                <w:rFonts w:cs="Arial"/>
                <w:sz w:val="18"/>
                <w:szCs w:val="18"/>
              </w:rPr>
            </w:pPr>
            <w:r w:rsidRPr="006D688A">
              <w:rPr>
                <w:rFonts w:cs="Arial"/>
                <w:sz w:val="18"/>
                <w:szCs w:val="18"/>
              </w:rPr>
              <w:t> </w:t>
            </w:r>
          </w:p>
        </w:tc>
        <w:tc>
          <w:tcPr>
            <w:tcW w:w="1273" w:type="dxa"/>
            <w:tcBorders>
              <w:top w:val="nil"/>
              <w:left w:val="nil"/>
              <w:bottom w:val="single" w:sz="8" w:space="0" w:color="800080"/>
              <w:right w:val="nil"/>
            </w:tcBorders>
            <w:shd w:val="clear" w:color="FFFFFF" w:fill="FFFFFF"/>
            <w:noWrap/>
            <w:vAlign w:val="bottom"/>
            <w:hideMark/>
          </w:tcPr>
          <w:p w14:paraId="6FAB1923" w14:textId="77777777" w:rsidR="00520333" w:rsidRPr="006D688A" w:rsidRDefault="00520333" w:rsidP="005E5E0C">
            <w:pPr>
              <w:spacing w:after="0"/>
              <w:jc w:val="center"/>
              <w:rPr>
                <w:rFonts w:cs="Arial"/>
                <w:b/>
                <w:bCs/>
                <w:sz w:val="18"/>
                <w:szCs w:val="18"/>
              </w:rPr>
            </w:pPr>
            <w:r w:rsidRPr="006D688A">
              <w:rPr>
                <w:rFonts w:cs="Arial"/>
                <w:b/>
                <w:bCs/>
                <w:sz w:val="18"/>
                <w:szCs w:val="18"/>
              </w:rPr>
              <w:t>Notes</w:t>
            </w:r>
          </w:p>
        </w:tc>
        <w:tc>
          <w:tcPr>
            <w:tcW w:w="1046" w:type="dxa"/>
            <w:tcBorders>
              <w:top w:val="nil"/>
              <w:left w:val="nil"/>
              <w:bottom w:val="single" w:sz="8" w:space="0" w:color="800080"/>
              <w:right w:val="nil"/>
            </w:tcBorders>
            <w:shd w:val="clear" w:color="FFFFFF" w:fill="FFFFFF"/>
            <w:noWrap/>
            <w:vAlign w:val="bottom"/>
            <w:hideMark/>
          </w:tcPr>
          <w:p w14:paraId="11F04A54" w14:textId="77777777" w:rsidR="00520333" w:rsidRPr="006D688A" w:rsidRDefault="00520333" w:rsidP="005E5E0C">
            <w:pPr>
              <w:spacing w:after="0"/>
              <w:jc w:val="right"/>
              <w:rPr>
                <w:rFonts w:cs="Arial"/>
                <w:b/>
                <w:bCs/>
                <w:sz w:val="18"/>
                <w:szCs w:val="18"/>
              </w:rPr>
            </w:pPr>
            <w:r w:rsidRPr="006D688A">
              <w:rPr>
                <w:rFonts w:cs="Arial"/>
                <w:b/>
                <w:bCs/>
                <w:sz w:val="18"/>
                <w:szCs w:val="18"/>
              </w:rPr>
              <w:t>$'000</w:t>
            </w:r>
          </w:p>
        </w:tc>
        <w:tc>
          <w:tcPr>
            <w:tcW w:w="236" w:type="dxa"/>
            <w:tcBorders>
              <w:top w:val="nil"/>
              <w:left w:val="nil"/>
              <w:bottom w:val="single" w:sz="8" w:space="0" w:color="800080"/>
              <w:right w:val="nil"/>
            </w:tcBorders>
            <w:shd w:val="clear" w:color="FFFFFF" w:fill="FFFFFF"/>
            <w:noWrap/>
            <w:vAlign w:val="bottom"/>
            <w:hideMark/>
          </w:tcPr>
          <w:p w14:paraId="4A6040AC"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single" w:sz="8" w:space="0" w:color="800080"/>
              <w:right w:val="nil"/>
            </w:tcBorders>
            <w:shd w:val="clear" w:color="FFFFFF" w:fill="FFFFFF"/>
            <w:noWrap/>
            <w:vAlign w:val="bottom"/>
            <w:hideMark/>
          </w:tcPr>
          <w:p w14:paraId="699DDD40" w14:textId="77777777" w:rsidR="00520333" w:rsidRPr="006D688A" w:rsidRDefault="00520333" w:rsidP="005E5E0C">
            <w:pPr>
              <w:spacing w:after="0"/>
              <w:jc w:val="right"/>
              <w:rPr>
                <w:rFonts w:cs="Arial"/>
                <w:sz w:val="18"/>
                <w:szCs w:val="18"/>
              </w:rPr>
            </w:pPr>
            <w:r w:rsidRPr="006D688A">
              <w:rPr>
                <w:rFonts w:cs="Arial"/>
                <w:sz w:val="18"/>
                <w:szCs w:val="18"/>
              </w:rPr>
              <w:t>$'000</w:t>
            </w:r>
          </w:p>
        </w:tc>
        <w:tc>
          <w:tcPr>
            <w:tcW w:w="236" w:type="dxa"/>
            <w:tcBorders>
              <w:top w:val="nil"/>
              <w:left w:val="nil"/>
              <w:bottom w:val="single" w:sz="8" w:space="0" w:color="800080"/>
              <w:right w:val="nil"/>
            </w:tcBorders>
            <w:shd w:val="clear" w:color="FFFFFF" w:fill="FFFFFF"/>
            <w:noWrap/>
            <w:vAlign w:val="bottom"/>
            <w:hideMark/>
          </w:tcPr>
          <w:p w14:paraId="683DC720"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single" w:sz="8" w:space="0" w:color="800080"/>
              <w:right w:val="nil"/>
            </w:tcBorders>
            <w:shd w:val="clear" w:color="FFFFFF" w:fill="FFFFFF"/>
            <w:noWrap/>
            <w:vAlign w:val="bottom"/>
            <w:hideMark/>
          </w:tcPr>
          <w:p w14:paraId="250CFF87" w14:textId="77777777" w:rsidR="00520333" w:rsidRPr="006D688A" w:rsidRDefault="00520333" w:rsidP="005E5E0C">
            <w:pPr>
              <w:spacing w:after="0"/>
              <w:jc w:val="right"/>
              <w:rPr>
                <w:rFonts w:cs="Arial"/>
                <w:color w:val="6B2976"/>
                <w:sz w:val="18"/>
                <w:szCs w:val="18"/>
              </w:rPr>
            </w:pPr>
            <w:r w:rsidRPr="006D688A">
              <w:rPr>
                <w:rFonts w:cs="Arial"/>
                <w:color w:val="6B2976"/>
                <w:sz w:val="18"/>
                <w:szCs w:val="18"/>
              </w:rPr>
              <w:t>$'000</w:t>
            </w:r>
          </w:p>
        </w:tc>
      </w:tr>
      <w:tr w:rsidR="00520333" w:rsidRPr="006D688A" w14:paraId="3F5072A6" w14:textId="77777777" w:rsidTr="005E5E0C">
        <w:trPr>
          <w:trHeight w:val="250"/>
        </w:trPr>
        <w:tc>
          <w:tcPr>
            <w:tcW w:w="4224" w:type="dxa"/>
            <w:tcBorders>
              <w:top w:val="nil"/>
              <w:left w:val="nil"/>
              <w:bottom w:val="nil"/>
              <w:right w:val="nil"/>
            </w:tcBorders>
            <w:shd w:val="clear" w:color="FFFFFF" w:fill="FFFFFF"/>
            <w:vAlign w:val="bottom"/>
            <w:hideMark/>
          </w:tcPr>
          <w:p w14:paraId="4B975955" w14:textId="77777777" w:rsidR="00520333" w:rsidRPr="006D688A" w:rsidRDefault="00520333" w:rsidP="005E5E0C">
            <w:pPr>
              <w:spacing w:after="0"/>
              <w:rPr>
                <w:rFonts w:cs="Arial"/>
                <w:b/>
                <w:bCs/>
                <w:sz w:val="18"/>
                <w:szCs w:val="18"/>
              </w:rPr>
            </w:pPr>
            <w:r w:rsidRPr="006D688A">
              <w:rPr>
                <w:rFonts w:cs="Arial"/>
                <w:b/>
                <w:bCs/>
                <w:sz w:val="18"/>
                <w:szCs w:val="18"/>
              </w:rPr>
              <w:t>ASSETS</w:t>
            </w:r>
          </w:p>
        </w:tc>
        <w:tc>
          <w:tcPr>
            <w:tcW w:w="1273" w:type="dxa"/>
            <w:tcBorders>
              <w:top w:val="nil"/>
              <w:left w:val="nil"/>
              <w:bottom w:val="nil"/>
              <w:right w:val="nil"/>
            </w:tcBorders>
            <w:shd w:val="clear" w:color="FFFFFF" w:fill="FFFFFF"/>
            <w:noWrap/>
            <w:vAlign w:val="bottom"/>
            <w:hideMark/>
          </w:tcPr>
          <w:p w14:paraId="084ADED6"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46" w:type="dxa"/>
            <w:tcBorders>
              <w:top w:val="nil"/>
              <w:left w:val="nil"/>
              <w:bottom w:val="nil"/>
              <w:right w:val="nil"/>
            </w:tcBorders>
            <w:shd w:val="clear" w:color="FFFFFF" w:fill="FFFFFF"/>
            <w:noWrap/>
            <w:vAlign w:val="bottom"/>
            <w:hideMark/>
          </w:tcPr>
          <w:p w14:paraId="3B5359C3"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07A75327"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392DB352"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29451473"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5A2E5A70" w14:textId="77777777" w:rsidR="00520333" w:rsidRPr="006D688A" w:rsidRDefault="00520333" w:rsidP="005E5E0C">
            <w:pPr>
              <w:spacing w:after="0"/>
              <w:rPr>
                <w:rFonts w:cs="Arial"/>
                <w:sz w:val="18"/>
                <w:szCs w:val="18"/>
              </w:rPr>
            </w:pPr>
            <w:r w:rsidRPr="006D688A">
              <w:rPr>
                <w:rFonts w:cs="Arial"/>
                <w:sz w:val="18"/>
                <w:szCs w:val="18"/>
              </w:rPr>
              <w:t> </w:t>
            </w:r>
          </w:p>
        </w:tc>
      </w:tr>
      <w:tr w:rsidR="00520333" w:rsidRPr="006D688A" w14:paraId="3558CB4D" w14:textId="77777777" w:rsidTr="005E5E0C">
        <w:trPr>
          <w:trHeight w:val="250"/>
        </w:trPr>
        <w:tc>
          <w:tcPr>
            <w:tcW w:w="4224" w:type="dxa"/>
            <w:tcBorders>
              <w:top w:val="nil"/>
              <w:left w:val="nil"/>
              <w:bottom w:val="nil"/>
              <w:right w:val="nil"/>
            </w:tcBorders>
            <w:shd w:val="clear" w:color="FFFFFF" w:fill="FFFFFF"/>
            <w:vAlign w:val="bottom"/>
            <w:hideMark/>
          </w:tcPr>
          <w:p w14:paraId="0C4B1CBB" w14:textId="77777777" w:rsidR="00520333" w:rsidRPr="006D688A" w:rsidRDefault="00520333" w:rsidP="005E5E0C">
            <w:pPr>
              <w:spacing w:after="0"/>
              <w:rPr>
                <w:rFonts w:cs="Arial"/>
                <w:b/>
                <w:bCs/>
                <w:sz w:val="18"/>
                <w:szCs w:val="18"/>
              </w:rPr>
            </w:pPr>
            <w:r w:rsidRPr="006D688A">
              <w:rPr>
                <w:rFonts w:cs="Arial"/>
                <w:b/>
                <w:bCs/>
                <w:sz w:val="18"/>
                <w:szCs w:val="18"/>
              </w:rPr>
              <w:t>Financial assets</w:t>
            </w:r>
          </w:p>
        </w:tc>
        <w:tc>
          <w:tcPr>
            <w:tcW w:w="1273" w:type="dxa"/>
            <w:tcBorders>
              <w:top w:val="nil"/>
              <w:left w:val="nil"/>
              <w:bottom w:val="nil"/>
              <w:right w:val="nil"/>
            </w:tcBorders>
            <w:shd w:val="clear" w:color="FFFFFF" w:fill="FFFFFF"/>
            <w:noWrap/>
            <w:vAlign w:val="bottom"/>
            <w:hideMark/>
          </w:tcPr>
          <w:p w14:paraId="3899DDEB"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46" w:type="dxa"/>
            <w:tcBorders>
              <w:top w:val="nil"/>
              <w:left w:val="nil"/>
              <w:bottom w:val="nil"/>
              <w:right w:val="nil"/>
            </w:tcBorders>
            <w:shd w:val="clear" w:color="FFFFFF" w:fill="FFFFFF"/>
            <w:noWrap/>
            <w:vAlign w:val="bottom"/>
            <w:hideMark/>
          </w:tcPr>
          <w:p w14:paraId="01E34BC1"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07DDD441"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64246A60"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6411CE83"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1A2C6CDB" w14:textId="77777777" w:rsidR="00520333" w:rsidRPr="006D688A" w:rsidRDefault="00520333" w:rsidP="005E5E0C">
            <w:pPr>
              <w:spacing w:after="0"/>
              <w:rPr>
                <w:rFonts w:cs="Arial"/>
                <w:sz w:val="18"/>
                <w:szCs w:val="18"/>
              </w:rPr>
            </w:pPr>
            <w:r w:rsidRPr="006D688A">
              <w:rPr>
                <w:rFonts w:cs="Arial"/>
                <w:sz w:val="18"/>
                <w:szCs w:val="18"/>
              </w:rPr>
              <w:t> </w:t>
            </w:r>
          </w:p>
        </w:tc>
      </w:tr>
      <w:tr w:rsidR="00520333" w:rsidRPr="006D688A" w14:paraId="4DEBFB14" w14:textId="77777777" w:rsidTr="005E5E0C">
        <w:trPr>
          <w:trHeight w:val="250"/>
        </w:trPr>
        <w:tc>
          <w:tcPr>
            <w:tcW w:w="4224" w:type="dxa"/>
            <w:tcBorders>
              <w:top w:val="nil"/>
              <w:left w:val="nil"/>
              <w:bottom w:val="nil"/>
              <w:right w:val="nil"/>
            </w:tcBorders>
            <w:shd w:val="clear" w:color="FFFFFF" w:fill="FFFFFF"/>
            <w:vAlign w:val="bottom"/>
            <w:hideMark/>
          </w:tcPr>
          <w:p w14:paraId="2A7C163A" w14:textId="77777777" w:rsidR="00520333" w:rsidRPr="006D688A" w:rsidRDefault="00520333" w:rsidP="005E5E0C">
            <w:pPr>
              <w:spacing w:after="0"/>
              <w:ind w:firstLineChars="100" w:firstLine="180"/>
              <w:rPr>
                <w:rFonts w:cs="Arial"/>
                <w:sz w:val="18"/>
                <w:szCs w:val="18"/>
              </w:rPr>
            </w:pPr>
            <w:r w:rsidRPr="006D688A">
              <w:rPr>
                <w:rFonts w:cs="Arial"/>
                <w:sz w:val="18"/>
                <w:szCs w:val="18"/>
              </w:rPr>
              <w:t>Cash and cash equivalents</w:t>
            </w:r>
          </w:p>
        </w:tc>
        <w:tc>
          <w:tcPr>
            <w:tcW w:w="1273" w:type="dxa"/>
            <w:tcBorders>
              <w:top w:val="nil"/>
              <w:left w:val="nil"/>
              <w:bottom w:val="nil"/>
              <w:right w:val="nil"/>
            </w:tcBorders>
            <w:shd w:val="clear" w:color="FFFFFF" w:fill="FFFFFF"/>
            <w:noWrap/>
            <w:vAlign w:val="bottom"/>
            <w:hideMark/>
          </w:tcPr>
          <w:p w14:paraId="756D6CF5" w14:textId="77777777" w:rsidR="00520333" w:rsidRPr="006D688A" w:rsidRDefault="00520333" w:rsidP="005E5E0C">
            <w:pPr>
              <w:spacing w:after="0"/>
              <w:jc w:val="center"/>
              <w:rPr>
                <w:rFonts w:cs="Arial"/>
                <w:sz w:val="18"/>
                <w:szCs w:val="18"/>
              </w:rPr>
            </w:pPr>
            <w:r w:rsidRPr="006D688A">
              <w:rPr>
                <w:rFonts w:cs="Arial"/>
                <w:sz w:val="18"/>
                <w:szCs w:val="18"/>
              </w:rPr>
              <w:t>2.1A</w:t>
            </w:r>
          </w:p>
        </w:tc>
        <w:tc>
          <w:tcPr>
            <w:tcW w:w="1046" w:type="dxa"/>
            <w:tcBorders>
              <w:top w:val="nil"/>
              <w:left w:val="nil"/>
              <w:bottom w:val="nil"/>
              <w:right w:val="nil"/>
            </w:tcBorders>
            <w:shd w:val="clear" w:color="FFFFFF" w:fill="FFFFFF"/>
            <w:noWrap/>
            <w:vAlign w:val="bottom"/>
            <w:hideMark/>
          </w:tcPr>
          <w:p w14:paraId="01F9F48F" w14:textId="77777777" w:rsidR="00520333" w:rsidRPr="006D688A" w:rsidRDefault="00520333" w:rsidP="005E5E0C">
            <w:pPr>
              <w:spacing w:after="0"/>
              <w:jc w:val="right"/>
              <w:rPr>
                <w:rFonts w:cs="Arial"/>
                <w:b/>
                <w:bCs/>
                <w:sz w:val="18"/>
                <w:szCs w:val="18"/>
              </w:rPr>
            </w:pPr>
            <w:r w:rsidRPr="006D688A">
              <w:rPr>
                <w:rFonts w:cs="Arial"/>
                <w:b/>
                <w:bCs/>
                <w:sz w:val="18"/>
                <w:szCs w:val="18"/>
              </w:rPr>
              <w:t>5,659,548</w:t>
            </w:r>
          </w:p>
        </w:tc>
        <w:tc>
          <w:tcPr>
            <w:tcW w:w="236" w:type="dxa"/>
            <w:tcBorders>
              <w:top w:val="nil"/>
              <w:left w:val="nil"/>
              <w:bottom w:val="nil"/>
              <w:right w:val="nil"/>
            </w:tcBorders>
            <w:shd w:val="clear" w:color="FFFFFF" w:fill="FFFFFF"/>
            <w:noWrap/>
            <w:vAlign w:val="bottom"/>
            <w:hideMark/>
          </w:tcPr>
          <w:p w14:paraId="6D27C7AC"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2A23F465" w14:textId="77777777" w:rsidR="00520333" w:rsidRPr="006D688A" w:rsidRDefault="00520333" w:rsidP="005E5E0C">
            <w:pPr>
              <w:spacing w:after="0"/>
              <w:jc w:val="right"/>
              <w:rPr>
                <w:rFonts w:cs="Arial"/>
                <w:sz w:val="18"/>
                <w:szCs w:val="18"/>
              </w:rPr>
            </w:pPr>
            <w:r w:rsidRPr="006D688A">
              <w:rPr>
                <w:rFonts w:cs="Arial"/>
                <w:sz w:val="18"/>
                <w:szCs w:val="18"/>
              </w:rPr>
              <w:t>2,729,779</w:t>
            </w:r>
          </w:p>
        </w:tc>
        <w:tc>
          <w:tcPr>
            <w:tcW w:w="236" w:type="dxa"/>
            <w:tcBorders>
              <w:top w:val="nil"/>
              <w:left w:val="nil"/>
              <w:bottom w:val="nil"/>
              <w:right w:val="nil"/>
            </w:tcBorders>
            <w:shd w:val="clear" w:color="FFFFFF" w:fill="FFFFFF"/>
            <w:noWrap/>
            <w:vAlign w:val="bottom"/>
            <w:hideMark/>
          </w:tcPr>
          <w:p w14:paraId="40638841"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456EFCFB" w14:textId="77777777" w:rsidR="00520333" w:rsidRPr="006D688A" w:rsidRDefault="00520333" w:rsidP="005E5E0C">
            <w:pPr>
              <w:spacing w:after="0"/>
              <w:jc w:val="right"/>
              <w:rPr>
                <w:rFonts w:cs="Arial"/>
                <w:sz w:val="18"/>
                <w:szCs w:val="18"/>
              </w:rPr>
            </w:pPr>
            <w:r w:rsidRPr="006D688A">
              <w:rPr>
                <w:rFonts w:cs="Arial"/>
                <w:sz w:val="18"/>
                <w:szCs w:val="18"/>
              </w:rPr>
              <w:t>850,000</w:t>
            </w:r>
          </w:p>
        </w:tc>
      </w:tr>
      <w:tr w:rsidR="00520333" w:rsidRPr="006D688A" w14:paraId="11ABAEE8" w14:textId="77777777" w:rsidTr="005E5E0C">
        <w:trPr>
          <w:trHeight w:val="250"/>
        </w:trPr>
        <w:tc>
          <w:tcPr>
            <w:tcW w:w="4224" w:type="dxa"/>
            <w:tcBorders>
              <w:top w:val="nil"/>
              <w:left w:val="nil"/>
              <w:bottom w:val="nil"/>
              <w:right w:val="nil"/>
            </w:tcBorders>
            <w:shd w:val="clear" w:color="FFFFFF" w:fill="FFFFFF"/>
            <w:vAlign w:val="bottom"/>
            <w:hideMark/>
          </w:tcPr>
          <w:p w14:paraId="710C1C8F" w14:textId="77777777" w:rsidR="00520333" w:rsidRPr="006D688A" w:rsidRDefault="00520333" w:rsidP="005E5E0C">
            <w:pPr>
              <w:spacing w:after="0"/>
              <w:ind w:firstLineChars="100" w:firstLine="180"/>
              <w:rPr>
                <w:rFonts w:cs="Arial"/>
                <w:sz w:val="18"/>
                <w:szCs w:val="18"/>
              </w:rPr>
            </w:pPr>
            <w:r w:rsidRPr="006D688A">
              <w:rPr>
                <w:rFonts w:cs="Arial"/>
                <w:sz w:val="18"/>
                <w:szCs w:val="18"/>
              </w:rPr>
              <w:t>Trade and other receivables</w:t>
            </w:r>
          </w:p>
        </w:tc>
        <w:tc>
          <w:tcPr>
            <w:tcW w:w="1273" w:type="dxa"/>
            <w:tcBorders>
              <w:top w:val="nil"/>
              <w:left w:val="nil"/>
              <w:bottom w:val="nil"/>
              <w:right w:val="nil"/>
            </w:tcBorders>
            <w:shd w:val="clear" w:color="FFFFFF" w:fill="FFFFFF"/>
            <w:noWrap/>
            <w:vAlign w:val="bottom"/>
            <w:hideMark/>
          </w:tcPr>
          <w:p w14:paraId="78B0822C" w14:textId="77777777" w:rsidR="00520333" w:rsidRPr="006D688A" w:rsidRDefault="00520333" w:rsidP="005E5E0C">
            <w:pPr>
              <w:spacing w:after="0"/>
              <w:jc w:val="center"/>
              <w:rPr>
                <w:rFonts w:cs="Arial"/>
                <w:sz w:val="18"/>
                <w:szCs w:val="18"/>
              </w:rPr>
            </w:pPr>
            <w:r w:rsidRPr="006D688A">
              <w:rPr>
                <w:rFonts w:cs="Arial"/>
                <w:sz w:val="18"/>
                <w:szCs w:val="18"/>
              </w:rPr>
              <w:t>2.1B</w:t>
            </w:r>
          </w:p>
        </w:tc>
        <w:tc>
          <w:tcPr>
            <w:tcW w:w="1046" w:type="dxa"/>
            <w:tcBorders>
              <w:top w:val="nil"/>
              <w:left w:val="nil"/>
              <w:bottom w:val="nil"/>
              <w:right w:val="nil"/>
            </w:tcBorders>
            <w:shd w:val="clear" w:color="FFFFFF" w:fill="FFFFFF"/>
            <w:noWrap/>
            <w:vAlign w:val="bottom"/>
            <w:hideMark/>
          </w:tcPr>
          <w:p w14:paraId="267EC54D" w14:textId="77777777" w:rsidR="00520333" w:rsidRPr="006D688A" w:rsidRDefault="00520333" w:rsidP="005E5E0C">
            <w:pPr>
              <w:spacing w:after="0"/>
              <w:jc w:val="right"/>
              <w:rPr>
                <w:rFonts w:cs="Arial"/>
                <w:b/>
                <w:bCs/>
                <w:sz w:val="18"/>
                <w:szCs w:val="18"/>
              </w:rPr>
            </w:pPr>
            <w:r w:rsidRPr="006D688A">
              <w:rPr>
                <w:rFonts w:cs="Arial"/>
                <w:b/>
                <w:bCs/>
                <w:sz w:val="18"/>
                <w:szCs w:val="18"/>
              </w:rPr>
              <w:t>99,994</w:t>
            </w:r>
          </w:p>
        </w:tc>
        <w:tc>
          <w:tcPr>
            <w:tcW w:w="236" w:type="dxa"/>
            <w:tcBorders>
              <w:top w:val="nil"/>
              <w:left w:val="nil"/>
              <w:bottom w:val="nil"/>
              <w:right w:val="nil"/>
            </w:tcBorders>
            <w:shd w:val="clear" w:color="FFFFFF" w:fill="FFFFFF"/>
            <w:noWrap/>
            <w:vAlign w:val="bottom"/>
            <w:hideMark/>
          </w:tcPr>
          <w:p w14:paraId="6863E36D"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5B18BF3D" w14:textId="77777777" w:rsidR="00520333" w:rsidRPr="006D688A" w:rsidRDefault="00520333" w:rsidP="005E5E0C">
            <w:pPr>
              <w:spacing w:after="0"/>
              <w:jc w:val="right"/>
              <w:rPr>
                <w:rFonts w:cs="Arial"/>
                <w:sz w:val="18"/>
                <w:szCs w:val="18"/>
              </w:rPr>
            </w:pPr>
            <w:r w:rsidRPr="006D688A">
              <w:rPr>
                <w:rFonts w:cs="Arial"/>
                <w:sz w:val="18"/>
                <w:szCs w:val="18"/>
              </w:rPr>
              <w:t>113,659</w:t>
            </w:r>
          </w:p>
        </w:tc>
        <w:tc>
          <w:tcPr>
            <w:tcW w:w="236" w:type="dxa"/>
            <w:tcBorders>
              <w:top w:val="nil"/>
              <w:left w:val="nil"/>
              <w:bottom w:val="nil"/>
              <w:right w:val="nil"/>
            </w:tcBorders>
            <w:shd w:val="clear" w:color="FFFFFF" w:fill="FFFFFF"/>
            <w:noWrap/>
            <w:vAlign w:val="bottom"/>
            <w:hideMark/>
          </w:tcPr>
          <w:p w14:paraId="5F6D5D8D"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01AAD4A0" w14:textId="77777777" w:rsidR="00520333" w:rsidRPr="006D688A" w:rsidRDefault="00520333" w:rsidP="005E5E0C">
            <w:pPr>
              <w:spacing w:after="0"/>
              <w:jc w:val="right"/>
              <w:rPr>
                <w:rFonts w:cs="Arial"/>
                <w:sz w:val="18"/>
                <w:szCs w:val="18"/>
              </w:rPr>
            </w:pPr>
            <w:r w:rsidRPr="006D688A">
              <w:rPr>
                <w:rFonts w:cs="Arial"/>
                <w:sz w:val="18"/>
                <w:szCs w:val="18"/>
              </w:rPr>
              <w:t>42,068</w:t>
            </w:r>
          </w:p>
        </w:tc>
      </w:tr>
      <w:tr w:rsidR="00520333" w:rsidRPr="006D688A" w14:paraId="706A1B74" w14:textId="77777777" w:rsidTr="005E5E0C">
        <w:trPr>
          <w:trHeight w:val="250"/>
        </w:trPr>
        <w:tc>
          <w:tcPr>
            <w:tcW w:w="4224" w:type="dxa"/>
            <w:tcBorders>
              <w:top w:val="nil"/>
              <w:left w:val="nil"/>
              <w:bottom w:val="nil"/>
              <w:right w:val="nil"/>
            </w:tcBorders>
            <w:shd w:val="clear" w:color="FFFFFF" w:fill="FFFFFF"/>
            <w:vAlign w:val="bottom"/>
            <w:hideMark/>
          </w:tcPr>
          <w:p w14:paraId="0261B748" w14:textId="77777777" w:rsidR="00520333" w:rsidRPr="006D688A" w:rsidRDefault="00520333" w:rsidP="005E5E0C">
            <w:pPr>
              <w:spacing w:after="0"/>
              <w:ind w:firstLineChars="100" w:firstLine="180"/>
              <w:rPr>
                <w:rFonts w:cs="Arial"/>
                <w:sz w:val="18"/>
                <w:szCs w:val="18"/>
              </w:rPr>
            </w:pPr>
            <w:r w:rsidRPr="006D688A">
              <w:rPr>
                <w:rFonts w:cs="Arial"/>
                <w:sz w:val="18"/>
                <w:szCs w:val="18"/>
              </w:rPr>
              <w:t>Other financial assets - term deposits</w:t>
            </w:r>
          </w:p>
        </w:tc>
        <w:tc>
          <w:tcPr>
            <w:tcW w:w="1273" w:type="dxa"/>
            <w:tcBorders>
              <w:top w:val="nil"/>
              <w:left w:val="nil"/>
              <w:bottom w:val="nil"/>
              <w:right w:val="nil"/>
            </w:tcBorders>
            <w:shd w:val="clear" w:color="FFFFFF" w:fill="FFFFFF"/>
            <w:noWrap/>
            <w:vAlign w:val="bottom"/>
            <w:hideMark/>
          </w:tcPr>
          <w:p w14:paraId="79C0E3B9" w14:textId="77777777" w:rsidR="00520333" w:rsidRPr="006D688A" w:rsidRDefault="00520333" w:rsidP="005E5E0C">
            <w:pPr>
              <w:spacing w:after="0"/>
              <w:jc w:val="center"/>
              <w:rPr>
                <w:rFonts w:cs="Arial"/>
                <w:sz w:val="18"/>
                <w:szCs w:val="18"/>
              </w:rPr>
            </w:pPr>
            <w:r w:rsidRPr="006D688A">
              <w:rPr>
                <w:rFonts w:cs="Arial"/>
                <w:sz w:val="18"/>
                <w:szCs w:val="18"/>
              </w:rPr>
              <w:t>2.1C</w:t>
            </w:r>
          </w:p>
        </w:tc>
        <w:tc>
          <w:tcPr>
            <w:tcW w:w="1046" w:type="dxa"/>
            <w:tcBorders>
              <w:top w:val="nil"/>
              <w:left w:val="nil"/>
              <w:bottom w:val="nil"/>
              <w:right w:val="nil"/>
            </w:tcBorders>
            <w:shd w:val="clear" w:color="FFFFFF" w:fill="FFFFFF"/>
            <w:noWrap/>
            <w:vAlign w:val="bottom"/>
            <w:hideMark/>
          </w:tcPr>
          <w:p w14:paraId="77ED349B" w14:textId="77777777" w:rsidR="00520333" w:rsidRPr="006D688A" w:rsidRDefault="00520333" w:rsidP="005E5E0C">
            <w:pPr>
              <w:spacing w:after="0"/>
              <w:jc w:val="right"/>
              <w:rPr>
                <w:rFonts w:cs="Arial"/>
                <w:b/>
                <w:bCs/>
                <w:sz w:val="18"/>
                <w:szCs w:val="18"/>
              </w:rPr>
            </w:pPr>
            <w:r w:rsidRPr="006D688A">
              <w:rPr>
                <w:rFonts w:cs="Arial"/>
                <w:b/>
                <w:bCs/>
                <w:sz w:val="18"/>
                <w:szCs w:val="18"/>
              </w:rPr>
              <w:t>-</w:t>
            </w:r>
          </w:p>
        </w:tc>
        <w:tc>
          <w:tcPr>
            <w:tcW w:w="236" w:type="dxa"/>
            <w:tcBorders>
              <w:top w:val="nil"/>
              <w:left w:val="nil"/>
              <w:bottom w:val="nil"/>
              <w:right w:val="nil"/>
            </w:tcBorders>
            <w:shd w:val="clear" w:color="FFFFFF" w:fill="FFFFFF"/>
            <w:noWrap/>
            <w:vAlign w:val="bottom"/>
            <w:hideMark/>
          </w:tcPr>
          <w:p w14:paraId="62080D93"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69FDB690" w14:textId="77777777" w:rsidR="00520333" w:rsidRPr="006D688A" w:rsidRDefault="00520333" w:rsidP="005E5E0C">
            <w:pPr>
              <w:spacing w:after="0"/>
              <w:jc w:val="right"/>
              <w:rPr>
                <w:rFonts w:cs="Arial"/>
                <w:sz w:val="18"/>
                <w:szCs w:val="18"/>
              </w:rPr>
            </w:pPr>
            <w:r w:rsidRPr="006D688A">
              <w:rPr>
                <w:rFonts w:cs="Arial"/>
                <w:sz w:val="18"/>
                <w:szCs w:val="18"/>
              </w:rPr>
              <w:t>1,500,000</w:t>
            </w:r>
          </w:p>
        </w:tc>
        <w:tc>
          <w:tcPr>
            <w:tcW w:w="236" w:type="dxa"/>
            <w:tcBorders>
              <w:top w:val="nil"/>
              <w:left w:val="nil"/>
              <w:bottom w:val="nil"/>
              <w:right w:val="nil"/>
            </w:tcBorders>
            <w:shd w:val="clear" w:color="FFFFFF" w:fill="FFFFFF"/>
            <w:noWrap/>
            <w:vAlign w:val="bottom"/>
            <w:hideMark/>
          </w:tcPr>
          <w:p w14:paraId="45519D4F"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670CC839" w14:textId="77777777" w:rsidR="00520333" w:rsidRPr="006D688A" w:rsidRDefault="00520333" w:rsidP="005E5E0C">
            <w:pPr>
              <w:spacing w:after="0"/>
              <w:jc w:val="right"/>
              <w:rPr>
                <w:rFonts w:cs="Arial"/>
                <w:sz w:val="18"/>
                <w:szCs w:val="18"/>
              </w:rPr>
            </w:pPr>
            <w:r w:rsidRPr="006D688A">
              <w:rPr>
                <w:rFonts w:cs="Arial"/>
                <w:sz w:val="18"/>
                <w:szCs w:val="18"/>
              </w:rPr>
              <w:t>4,838,667</w:t>
            </w:r>
          </w:p>
        </w:tc>
      </w:tr>
      <w:tr w:rsidR="00520333" w:rsidRPr="006D688A" w14:paraId="574A2A64" w14:textId="77777777" w:rsidTr="005E5E0C">
        <w:trPr>
          <w:trHeight w:val="250"/>
        </w:trPr>
        <w:tc>
          <w:tcPr>
            <w:tcW w:w="4224" w:type="dxa"/>
            <w:tcBorders>
              <w:top w:val="nil"/>
              <w:left w:val="nil"/>
              <w:bottom w:val="nil"/>
              <w:right w:val="nil"/>
            </w:tcBorders>
            <w:shd w:val="clear" w:color="FFFFFF" w:fill="FFFFFF"/>
            <w:vAlign w:val="bottom"/>
            <w:hideMark/>
          </w:tcPr>
          <w:p w14:paraId="31AC2ECC" w14:textId="77777777" w:rsidR="00520333" w:rsidRPr="006D688A" w:rsidRDefault="00520333" w:rsidP="005E5E0C">
            <w:pPr>
              <w:spacing w:after="0"/>
              <w:rPr>
                <w:rFonts w:cs="Arial"/>
                <w:b/>
                <w:bCs/>
                <w:sz w:val="18"/>
                <w:szCs w:val="18"/>
              </w:rPr>
            </w:pPr>
            <w:r w:rsidRPr="006D688A">
              <w:rPr>
                <w:rFonts w:cs="Arial"/>
                <w:b/>
                <w:bCs/>
                <w:sz w:val="18"/>
                <w:szCs w:val="18"/>
              </w:rPr>
              <w:t>Total financial assets</w:t>
            </w:r>
          </w:p>
        </w:tc>
        <w:tc>
          <w:tcPr>
            <w:tcW w:w="1273" w:type="dxa"/>
            <w:tcBorders>
              <w:top w:val="nil"/>
              <w:left w:val="nil"/>
              <w:bottom w:val="nil"/>
              <w:right w:val="nil"/>
            </w:tcBorders>
            <w:shd w:val="clear" w:color="FFFFFF" w:fill="FFFFFF"/>
            <w:noWrap/>
            <w:vAlign w:val="bottom"/>
            <w:hideMark/>
          </w:tcPr>
          <w:p w14:paraId="358C131D"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46" w:type="dxa"/>
            <w:tcBorders>
              <w:top w:val="single" w:sz="4" w:space="0" w:color="auto"/>
              <w:left w:val="nil"/>
              <w:bottom w:val="single" w:sz="4" w:space="0" w:color="auto"/>
              <w:right w:val="nil"/>
            </w:tcBorders>
            <w:shd w:val="clear" w:color="FFFFFF" w:fill="FFFFFF"/>
            <w:noWrap/>
            <w:vAlign w:val="bottom"/>
            <w:hideMark/>
          </w:tcPr>
          <w:p w14:paraId="59C6128E" w14:textId="77777777" w:rsidR="00520333" w:rsidRPr="006D688A" w:rsidRDefault="00520333" w:rsidP="005E5E0C">
            <w:pPr>
              <w:spacing w:after="0"/>
              <w:jc w:val="right"/>
              <w:rPr>
                <w:rFonts w:cs="Arial"/>
                <w:b/>
                <w:bCs/>
                <w:sz w:val="18"/>
                <w:szCs w:val="18"/>
              </w:rPr>
            </w:pPr>
            <w:r w:rsidRPr="006D688A">
              <w:rPr>
                <w:rFonts w:cs="Arial"/>
                <w:b/>
                <w:bCs/>
                <w:sz w:val="18"/>
                <w:szCs w:val="18"/>
              </w:rPr>
              <w:t>5,759,542</w:t>
            </w:r>
          </w:p>
        </w:tc>
        <w:tc>
          <w:tcPr>
            <w:tcW w:w="236" w:type="dxa"/>
            <w:tcBorders>
              <w:top w:val="nil"/>
              <w:left w:val="nil"/>
              <w:bottom w:val="nil"/>
              <w:right w:val="nil"/>
            </w:tcBorders>
            <w:shd w:val="clear" w:color="FFFFFF" w:fill="FFFFFF"/>
            <w:noWrap/>
            <w:vAlign w:val="bottom"/>
            <w:hideMark/>
          </w:tcPr>
          <w:p w14:paraId="1EC2B551"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single" w:sz="4" w:space="0" w:color="auto"/>
              <w:left w:val="nil"/>
              <w:bottom w:val="single" w:sz="4" w:space="0" w:color="auto"/>
              <w:right w:val="nil"/>
            </w:tcBorders>
            <w:shd w:val="clear" w:color="FFFFFF" w:fill="FFFFFF"/>
            <w:noWrap/>
            <w:vAlign w:val="bottom"/>
            <w:hideMark/>
          </w:tcPr>
          <w:p w14:paraId="2EB2B533" w14:textId="77777777" w:rsidR="00520333" w:rsidRPr="006D688A" w:rsidRDefault="00520333" w:rsidP="005E5E0C">
            <w:pPr>
              <w:spacing w:after="0"/>
              <w:jc w:val="right"/>
              <w:rPr>
                <w:rFonts w:cs="Arial"/>
                <w:sz w:val="18"/>
                <w:szCs w:val="18"/>
              </w:rPr>
            </w:pPr>
            <w:r w:rsidRPr="006D688A">
              <w:rPr>
                <w:rFonts w:cs="Arial"/>
                <w:sz w:val="18"/>
                <w:szCs w:val="18"/>
              </w:rPr>
              <w:t>4,343,438</w:t>
            </w:r>
          </w:p>
        </w:tc>
        <w:tc>
          <w:tcPr>
            <w:tcW w:w="236" w:type="dxa"/>
            <w:tcBorders>
              <w:top w:val="nil"/>
              <w:left w:val="nil"/>
              <w:bottom w:val="nil"/>
              <w:right w:val="nil"/>
            </w:tcBorders>
            <w:shd w:val="clear" w:color="FFFFFF" w:fill="FFFFFF"/>
            <w:noWrap/>
            <w:vAlign w:val="bottom"/>
            <w:hideMark/>
          </w:tcPr>
          <w:p w14:paraId="18DE3807"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single" w:sz="4" w:space="0" w:color="auto"/>
              <w:left w:val="nil"/>
              <w:bottom w:val="single" w:sz="4" w:space="0" w:color="auto"/>
              <w:right w:val="nil"/>
            </w:tcBorders>
            <w:shd w:val="clear" w:color="FFFFFF" w:fill="FFFFFF"/>
            <w:noWrap/>
            <w:vAlign w:val="bottom"/>
            <w:hideMark/>
          </w:tcPr>
          <w:p w14:paraId="2018177F" w14:textId="77777777" w:rsidR="00520333" w:rsidRPr="006D688A" w:rsidRDefault="00520333" w:rsidP="005E5E0C">
            <w:pPr>
              <w:spacing w:after="0"/>
              <w:jc w:val="right"/>
              <w:rPr>
                <w:rFonts w:cs="Arial"/>
                <w:sz w:val="18"/>
                <w:szCs w:val="18"/>
              </w:rPr>
            </w:pPr>
            <w:r w:rsidRPr="006D688A">
              <w:rPr>
                <w:rFonts w:cs="Arial"/>
                <w:sz w:val="18"/>
                <w:szCs w:val="18"/>
              </w:rPr>
              <w:t>5,730,735</w:t>
            </w:r>
          </w:p>
        </w:tc>
      </w:tr>
      <w:tr w:rsidR="00520333" w:rsidRPr="006D688A" w14:paraId="561C4FA9" w14:textId="77777777" w:rsidTr="005E5E0C">
        <w:trPr>
          <w:trHeight w:val="250"/>
        </w:trPr>
        <w:tc>
          <w:tcPr>
            <w:tcW w:w="4224" w:type="dxa"/>
            <w:tcBorders>
              <w:top w:val="nil"/>
              <w:left w:val="nil"/>
              <w:bottom w:val="nil"/>
              <w:right w:val="nil"/>
            </w:tcBorders>
            <w:shd w:val="clear" w:color="FFFFFF" w:fill="FFFFFF"/>
            <w:noWrap/>
            <w:vAlign w:val="bottom"/>
            <w:hideMark/>
          </w:tcPr>
          <w:p w14:paraId="53493490" w14:textId="77777777" w:rsidR="00520333" w:rsidRPr="006D688A" w:rsidRDefault="00520333" w:rsidP="005E5E0C">
            <w:pPr>
              <w:spacing w:after="0"/>
              <w:rPr>
                <w:rFonts w:cs="Arial"/>
                <w:sz w:val="18"/>
                <w:szCs w:val="18"/>
              </w:rPr>
            </w:pPr>
            <w:r w:rsidRPr="006D688A">
              <w:rPr>
                <w:rFonts w:cs="Arial"/>
                <w:sz w:val="18"/>
                <w:szCs w:val="18"/>
              </w:rPr>
              <w:t> </w:t>
            </w:r>
          </w:p>
        </w:tc>
        <w:tc>
          <w:tcPr>
            <w:tcW w:w="1273" w:type="dxa"/>
            <w:tcBorders>
              <w:top w:val="nil"/>
              <w:left w:val="nil"/>
              <w:bottom w:val="nil"/>
              <w:right w:val="nil"/>
            </w:tcBorders>
            <w:shd w:val="clear" w:color="FFFFFF" w:fill="FFFFFF"/>
            <w:noWrap/>
            <w:vAlign w:val="bottom"/>
            <w:hideMark/>
          </w:tcPr>
          <w:p w14:paraId="3A726A47"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46" w:type="dxa"/>
            <w:tcBorders>
              <w:top w:val="nil"/>
              <w:left w:val="nil"/>
              <w:bottom w:val="nil"/>
              <w:right w:val="nil"/>
            </w:tcBorders>
            <w:shd w:val="clear" w:color="FFFFFF" w:fill="FFFFFF"/>
            <w:noWrap/>
            <w:vAlign w:val="bottom"/>
            <w:hideMark/>
          </w:tcPr>
          <w:p w14:paraId="52640A32"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62E80949"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7AB92FA6"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2D65F65B"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3BA8CF0F" w14:textId="77777777" w:rsidR="00520333" w:rsidRPr="006D688A" w:rsidRDefault="00520333" w:rsidP="005E5E0C">
            <w:pPr>
              <w:spacing w:after="0"/>
              <w:rPr>
                <w:rFonts w:cs="Arial"/>
                <w:sz w:val="18"/>
                <w:szCs w:val="18"/>
              </w:rPr>
            </w:pPr>
            <w:r w:rsidRPr="006D688A">
              <w:rPr>
                <w:rFonts w:cs="Arial"/>
                <w:sz w:val="18"/>
                <w:szCs w:val="18"/>
              </w:rPr>
              <w:t> </w:t>
            </w:r>
          </w:p>
        </w:tc>
      </w:tr>
      <w:tr w:rsidR="00520333" w:rsidRPr="006D688A" w14:paraId="3A4393DE" w14:textId="77777777" w:rsidTr="005E5E0C">
        <w:trPr>
          <w:trHeight w:val="270"/>
        </w:trPr>
        <w:tc>
          <w:tcPr>
            <w:tcW w:w="4224" w:type="dxa"/>
            <w:tcBorders>
              <w:top w:val="nil"/>
              <w:left w:val="nil"/>
              <w:bottom w:val="nil"/>
              <w:right w:val="nil"/>
            </w:tcBorders>
            <w:shd w:val="clear" w:color="FFFFFF" w:fill="FFFFFF"/>
            <w:vAlign w:val="bottom"/>
            <w:hideMark/>
          </w:tcPr>
          <w:p w14:paraId="1728DEBD" w14:textId="77777777" w:rsidR="00520333" w:rsidRPr="006D688A" w:rsidRDefault="00520333" w:rsidP="005E5E0C">
            <w:pPr>
              <w:spacing w:after="0"/>
              <w:rPr>
                <w:rFonts w:cs="Arial"/>
                <w:b/>
                <w:bCs/>
                <w:sz w:val="18"/>
                <w:szCs w:val="18"/>
              </w:rPr>
            </w:pPr>
            <w:r w:rsidRPr="006D688A">
              <w:rPr>
                <w:rFonts w:cs="Arial"/>
                <w:b/>
                <w:bCs/>
                <w:sz w:val="18"/>
                <w:szCs w:val="18"/>
              </w:rPr>
              <w:t>Non-financial assets</w:t>
            </w:r>
          </w:p>
        </w:tc>
        <w:tc>
          <w:tcPr>
            <w:tcW w:w="1273" w:type="dxa"/>
            <w:tcBorders>
              <w:top w:val="nil"/>
              <w:left w:val="nil"/>
              <w:bottom w:val="nil"/>
              <w:right w:val="nil"/>
            </w:tcBorders>
            <w:shd w:val="clear" w:color="FFFFFF" w:fill="FFFFFF"/>
            <w:noWrap/>
            <w:vAlign w:val="bottom"/>
            <w:hideMark/>
          </w:tcPr>
          <w:p w14:paraId="15F5B20F"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46" w:type="dxa"/>
            <w:tcBorders>
              <w:top w:val="nil"/>
              <w:left w:val="nil"/>
              <w:bottom w:val="nil"/>
              <w:right w:val="nil"/>
            </w:tcBorders>
            <w:shd w:val="clear" w:color="FFFFFF" w:fill="FFFFFF"/>
            <w:noWrap/>
            <w:vAlign w:val="bottom"/>
            <w:hideMark/>
          </w:tcPr>
          <w:p w14:paraId="0DBCA22C"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18A638B8"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3BDAB04E"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4FAA626C"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568EAB04" w14:textId="77777777" w:rsidR="00520333" w:rsidRPr="006D688A" w:rsidRDefault="00520333" w:rsidP="005E5E0C">
            <w:pPr>
              <w:spacing w:after="0"/>
              <w:rPr>
                <w:rFonts w:cs="Arial"/>
                <w:sz w:val="18"/>
                <w:szCs w:val="18"/>
              </w:rPr>
            </w:pPr>
            <w:r w:rsidRPr="006D688A">
              <w:rPr>
                <w:rFonts w:cs="Arial"/>
                <w:sz w:val="18"/>
                <w:szCs w:val="18"/>
              </w:rPr>
              <w:t> </w:t>
            </w:r>
          </w:p>
        </w:tc>
      </w:tr>
      <w:tr w:rsidR="00520333" w:rsidRPr="006D688A" w14:paraId="06AAE75A" w14:textId="77777777" w:rsidTr="005E5E0C">
        <w:trPr>
          <w:trHeight w:val="250"/>
        </w:trPr>
        <w:tc>
          <w:tcPr>
            <w:tcW w:w="4224" w:type="dxa"/>
            <w:tcBorders>
              <w:top w:val="nil"/>
              <w:left w:val="nil"/>
              <w:bottom w:val="nil"/>
              <w:right w:val="nil"/>
            </w:tcBorders>
            <w:shd w:val="clear" w:color="FFFFFF" w:fill="FFFFFF"/>
            <w:vAlign w:val="bottom"/>
            <w:hideMark/>
          </w:tcPr>
          <w:p w14:paraId="4D8C7634" w14:textId="77777777" w:rsidR="00520333" w:rsidRPr="006D688A" w:rsidRDefault="00520333" w:rsidP="005E5E0C">
            <w:pPr>
              <w:spacing w:after="0"/>
              <w:ind w:firstLineChars="100" w:firstLine="180"/>
              <w:rPr>
                <w:rFonts w:cs="Arial"/>
                <w:sz w:val="18"/>
                <w:szCs w:val="18"/>
              </w:rPr>
            </w:pPr>
            <w:r w:rsidRPr="006D688A">
              <w:rPr>
                <w:rFonts w:cs="Arial"/>
                <w:sz w:val="18"/>
                <w:szCs w:val="18"/>
              </w:rPr>
              <w:t>Buildings</w:t>
            </w:r>
          </w:p>
        </w:tc>
        <w:tc>
          <w:tcPr>
            <w:tcW w:w="1273" w:type="dxa"/>
            <w:tcBorders>
              <w:top w:val="nil"/>
              <w:left w:val="nil"/>
              <w:bottom w:val="nil"/>
              <w:right w:val="nil"/>
            </w:tcBorders>
            <w:shd w:val="clear" w:color="FFFFFF" w:fill="FFFFFF"/>
            <w:noWrap/>
            <w:vAlign w:val="bottom"/>
            <w:hideMark/>
          </w:tcPr>
          <w:p w14:paraId="209F7877" w14:textId="77777777" w:rsidR="00520333" w:rsidRPr="006D688A" w:rsidRDefault="00520333" w:rsidP="005E5E0C">
            <w:pPr>
              <w:spacing w:after="0"/>
              <w:jc w:val="center"/>
              <w:rPr>
                <w:rFonts w:cs="Arial"/>
                <w:sz w:val="18"/>
                <w:szCs w:val="18"/>
              </w:rPr>
            </w:pPr>
            <w:r w:rsidRPr="006D688A">
              <w:rPr>
                <w:rFonts w:cs="Arial"/>
                <w:sz w:val="18"/>
                <w:szCs w:val="18"/>
              </w:rPr>
              <w:t>2.2A</w:t>
            </w:r>
          </w:p>
        </w:tc>
        <w:tc>
          <w:tcPr>
            <w:tcW w:w="1046" w:type="dxa"/>
            <w:tcBorders>
              <w:top w:val="nil"/>
              <w:left w:val="nil"/>
              <w:bottom w:val="nil"/>
              <w:right w:val="nil"/>
            </w:tcBorders>
            <w:shd w:val="clear" w:color="FFFFFF" w:fill="FFFFFF"/>
            <w:noWrap/>
            <w:vAlign w:val="bottom"/>
            <w:hideMark/>
          </w:tcPr>
          <w:p w14:paraId="20DD4353" w14:textId="77777777" w:rsidR="00520333" w:rsidRPr="006D688A" w:rsidRDefault="00520333" w:rsidP="005E5E0C">
            <w:pPr>
              <w:spacing w:after="0"/>
              <w:jc w:val="right"/>
              <w:rPr>
                <w:rFonts w:cs="Arial"/>
                <w:b/>
                <w:bCs/>
                <w:sz w:val="18"/>
                <w:szCs w:val="18"/>
              </w:rPr>
            </w:pPr>
            <w:r w:rsidRPr="006D688A">
              <w:rPr>
                <w:rFonts w:cs="Arial"/>
                <w:b/>
                <w:bCs/>
                <w:sz w:val="18"/>
                <w:szCs w:val="18"/>
              </w:rPr>
              <w:t>237,892</w:t>
            </w:r>
          </w:p>
        </w:tc>
        <w:tc>
          <w:tcPr>
            <w:tcW w:w="236" w:type="dxa"/>
            <w:tcBorders>
              <w:top w:val="nil"/>
              <w:left w:val="nil"/>
              <w:bottom w:val="nil"/>
              <w:right w:val="nil"/>
            </w:tcBorders>
            <w:shd w:val="clear" w:color="FFFFFF" w:fill="FFFFFF"/>
            <w:noWrap/>
            <w:vAlign w:val="bottom"/>
            <w:hideMark/>
          </w:tcPr>
          <w:p w14:paraId="636C95AD"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57B6F579" w14:textId="77777777" w:rsidR="00520333" w:rsidRPr="006D688A" w:rsidRDefault="00520333" w:rsidP="005E5E0C">
            <w:pPr>
              <w:spacing w:after="0"/>
              <w:jc w:val="right"/>
              <w:rPr>
                <w:rFonts w:cs="Arial"/>
                <w:sz w:val="18"/>
                <w:szCs w:val="18"/>
              </w:rPr>
            </w:pPr>
            <w:r w:rsidRPr="006D688A">
              <w:rPr>
                <w:rFonts w:cs="Arial"/>
                <w:sz w:val="18"/>
                <w:szCs w:val="18"/>
              </w:rPr>
              <w:t>223,813</w:t>
            </w:r>
          </w:p>
        </w:tc>
        <w:tc>
          <w:tcPr>
            <w:tcW w:w="236" w:type="dxa"/>
            <w:tcBorders>
              <w:top w:val="nil"/>
              <w:left w:val="nil"/>
              <w:bottom w:val="nil"/>
              <w:right w:val="nil"/>
            </w:tcBorders>
            <w:shd w:val="clear" w:color="FFFFFF" w:fill="FFFFFF"/>
            <w:noWrap/>
            <w:vAlign w:val="bottom"/>
            <w:hideMark/>
          </w:tcPr>
          <w:p w14:paraId="20F404D1"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4C6981F1" w14:textId="77777777" w:rsidR="00520333" w:rsidRPr="006D688A" w:rsidRDefault="00520333" w:rsidP="005E5E0C">
            <w:pPr>
              <w:spacing w:after="0"/>
              <w:jc w:val="right"/>
              <w:rPr>
                <w:rFonts w:cs="Arial"/>
                <w:sz w:val="18"/>
                <w:szCs w:val="18"/>
              </w:rPr>
            </w:pPr>
            <w:r w:rsidRPr="006D688A">
              <w:rPr>
                <w:rFonts w:cs="Arial"/>
                <w:sz w:val="18"/>
                <w:szCs w:val="18"/>
              </w:rPr>
              <w:t>230,931</w:t>
            </w:r>
          </w:p>
        </w:tc>
      </w:tr>
      <w:tr w:rsidR="00520333" w:rsidRPr="006D688A" w14:paraId="37883C0F" w14:textId="77777777" w:rsidTr="005E5E0C">
        <w:trPr>
          <w:trHeight w:val="250"/>
        </w:trPr>
        <w:tc>
          <w:tcPr>
            <w:tcW w:w="4224" w:type="dxa"/>
            <w:tcBorders>
              <w:top w:val="nil"/>
              <w:left w:val="nil"/>
              <w:bottom w:val="nil"/>
              <w:right w:val="nil"/>
            </w:tcBorders>
            <w:shd w:val="clear" w:color="FFFFFF" w:fill="FFFFFF"/>
            <w:vAlign w:val="bottom"/>
            <w:hideMark/>
          </w:tcPr>
          <w:p w14:paraId="657A1147" w14:textId="77777777" w:rsidR="00520333" w:rsidRPr="006D688A" w:rsidRDefault="00520333" w:rsidP="005E5E0C">
            <w:pPr>
              <w:spacing w:after="0"/>
              <w:ind w:firstLineChars="100" w:firstLine="180"/>
              <w:rPr>
                <w:rFonts w:cs="Arial"/>
                <w:sz w:val="18"/>
                <w:szCs w:val="18"/>
              </w:rPr>
            </w:pPr>
            <w:r w:rsidRPr="006D688A">
              <w:rPr>
                <w:rFonts w:cs="Arial"/>
                <w:sz w:val="18"/>
                <w:szCs w:val="18"/>
              </w:rPr>
              <w:t>Plant and equipment</w:t>
            </w:r>
          </w:p>
        </w:tc>
        <w:tc>
          <w:tcPr>
            <w:tcW w:w="1273" w:type="dxa"/>
            <w:tcBorders>
              <w:top w:val="nil"/>
              <w:left w:val="nil"/>
              <w:bottom w:val="nil"/>
              <w:right w:val="nil"/>
            </w:tcBorders>
            <w:shd w:val="clear" w:color="FFFFFF" w:fill="FFFFFF"/>
            <w:noWrap/>
            <w:vAlign w:val="bottom"/>
            <w:hideMark/>
          </w:tcPr>
          <w:p w14:paraId="16F5C9BB" w14:textId="77777777" w:rsidR="00520333" w:rsidRPr="006D688A" w:rsidRDefault="00520333" w:rsidP="005E5E0C">
            <w:pPr>
              <w:spacing w:after="0"/>
              <w:jc w:val="center"/>
              <w:rPr>
                <w:rFonts w:cs="Arial"/>
                <w:sz w:val="18"/>
                <w:szCs w:val="18"/>
              </w:rPr>
            </w:pPr>
            <w:r w:rsidRPr="006D688A">
              <w:rPr>
                <w:rFonts w:cs="Arial"/>
                <w:sz w:val="18"/>
                <w:szCs w:val="18"/>
              </w:rPr>
              <w:t>2.2A</w:t>
            </w:r>
          </w:p>
        </w:tc>
        <w:tc>
          <w:tcPr>
            <w:tcW w:w="1046" w:type="dxa"/>
            <w:tcBorders>
              <w:top w:val="nil"/>
              <w:left w:val="nil"/>
              <w:bottom w:val="nil"/>
              <w:right w:val="nil"/>
            </w:tcBorders>
            <w:shd w:val="clear" w:color="FFFFFF" w:fill="FFFFFF"/>
            <w:noWrap/>
            <w:vAlign w:val="bottom"/>
            <w:hideMark/>
          </w:tcPr>
          <w:p w14:paraId="6E48C4DA" w14:textId="77777777" w:rsidR="00520333" w:rsidRPr="006D688A" w:rsidRDefault="00520333" w:rsidP="005E5E0C">
            <w:pPr>
              <w:spacing w:after="0"/>
              <w:jc w:val="right"/>
              <w:rPr>
                <w:rFonts w:cs="Arial"/>
                <w:b/>
                <w:bCs/>
                <w:sz w:val="18"/>
                <w:szCs w:val="18"/>
              </w:rPr>
            </w:pPr>
            <w:r w:rsidRPr="006D688A">
              <w:rPr>
                <w:rFonts w:cs="Arial"/>
                <w:b/>
                <w:bCs/>
                <w:sz w:val="18"/>
                <w:szCs w:val="18"/>
              </w:rPr>
              <w:t>9,364</w:t>
            </w:r>
          </w:p>
        </w:tc>
        <w:tc>
          <w:tcPr>
            <w:tcW w:w="236" w:type="dxa"/>
            <w:tcBorders>
              <w:top w:val="nil"/>
              <w:left w:val="nil"/>
              <w:bottom w:val="nil"/>
              <w:right w:val="nil"/>
            </w:tcBorders>
            <w:shd w:val="clear" w:color="FFFFFF" w:fill="FFFFFF"/>
            <w:noWrap/>
            <w:vAlign w:val="bottom"/>
            <w:hideMark/>
          </w:tcPr>
          <w:p w14:paraId="78B4C8B1"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4A8424E9" w14:textId="77777777" w:rsidR="00520333" w:rsidRPr="006D688A" w:rsidRDefault="00520333" w:rsidP="005E5E0C">
            <w:pPr>
              <w:spacing w:after="0"/>
              <w:jc w:val="right"/>
              <w:rPr>
                <w:rFonts w:cs="Arial"/>
                <w:sz w:val="18"/>
                <w:szCs w:val="18"/>
              </w:rPr>
            </w:pPr>
            <w:r w:rsidRPr="006D688A">
              <w:rPr>
                <w:rFonts w:cs="Arial"/>
                <w:sz w:val="18"/>
                <w:szCs w:val="18"/>
              </w:rPr>
              <w:t>9,048</w:t>
            </w:r>
          </w:p>
        </w:tc>
        <w:tc>
          <w:tcPr>
            <w:tcW w:w="236" w:type="dxa"/>
            <w:tcBorders>
              <w:top w:val="nil"/>
              <w:left w:val="nil"/>
              <w:bottom w:val="nil"/>
              <w:right w:val="nil"/>
            </w:tcBorders>
            <w:shd w:val="clear" w:color="FFFFFF" w:fill="FFFFFF"/>
            <w:noWrap/>
            <w:vAlign w:val="bottom"/>
            <w:hideMark/>
          </w:tcPr>
          <w:p w14:paraId="4A88ED2A"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01FF3B07" w14:textId="77777777" w:rsidR="00520333" w:rsidRPr="006D688A" w:rsidRDefault="00520333" w:rsidP="005E5E0C">
            <w:pPr>
              <w:spacing w:after="0"/>
              <w:jc w:val="right"/>
              <w:rPr>
                <w:rFonts w:cs="Arial"/>
                <w:sz w:val="18"/>
                <w:szCs w:val="18"/>
              </w:rPr>
            </w:pPr>
            <w:r w:rsidRPr="006D688A">
              <w:rPr>
                <w:rFonts w:cs="Arial"/>
                <w:sz w:val="18"/>
                <w:szCs w:val="18"/>
              </w:rPr>
              <w:t>9,447</w:t>
            </w:r>
          </w:p>
        </w:tc>
      </w:tr>
      <w:tr w:rsidR="00520333" w:rsidRPr="006D688A" w14:paraId="0FB486E6" w14:textId="77777777" w:rsidTr="005E5E0C">
        <w:trPr>
          <w:trHeight w:val="250"/>
        </w:trPr>
        <w:tc>
          <w:tcPr>
            <w:tcW w:w="4224" w:type="dxa"/>
            <w:tcBorders>
              <w:top w:val="nil"/>
              <w:left w:val="nil"/>
              <w:bottom w:val="nil"/>
              <w:right w:val="nil"/>
            </w:tcBorders>
            <w:shd w:val="clear" w:color="FFFFFF" w:fill="FFFFFF"/>
            <w:vAlign w:val="bottom"/>
            <w:hideMark/>
          </w:tcPr>
          <w:p w14:paraId="0074CDFE" w14:textId="77777777" w:rsidR="00520333" w:rsidRPr="006D688A" w:rsidRDefault="00520333" w:rsidP="005E5E0C">
            <w:pPr>
              <w:spacing w:after="0"/>
              <w:ind w:firstLineChars="100" w:firstLine="180"/>
              <w:rPr>
                <w:rFonts w:cs="Arial"/>
                <w:sz w:val="18"/>
                <w:szCs w:val="18"/>
              </w:rPr>
            </w:pPr>
            <w:r w:rsidRPr="006D688A">
              <w:rPr>
                <w:rFonts w:cs="Arial"/>
                <w:sz w:val="18"/>
                <w:szCs w:val="18"/>
              </w:rPr>
              <w:t>Other non-financial assets</w:t>
            </w:r>
          </w:p>
        </w:tc>
        <w:tc>
          <w:tcPr>
            <w:tcW w:w="1273" w:type="dxa"/>
            <w:tcBorders>
              <w:top w:val="nil"/>
              <w:left w:val="nil"/>
              <w:bottom w:val="nil"/>
              <w:right w:val="nil"/>
            </w:tcBorders>
            <w:shd w:val="clear" w:color="FFFFFF" w:fill="FFFFFF"/>
            <w:noWrap/>
            <w:vAlign w:val="bottom"/>
            <w:hideMark/>
          </w:tcPr>
          <w:p w14:paraId="1C0F38C8" w14:textId="77777777" w:rsidR="00520333" w:rsidRPr="006D688A" w:rsidRDefault="00520333" w:rsidP="005E5E0C">
            <w:pPr>
              <w:spacing w:after="0"/>
              <w:jc w:val="center"/>
              <w:rPr>
                <w:rFonts w:cs="Arial"/>
                <w:sz w:val="18"/>
                <w:szCs w:val="18"/>
              </w:rPr>
            </w:pPr>
            <w:r w:rsidRPr="006D688A">
              <w:rPr>
                <w:rFonts w:cs="Arial"/>
                <w:sz w:val="18"/>
                <w:szCs w:val="18"/>
              </w:rPr>
              <w:t>2.2B</w:t>
            </w:r>
          </w:p>
        </w:tc>
        <w:tc>
          <w:tcPr>
            <w:tcW w:w="1046" w:type="dxa"/>
            <w:tcBorders>
              <w:top w:val="nil"/>
              <w:left w:val="nil"/>
              <w:bottom w:val="nil"/>
              <w:right w:val="nil"/>
            </w:tcBorders>
            <w:shd w:val="clear" w:color="FFFFFF" w:fill="FFFFFF"/>
            <w:noWrap/>
            <w:vAlign w:val="bottom"/>
            <w:hideMark/>
          </w:tcPr>
          <w:p w14:paraId="0F020A48" w14:textId="77777777" w:rsidR="00520333" w:rsidRPr="006D688A" w:rsidRDefault="00520333" w:rsidP="005E5E0C">
            <w:pPr>
              <w:spacing w:after="0"/>
              <w:jc w:val="right"/>
              <w:rPr>
                <w:rFonts w:cs="Arial"/>
                <w:b/>
                <w:bCs/>
                <w:sz w:val="18"/>
                <w:szCs w:val="18"/>
              </w:rPr>
            </w:pPr>
            <w:r w:rsidRPr="006D688A">
              <w:rPr>
                <w:rFonts w:cs="Arial"/>
                <w:b/>
                <w:bCs/>
                <w:sz w:val="18"/>
                <w:szCs w:val="18"/>
              </w:rPr>
              <w:t>30,264</w:t>
            </w:r>
          </w:p>
        </w:tc>
        <w:tc>
          <w:tcPr>
            <w:tcW w:w="236" w:type="dxa"/>
            <w:tcBorders>
              <w:top w:val="nil"/>
              <w:left w:val="nil"/>
              <w:bottom w:val="nil"/>
              <w:right w:val="nil"/>
            </w:tcBorders>
            <w:shd w:val="clear" w:color="FFFFFF" w:fill="FFFFFF"/>
            <w:noWrap/>
            <w:vAlign w:val="bottom"/>
            <w:hideMark/>
          </w:tcPr>
          <w:p w14:paraId="5C511EEB"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2F1C0CC1" w14:textId="77777777" w:rsidR="00520333" w:rsidRPr="006D688A" w:rsidRDefault="00520333" w:rsidP="005E5E0C">
            <w:pPr>
              <w:spacing w:after="0"/>
              <w:jc w:val="right"/>
              <w:rPr>
                <w:rFonts w:cs="Arial"/>
                <w:sz w:val="18"/>
                <w:szCs w:val="18"/>
              </w:rPr>
            </w:pPr>
            <w:r w:rsidRPr="006D688A">
              <w:rPr>
                <w:rFonts w:cs="Arial"/>
                <w:sz w:val="18"/>
                <w:szCs w:val="18"/>
              </w:rPr>
              <w:t>26,619</w:t>
            </w:r>
          </w:p>
        </w:tc>
        <w:tc>
          <w:tcPr>
            <w:tcW w:w="236" w:type="dxa"/>
            <w:tcBorders>
              <w:top w:val="nil"/>
              <w:left w:val="nil"/>
              <w:bottom w:val="nil"/>
              <w:right w:val="nil"/>
            </w:tcBorders>
            <w:shd w:val="clear" w:color="FFFFFF" w:fill="FFFFFF"/>
            <w:noWrap/>
            <w:vAlign w:val="bottom"/>
            <w:hideMark/>
          </w:tcPr>
          <w:p w14:paraId="62220F25"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4FABDFC6" w14:textId="77777777" w:rsidR="00520333" w:rsidRPr="006D688A" w:rsidRDefault="00520333" w:rsidP="005E5E0C">
            <w:pPr>
              <w:spacing w:after="0"/>
              <w:jc w:val="right"/>
              <w:rPr>
                <w:rFonts w:cs="Arial"/>
                <w:sz w:val="18"/>
                <w:szCs w:val="18"/>
              </w:rPr>
            </w:pPr>
            <w:r w:rsidRPr="006D688A">
              <w:rPr>
                <w:rFonts w:cs="Arial"/>
                <w:sz w:val="18"/>
                <w:szCs w:val="18"/>
              </w:rPr>
              <w:t>23,680</w:t>
            </w:r>
          </w:p>
        </w:tc>
      </w:tr>
      <w:tr w:rsidR="00520333" w:rsidRPr="006D688A" w14:paraId="28658F60" w14:textId="77777777" w:rsidTr="005E5E0C">
        <w:trPr>
          <w:trHeight w:val="250"/>
        </w:trPr>
        <w:tc>
          <w:tcPr>
            <w:tcW w:w="4224" w:type="dxa"/>
            <w:tcBorders>
              <w:top w:val="nil"/>
              <w:left w:val="nil"/>
              <w:bottom w:val="nil"/>
              <w:right w:val="nil"/>
            </w:tcBorders>
            <w:shd w:val="clear" w:color="FFFFFF" w:fill="FFFFFF"/>
            <w:vAlign w:val="bottom"/>
            <w:hideMark/>
          </w:tcPr>
          <w:p w14:paraId="1BA7E279" w14:textId="77777777" w:rsidR="00520333" w:rsidRPr="006D688A" w:rsidRDefault="00520333" w:rsidP="005E5E0C">
            <w:pPr>
              <w:spacing w:after="0"/>
              <w:rPr>
                <w:rFonts w:cs="Arial"/>
                <w:b/>
                <w:bCs/>
                <w:sz w:val="18"/>
                <w:szCs w:val="18"/>
              </w:rPr>
            </w:pPr>
            <w:r w:rsidRPr="006D688A">
              <w:rPr>
                <w:rFonts w:cs="Arial"/>
                <w:b/>
                <w:bCs/>
                <w:sz w:val="18"/>
                <w:szCs w:val="18"/>
              </w:rPr>
              <w:t>Total non-financial assets</w:t>
            </w:r>
          </w:p>
        </w:tc>
        <w:tc>
          <w:tcPr>
            <w:tcW w:w="1273" w:type="dxa"/>
            <w:tcBorders>
              <w:top w:val="nil"/>
              <w:left w:val="nil"/>
              <w:bottom w:val="nil"/>
              <w:right w:val="nil"/>
            </w:tcBorders>
            <w:shd w:val="clear" w:color="FFFFFF" w:fill="FFFFFF"/>
            <w:noWrap/>
            <w:vAlign w:val="bottom"/>
            <w:hideMark/>
          </w:tcPr>
          <w:p w14:paraId="12A80949"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46" w:type="dxa"/>
            <w:tcBorders>
              <w:top w:val="single" w:sz="4" w:space="0" w:color="auto"/>
              <w:left w:val="nil"/>
              <w:bottom w:val="single" w:sz="4" w:space="0" w:color="auto"/>
              <w:right w:val="nil"/>
            </w:tcBorders>
            <w:shd w:val="clear" w:color="FFFFFF" w:fill="FFFFFF"/>
            <w:noWrap/>
            <w:vAlign w:val="bottom"/>
            <w:hideMark/>
          </w:tcPr>
          <w:p w14:paraId="5378FA61" w14:textId="77777777" w:rsidR="00520333" w:rsidRPr="006D688A" w:rsidRDefault="00520333" w:rsidP="005E5E0C">
            <w:pPr>
              <w:spacing w:after="0"/>
              <w:jc w:val="right"/>
              <w:rPr>
                <w:rFonts w:cs="Arial"/>
                <w:b/>
                <w:bCs/>
                <w:sz w:val="18"/>
                <w:szCs w:val="18"/>
              </w:rPr>
            </w:pPr>
            <w:r w:rsidRPr="006D688A">
              <w:rPr>
                <w:rFonts w:cs="Arial"/>
                <w:b/>
                <w:bCs/>
                <w:sz w:val="18"/>
                <w:szCs w:val="18"/>
              </w:rPr>
              <w:t>277,520</w:t>
            </w:r>
          </w:p>
        </w:tc>
        <w:tc>
          <w:tcPr>
            <w:tcW w:w="236" w:type="dxa"/>
            <w:tcBorders>
              <w:top w:val="nil"/>
              <w:left w:val="nil"/>
              <w:bottom w:val="nil"/>
              <w:right w:val="nil"/>
            </w:tcBorders>
            <w:shd w:val="clear" w:color="FFFFFF" w:fill="FFFFFF"/>
            <w:noWrap/>
            <w:vAlign w:val="bottom"/>
            <w:hideMark/>
          </w:tcPr>
          <w:p w14:paraId="632A324E"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single" w:sz="4" w:space="0" w:color="auto"/>
              <w:left w:val="nil"/>
              <w:bottom w:val="single" w:sz="4" w:space="0" w:color="auto"/>
              <w:right w:val="nil"/>
            </w:tcBorders>
            <w:shd w:val="clear" w:color="FFFFFF" w:fill="FFFFFF"/>
            <w:noWrap/>
            <w:vAlign w:val="bottom"/>
            <w:hideMark/>
          </w:tcPr>
          <w:p w14:paraId="64D8B6B8" w14:textId="77777777" w:rsidR="00520333" w:rsidRPr="006D688A" w:rsidRDefault="00520333" w:rsidP="005E5E0C">
            <w:pPr>
              <w:spacing w:after="0"/>
              <w:jc w:val="right"/>
              <w:rPr>
                <w:rFonts w:cs="Arial"/>
                <w:sz w:val="18"/>
                <w:szCs w:val="18"/>
              </w:rPr>
            </w:pPr>
            <w:r w:rsidRPr="006D688A">
              <w:rPr>
                <w:rFonts w:cs="Arial"/>
                <w:sz w:val="18"/>
                <w:szCs w:val="18"/>
              </w:rPr>
              <w:t>259,480</w:t>
            </w:r>
          </w:p>
        </w:tc>
        <w:tc>
          <w:tcPr>
            <w:tcW w:w="236" w:type="dxa"/>
            <w:tcBorders>
              <w:top w:val="nil"/>
              <w:left w:val="nil"/>
              <w:bottom w:val="nil"/>
              <w:right w:val="nil"/>
            </w:tcBorders>
            <w:shd w:val="clear" w:color="FFFFFF" w:fill="FFFFFF"/>
            <w:noWrap/>
            <w:vAlign w:val="bottom"/>
            <w:hideMark/>
          </w:tcPr>
          <w:p w14:paraId="68E6AF9F"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single" w:sz="4" w:space="0" w:color="auto"/>
              <w:left w:val="nil"/>
              <w:bottom w:val="single" w:sz="4" w:space="0" w:color="auto"/>
              <w:right w:val="nil"/>
            </w:tcBorders>
            <w:shd w:val="clear" w:color="FFFFFF" w:fill="FFFFFF"/>
            <w:noWrap/>
            <w:vAlign w:val="bottom"/>
            <w:hideMark/>
          </w:tcPr>
          <w:p w14:paraId="74EC4D7C" w14:textId="77777777" w:rsidR="00520333" w:rsidRPr="006D688A" w:rsidRDefault="00520333" w:rsidP="005E5E0C">
            <w:pPr>
              <w:spacing w:after="0"/>
              <w:jc w:val="right"/>
              <w:rPr>
                <w:rFonts w:cs="Arial"/>
                <w:sz w:val="18"/>
                <w:szCs w:val="18"/>
              </w:rPr>
            </w:pPr>
            <w:r w:rsidRPr="006D688A">
              <w:rPr>
                <w:rFonts w:cs="Arial"/>
                <w:sz w:val="18"/>
                <w:szCs w:val="18"/>
              </w:rPr>
              <w:t>264,058</w:t>
            </w:r>
          </w:p>
        </w:tc>
      </w:tr>
      <w:tr w:rsidR="00520333" w:rsidRPr="006D688A" w14:paraId="3DC00B7D" w14:textId="77777777" w:rsidTr="005E5E0C">
        <w:trPr>
          <w:trHeight w:val="250"/>
        </w:trPr>
        <w:tc>
          <w:tcPr>
            <w:tcW w:w="4224" w:type="dxa"/>
            <w:tcBorders>
              <w:top w:val="nil"/>
              <w:left w:val="nil"/>
              <w:bottom w:val="nil"/>
              <w:right w:val="nil"/>
            </w:tcBorders>
            <w:shd w:val="clear" w:color="FFFFFF" w:fill="FFFFFF"/>
            <w:vAlign w:val="bottom"/>
            <w:hideMark/>
          </w:tcPr>
          <w:p w14:paraId="5B3A1D21" w14:textId="77777777" w:rsidR="00520333" w:rsidRPr="006D688A" w:rsidRDefault="00520333" w:rsidP="005E5E0C">
            <w:pPr>
              <w:spacing w:after="0"/>
              <w:rPr>
                <w:rFonts w:cs="Arial"/>
                <w:b/>
                <w:bCs/>
                <w:sz w:val="18"/>
                <w:szCs w:val="18"/>
              </w:rPr>
            </w:pPr>
            <w:r w:rsidRPr="006D688A">
              <w:rPr>
                <w:rFonts w:cs="Arial"/>
                <w:b/>
                <w:bCs/>
                <w:sz w:val="18"/>
                <w:szCs w:val="18"/>
              </w:rPr>
              <w:t>Total assets</w:t>
            </w:r>
          </w:p>
        </w:tc>
        <w:tc>
          <w:tcPr>
            <w:tcW w:w="1273" w:type="dxa"/>
            <w:tcBorders>
              <w:top w:val="nil"/>
              <w:left w:val="nil"/>
              <w:bottom w:val="nil"/>
              <w:right w:val="nil"/>
            </w:tcBorders>
            <w:shd w:val="clear" w:color="FFFFFF" w:fill="FFFFFF"/>
            <w:noWrap/>
            <w:vAlign w:val="bottom"/>
            <w:hideMark/>
          </w:tcPr>
          <w:p w14:paraId="5F7C7139"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46" w:type="dxa"/>
            <w:tcBorders>
              <w:top w:val="single" w:sz="4" w:space="0" w:color="auto"/>
              <w:left w:val="nil"/>
              <w:bottom w:val="single" w:sz="4" w:space="0" w:color="auto"/>
              <w:right w:val="nil"/>
            </w:tcBorders>
            <w:shd w:val="clear" w:color="FFFFFF" w:fill="FFFFFF"/>
            <w:noWrap/>
            <w:vAlign w:val="bottom"/>
            <w:hideMark/>
          </w:tcPr>
          <w:p w14:paraId="441089AC" w14:textId="77777777" w:rsidR="00520333" w:rsidRPr="006D688A" w:rsidRDefault="00520333" w:rsidP="005E5E0C">
            <w:pPr>
              <w:spacing w:after="0"/>
              <w:jc w:val="right"/>
              <w:rPr>
                <w:rFonts w:cs="Arial"/>
                <w:b/>
                <w:bCs/>
                <w:sz w:val="18"/>
                <w:szCs w:val="18"/>
              </w:rPr>
            </w:pPr>
            <w:r w:rsidRPr="006D688A">
              <w:rPr>
                <w:rFonts w:cs="Arial"/>
                <w:b/>
                <w:bCs/>
                <w:sz w:val="18"/>
                <w:szCs w:val="18"/>
              </w:rPr>
              <w:t>6,037,062</w:t>
            </w:r>
          </w:p>
        </w:tc>
        <w:tc>
          <w:tcPr>
            <w:tcW w:w="236" w:type="dxa"/>
            <w:tcBorders>
              <w:top w:val="nil"/>
              <w:left w:val="nil"/>
              <w:bottom w:val="nil"/>
              <w:right w:val="nil"/>
            </w:tcBorders>
            <w:shd w:val="clear" w:color="FFFFFF" w:fill="FFFFFF"/>
            <w:noWrap/>
            <w:vAlign w:val="bottom"/>
            <w:hideMark/>
          </w:tcPr>
          <w:p w14:paraId="497E6FE3"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single" w:sz="4" w:space="0" w:color="auto"/>
              <w:left w:val="nil"/>
              <w:bottom w:val="single" w:sz="4" w:space="0" w:color="auto"/>
              <w:right w:val="nil"/>
            </w:tcBorders>
            <w:shd w:val="clear" w:color="FFFFFF" w:fill="FFFFFF"/>
            <w:noWrap/>
            <w:vAlign w:val="bottom"/>
            <w:hideMark/>
          </w:tcPr>
          <w:p w14:paraId="12974098" w14:textId="77777777" w:rsidR="00520333" w:rsidRPr="006D688A" w:rsidRDefault="00520333" w:rsidP="005E5E0C">
            <w:pPr>
              <w:spacing w:after="0"/>
              <w:jc w:val="right"/>
              <w:rPr>
                <w:rFonts w:cs="Arial"/>
                <w:sz w:val="18"/>
                <w:szCs w:val="18"/>
              </w:rPr>
            </w:pPr>
            <w:r w:rsidRPr="006D688A">
              <w:rPr>
                <w:rFonts w:cs="Arial"/>
                <w:sz w:val="18"/>
                <w:szCs w:val="18"/>
              </w:rPr>
              <w:t>4,602,918</w:t>
            </w:r>
          </w:p>
        </w:tc>
        <w:tc>
          <w:tcPr>
            <w:tcW w:w="236" w:type="dxa"/>
            <w:tcBorders>
              <w:top w:val="nil"/>
              <w:left w:val="nil"/>
              <w:bottom w:val="nil"/>
              <w:right w:val="nil"/>
            </w:tcBorders>
            <w:shd w:val="clear" w:color="FFFFFF" w:fill="FFFFFF"/>
            <w:noWrap/>
            <w:vAlign w:val="bottom"/>
            <w:hideMark/>
          </w:tcPr>
          <w:p w14:paraId="4F95B4A0"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single" w:sz="4" w:space="0" w:color="auto"/>
              <w:left w:val="nil"/>
              <w:bottom w:val="single" w:sz="4" w:space="0" w:color="auto"/>
              <w:right w:val="nil"/>
            </w:tcBorders>
            <w:shd w:val="clear" w:color="FFFFFF" w:fill="FFFFFF"/>
            <w:noWrap/>
            <w:vAlign w:val="bottom"/>
            <w:hideMark/>
          </w:tcPr>
          <w:p w14:paraId="3D3F3AD0" w14:textId="77777777" w:rsidR="00520333" w:rsidRPr="006D688A" w:rsidRDefault="00520333" w:rsidP="005E5E0C">
            <w:pPr>
              <w:spacing w:after="0"/>
              <w:jc w:val="right"/>
              <w:rPr>
                <w:rFonts w:cs="Arial"/>
                <w:sz w:val="18"/>
                <w:szCs w:val="18"/>
              </w:rPr>
            </w:pPr>
            <w:r w:rsidRPr="006D688A">
              <w:rPr>
                <w:rFonts w:cs="Arial"/>
                <w:sz w:val="18"/>
                <w:szCs w:val="18"/>
              </w:rPr>
              <w:t>5,994,793</w:t>
            </w:r>
          </w:p>
        </w:tc>
      </w:tr>
      <w:tr w:rsidR="00520333" w:rsidRPr="006D688A" w14:paraId="3FFB143D" w14:textId="77777777" w:rsidTr="005E5E0C">
        <w:trPr>
          <w:trHeight w:val="310"/>
        </w:trPr>
        <w:tc>
          <w:tcPr>
            <w:tcW w:w="4224" w:type="dxa"/>
            <w:tcBorders>
              <w:top w:val="nil"/>
              <w:left w:val="nil"/>
              <w:bottom w:val="nil"/>
              <w:right w:val="nil"/>
            </w:tcBorders>
            <w:shd w:val="clear" w:color="FFFFFF" w:fill="FFFFFF"/>
            <w:vAlign w:val="bottom"/>
            <w:hideMark/>
          </w:tcPr>
          <w:p w14:paraId="0B8590A8" w14:textId="77777777" w:rsidR="00520333" w:rsidRPr="006D688A" w:rsidRDefault="00520333" w:rsidP="005E5E0C">
            <w:pPr>
              <w:spacing w:after="0"/>
              <w:rPr>
                <w:rFonts w:cs="Arial"/>
                <w:sz w:val="18"/>
                <w:szCs w:val="18"/>
              </w:rPr>
            </w:pPr>
            <w:r w:rsidRPr="006D688A">
              <w:rPr>
                <w:rFonts w:cs="Arial"/>
                <w:sz w:val="18"/>
                <w:szCs w:val="18"/>
              </w:rPr>
              <w:t> </w:t>
            </w:r>
          </w:p>
        </w:tc>
        <w:tc>
          <w:tcPr>
            <w:tcW w:w="1273" w:type="dxa"/>
            <w:tcBorders>
              <w:top w:val="nil"/>
              <w:left w:val="nil"/>
              <w:bottom w:val="nil"/>
              <w:right w:val="nil"/>
            </w:tcBorders>
            <w:shd w:val="clear" w:color="FFFFFF" w:fill="FFFFFF"/>
            <w:noWrap/>
            <w:vAlign w:val="bottom"/>
            <w:hideMark/>
          </w:tcPr>
          <w:p w14:paraId="1E0B3322"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46" w:type="dxa"/>
            <w:tcBorders>
              <w:top w:val="nil"/>
              <w:left w:val="nil"/>
              <w:bottom w:val="nil"/>
              <w:right w:val="nil"/>
            </w:tcBorders>
            <w:shd w:val="clear" w:color="FFFFFF" w:fill="FFFFFF"/>
            <w:noWrap/>
            <w:vAlign w:val="bottom"/>
            <w:hideMark/>
          </w:tcPr>
          <w:p w14:paraId="2EB55860" w14:textId="77777777" w:rsidR="00520333" w:rsidRPr="006D688A" w:rsidRDefault="00520333" w:rsidP="005E5E0C">
            <w:pPr>
              <w:spacing w:after="0"/>
              <w:jc w:val="right"/>
              <w:rPr>
                <w:rFonts w:cs="Arial"/>
                <w:b/>
                <w:bCs/>
                <w:sz w:val="18"/>
                <w:szCs w:val="18"/>
              </w:rPr>
            </w:pPr>
            <w:r w:rsidRPr="006D688A">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7E0C171D"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30DFB53D" w14:textId="77777777" w:rsidR="00520333" w:rsidRPr="006D688A" w:rsidRDefault="00520333" w:rsidP="005E5E0C">
            <w:pPr>
              <w:spacing w:after="0"/>
              <w:jc w:val="right"/>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1138A8D3"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45B15AF4" w14:textId="77777777" w:rsidR="00520333" w:rsidRPr="006D688A" w:rsidRDefault="00520333" w:rsidP="005E5E0C">
            <w:pPr>
              <w:spacing w:after="0"/>
              <w:jc w:val="right"/>
              <w:rPr>
                <w:rFonts w:cs="Arial"/>
                <w:sz w:val="18"/>
                <w:szCs w:val="18"/>
              </w:rPr>
            </w:pPr>
            <w:r w:rsidRPr="006D688A">
              <w:rPr>
                <w:rFonts w:cs="Arial"/>
                <w:sz w:val="18"/>
                <w:szCs w:val="18"/>
              </w:rPr>
              <w:t> </w:t>
            </w:r>
          </w:p>
        </w:tc>
      </w:tr>
      <w:tr w:rsidR="00520333" w:rsidRPr="006D688A" w14:paraId="5EDA97E3" w14:textId="77777777" w:rsidTr="005E5E0C">
        <w:trPr>
          <w:trHeight w:val="250"/>
        </w:trPr>
        <w:tc>
          <w:tcPr>
            <w:tcW w:w="4224" w:type="dxa"/>
            <w:tcBorders>
              <w:top w:val="nil"/>
              <w:left w:val="nil"/>
              <w:bottom w:val="nil"/>
              <w:right w:val="nil"/>
            </w:tcBorders>
            <w:shd w:val="clear" w:color="FFFFFF" w:fill="FFFFFF"/>
            <w:vAlign w:val="bottom"/>
            <w:hideMark/>
          </w:tcPr>
          <w:p w14:paraId="1E443A95" w14:textId="77777777" w:rsidR="00520333" w:rsidRPr="006D688A" w:rsidRDefault="00520333" w:rsidP="005E5E0C">
            <w:pPr>
              <w:spacing w:after="0"/>
              <w:rPr>
                <w:rFonts w:cs="Arial"/>
                <w:b/>
                <w:bCs/>
                <w:sz w:val="18"/>
                <w:szCs w:val="18"/>
              </w:rPr>
            </w:pPr>
            <w:r w:rsidRPr="006D688A">
              <w:rPr>
                <w:rFonts w:cs="Arial"/>
                <w:b/>
                <w:bCs/>
                <w:sz w:val="18"/>
                <w:szCs w:val="18"/>
              </w:rPr>
              <w:t>LIABILITIES</w:t>
            </w:r>
          </w:p>
        </w:tc>
        <w:tc>
          <w:tcPr>
            <w:tcW w:w="1273" w:type="dxa"/>
            <w:tcBorders>
              <w:top w:val="nil"/>
              <w:left w:val="nil"/>
              <w:bottom w:val="nil"/>
              <w:right w:val="nil"/>
            </w:tcBorders>
            <w:shd w:val="clear" w:color="FFFFFF" w:fill="FFFFFF"/>
            <w:noWrap/>
            <w:vAlign w:val="bottom"/>
            <w:hideMark/>
          </w:tcPr>
          <w:p w14:paraId="3A88387A"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46" w:type="dxa"/>
            <w:tcBorders>
              <w:top w:val="nil"/>
              <w:left w:val="nil"/>
              <w:bottom w:val="nil"/>
              <w:right w:val="nil"/>
            </w:tcBorders>
            <w:shd w:val="clear" w:color="FFFFFF" w:fill="FFFFFF"/>
            <w:noWrap/>
            <w:vAlign w:val="bottom"/>
            <w:hideMark/>
          </w:tcPr>
          <w:p w14:paraId="16EB6BB3" w14:textId="77777777" w:rsidR="00520333" w:rsidRPr="006D688A" w:rsidRDefault="00520333" w:rsidP="005E5E0C">
            <w:pPr>
              <w:spacing w:after="0"/>
              <w:jc w:val="right"/>
              <w:rPr>
                <w:rFonts w:cs="Arial"/>
                <w:b/>
                <w:bCs/>
                <w:sz w:val="18"/>
                <w:szCs w:val="18"/>
              </w:rPr>
            </w:pPr>
            <w:r w:rsidRPr="006D688A">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608F8186"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7C68E72A" w14:textId="77777777" w:rsidR="00520333" w:rsidRPr="006D688A" w:rsidRDefault="00520333" w:rsidP="005E5E0C">
            <w:pPr>
              <w:spacing w:after="0"/>
              <w:jc w:val="right"/>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5F792F44"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47172B07" w14:textId="77777777" w:rsidR="00520333" w:rsidRPr="006D688A" w:rsidRDefault="00520333" w:rsidP="005E5E0C">
            <w:pPr>
              <w:spacing w:after="0"/>
              <w:jc w:val="right"/>
              <w:rPr>
                <w:rFonts w:cs="Arial"/>
                <w:sz w:val="18"/>
                <w:szCs w:val="18"/>
              </w:rPr>
            </w:pPr>
            <w:r w:rsidRPr="006D688A">
              <w:rPr>
                <w:rFonts w:cs="Arial"/>
                <w:sz w:val="18"/>
                <w:szCs w:val="18"/>
              </w:rPr>
              <w:t> </w:t>
            </w:r>
          </w:p>
        </w:tc>
      </w:tr>
      <w:tr w:rsidR="00520333" w:rsidRPr="006D688A" w14:paraId="27995567" w14:textId="77777777" w:rsidTr="005E5E0C">
        <w:trPr>
          <w:trHeight w:val="250"/>
        </w:trPr>
        <w:tc>
          <w:tcPr>
            <w:tcW w:w="4224" w:type="dxa"/>
            <w:tcBorders>
              <w:top w:val="nil"/>
              <w:left w:val="nil"/>
              <w:bottom w:val="nil"/>
              <w:right w:val="nil"/>
            </w:tcBorders>
            <w:shd w:val="clear" w:color="FFFFFF" w:fill="FFFFFF"/>
            <w:vAlign w:val="bottom"/>
            <w:hideMark/>
          </w:tcPr>
          <w:p w14:paraId="0301D255" w14:textId="77777777" w:rsidR="00520333" w:rsidRPr="006D688A" w:rsidRDefault="00520333" w:rsidP="005E5E0C">
            <w:pPr>
              <w:spacing w:after="0"/>
              <w:rPr>
                <w:rFonts w:cs="Arial"/>
                <w:b/>
                <w:bCs/>
                <w:sz w:val="18"/>
                <w:szCs w:val="18"/>
              </w:rPr>
            </w:pPr>
            <w:r w:rsidRPr="006D688A">
              <w:rPr>
                <w:rFonts w:cs="Arial"/>
                <w:b/>
                <w:bCs/>
                <w:sz w:val="18"/>
                <w:szCs w:val="18"/>
              </w:rPr>
              <w:t>Payables</w:t>
            </w:r>
          </w:p>
        </w:tc>
        <w:tc>
          <w:tcPr>
            <w:tcW w:w="1273" w:type="dxa"/>
            <w:tcBorders>
              <w:top w:val="nil"/>
              <w:left w:val="nil"/>
              <w:bottom w:val="nil"/>
              <w:right w:val="nil"/>
            </w:tcBorders>
            <w:shd w:val="clear" w:color="FFFFFF" w:fill="FFFFFF"/>
            <w:noWrap/>
            <w:vAlign w:val="bottom"/>
            <w:hideMark/>
          </w:tcPr>
          <w:p w14:paraId="77EECBCF"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46" w:type="dxa"/>
            <w:tcBorders>
              <w:top w:val="nil"/>
              <w:left w:val="nil"/>
              <w:bottom w:val="nil"/>
              <w:right w:val="nil"/>
            </w:tcBorders>
            <w:shd w:val="clear" w:color="FFFFFF" w:fill="FFFFFF"/>
            <w:noWrap/>
            <w:vAlign w:val="bottom"/>
            <w:hideMark/>
          </w:tcPr>
          <w:p w14:paraId="1F0DC89A" w14:textId="77777777" w:rsidR="00520333" w:rsidRPr="006D688A" w:rsidRDefault="00520333" w:rsidP="005E5E0C">
            <w:pPr>
              <w:spacing w:after="0"/>
              <w:jc w:val="right"/>
              <w:rPr>
                <w:rFonts w:cs="Arial"/>
                <w:b/>
                <w:bCs/>
                <w:sz w:val="18"/>
                <w:szCs w:val="18"/>
              </w:rPr>
            </w:pPr>
            <w:r w:rsidRPr="006D688A">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6ED584D9"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10566EEC" w14:textId="77777777" w:rsidR="00520333" w:rsidRPr="006D688A" w:rsidRDefault="00520333" w:rsidP="005E5E0C">
            <w:pPr>
              <w:spacing w:after="0"/>
              <w:jc w:val="right"/>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5EEA1166"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54AA62B3" w14:textId="77777777" w:rsidR="00520333" w:rsidRPr="006D688A" w:rsidRDefault="00520333" w:rsidP="005E5E0C">
            <w:pPr>
              <w:spacing w:after="0"/>
              <w:jc w:val="right"/>
              <w:rPr>
                <w:rFonts w:cs="Arial"/>
                <w:sz w:val="18"/>
                <w:szCs w:val="18"/>
              </w:rPr>
            </w:pPr>
            <w:r w:rsidRPr="006D688A">
              <w:rPr>
                <w:rFonts w:cs="Arial"/>
                <w:sz w:val="18"/>
                <w:szCs w:val="18"/>
              </w:rPr>
              <w:t> </w:t>
            </w:r>
          </w:p>
        </w:tc>
      </w:tr>
      <w:tr w:rsidR="00520333" w:rsidRPr="006D688A" w14:paraId="24D2AAB1" w14:textId="77777777" w:rsidTr="005E5E0C">
        <w:trPr>
          <w:trHeight w:val="250"/>
        </w:trPr>
        <w:tc>
          <w:tcPr>
            <w:tcW w:w="4224" w:type="dxa"/>
            <w:tcBorders>
              <w:top w:val="nil"/>
              <w:left w:val="nil"/>
              <w:bottom w:val="nil"/>
              <w:right w:val="nil"/>
            </w:tcBorders>
            <w:shd w:val="clear" w:color="FFFFFF" w:fill="FFFFFF"/>
            <w:vAlign w:val="bottom"/>
            <w:hideMark/>
          </w:tcPr>
          <w:p w14:paraId="406E2B3B" w14:textId="77777777" w:rsidR="00520333" w:rsidRPr="006D688A" w:rsidRDefault="00520333" w:rsidP="005E5E0C">
            <w:pPr>
              <w:spacing w:after="0"/>
              <w:ind w:firstLineChars="100" w:firstLine="180"/>
              <w:rPr>
                <w:rFonts w:cs="Arial"/>
                <w:sz w:val="18"/>
                <w:szCs w:val="18"/>
              </w:rPr>
            </w:pPr>
            <w:r w:rsidRPr="006D688A">
              <w:rPr>
                <w:rFonts w:cs="Arial"/>
                <w:sz w:val="18"/>
                <w:szCs w:val="18"/>
              </w:rPr>
              <w:t>Suppliers</w:t>
            </w:r>
          </w:p>
        </w:tc>
        <w:tc>
          <w:tcPr>
            <w:tcW w:w="1273" w:type="dxa"/>
            <w:tcBorders>
              <w:top w:val="nil"/>
              <w:left w:val="nil"/>
              <w:bottom w:val="nil"/>
              <w:right w:val="nil"/>
            </w:tcBorders>
            <w:shd w:val="clear" w:color="FFFFFF" w:fill="FFFFFF"/>
            <w:noWrap/>
            <w:vAlign w:val="bottom"/>
            <w:hideMark/>
          </w:tcPr>
          <w:p w14:paraId="5D7D55F7" w14:textId="77777777" w:rsidR="00520333" w:rsidRPr="006D688A" w:rsidRDefault="00520333" w:rsidP="005E5E0C">
            <w:pPr>
              <w:spacing w:after="0"/>
              <w:jc w:val="center"/>
              <w:rPr>
                <w:rFonts w:cs="Arial"/>
                <w:sz w:val="18"/>
                <w:szCs w:val="18"/>
              </w:rPr>
            </w:pPr>
            <w:r w:rsidRPr="006D688A">
              <w:rPr>
                <w:rFonts w:cs="Arial"/>
                <w:sz w:val="18"/>
                <w:szCs w:val="18"/>
              </w:rPr>
              <w:t>2.3A</w:t>
            </w:r>
          </w:p>
        </w:tc>
        <w:tc>
          <w:tcPr>
            <w:tcW w:w="1046" w:type="dxa"/>
            <w:tcBorders>
              <w:top w:val="nil"/>
              <w:left w:val="nil"/>
              <w:bottom w:val="nil"/>
              <w:right w:val="nil"/>
            </w:tcBorders>
            <w:shd w:val="clear" w:color="FFFFFF" w:fill="FFFFFF"/>
            <w:noWrap/>
            <w:vAlign w:val="bottom"/>
            <w:hideMark/>
          </w:tcPr>
          <w:p w14:paraId="2C57D546" w14:textId="77777777" w:rsidR="00520333" w:rsidRPr="006D688A" w:rsidRDefault="00520333" w:rsidP="005E5E0C">
            <w:pPr>
              <w:spacing w:after="0"/>
              <w:jc w:val="right"/>
              <w:rPr>
                <w:rFonts w:cs="Arial"/>
                <w:b/>
                <w:bCs/>
                <w:sz w:val="18"/>
                <w:szCs w:val="18"/>
              </w:rPr>
            </w:pPr>
            <w:r w:rsidRPr="006D688A">
              <w:rPr>
                <w:rFonts w:cs="Arial"/>
                <w:b/>
                <w:bCs/>
                <w:sz w:val="18"/>
                <w:szCs w:val="18"/>
              </w:rPr>
              <w:t>914,519</w:t>
            </w:r>
          </w:p>
        </w:tc>
        <w:tc>
          <w:tcPr>
            <w:tcW w:w="236" w:type="dxa"/>
            <w:tcBorders>
              <w:top w:val="nil"/>
              <w:left w:val="nil"/>
              <w:bottom w:val="nil"/>
              <w:right w:val="nil"/>
            </w:tcBorders>
            <w:shd w:val="clear" w:color="FFFFFF" w:fill="FFFFFF"/>
            <w:noWrap/>
            <w:vAlign w:val="bottom"/>
            <w:hideMark/>
          </w:tcPr>
          <w:p w14:paraId="409DB187"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7CB04C60" w14:textId="77777777" w:rsidR="00520333" w:rsidRPr="006D688A" w:rsidRDefault="00520333" w:rsidP="005E5E0C">
            <w:pPr>
              <w:spacing w:after="0"/>
              <w:jc w:val="right"/>
              <w:rPr>
                <w:rFonts w:cs="Arial"/>
                <w:sz w:val="18"/>
                <w:szCs w:val="18"/>
              </w:rPr>
            </w:pPr>
            <w:r w:rsidRPr="006D688A">
              <w:rPr>
                <w:rFonts w:cs="Arial"/>
                <w:sz w:val="18"/>
                <w:szCs w:val="18"/>
              </w:rPr>
              <w:t>594,071</w:t>
            </w:r>
          </w:p>
        </w:tc>
        <w:tc>
          <w:tcPr>
            <w:tcW w:w="236" w:type="dxa"/>
            <w:tcBorders>
              <w:top w:val="nil"/>
              <w:left w:val="nil"/>
              <w:bottom w:val="nil"/>
              <w:right w:val="nil"/>
            </w:tcBorders>
            <w:shd w:val="clear" w:color="FFFFFF" w:fill="FFFFFF"/>
            <w:noWrap/>
            <w:vAlign w:val="bottom"/>
            <w:hideMark/>
          </w:tcPr>
          <w:p w14:paraId="126EF1E5"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45428AC6" w14:textId="77777777" w:rsidR="00520333" w:rsidRPr="006D688A" w:rsidRDefault="00520333" w:rsidP="005E5E0C">
            <w:pPr>
              <w:spacing w:after="0"/>
              <w:jc w:val="right"/>
              <w:rPr>
                <w:rFonts w:cs="Arial"/>
                <w:sz w:val="18"/>
                <w:szCs w:val="18"/>
              </w:rPr>
            </w:pPr>
            <w:r w:rsidRPr="006D688A">
              <w:rPr>
                <w:rFonts w:cs="Arial"/>
                <w:sz w:val="18"/>
                <w:szCs w:val="18"/>
              </w:rPr>
              <w:t>133,184</w:t>
            </w:r>
          </w:p>
        </w:tc>
      </w:tr>
      <w:tr w:rsidR="00520333" w:rsidRPr="006D688A" w14:paraId="38B8816F" w14:textId="77777777" w:rsidTr="005E5E0C">
        <w:trPr>
          <w:trHeight w:val="250"/>
        </w:trPr>
        <w:tc>
          <w:tcPr>
            <w:tcW w:w="4224" w:type="dxa"/>
            <w:tcBorders>
              <w:top w:val="nil"/>
              <w:left w:val="nil"/>
              <w:bottom w:val="nil"/>
              <w:right w:val="nil"/>
            </w:tcBorders>
            <w:shd w:val="clear" w:color="FFFFFF" w:fill="FFFFFF"/>
            <w:vAlign w:val="bottom"/>
            <w:hideMark/>
          </w:tcPr>
          <w:p w14:paraId="40EB1D32" w14:textId="77777777" w:rsidR="00520333" w:rsidRPr="006D688A" w:rsidRDefault="00520333" w:rsidP="005E5E0C">
            <w:pPr>
              <w:spacing w:after="0"/>
              <w:ind w:firstLineChars="100" w:firstLine="180"/>
              <w:rPr>
                <w:rFonts w:cs="Arial"/>
                <w:sz w:val="18"/>
                <w:szCs w:val="18"/>
              </w:rPr>
            </w:pPr>
            <w:r w:rsidRPr="006D688A">
              <w:rPr>
                <w:rFonts w:cs="Arial"/>
                <w:sz w:val="18"/>
                <w:szCs w:val="18"/>
              </w:rPr>
              <w:t>Other payables</w:t>
            </w:r>
          </w:p>
        </w:tc>
        <w:tc>
          <w:tcPr>
            <w:tcW w:w="1273" w:type="dxa"/>
            <w:tcBorders>
              <w:top w:val="nil"/>
              <w:left w:val="nil"/>
              <w:bottom w:val="nil"/>
              <w:right w:val="nil"/>
            </w:tcBorders>
            <w:shd w:val="clear" w:color="FFFFFF" w:fill="FFFFFF"/>
            <w:noWrap/>
            <w:vAlign w:val="bottom"/>
            <w:hideMark/>
          </w:tcPr>
          <w:p w14:paraId="16CBD94A" w14:textId="77777777" w:rsidR="00520333" w:rsidRPr="006D688A" w:rsidRDefault="00520333" w:rsidP="005E5E0C">
            <w:pPr>
              <w:spacing w:after="0"/>
              <w:jc w:val="center"/>
              <w:rPr>
                <w:rFonts w:cs="Arial"/>
                <w:sz w:val="18"/>
                <w:szCs w:val="18"/>
              </w:rPr>
            </w:pPr>
            <w:r w:rsidRPr="006D688A">
              <w:rPr>
                <w:rFonts w:cs="Arial"/>
                <w:sz w:val="18"/>
                <w:szCs w:val="18"/>
              </w:rPr>
              <w:t>2.3B</w:t>
            </w:r>
          </w:p>
        </w:tc>
        <w:tc>
          <w:tcPr>
            <w:tcW w:w="1046" w:type="dxa"/>
            <w:tcBorders>
              <w:top w:val="nil"/>
              <w:left w:val="nil"/>
              <w:bottom w:val="nil"/>
              <w:right w:val="nil"/>
            </w:tcBorders>
            <w:shd w:val="clear" w:color="FFFFFF" w:fill="FFFFFF"/>
            <w:noWrap/>
            <w:vAlign w:val="bottom"/>
            <w:hideMark/>
          </w:tcPr>
          <w:p w14:paraId="255BA25C" w14:textId="77777777" w:rsidR="00520333" w:rsidRPr="006D688A" w:rsidRDefault="00520333" w:rsidP="005E5E0C">
            <w:pPr>
              <w:spacing w:after="0"/>
              <w:jc w:val="right"/>
              <w:rPr>
                <w:rFonts w:cs="Arial"/>
                <w:b/>
                <w:bCs/>
                <w:sz w:val="18"/>
                <w:szCs w:val="18"/>
              </w:rPr>
            </w:pPr>
            <w:r w:rsidRPr="006D688A">
              <w:rPr>
                <w:rFonts w:cs="Arial"/>
                <w:b/>
                <w:bCs/>
                <w:sz w:val="18"/>
                <w:szCs w:val="18"/>
              </w:rPr>
              <w:t>21,037</w:t>
            </w:r>
          </w:p>
        </w:tc>
        <w:tc>
          <w:tcPr>
            <w:tcW w:w="236" w:type="dxa"/>
            <w:tcBorders>
              <w:top w:val="nil"/>
              <w:left w:val="nil"/>
              <w:bottom w:val="nil"/>
              <w:right w:val="nil"/>
            </w:tcBorders>
            <w:shd w:val="clear" w:color="FFFFFF" w:fill="FFFFFF"/>
            <w:noWrap/>
            <w:vAlign w:val="bottom"/>
            <w:hideMark/>
          </w:tcPr>
          <w:p w14:paraId="477058EC"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3C1023BC" w14:textId="77777777" w:rsidR="00520333" w:rsidRPr="006D688A" w:rsidRDefault="00520333" w:rsidP="005E5E0C">
            <w:pPr>
              <w:spacing w:after="0"/>
              <w:jc w:val="right"/>
              <w:rPr>
                <w:rFonts w:cs="Arial"/>
                <w:sz w:val="18"/>
                <w:szCs w:val="18"/>
              </w:rPr>
            </w:pPr>
            <w:r w:rsidRPr="006D688A">
              <w:rPr>
                <w:rFonts w:cs="Arial"/>
                <w:sz w:val="18"/>
                <w:szCs w:val="18"/>
              </w:rPr>
              <w:t>14,410</w:t>
            </w:r>
          </w:p>
        </w:tc>
        <w:tc>
          <w:tcPr>
            <w:tcW w:w="236" w:type="dxa"/>
            <w:tcBorders>
              <w:top w:val="nil"/>
              <w:left w:val="nil"/>
              <w:bottom w:val="nil"/>
              <w:right w:val="nil"/>
            </w:tcBorders>
            <w:shd w:val="clear" w:color="FFFFFF" w:fill="FFFFFF"/>
            <w:noWrap/>
            <w:vAlign w:val="bottom"/>
            <w:hideMark/>
          </w:tcPr>
          <w:p w14:paraId="5237C082"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3FE11391" w14:textId="77777777" w:rsidR="00520333" w:rsidRPr="006D688A" w:rsidRDefault="00520333" w:rsidP="005E5E0C">
            <w:pPr>
              <w:spacing w:after="0"/>
              <w:jc w:val="right"/>
              <w:rPr>
                <w:rFonts w:cs="Arial"/>
                <w:sz w:val="18"/>
                <w:szCs w:val="18"/>
              </w:rPr>
            </w:pPr>
            <w:r w:rsidRPr="006D688A">
              <w:rPr>
                <w:rFonts w:cs="Arial"/>
                <w:sz w:val="18"/>
                <w:szCs w:val="18"/>
              </w:rPr>
              <w:t>625,238</w:t>
            </w:r>
          </w:p>
        </w:tc>
      </w:tr>
      <w:tr w:rsidR="00520333" w:rsidRPr="006D688A" w14:paraId="33D6BC8B" w14:textId="77777777" w:rsidTr="005E5E0C">
        <w:trPr>
          <w:trHeight w:val="250"/>
        </w:trPr>
        <w:tc>
          <w:tcPr>
            <w:tcW w:w="4224" w:type="dxa"/>
            <w:tcBorders>
              <w:top w:val="nil"/>
              <w:left w:val="nil"/>
              <w:bottom w:val="nil"/>
              <w:right w:val="nil"/>
            </w:tcBorders>
            <w:shd w:val="clear" w:color="FFFFFF" w:fill="FFFFFF"/>
            <w:vAlign w:val="bottom"/>
            <w:hideMark/>
          </w:tcPr>
          <w:p w14:paraId="194A5E69" w14:textId="77777777" w:rsidR="00520333" w:rsidRPr="006D688A" w:rsidRDefault="00520333" w:rsidP="005E5E0C">
            <w:pPr>
              <w:spacing w:after="0"/>
              <w:rPr>
                <w:rFonts w:cs="Arial"/>
                <w:b/>
                <w:bCs/>
                <w:sz w:val="18"/>
                <w:szCs w:val="18"/>
              </w:rPr>
            </w:pPr>
            <w:r w:rsidRPr="006D688A">
              <w:rPr>
                <w:rFonts w:cs="Arial"/>
                <w:b/>
                <w:bCs/>
                <w:sz w:val="18"/>
                <w:szCs w:val="18"/>
              </w:rPr>
              <w:t>Total payables</w:t>
            </w:r>
          </w:p>
        </w:tc>
        <w:tc>
          <w:tcPr>
            <w:tcW w:w="1273" w:type="dxa"/>
            <w:tcBorders>
              <w:top w:val="nil"/>
              <w:left w:val="nil"/>
              <w:bottom w:val="nil"/>
              <w:right w:val="nil"/>
            </w:tcBorders>
            <w:shd w:val="clear" w:color="FFFFFF" w:fill="FFFFFF"/>
            <w:noWrap/>
            <w:vAlign w:val="bottom"/>
            <w:hideMark/>
          </w:tcPr>
          <w:p w14:paraId="5514A8E0"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46" w:type="dxa"/>
            <w:tcBorders>
              <w:top w:val="single" w:sz="4" w:space="0" w:color="auto"/>
              <w:left w:val="nil"/>
              <w:bottom w:val="single" w:sz="4" w:space="0" w:color="auto"/>
              <w:right w:val="nil"/>
            </w:tcBorders>
            <w:shd w:val="clear" w:color="FFFFFF" w:fill="FFFFFF"/>
            <w:noWrap/>
            <w:vAlign w:val="bottom"/>
            <w:hideMark/>
          </w:tcPr>
          <w:p w14:paraId="149F8533" w14:textId="77777777" w:rsidR="00520333" w:rsidRPr="006D688A" w:rsidRDefault="00520333" w:rsidP="005E5E0C">
            <w:pPr>
              <w:spacing w:after="0"/>
              <w:jc w:val="right"/>
              <w:rPr>
                <w:rFonts w:cs="Arial"/>
                <w:b/>
                <w:bCs/>
                <w:sz w:val="18"/>
                <w:szCs w:val="18"/>
              </w:rPr>
            </w:pPr>
            <w:r w:rsidRPr="006D688A">
              <w:rPr>
                <w:rFonts w:cs="Arial"/>
                <w:b/>
                <w:bCs/>
                <w:sz w:val="18"/>
                <w:szCs w:val="18"/>
              </w:rPr>
              <w:t>935,556</w:t>
            </w:r>
          </w:p>
        </w:tc>
        <w:tc>
          <w:tcPr>
            <w:tcW w:w="236" w:type="dxa"/>
            <w:tcBorders>
              <w:top w:val="nil"/>
              <w:left w:val="nil"/>
              <w:bottom w:val="nil"/>
              <w:right w:val="nil"/>
            </w:tcBorders>
            <w:shd w:val="clear" w:color="FFFFFF" w:fill="FFFFFF"/>
            <w:noWrap/>
            <w:vAlign w:val="bottom"/>
            <w:hideMark/>
          </w:tcPr>
          <w:p w14:paraId="46C5B79D"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single" w:sz="4" w:space="0" w:color="auto"/>
              <w:left w:val="nil"/>
              <w:bottom w:val="single" w:sz="4" w:space="0" w:color="auto"/>
              <w:right w:val="nil"/>
            </w:tcBorders>
            <w:shd w:val="clear" w:color="FFFFFF" w:fill="FFFFFF"/>
            <w:noWrap/>
            <w:vAlign w:val="bottom"/>
            <w:hideMark/>
          </w:tcPr>
          <w:p w14:paraId="2A21E3D1" w14:textId="77777777" w:rsidR="00520333" w:rsidRPr="006D688A" w:rsidRDefault="00520333" w:rsidP="005E5E0C">
            <w:pPr>
              <w:spacing w:after="0"/>
              <w:jc w:val="right"/>
              <w:rPr>
                <w:rFonts w:cs="Arial"/>
                <w:sz w:val="18"/>
                <w:szCs w:val="18"/>
              </w:rPr>
            </w:pPr>
            <w:r w:rsidRPr="006D688A">
              <w:rPr>
                <w:rFonts w:cs="Arial"/>
                <w:sz w:val="18"/>
                <w:szCs w:val="18"/>
              </w:rPr>
              <w:t>608,481</w:t>
            </w:r>
          </w:p>
        </w:tc>
        <w:tc>
          <w:tcPr>
            <w:tcW w:w="236" w:type="dxa"/>
            <w:tcBorders>
              <w:top w:val="nil"/>
              <w:left w:val="nil"/>
              <w:bottom w:val="nil"/>
              <w:right w:val="nil"/>
            </w:tcBorders>
            <w:shd w:val="clear" w:color="FFFFFF" w:fill="FFFFFF"/>
            <w:noWrap/>
            <w:vAlign w:val="bottom"/>
            <w:hideMark/>
          </w:tcPr>
          <w:p w14:paraId="712DA456"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single" w:sz="4" w:space="0" w:color="auto"/>
              <w:left w:val="nil"/>
              <w:bottom w:val="single" w:sz="4" w:space="0" w:color="auto"/>
              <w:right w:val="nil"/>
            </w:tcBorders>
            <w:shd w:val="clear" w:color="FFFFFF" w:fill="FFFFFF"/>
            <w:noWrap/>
            <w:vAlign w:val="bottom"/>
            <w:hideMark/>
          </w:tcPr>
          <w:p w14:paraId="7F066828" w14:textId="77777777" w:rsidR="00520333" w:rsidRPr="006D688A" w:rsidRDefault="00520333" w:rsidP="005E5E0C">
            <w:pPr>
              <w:spacing w:after="0"/>
              <w:jc w:val="right"/>
              <w:rPr>
                <w:rFonts w:cs="Arial"/>
                <w:sz w:val="18"/>
                <w:szCs w:val="18"/>
              </w:rPr>
            </w:pPr>
            <w:r w:rsidRPr="006D688A">
              <w:rPr>
                <w:rFonts w:cs="Arial"/>
                <w:sz w:val="18"/>
                <w:szCs w:val="18"/>
              </w:rPr>
              <w:t>758,422</w:t>
            </w:r>
          </w:p>
        </w:tc>
      </w:tr>
      <w:tr w:rsidR="00520333" w:rsidRPr="006D688A" w14:paraId="7ECB20A5" w14:textId="77777777" w:rsidTr="005E5E0C">
        <w:trPr>
          <w:trHeight w:val="250"/>
        </w:trPr>
        <w:tc>
          <w:tcPr>
            <w:tcW w:w="4224" w:type="dxa"/>
            <w:tcBorders>
              <w:top w:val="nil"/>
              <w:left w:val="nil"/>
              <w:bottom w:val="nil"/>
              <w:right w:val="nil"/>
            </w:tcBorders>
            <w:shd w:val="clear" w:color="FFFFFF" w:fill="FFFFFF"/>
            <w:noWrap/>
            <w:vAlign w:val="bottom"/>
            <w:hideMark/>
          </w:tcPr>
          <w:p w14:paraId="500BFDA2" w14:textId="77777777" w:rsidR="00520333" w:rsidRPr="006D688A" w:rsidRDefault="00520333" w:rsidP="005E5E0C">
            <w:pPr>
              <w:spacing w:after="0"/>
              <w:rPr>
                <w:rFonts w:cs="Arial"/>
                <w:sz w:val="18"/>
                <w:szCs w:val="18"/>
              </w:rPr>
            </w:pPr>
            <w:r w:rsidRPr="006D688A">
              <w:rPr>
                <w:rFonts w:cs="Arial"/>
                <w:sz w:val="18"/>
                <w:szCs w:val="18"/>
              </w:rPr>
              <w:t> </w:t>
            </w:r>
          </w:p>
        </w:tc>
        <w:tc>
          <w:tcPr>
            <w:tcW w:w="1273" w:type="dxa"/>
            <w:tcBorders>
              <w:top w:val="nil"/>
              <w:left w:val="nil"/>
              <w:bottom w:val="nil"/>
              <w:right w:val="nil"/>
            </w:tcBorders>
            <w:shd w:val="clear" w:color="FFFFFF" w:fill="FFFFFF"/>
            <w:noWrap/>
            <w:vAlign w:val="bottom"/>
            <w:hideMark/>
          </w:tcPr>
          <w:p w14:paraId="770E0138" w14:textId="77777777" w:rsidR="00520333" w:rsidRPr="006D688A" w:rsidRDefault="00520333" w:rsidP="005E5E0C">
            <w:pPr>
              <w:spacing w:after="0"/>
              <w:rPr>
                <w:rFonts w:cs="Arial"/>
                <w:sz w:val="18"/>
                <w:szCs w:val="18"/>
              </w:rPr>
            </w:pPr>
            <w:r w:rsidRPr="006D688A">
              <w:rPr>
                <w:rFonts w:cs="Arial"/>
                <w:sz w:val="18"/>
                <w:szCs w:val="18"/>
              </w:rPr>
              <w:t> </w:t>
            </w:r>
          </w:p>
        </w:tc>
        <w:tc>
          <w:tcPr>
            <w:tcW w:w="1046" w:type="dxa"/>
            <w:tcBorders>
              <w:top w:val="nil"/>
              <w:left w:val="nil"/>
              <w:bottom w:val="nil"/>
              <w:right w:val="nil"/>
            </w:tcBorders>
            <w:shd w:val="clear" w:color="FFFFFF" w:fill="FFFFFF"/>
            <w:noWrap/>
            <w:vAlign w:val="bottom"/>
            <w:hideMark/>
          </w:tcPr>
          <w:p w14:paraId="6F51CB95"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2FFC1847"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753C2D16"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209AA845"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68361B88" w14:textId="77777777" w:rsidR="00520333" w:rsidRPr="006D688A" w:rsidRDefault="00520333" w:rsidP="005E5E0C">
            <w:pPr>
              <w:spacing w:after="0"/>
              <w:rPr>
                <w:rFonts w:cs="Arial"/>
                <w:sz w:val="18"/>
                <w:szCs w:val="18"/>
              </w:rPr>
            </w:pPr>
            <w:r w:rsidRPr="006D688A">
              <w:rPr>
                <w:rFonts w:cs="Arial"/>
                <w:sz w:val="18"/>
                <w:szCs w:val="18"/>
              </w:rPr>
              <w:t> </w:t>
            </w:r>
          </w:p>
        </w:tc>
      </w:tr>
      <w:tr w:rsidR="00520333" w:rsidRPr="006D688A" w14:paraId="1CDD83C1" w14:textId="77777777" w:rsidTr="005E5E0C">
        <w:trPr>
          <w:trHeight w:val="250"/>
        </w:trPr>
        <w:tc>
          <w:tcPr>
            <w:tcW w:w="4224" w:type="dxa"/>
            <w:tcBorders>
              <w:top w:val="nil"/>
              <w:left w:val="nil"/>
              <w:bottom w:val="nil"/>
              <w:right w:val="nil"/>
            </w:tcBorders>
            <w:shd w:val="clear" w:color="FFFFFF" w:fill="FFFFFF"/>
            <w:vAlign w:val="bottom"/>
            <w:hideMark/>
          </w:tcPr>
          <w:p w14:paraId="51B05DE4" w14:textId="77777777" w:rsidR="00520333" w:rsidRPr="006D688A" w:rsidRDefault="00520333" w:rsidP="005E5E0C">
            <w:pPr>
              <w:spacing w:after="0"/>
              <w:rPr>
                <w:rFonts w:cs="Arial"/>
                <w:b/>
                <w:bCs/>
                <w:sz w:val="18"/>
                <w:szCs w:val="18"/>
              </w:rPr>
            </w:pPr>
            <w:r w:rsidRPr="006D688A">
              <w:rPr>
                <w:rFonts w:cs="Arial"/>
                <w:b/>
                <w:bCs/>
                <w:sz w:val="18"/>
                <w:szCs w:val="18"/>
              </w:rPr>
              <w:t>Interest bearing liabilities</w:t>
            </w:r>
          </w:p>
        </w:tc>
        <w:tc>
          <w:tcPr>
            <w:tcW w:w="1273" w:type="dxa"/>
            <w:tcBorders>
              <w:top w:val="nil"/>
              <w:left w:val="nil"/>
              <w:bottom w:val="nil"/>
              <w:right w:val="nil"/>
            </w:tcBorders>
            <w:shd w:val="clear" w:color="FFFFFF" w:fill="FFFFFF"/>
            <w:noWrap/>
            <w:vAlign w:val="bottom"/>
            <w:hideMark/>
          </w:tcPr>
          <w:p w14:paraId="760EC8B8"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46" w:type="dxa"/>
            <w:tcBorders>
              <w:top w:val="nil"/>
              <w:left w:val="nil"/>
              <w:bottom w:val="nil"/>
              <w:right w:val="nil"/>
            </w:tcBorders>
            <w:shd w:val="clear" w:color="FFFFFF" w:fill="FFFFFF"/>
            <w:noWrap/>
            <w:vAlign w:val="bottom"/>
            <w:hideMark/>
          </w:tcPr>
          <w:p w14:paraId="30373354" w14:textId="77777777" w:rsidR="00520333" w:rsidRPr="006D688A" w:rsidRDefault="00520333" w:rsidP="005E5E0C">
            <w:pPr>
              <w:spacing w:after="0"/>
              <w:jc w:val="right"/>
              <w:rPr>
                <w:rFonts w:cs="Arial"/>
                <w:b/>
                <w:bCs/>
                <w:sz w:val="18"/>
                <w:szCs w:val="18"/>
              </w:rPr>
            </w:pPr>
            <w:r w:rsidRPr="006D688A">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50B8FA5A"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63692A8E" w14:textId="77777777" w:rsidR="00520333" w:rsidRPr="006D688A" w:rsidRDefault="00520333" w:rsidP="005E5E0C">
            <w:pPr>
              <w:spacing w:after="0"/>
              <w:jc w:val="right"/>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54927DF3"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12F6B07E" w14:textId="77777777" w:rsidR="00520333" w:rsidRPr="006D688A" w:rsidRDefault="00520333" w:rsidP="005E5E0C">
            <w:pPr>
              <w:spacing w:after="0"/>
              <w:jc w:val="right"/>
              <w:rPr>
                <w:rFonts w:cs="Arial"/>
                <w:sz w:val="18"/>
                <w:szCs w:val="18"/>
              </w:rPr>
            </w:pPr>
            <w:r w:rsidRPr="006D688A">
              <w:rPr>
                <w:rFonts w:cs="Arial"/>
                <w:sz w:val="18"/>
                <w:szCs w:val="18"/>
              </w:rPr>
              <w:t> </w:t>
            </w:r>
          </w:p>
        </w:tc>
      </w:tr>
      <w:tr w:rsidR="00520333" w:rsidRPr="006D688A" w14:paraId="722DE09F" w14:textId="77777777" w:rsidTr="005E5E0C">
        <w:trPr>
          <w:trHeight w:val="250"/>
        </w:trPr>
        <w:tc>
          <w:tcPr>
            <w:tcW w:w="4224" w:type="dxa"/>
            <w:tcBorders>
              <w:top w:val="nil"/>
              <w:left w:val="nil"/>
              <w:bottom w:val="nil"/>
              <w:right w:val="nil"/>
            </w:tcBorders>
            <w:shd w:val="clear" w:color="FFFFFF" w:fill="FFFFFF"/>
            <w:vAlign w:val="bottom"/>
            <w:hideMark/>
          </w:tcPr>
          <w:p w14:paraId="79143C81" w14:textId="77777777" w:rsidR="00520333" w:rsidRPr="006D688A" w:rsidRDefault="00520333" w:rsidP="005E5E0C">
            <w:pPr>
              <w:spacing w:after="0"/>
              <w:ind w:firstLineChars="100" w:firstLine="180"/>
              <w:rPr>
                <w:rFonts w:cs="Arial"/>
                <w:sz w:val="18"/>
                <w:szCs w:val="18"/>
              </w:rPr>
            </w:pPr>
            <w:r w:rsidRPr="006D688A">
              <w:rPr>
                <w:rFonts w:cs="Arial"/>
                <w:sz w:val="18"/>
                <w:szCs w:val="18"/>
              </w:rPr>
              <w:t>Leases</w:t>
            </w:r>
          </w:p>
        </w:tc>
        <w:tc>
          <w:tcPr>
            <w:tcW w:w="1273" w:type="dxa"/>
            <w:tcBorders>
              <w:top w:val="nil"/>
              <w:left w:val="nil"/>
              <w:bottom w:val="nil"/>
              <w:right w:val="nil"/>
            </w:tcBorders>
            <w:shd w:val="clear" w:color="FFFFFF" w:fill="FFFFFF"/>
            <w:noWrap/>
            <w:vAlign w:val="bottom"/>
            <w:hideMark/>
          </w:tcPr>
          <w:p w14:paraId="18622650" w14:textId="77777777" w:rsidR="00520333" w:rsidRPr="006D688A" w:rsidRDefault="00520333" w:rsidP="005E5E0C">
            <w:pPr>
              <w:spacing w:after="0"/>
              <w:jc w:val="center"/>
              <w:rPr>
                <w:rFonts w:cs="Arial"/>
                <w:sz w:val="18"/>
                <w:szCs w:val="18"/>
              </w:rPr>
            </w:pPr>
            <w:r w:rsidRPr="006D688A">
              <w:rPr>
                <w:rFonts w:cs="Arial"/>
                <w:sz w:val="18"/>
                <w:szCs w:val="18"/>
              </w:rPr>
              <w:t>2.5</w:t>
            </w:r>
          </w:p>
        </w:tc>
        <w:tc>
          <w:tcPr>
            <w:tcW w:w="1046" w:type="dxa"/>
            <w:tcBorders>
              <w:top w:val="nil"/>
              <w:left w:val="nil"/>
              <w:bottom w:val="nil"/>
              <w:right w:val="nil"/>
            </w:tcBorders>
            <w:shd w:val="clear" w:color="FFFFFF" w:fill="FFFFFF"/>
            <w:noWrap/>
            <w:vAlign w:val="bottom"/>
            <w:hideMark/>
          </w:tcPr>
          <w:p w14:paraId="086491E0" w14:textId="77777777" w:rsidR="00520333" w:rsidRPr="006D688A" w:rsidRDefault="00520333" w:rsidP="005E5E0C">
            <w:pPr>
              <w:spacing w:after="0"/>
              <w:jc w:val="right"/>
              <w:rPr>
                <w:rFonts w:cs="Arial"/>
                <w:b/>
                <w:bCs/>
                <w:sz w:val="18"/>
                <w:szCs w:val="18"/>
              </w:rPr>
            </w:pPr>
            <w:r w:rsidRPr="006D688A">
              <w:rPr>
                <w:rFonts w:cs="Arial"/>
                <w:b/>
                <w:bCs/>
                <w:sz w:val="18"/>
                <w:szCs w:val="18"/>
              </w:rPr>
              <w:t>166,659</w:t>
            </w:r>
          </w:p>
        </w:tc>
        <w:tc>
          <w:tcPr>
            <w:tcW w:w="236" w:type="dxa"/>
            <w:tcBorders>
              <w:top w:val="nil"/>
              <w:left w:val="nil"/>
              <w:bottom w:val="nil"/>
              <w:right w:val="nil"/>
            </w:tcBorders>
            <w:shd w:val="clear" w:color="FFFFFF" w:fill="FFFFFF"/>
            <w:noWrap/>
            <w:vAlign w:val="bottom"/>
            <w:hideMark/>
          </w:tcPr>
          <w:p w14:paraId="153CE471"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5C148104" w14:textId="77777777" w:rsidR="00520333" w:rsidRPr="006D688A" w:rsidRDefault="00520333" w:rsidP="005E5E0C">
            <w:pPr>
              <w:spacing w:after="0"/>
              <w:jc w:val="right"/>
              <w:rPr>
                <w:rFonts w:cs="Arial"/>
                <w:sz w:val="18"/>
                <w:szCs w:val="18"/>
              </w:rPr>
            </w:pPr>
            <w:r w:rsidRPr="006D688A">
              <w:rPr>
                <w:rFonts w:cs="Arial"/>
                <w:sz w:val="18"/>
                <w:szCs w:val="18"/>
              </w:rPr>
              <w:t>147,954</w:t>
            </w:r>
          </w:p>
        </w:tc>
        <w:tc>
          <w:tcPr>
            <w:tcW w:w="236" w:type="dxa"/>
            <w:tcBorders>
              <w:top w:val="nil"/>
              <w:left w:val="nil"/>
              <w:bottom w:val="nil"/>
              <w:right w:val="nil"/>
            </w:tcBorders>
            <w:shd w:val="clear" w:color="FFFFFF" w:fill="FFFFFF"/>
            <w:noWrap/>
            <w:vAlign w:val="bottom"/>
            <w:hideMark/>
          </w:tcPr>
          <w:p w14:paraId="19A6589D"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1DA23091" w14:textId="77777777" w:rsidR="00520333" w:rsidRPr="006D688A" w:rsidRDefault="00520333" w:rsidP="005E5E0C">
            <w:pPr>
              <w:spacing w:after="0"/>
              <w:jc w:val="right"/>
              <w:rPr>
                <w:rFonts w:cs="Arial"/>
                <w:sz w:val="18"/>
                <w:szCs w:val="18"/>
              </w:rPr>
            </w:pPr>
            <w:r w:rsidRPr="006D688A">
              <w:rPr>
                <w:rFonts w:cs="Arial"/>
                <w:sz w:val="18"/>
                <w:szCs w:val="18"/>
              </w:rPr>
              <w:t>169,944</w:t>
            </w:r>
          </w:p>
        </w:tc>
      </w:tr>
      <w:tr w:rsidR="00520333" w:rsidRPr="006D688A" w14:paraId="03F4A262" w14:textId="77777777" w:rsidTr="005E5E0C">
        <w:trPr>
          <w:trHeight w:val="250"/>
        </w:trPr>
        <w:tc>
          <w:tcPr>
            <w:tcW w:w="4224" w:type="dxa"/>
            <w:tcBorders>
              <w:top w:val="nil"/>
              <w:left w:val="nil"/>
              <w:bottom w:val="nil"/>
              <w:right w:val="nil"/>
            </w:tcBorders>
            <w:shd w:val="clear" w:color="FFFFFF" w:fill="FFFFFF"/>
            <w:vAlign w:val="bottom"/>
            <w:hideMark/>
          </w:tcPr>
          <w:p w14:paraId="650F2B92" w14:textId="77777777" w:rsidR="00520333" w:rsidRPr="006D688A" w:rsidRDefault="00520333" w:rsidP="005E5E0C">
            <w:pPr>
              <w:spacing w:after="0"/>
              <w:rPr>
                <w:rFonts w:cs="Arial"/>
                <w:b/>
                <w:bCs/>
                <w:sz w:val="18"/>
                <w:szCs w:val="18"/>
              </w:rPr>
            </w:pPr>
            <w:r w:rsidRPr="006D688A">
              <w:rPr>
                <w:rFonts w:cs="Arial"/>
                <w:b/>
                <w:bCs/>
                <w:sz w:val="18"/>
                <w:szCs w:val="18"/>
              </w:rPr>
              <w:t>Total interest bearing liabilities</w:t>
            </w:r>
          </w:p>
        </w:tc>
        <w:tc>
          <w:tcPr>
            <w:tcW w:w="1273" w:type="dxa"/>
            <w:tcBorders>
              <w:top w:val="nil"/>
              <w:left w:val="nil"/>
              <w:bottom w:val="nil"/>
              <w:right w:val="nil"/>
            </w:tcBorders>
            <w:shd w:val="clear" w:color="FFFFFF" w:fill="FFFFFF"/>
            <w:noWrap/>
            <w:vAlign w:val="bottom"/>
            <w:hideMark/>
          </w:tcPr>
          <w:p w14:paraId="12076AF7"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46" w:type="dxa"/>
            <w:tcBorders>
              <w:top w:val="single" w:sz="4" w:space="0" w:color="auto"/>
              <w:left w:val="nil"/>
              <w:bottom w:val="single" w:sz="4" w:space="0" w:color="auto"/>
              <w:right w:val="nil"/>
            </w:tcBorders>
            <w:shd w:val="clear" w:color="FFFFFF" w:fill="FFFFFF"/>
            <w:noWrap/>
            <w:vAlign w:val="bottom"/>
            <w:hideMark/>
          </w:tcPr>
          <w:p w14:paraId="419F40ED" w14:textId="77777777" w:rsidR="00520333" w:rsidRPr="006D688A" w:rsidRDefault="00520333" w:rsidP="005E5E0C">
            <w:pPr>
              <w:spacing w:after="0"/>
              <w:jc w:val="right"/>
              <w:rPr>
                <w:rFonts w:cs="Arial"/>
                <w:b/>
                <w:bCs/>
                <w:sz w:val="18"/>
                <w:szCs w:val="18"/>
              </w:rPr>
            </w:pPr>
            <w:r w:rsidRPr="006D688A">
              <w:rPr>
                <w:rFonts w:cs="Arial"/>
                <w:b/>
                <w:bCs/>
                <w:sz w:val="18"/>
                <w:szCs w:val="18"/>
              </w:rPr>
              <w:t>166,659</w:t>
            </w:r>
          </w:p>
        </w:tc>
        <w:tc>
          <w:tcPr>
            <w:tcW w:w="236" w:type="dxa"/>
            <w:tcBorders>
              <w:top w:val="nil"/>
              <w:left w:val="nil"/>
              <w:bottom w:val="nil"/>
              <w:right w:val="nil"/>
            </w:tcBorders>
            <w:shd w:val="clear" w:color="FFFFFF" w:fill="FFFFFF"/>
            <w:noWrap/>
            <w:vAlign w:val="bottom"/>
            <w:hideMark/>
          </w:tcPr>
          <w:p w14:paraId="158A8A9C"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single" w:sz="4" w:space="0" w:color="auto"/>
              <w:left w:val="nil"/>
              <w:bottom w:val="single" w:sz="4" w:space="0" w:color="auto"/>
              <w:right w:val="nil"/>
            </w:tcBorders>
            <w:shd w:val="clear" w:color="FFFFFF" w:fill="FFFFFF"/>
            <w:noWrap/>
            <w:vAlign w:val="bottom"/>
            <w:hideMark/>
          </w:tcPr>
          <w:p w14:paraId="7EF43339" w14:textId="77777777" w:rsidR="00520333" w:rsidRPr="006D688A" w:rsidRDefault="00520333" w:rsidP="005E5E0C">
            <w:pPr>
              <w:spacing w:after="0"/>
              <w:jc w:val="right"/>
              <w:rPr>
                <w:rFonts w:cs="Arial"/>
                <w:sz w:val="18"/>
                <w:szCs w:val="18"/>
              </w:rPr>
            </w:pPr>
            <w:r w:rsidRPr="006D688A">
              <w:rPr>
                <w:rFonts w:cs="Arial"/>
                <w:sz w:val="18"/>
                <w:szCs w:val="18"/>
              </w:rPr>
              <w:t>147,954</w:t>
            </w:r>
          </w:p>
        </w:tc>
        <w:tc>
          <w:tcPr>
            <w:tcW w:w="236" w:type="dxa"/>
            <w:tcBorders>
              <w:top w:val="nil"/>
              <w:left w:val="nil"/>
              <w:bottom w:val="nil"/>
              <w:right w:val="nil"/>
            </w:tcBorders>
            <w:shd w:val="clear" w:color="FFFFFF" w:fill="FFFFFF"/>
            <w:noWrap/>
            <w:vAlign w:val="bottom"/>
            <w:hideMark/>
          </w:tcPr>
          <w:p w14:paraId="795E0684"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single" w:sz="4" w:space="0" w:color="auto"/>
              <w:left w:val="nil"/>
              <w:bottom w:val="single" w:sz="4" w:space="0" w:color="auto"/>
              <w:right w:val="nil"/>
            </w:tcBorders>
            <w:shd w:val="clear" w:color="FFFFFF" w:fill="FFFFFF"/>
            <w:noWrap/>
            <w:vAlign w:val="bottom"/>
            <w:hideMark/>
          </w:tcPr>
          <w:p w14:paraId="272CFD0D" w14:textId="77777777" w:rsidR="00520333" w:rsidRPr="006D688A" w:rsidRDefault="00520333" w:rsidP="005E5E0C">
            <w:pPr>
              <w:spacing w:after="0"/>
              <w:jc w:val="right"/>
              <w:rPr>
                <w:rFonts w:cs="Arial"/>
                <w:sz w:val="18"/>
                <w:szCs w:val="18"/>
              </w:rPr>
            </w:pPr>
            <w:r w:rsidRPr="006D688A">
              <w:rPr>
                <w:rFonts w:cs="Arial"/>
                <w:sz w:val="18"/>
                <w:szCs w:val="18"/>
              </w:rPr>
              <w:t>169,944</w:t>
            </w:r>
          </w:p>
        </w:tc>
      </w:tr>
      <w:tr w:rsidR="00520333" w:rsidRPr="006D688A" w14:paraId="164CA7BF" w14:textId="77777777" w:rsidTr="005E5E0C">
        <w:trPr>
          <w:trHeight w:val="250"/>
        </w:trPr>
        <w:tc>
          <w:tcPr>
            <w:tcW w:w="4224" w:type="dxa"/>
            <w:tcBorders>
              <w:top w:val="nil"/>
              <w:left w:val="nil"/>
              <w:bottom w:val="nil"/>
              <w:right w:val="nil"/>
            </w:tcBorders>
            <w:shd w:val="clear" w:color="FFFFFF" w:fill="FFFFFF"/>
            <w:noWrap/>
            <w:vAlign w:val="bottom"/>
            <w:hideMark/>
          </w:tcPr>
          <w:p w14:paraId="5B064817" w14:textId="77777777" w:rsidR="00520333" w:rsidRPr="006D688A" w:rsidRDefault="00520333" w:rsidP="005E5E0C">
            <w:pPr>
              <w:spacing w:after="0"/>
              <w:rPr>
                <w:rFonts w:cs="Arial"/>
                <w:sz w:val="18"/>
                <w:szCs w:val="18"/>
              </w:rPr>
            </w:pPr>
            <w:r w:rsidRPr="006D688A">
              <w:rPr>
                <w:rFonts w:cs="Arial"/>
                <w:sz w:val="18"/>
                <w:szCs w:val="18"/>
              </w:rPr>
              <w:t> </w:t>
            </w:r>
          </w:p>
        </w:tc>
        <w:tc>
          <w:tcPr>
            <w:tcW w:w="1273" w:type="dxa"/>
            <w:tcBorders>
              <w:top w:val="nil"/>
              <w:left w:val="nil"/>
              <w:bottom w:val="nil"/>
              <w:right w:val="nil"/>
            </w:tcBorders>
            <w:shd w:val="clear" w:color="FFFFFF" w:fill="FFFFFF"/>
            <w:noWrap/>
            <w:vAlign w:val="bottom"/>
            <w:hideMark/>
          </w:tcPr>
          <w:p w14:paraId="1B0886EE" w14:textId="77777777" w:rsidR="00520333" w:rsidRPr="006D688A" w:rsidRDefault="00520333" w:rsidP="005E5E0C">
            <w:pPr>
              <w:spacing w:after="0"/>
              <w:rPr>
                <w:rFonts w:cs="Arial"/>
                <w:sz w:val="18"/>
                <w:szCs w:val="18"/>
              </w:rPr>
            </w:pPr>
            <w:r w:rsidRPr="006D688A">
              <w:rPr>
                <w:rFonts w:cs="Arial"/>
                <w:sz w:val="18"/>
                <w:szCs w:val="18"/>
              </w:rPr>
              <w:t> </w:t>
            </w:r>
          </w:p>
        </w:tc>
        <w:tc>
          <w:tcPr>
            <w:tcW w:w="1046" w:type="dxa"/>
            <w:tcBorders>
              <w:top w:val="nil"/>
              <w:left w:val="nil"/>
              <w:bottom w:val="nil"/>
              <w:right w:val="nil"/>
            </w:tcBorders>
            <w:shd w:val="clear" w:color="FFFFFF" w:fill="FFFFFF"/>
            <w:noWrap/>
            <w:vAlign w:val="bottom"/>
            <w:hideMark/>
          </w:tcPr>
          <w:p w14:paraId="312D1381"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29521ACD"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4DDAE345"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614D9BC4"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795D95E7" w14:textId="77777777" w:rsidR="00520333" w:rsidRPr="006D688A" w:rsidRDefault="00520333" w:rsidP="005E5E0C">
            <w:pPr>
              <w:spacing w:after="0"/>
              <w:rPr>
                <w:rFonts w:cs="Arial"/>
                <w:sz w:val="18"/>
                <w:szCs w:val="18"/>
              </w:rPr>
            </w:pPr>
            <w:r w:rsidRPr="006D688A">
              <w:rPr>
                <w:rFonts w:cs="Arial"/>
                <w:sz w:val="18"/>
                <w:szCs w:val="18"/>
              </w:rPr>
              <w:t> </w:t>
            </w:r>
          </w:p>
        </w:tc>
      </w:tr>
      <w:tr w:rsidR="00520333" w:rsidRPr="006D688A" w14:paraId="03EA6715" w14:textId="77777777" w:rsidTr="005E5E0C">
        <w:trPr>
          <w:trHeight w:val="250"/>
        </w:trPr>
        <w:tc>
          <w:tcPr>
            <w:tcW w:w="4224" w:type="dxa"/>
            <w:tcBorders>
              <w:top w:val="nil"/>
              <w:left w:val="nil"/>
              <w:bottom w:val="nil"/>
              <w:right w:val="nil"/>
            </w:tcBorders>
            <w:shd w:val="clear" w:color="FFFFFF" w:fill="FFFFFF"/>
            <w:vAlign w:val="bottom"/>
            <w:hideMark/>
          </w:tcPr>
          <w:p w14:paraId="15CC025C" w14:textId="77777777" w:rsidR="00520333" w:rsidRPr="006D688A" w:rsidRDefault="00520333" w:rsidP="005E5E0C">
            <w:pPr>
              <w:spacing w:after="0"/>
              <w:rPr>
                <w:rFonts w:cs="Arial"/>
                <w:b/>
                <w:bCs/>
                <w:sz w:val="18"/>
                <w:szCs w:val="18"/>
              </w:rPr>
            </w:pPr>
            <w:r w:rsidRPr="006D688A">
              <w:rPr>
                <w:rFonts w:cs="Arial"/>
                <w:b/>
                <w:bCs/>
                <w:sz w:val="18"/>
                <w:szCs w:val="18"/>
              </w:rPr>
              <w:t>Unearned revenue</w:t>
            </w:r>
          </w:p>
        </w:tc>
        <w:tc>
          <w:tcPr>
            <w:tcW w:w="1273" w:type="dxa"/>
            <w:tcBorders>
              <w:top w:val="nil"/>
              <w:left w:val="nil"/>
              <w:bottom w:val="nil"/>
              <w:right w:val="nil"/>
            </w:tcBorders>
            <w:shd w:val="clear" w:color="FFFFFF" w:fill="FFFFFF"/>
            <w:noWrap/>
            <w:vAlign w:val="bottom"/>
            <w:hideMark/>
          </w:tcPr>
          <w:p w14:paraId="4E835132"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46" w:type="dxa"/>
            <w:tcBorders>
              <w:top w:val="nil"/>
              <w:left w:val="nil"/>
              <w:bottom w:val="nil"/>
              <w:right w:val="nil"/>
            </w:tcBorders>
            <w:shd w:val="clear" w:color="FFFFFF" w:fill="FFFFFF"/>
            <w:noWrap/>
            <w:vAlign w:val="bottom"/>
            <w:hideMark/>
          </w:tcPr>
          <w:p w14:paraId="1ECED9D6"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0087A516"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6ED4F543"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7AD1F4FD"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63B077A2" w14:textId="77777777" w:rsidR="00520333" w:rsidRPr="006D688A" w:rsidRDefault="00520333" w:rsidP="005E5E0C">
            <w:pPr>
              <w:spacing w:after="0"/>
              <w:rPr>
                <w:rFonts w:cs="Arial"/>
                <w:sz w:val="18"/>
                <w:szCs w:val="18"/>
              </w:rPr>
            </w:pPr>
            <w:r w:rsidRPr="006D688A">
              <w:rPr>
                <w:rFonts w:cs="Arial"/>
                <w:sz w:val="18"/>
                <w:szCs w:val="18"/>
              </w:rPr>
              <w:t> </w:t>
            </w:r>
          </w:p>
        </w:tc>
      </w:tr>
      <w:tr w:rsidR="00520333" w:rsidRPr="006D688A" w14:paraId="450A0BCB" w14:textId="77777777" w:rsidTr="005E5E0C">
        <w:trPr>
          <w:trHeight w:val="268"/>
        </w:trPr>
        <w:tc>
          <w:tcPr>
            <w:tcW w:w="4224" w:type="dxa"/>
            <w:tcBorders>
              <w:top w:val="nil"/>
              <w:left w:val="nil"/>
              <w:bottom w:val="nil"/>
              <w:right w:val="nil"/>
            </w:tcBorders>
            <w:shd w:val="clear" w:color="FFFFFF" w:fill="FFFFFF"/>
            <w:vAlign w:val="bottom"/>
            <w:hideMark/>
          </w:tcPr>
          <w:p w14:paraId="52815350" w14:textId="77777777" w:rsidR="00520333" w:rsidRPr="006D688A" w:rsidRDefault="00520333" w:rsidP="005E5E0C">
            <w:pPr>
              <w:spacing w:after="0"/>
              <w:ind w:firstLineChars="100" w:firstLine="180"/>
              <w:rPr>
                <w:rFonts w:cs="Arial"/>
                <w:sz w:val="18"/>
                <w:szCs w:val="18"/>
              </w:rPr>
            </w:pPr>
            <w:r w:rsidRPr="006D688A">
              <w:rPr>
                <w:rFonts w:cs="Arial"/>
                <w:sz w:val="18"/>
                <w:szCs w:val="18"/>
              </w:rPr>
              <w:t>Unearned revenue</w:t>
            </w:r>
          </w:p>
        </w:tc>
        <w:tc>
          <w:tcPr>
            <w:tcW w:w="1273" w:type="dxa"/>
            <w:tcBorders>
              <w:top w:val="nil"/>
              <w:left w:val="nil"/>
              <w:bottom w:val="nil"/>
              <w:right w:val="nil"/>
            </w:tcBorders>
            <w:shd w:val="clear" w:color="FFFFFF" w:fill="FFFFFF"/>
            <w:noWrap/>
            <w:vAlign w:val="bottom"/>
            <w:hideMark/>
          </w:tcPr>
          <w:p w14:paraId="4666173A" w14:textId="77777777" w:rsidR="00520333" w:rsidRPr="006D688A" w:rsidRDefault="00520333" w:rsidP="005E5E0C">
            <w:pPr>
              <w:spacing w:after="0"/>
              <w:jc w:val="center"/>
              <w:rPr>
                <w:rFonts w:cs="Arial"/>
                <w:sz w:val="18"/>
                <w:szCs w:val="18"/>
              </w:rPr>
            </w:pPr>
            <w:r w:rsidRPr="006D688A">
              <w:rPr>
                <w:rFonts w:cs="Arial"/>
                <w:sz w:val="18"/>
                <w:szCs w:val="18"/>
              </w:rPr>
              <w:t>2.4</w:t>
            </w:r>
          </w:p>
        </w:tc>
        <w:tc>
          <w:tcPr>
            <w:tcW w:w="1046" w:type="dxa"/>
            <w:tcBorders>
              <w:top w:val="nil"/>
              <w:left w:val="nil"/>
              <w:bottom w:val="nil"/>
              <w:right w:val="nil"/>
            </w:tcBorders>
            <w:shd w:val="clear" w:color="FFFFFF" w:fill="FFFFFF"/>
            <w:noWrap/>
            <w:vAlign w:val="bottom"/>
            <w:hideMark/>
          </w:tcPr>
          <w:p w14:paraId="5595ECE0" w14:textId="77777777" w:rsidR="00520333" w:rsidRPr="006D688A" w:rsidRDefault="00520333" w:rsidP="005E5E0C">
            <w:pPr>
              <w:spacing w:after="0"/>
              <w:jc w:val="right"/>
              <w:rPr>
                <w:rFonts w:cs="Arial"/>
                <w:b/>
                <w:bCs/>
                <w:sz w:val="18"/>
                <w:szCs w:val="18"/>
              </w:rPr>
            </w:pPr>
            <w:r w:rsidRPr="006D688A">
              <w:rPr>
                <w:rFonts w:cs="Arial"/>
                <w:b/>
                <w:bCs/>
                <w:sz w:val="18"/>
                <w:szCs w:val="18"/>
              </w:rPr>
              <w:t>413,969</w:t>
            </w:r>
          </w:p>
        </w:tc>
        <w:tc>
          <w:tcPr>
            <w:tcW w:w="236" w:type="dxa"/>
            <w:tcBorders>
              <w:top w:val="nil"/>
              <w:left w:val="nil"/>
              <w:bottom w:val="nil"/>
              <w:right w:val="nil"/>
            </w:tcBorders>
            <w:shd w:val="clear" w:color="FFFFFF" w:fill="FFFFFF"/>
            <w:noWrap/>
            <w:vAlign w:val="bottom"/>
            <w:hideMark/>
          </w:tcPr>
          <w:p w14:paraId="73AD4149"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58AE8DA5" w14:textId="77777777" w:rsidR="00520333" w:rsidRPr="006D688A" w:rsidRDefault="00520333" w:rsidP="005E5E0C">
            <w:pPr>
              <w:spacing w:after="0"/>
              <w:jc w:val="right"/>
              <w:rPr>
                <w:rFonts w:cs="Arial"/>
                <w:sz w:val="18"/>
                <w:szCs w:val="18"/>
              </w:rPr>
            </w:pPr>
            <w:r w:rsidRPr="006D688A">
              <w:rPr>
                <w:rFonts w:cs="Arial"/>
                <w:sz w:val="18"/>
                <w:szCs w:val="18"/>
              </w:rPr>
              <w:t>506,442</w:t>
            </w:r>
          </w:p>
        </w:tc>
        <w:tc>
          <w:tcPr>
            <w:tcW w:w="236" w:type="dxa"/>
            <w:tcBorders>
              <w:top w:val="nil"/>
              <w:left w:val="nil"/>
              <w:bottom w:val="nil"/>
              <w:right w:val="nil"/>
            </w:tcBorders>
            <w:shd w:val="clear" w:color="FFFFFF" w:fill="FFFFFF"/>
            <w:noWrap/>
            <w:vAlign w:val="bottom"/>
            <w:hideMark/>
          </w:tcPr>
          <w:p w14:paraId="3B7CE429"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4149BDFB" w14:textId="77777777" w:rsidR="00520333" w:rsidRPr="006D688A" w:rsidRDefault="00520333" w:rsidP="005E5E0C">
            <w:pPr>
              <w:spacing w:after="0"/>
              <w:jc w:val="right"/>
              <w:rPr>
                <w:rFonts w:cs="Arial"/>
                <w:sz w:val="18"/>
                <w:szCs w:val="18"/>
              </w:rPr>
            </w:pPr>
            <w:r w:rsidRPr="006D688A">
              <w:rPr>
                <w:rFonts w:cs="Arial"/>
                <w:sz w:val="18"/>
                <w:szCs w:val="18"/>
              </w:rPr>
              <w:t xml:space="preserve"> -</w:t>
            </w:r>
          </w:p>
        </w:tc>
      </w:tr>
      <w:tr w:rsidR="00520333" w:rsidRPr="006D688A" w14:paraId="0E899ACA" w14:textId="77777777" w:rsidTr="005E5E0C">
        <w:trPr>
          <w:trHeight w:val="268"/>
        </w:trPr>
        <w:tc>
          <w:tcPr>
            <w:tcW w:w="4224" w:type="dxa"/>
            <w:tcBorders>
              <w:top w:val="nil"/>
              <w:left w:val="nil"/>
              <w:bottom w:val="nil"/>
              <w:right w:val="nil"/>
            </w:tcBorders>
            <w:shd w:val="clear" w:color="FFFFFF" w:fill="FFFFFF"/>
            <w:vAlign w:val="bottom"/>
            <w:hideMark/>
          </w:tcPr>
          <w:p w14:paraId="2D733AC5" w14:textId="77777777" w:rsidR="00520333" w:rsidRPr="006D688A" w:rsidRDefault="00520333" w:rsidP="005E5E0C">
            <w:pPr>
              <w:spacing w:after="0"/>
              <w:rPr>
                <w:rFonts w:cs="Arial"/>
                <w:b/>
                <w:bCs/>
                <w:sz w:val="18"/>
                <w:szCs w:val="18"/>
              </w:rPr>
            </w:pPr>
            <w:r w:rsidRPr="006D688A">
              <w:rPr>
                <w:rFonts w:cs="Arial"/>
                <w:b/>
                <w:bCs/>
                <w:sz w:val="18"/>
                <w:szCs w:val="18"/>
              </w:rPr>
              <w:t>Total unearned revenue</w:t>
            </w:r>
          </w:p>
        </w:tc>
        <w:tc>
          <w:tcPr>
            <w:tcW w:w="1273" w:type="dxa"/>
            <w:tcBorders>
              <w:top w:val="nil"/>
              <w:left w:val="nil"/>
              <w:bottom w:val="nil"/>
              <w:right w:val="nil"/>
            </w:tcBorders>
            <w:shd w:val="clear" w:color="FFFFFF" w:fill="FFFFFF"/>
            <w:noWrap/>
            <w:vAlign w:val="bottom"/>
            <w:hideMark/>
          </w:tcPr>
          <w:p w14:paraId="38A2711B"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46" w:type="dxa"/>
            <w:tcBorders>
              <w:top w:val="single" w:sz="4" w:space="0" w:color="auto"/>
              <w:left w:val="nil"/>
              <w:bottom w:val="single" w:sz="4" w:space="0" w:color="auto"/>
              <w:right w:val="nil"/>
            </w:tcBorders>
            <w:shd w:val="clear" w:color="FFFFFF" w:fill="FFFFFF"/>
            <w:noWrap/>
            <w:vAlign w:val="bottom"/>
            <w:hideMark/>
          </w:tcPr>
          <w:p w14:paraId="4AD9F4F8" w14:textId="77777777" w:rsidR="00520333" w:rsidRPr="006D688A" w:rsidRDefault="00520333" w:rsidP="005E5E0C">
            <w:pPr>
              <w:spacing w:after="0"/>
              <w:jc w:val="right"/>
              <w:rPr>
                <w:rFonts w:cs="Arial"/>
                <w:b/>
                <w:bCs/>
                <w:sz w:val="18"/>
                <w:szCs w:val="18"/>
              </w:rPr>
            </w:pPr>
            <w:r w:rsidRPr="006D688A">
              <w:rPr>
                <w:rFonts w:cs="Arial"/>
                <w:b/>
                <w:bCs/>
                <w:sz w:val="18"/>
                <w:szCs w:val="18"/>
              </w:rPr>
              <w:t>413,969</w:t>
            </w:r>
          </w:p>
        </w:tc>
        <w:tc>
          <w:tcPr>
            <w:tcW w:w="236" w:type="dxa"/>
            <w:tcBorders>
              <w:top w:val="nil"/>
              <w:left w:val="nil"/>
              <w:bottom w:val="nil"/>
              <w:right w:val="nil"/>
            </w:tcBorders>
            <w:shd w:val="clear" w:color="FFFFFF" w:fill="FFFFFF"/>
            <w:noWrap/>
            <w:vAlign w:val="bottom"/>
            <w:hideMark/>
          </w:tcPr>
          <w:p w14:paraId="2697B7F8"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single" w:sz="4" w:space="0" w:color="auto"/>
              <w:left w:val="nil"/>
              <w:bottom w:val="single" w:sz="4" w:space="0" w:color="auto"/>
              <w:right w:val="nil"/>
            </w:tcBorders>
            <w:shd w:val="clear" w:color="FFFFFF" w:fill="FFFFFF"/>
            <w:noWrap/>
            <w:vAlign w:val="bottom"/>
            <w:hideMark/>
          </w:tcPr>
          <w:p w14:paraId="257971D3" w14:textId="77777777" w:rsidR="00520333" w:rsidRPr="006D688A" w:rsidRDefault="00520333" w:rsidP="005E5E0C">
            <w:pPr>
              <w:spacing w:after="0"/>
              <w:jc w:val="right"/>
              <w:rPr>
                <w:rFonts w:cs="Arial"/>
                <w:sz w:val="18"/>
                <w:szCs w:val="18"/>
              </w:rPr>
            </w:pPr>
            <w:r w:rsidRPr="006D688A">
              <w:rPr>
                <w:rFonts w:cs="Arial"/>
                <w:sz w:val="18"/>
                <w:szCs w:val="18"/>
              </w:rPr>
              <w:t>506,442</w:t>
            </w:r>
          </w:p>
        </w:tc>
        <w:tc>
          <w:tcPr>
            <w:tcW w:w="236" w:type="dxa"/>
            <w:tcBorders>
              <w:top w:val="nil"/>
              <w:left w:val="nil"/>
              <w:bottom w:val="nil"/>
              <w:right w:val="nil"/>
            </w:tcBorders>
            <w:shd w:val="clear" w:color="FFFFFF" w:fill="FFFFFF"/>
            <w:noWrap/>
            <w:vAlign w:val="bottom"/>
            <w:hideMark/>
          </w:tcPr>
          <w:p w14:paraId="3F105F21"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single" w:sz="4" w:space="0" w:color="auto"/>
              <w:left w:val="nil"/>
              <w:bottom w:val="single" w:sz="4" w:space="0" w:color="auto"/>
              <w:right w:val="nil"/>
            </w:tcBorders>
            <w:shd w:val="clear" w:color="FFFFFF" w:fill="FFFFFF"/>
            <w:noWrap/>
            <w:vAlign w:val="bottom"/>
            <w:hideMark/>
          </w:tcPr>
          <w:p w14:paraId="721E46A8" w14:textId="77777777" w:rsidR="00520333" w:rsidRPr="006D688A" w:rsidRDefault="00520333" w:rsidP="005E5E0C">
            <w:pPr>
              <w:spacing w:after="0"/>
              <w:jc w:val="right"/>
              <w:rPr>
                <w:rFonts w:cs="Arial"/>
                <w:sz w:val="18"/>
                <w:szCs w:val="18"/>
              </w:rPr>
            </w:pPr>
            <w:r w:rsidRPr="006D688A">
              <w:rPr>
                <w:rFonts w:cs="Arial"/>
                <w:sz w:val="18"/>
                <w:szCs w:val="18"/>
              </w:rPr>
              <w:t>-</w:t>
            </w:r>
          </w:p>
        </w:tc>
      </w:tr>
      <w:tr w:rsidR="00520333" w:rsidRPr="006D688A" w14:paraId="224E4F4C" w14:textId="77777777" w:rsidTr="005E5E0C">
        <w:trPr>
          <w:trHeight w:val="268"/>
        </w:trPr>
        <w:tc>
          <w:tcPr>
            <w:tcW w:w="4224" w:type="dxa"/>
            <w:tcBorders>
              <w:top w:val="nil"/>
              <w:left w:val="nil"/>
              <w:bottom w:val="nil"/>
              <w:right w:val="nil"/>
            </w:tcBorders>
            <w:shd w:val="clear" w:color="FFFFFF" w:fill="FFFFFF"/>
            <w:vAlign w:val="bottom"/>
            <w:hideMark/>
          </w:tcPr>
          <w:p w14:paraId="5003DF52" w14:textId="77777777" w:rsidR="00520333" w:rsidRPr="006D688A" w:rsidRDefault="00520333" w:rsidP="005E5E0C">
            <w:pPr>
              <w:spacing w:after="0"/>
              <w:rPr>
                <w:rFonts w:cs="Arial"/>
                <w:sz w:val="18"/>
                <w:szCs w:val="18"/>
              </w:rPr>
            </w:pPr>
            <w:r w:rsidRPr="006D688A">
              <w:rPr>
                <w:rFonts w:cs="Arial"/>
                <w:sz w:val="18"/>
                <w:szCs w:val="18"/>
              </w:rPr>
              <w:t> </w:t>
            </w:r>
          </w:p>
        </w:tc>
        <w:tc>
          <w:tcPr>
            <w:tcW w:w="1273" w:type="dxa"/>
            <w:tcBorders>
              <w:top w:val="nil"/>
              <w:left w:val="nil"/>
              <w:bottom w:val="nil"/>
              <w:right w:val="nil"/>
            </w:tcBorders>
            <w:shd w:val="clear" w:color="FFFFFF" w:fill="FFFFFF"/>
            <w:noWrap/>
            <w:vAlign w:val="bottom"/>
            <w:hideMark/>
          </w:tcPr>
          <w:p w14:paraId="3F9B1F83"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46" w:type="dxa"/>
            <w:tcBorders>
              <w:top w:val="nil"/>
              <w:left w:val="nil"/>
              <w:bottom w:val="nil"/>
              <w:right w:val="nil"/>
            </w:tcBorders>
            <w:shd w:val="clear" w:color="FFFFFF" w:fill="FFFFFF"/>
            <w:noWrap/>
            <w:vAlign w:val="bottom"/>
            <w:hideMark/>
          </w:tcPr>
          <w:p w14:paraId="3D14AC72" w14:textId="77777777" w:rsidR="00520333" w:rsidRPr="006D688A" w:rsidRDefault="00520333" w:rsidP="005E5E0C">
            <w:pPr>
              <w:spacing w:after="0"/>
              <w:jc w:val="right"/>
              <w:rPr>
                <w:rFonts w:cs="Arial"/>
                <w:b/>
                <w:bCs/>
                <w:sz w:val="18"/>
                <w:szCs w:val="18"/>
              </w:rPr>
            </w:pPr>
            <w:r w:rsidRPr="006D688A">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5D2872AB"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73C4017B" w14:textId="77777777" w:rsidR="00520333" w:rsidRPr="006D688A" w:rsidRDefault="00520333" w:rsidP="005E5E0C">
            <w:pPr>
              <w:spacing w:after="0"/>
              <w:jc w:val="right"/>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4179B316"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74D81FF1" w14:textId="77777777" w:rsidR="00520333" w:rsidRPr="006D688A" w:rsidRDefault="00520333" w:rsidP="005E5E0C">
            <w:pPr>
              <w:spacing w:after="0"/>
              <w:jc w:val="right"/>
              <w:rPr>
                <w:rFonts w:cs="Arial"/>
                <w:sz w:val="18"/>
                <w:szCs w:val="18"/>
              </w:rPr>
            </w:pPr>
            <w:r w:rsidRPr="006D688A">
              <w:rPr>
                <w:rFonts w:cs="Arial"/>
                <w:sz w:val="18"/>
                <w:szCs w:val="18"/>
              </w:rPr>
              <w:t> </w:t>
            </w:r>
          </w:p>
        </w:tc>
      </w:tr>
      <w:tr w:rsidR="00520333" w:rsidRPr="006D688A" w14:paraId="0EA3A8C2" w14:textId="77777777" w:rsidTr="005E5E0C">
        <w:trPr>
          <w:trHeight w:val="250"/>
        </w:trPr>
        <w:tc>
          <w:tcPr>
            <w:tcW w:w="4224" w:type="dxa"/>
            <w:tcBorders>
              <w:top w:val="nil"/>
              <w:left w:val="nil"/>
              <w:bottom w:val="nil"/>
              <w:right w:val="nil"/>
            </w:tcBorders>
            <w:shd w:val="clear" w:color="FFFFFF" w:fill="FFFFFF"/>
            <w:vAlign w:val="bottom"/>
            <w:hideMark/>
          </w:tcPr>
          <w:p w14:paraId="3144DC12" w14:textId="77777777" w:rsidR="00520333" w:rsidRPr="006D688A" w:rsidRDefault="00520333" w:rsidP="005E5E0C">
            <w:pPr>
              <w:spacing w:after="0"/>
              <w:rPr>
                <w:rFonts w:cs="Arial"/>
                <w:b/>
                <w:bCs/>
                <w:sz w:val="18"/>
                <w:szCs w:val="18"/>
              </w:rPr>
            </w:pPr>
            <w:r w:rsidRPr="006D688A">
              <w:rPr>
                <w:rFonts w:cs="Arial"/>
                <w:b/>
                <w:bCs/>
                <w:sz w:val="18"/>
                <w:szCs w:val="18"/>
              </w:rPr>
              <w:t>Provisions</w:t>
            </w:r>
          </w:p>
        </w:tc>
        <w:tc>
          <w:tcPr>
            <w:tcW w:w="1273" w:type="dxa"/>
            <w:tcBorders>
              <w:top w:val="nil"/>
              <w:left w:val="nil"/>
              <w:bottom w:val="nil"/>
              <w:right w:val="nil"/>
            </w:tcBorders>
            <w:shd w:val="clear" w:color="FFFFFF" w:fill="FFFFFF"/>
            <w:noWrap/>
            <w:vAlign w:val="bottom"/>
            <w:hideMark/>
          </w:tcPr>
          <w:p w14:paraId="39BB60A0"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46" w:type="dxa"/>
            <w:tcBorders>
              <w:top w:val="nil"/>
              <w:left w:val="nil"/>
              <w:bottom w:val="nil"/>
              <w:right w:val="nil"/>
            </w:tcBorders>
            <w:shd w:val="clear" w:color="FFFFFF" w:fill="FFFFFF"/>
            <w:noWrap/>
            <w:vAlign w:val="bottom"/>
            <w:hideMark/>
          </w:tcPr>
          <w:p w14:paraId="6476BBE8" w14:textId="77777777" w:rsidR="00520333" w:rsidRPr="006D688A" w:rsidRDefault="00520333" w:rsidP="005E5E0C">
            <w:pPr>
              <w:spacing w:after="0"/>
              <w:jc w:val="right"/>
              <w:rPr>
                <w:rFonts w:cs="Arial"/>
                <w:b/>
                <w:bCs/>
                <w:sz w:val="18"/>
                <w:szCs w:val="18"/>
              </w:rPr>
            </w:pPr>
            <w:r w:rsidRPr="006D688A">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3A138EB2"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1B560D38" w14:textId="77777777" w:rsidR="00520333" w:rsidRPr="006D688A" w:rsidRDefault="00520333" w:rsidP="005E5E0C">
            <w:pPr>
              <w:spacing w:after="0"/>
              <w:jc w:val="right"/>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4F45ECEB"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489EC977" w14:textId="77777777" w:rsidR="00520333" w:rsidRPr="006D688A" w:rsidRDefault="00520333" w:rsidP="005E5E0C">
            <w:pPr>
              <w:spacing w:after="0"/>
              <w:jc w:val="right"/>
              <w:rPr>
                <w:rFonts w:cs="Arial"/>
                <w:sz w:val="18"/>
                <w:szCs w:val="18"/>
              </w:rPr>
            </w:pPr>
            <w:r w:rsidRPr="006D688A">
              <w:rPr>
                <w:rFonts w:cs="Arial"/>
                <w:sz w:val="18"/>
                <w:szCs w:val="18"/>
              </w:rPr>
              <w:t> </w:t>
            </w:r>
          </w:p>
        </w:tc>
      </w:tr>
      <w:tr w:rsidR="00520333" w:rsidRPr="006D688A" w14:paraId="2C64A846" w14:textId="77777777" w:rsidTr="005E5E0C">
        <w:trPr>
          <w:trHeight w:val="250"/>
        </w:trPr>
        <w:tc>
          <w:tcPr>
            <w:tcW w:w="4224" w:type="dxa"/>
            <w:tcBorders>
              <w:top w:val="nil"/>
              <w:left w:val="nil"/>
              <w:bottom w:val="nil"/>
              <w:right w:val="nil"/>
            </w:tcBorders>
            <w:shd w:val="clear" w:color="FFFFFF" w:fill="FFFFFF"/>
            <w:vAlign w:val="bottom"/>
            <w:hideMark/>
          </w:tcPr>
          <w:p w14:paraId="378DDBBD" w14:textId="77777777" w:rsidR="00520333" w:rsidRPr="006D688A" w:rsidRDefault="00520333" w:rsidP="005E5E0C">
            <w:pPr>
              <w:spacing w:after="0"/>
              <w:ind w:firstLineChars="100" w:firstLine="180"/>
              <w:rPr>
                <w:rFonts w:cs="Arial"/>
                <w:sz w:val="18"/>
                <w:szCs w:val="18"/>
              </w:rPr>
            </w:pPr>
            <w:r w:rsidRPr="006D688A">
              <w:rPr>
                <w:rFonts w:cs="Arial"/>
                <w:sz w:val="18"/>
                <w:szCs w:val="18"/>
              </w:rPr>
              <w:t>Employee leave provisions</w:t>
            </w:r>
          </w:p>
        </w:tc>
        <w:tc>
          <w:tcPr>
            <w:tcW w:w="1273" w:type="dxa"/>
            <w:tcBorders>
              <w:top w:val="nil"/>
              <w:left w:val="nil"/>
              <w:bottom w:val="nil"/>
              <w:right w:val="nil"/>
            </w:tcBorders>
            <w:shd w:val="clear" w:color="FFFFFF" w:fill="FFFFFF"/>
            <w:noWrap/>
            <w:vAlign w:val="bottom"/>
            <w:hideMark/>
          </w:tcPr>
          <w:p w14:paraId="5833C384"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46" w:type="dxa"/>
            <w:tcBorders>
              <w:top w:val="nil"/>
              <w:left w:val="nil"/>
              <w:bottom w:val="nil"/>
              <w:right w:val="nil"/>
            </w:tcBorders>
            <w:shd w:val="clear" w:color="FFFFFF" w:fill="FFFFFF"/>
            <w:noWrap/>
            <w:vAlign w:val="bottom"/>
            <w:hideMark/>
          </w:tcPr>
          <w:p w14:paraId="54E08155" w14:textId="77777777" w:rsidR="00520333" w:rsidRPr="006D688A" w:rsidRDefault="00520333" w:rsidP="005E5E0C">
            <w:pPr>
              <w:spacing w:after="0"/>
              <w:jc w:val="right"/>
              <w:rPr>
                <w:rFonts w:cs="Arial"/>
                <w:b/>
                <w:bCs/>
                <w:sz w:val="18"/>
                <w:szCs w:val="18"/>
              </w:rPr>
            </w:pPr>
            <w:r w:rsidRPr="006D688A">
              <w:rPr>
                <w:rFonts w:cs="Arial"/>
                <w:b/>
                <w:bCs/>
                <w:sz w:val="18"/>
                <w:szCs w:val="18"/>
              </w:rPr>
              <w:t>150,777</w:t>
            </w:r>
          </w:p>
        </w:tc>
        <w:tc>
          <w:tcPr>
            <w:tcW w:w="236" w:type="dxa"/>
            <w:tcBorders>
              <w:top w:val="nil"/>
              <w:left w:val="nil"/>
              <w:bottom w:val="nil"/>
              <w:right w:val="nil"/>
            </w:tcBorders>
            <w:shd w:val="clear" w:color="FFFFFF" w:fill="FFFFFF"/>
            <w:noWrap/>
            <w:vAlign w:val="bottom"/>
            <w:hideMark/>
          </w:tcPr>
          <w:p w14:paraId="43CE86AD"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65116ACB" w14:textId="77777777" w:rsidR="00520333" w:rsidRPr="006D688A" w:rsidRDefault="00520333" w:rsidP="005E5E0C">
            <w:pPr>
              <w:spacing w:after="0"/>
              <w:jc w:val="right"/>
              <w:rPr>
                <w:rFonts w:cs="Arial"/>
                <w:sz w:val="18"/>
                <w:szCs w:val="18"/>
              </w:rPr>
            </w:pPr>
            <w:r w:rsidRPr="006D688A">
              <w:rPr>
                <w:rFonts w:cs="Arial"/>
                <w:sz w:val="18"/>
                <w:szCs w:val="18"/>
              </w:rPr>
              <w:t>109,210</w:t>
            </w:r>
          </w:p>
        </w:tc>
        <w:tc>
          <w:tcPr>
            <w:tcW w:w="236" w:type="dxa"/>
            <w:tcBorders>
              <w:top w:val="nil"/>
              <w:left w:val="nil"/>
              <w:bottom w:val="nil"/>
              <w:right w:val="nil"/>
            </w:tcBorders>
            <w:shd w:val="clear" w:color="FFFFFF" w:fill="FFFFFF"/>
            <w:noWrap/>
            <w:vAlign w:val="bottom"/>
            <w:hideMark/>
          </w:tcPr>
          <w:p w14:paraId="683AE6AE"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36B0817F" w14:textId="77777777" w:rsidR="00520333" w:rsidRPr="006D688A" w:rsidRDefault="00520333" w:rsidP="005E5E0C">
            <w:pPr>
              <w:spacing w:after="0"/>
              <w:jc w:val="right"/>
              <w:rPr>
                <w:rFonts w:cs="Arial"/>
                <w:sz w:val="18"/>
                <w:szCs w:val="18"/>
              </w:rPr>
            </w:pPr>
            <w:r w:rsidRPr="006D688A">
              <w:rPr>
                <w:rFonts w:cs="Arial"/>
                <w:sz w:val="18"/>
                <w:szCs w:val="18"/>
              </w:rPr>
              <w:t>98,559</w:t>
            </w:r>
          </w:p>
        </w:tc>
      </w:tr>
      <w:tr w:rsidR="00520333" w:rsidRPr="006D688A" w14:paraId="3620AA47" w14:textId="77777777" w:rsidTr="005E5E0C">
        <w:trPr>
          <w:trHeight w:val="250"/>
        </w:trPr>
        <w:tc>
          <w:tcPr>
            <w:tcW w:w="4224" w:type="dxa"/>
            <w:tcBorders>
              <w:top w:val="nil"/>
              <w:left w:val="nil"/>
              <w:bottom w:val="nil"/>
              <w:right w:val="nil"/>
            </w:tcBorders>
            <w:shd w:val="clear" w:color="FFFFFF" w:fill="FFFFFF"/>
            <w:vAlign w:val="bottom"/>
            <w:hideMark/>
          </w:tcPr>
          <w:p w14:paraId="2C9855AE" w14:textId="77777777" w:rsidR="00520333" w:rsidRPr="006D688A" w:rsidRDefault="00520333" w:rsidP="005E5E0C">
            <w:pPr>
              <w:spacing w:after="0"/>
              <w:ind w:firstLineChars="100" w:firstLine="180"/>
              <w:rPr>
                <w:rFonts w:cs="Arial"/>
                <w:sz w:val="18"/>
                <w:szCs w:val="18"/>
              </w:rPr>
            </w:pPr>
            <w:r w:rsidRPr="006D688A">
              <w:rPr>
                <w:rFonts w:cs="Arial"/>
                <w:sz w:val="18"/>
                <w:szCs w:val="18"/>
              </w:rPr>
              <w:t>Participant plan provisions</w:t>
            </w:r>
          </w:p>
        </w:tc>
        <w:tc>
          <w:tcPr>
            <w:tcW w:w="1273" w:type="dxa"/>
            <w:tcBorders>
              <w:top w:val="nil"/>
              <w:left w:val="nil"/>
              <w:bottom w:val="nil"/>
              <w:right w:val="nil"/>
            </w:tcBorders>
            <w:shd w:val="clear" w:color="FFFFFF" w:fill="FFFFFF"/>
            <w:noWrap/>
            <w:vAlign w:val="bottom"/>
            <w:hideMark/>
          </w:tcPr>
          <w:p w14:paraId="6B1BBC4A" w14:textId="77777777" w:rsidR="00520333" w:rsidRPr="006D688A" w:rsidRDefault="00520333" w:rsidP="005E5E0C">
            <w:pPr>
              <w:spacing w:after="0"/>
              <w:jc w:val="center"/>
              <w:rPr>
                <w:rFonts w:cs="Arial"/>
                <w:sz w:val="18"/>
                <w:szCs w:val="18"/>
              </w:rPr>
            </w:pPr>
            <w:r w:rsidRPr="006D688A">
              <w:rPr>
                <w:rFonts w:cs="Arial"/>
                <w:sz w:val="18"/>
                <w:szCs w:val="18"/>
              </w:rPr>
              <w:t>2.6</w:t>
            </w:r>
          </w:p>
        </w:tc>
        <w:tc>
          <w:tcPr>
            <w:tcW w:w="1046" w:type="dxa"/>
            <w:tcBorders>
              <w:top w:val="nil"/>
              <w:left w:val="nil"/>
              <w:bottom w:val="nil"/>
              <w:right w:val="nil"/>
            </w:tcBorders>
            <w:shd w:val="clear" w:color="FFFFFF" w:fill="FFFFFF"/>
            <w:noWrap/>
            <w:vAlign w:val="bottom"/>
            <w:hideMark/>
          </w:tcPr>
          <w:p w14:paraId="2213590C" w14:textId="77777777" w:rsidR="00520333" w:rsidRPr="006D688A" w:rsidRDefault="00520333" w:rsidP="005E5E0C">
            <w:pPr>
              <w:spacing w:after="0"/>
              <w:jc w:val="right"/>
              <w:rPr>
                <w:rFonts w:cs="Arial"/>
                <w:b/>
                <w:bCs/>
                <w:sz w:val="18"/>
                <w:szCs w:val="18"/>
              </w:rPr>
            </w:pPr>
            <w:r w:rsidRPr="006D688A">
              <w:rPr>
                <w:rFonts w:cs="Arial"/>
                <w:b/>
                <w:bCs/>
                <w:sz w:val="18"/>
                <w:szCs w:val="18"/>
              </w:rPr>
              <w:t>2,066,153</w:t>
            </w:r>
          </w:p>
        </w:tc>
        <w:tc>
          <w:tcPr>
            <w:tcW w:w="236" w:type="dxa"/>
            <w:tcBorders>
              <w:top w:val="nil"/>
              <w:left w:val="nil"/>
              <w:bottom w:val="nil"/>
              <w:right w:val="nil"/>
            </w:tcBorders>
            <w:shd w:val="clear" w:color="FFFFFF" w:fill="FFFFFF"/>
            <w:noWrap/>
            <w:vAlign w:val="bottom"/>
            <w:hideMark/>
          </w:tcPr>
          <w:p w14:paraId="5B4BE611"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09C609AC" w14:textId="77777777" w:rsidR="00520333" w:rsidRPr="006D688A" w:rsidRDefault="00520333" w:rsidP="005E5E0C">
            <w:pPr>
              <w:spacing w:after="0"/>
              <w:jc w:val="right"/>
              <w:rPr>
                <w:rFonts w:cs="Arial"/>
                <w:sz w:val="18"/>
                <w:szCs w:val="18"/>
              </w:rPr>
            </w:pPr>
            <w:r w:rsidRPr="006D688A">
              <w:rPr>
                <w:rFonts w:cs="Arial"/>
                <w:sz w:val="18"/>
                <w:szCs w:val="18"/>
              </w:rPr>
              <w:t>1,948,638</w:t>
            </w:r>
          </w:p>
        </w:tc>
        <w:tc>
          <w:tcPr>
            <w:tcW w:w="236" w:type="dxa"/>
            <w:tcBorders>
              <w:top w:val="nil"/>
              <w:left w:val="nil"/>
              <w:bottom w:val="nil"/>
              <w:right w:val="nil"/>
            </w:tcBorders>
            <w:shd w:val="clear" w:color="FFFFFF" w:fill="FFFFFF"/>
            <w:noWrap/>
            <w:vAlign w:val="bottom"/>
            <w:hideMark/>
          </w:tcPr>
          <w:p w14:paraId="0D6DC9C1"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47E1A26A" w14:textId="77777777" w:rsidR="00520333" w:rsidRPr="006D688A" w:rsidRDefault="00520333" w:rsidP="005E5E0C">
            <w:pPr>
              <w:spacing w:after="0"/>
              <w:jc w:val="right"/>
              <w:rPr>
                <w:rFonts w:cs="Arial"/>
                <w:sz w:val="18"/>
                <w:szCs w:val="18"/>
              </w:rPr>
            </w:pPr>
            <w:r w:rsidRPr="006D688A">
              <w:rPr>
                <w:rFonts w:cs="Arial"/>
                <w:sz w:val="18"/>
                <w:szCs w:val="18"/>
              </w:rPr>
              <w:t>3,542,696</w:t>
            </w:r>
          </w:p>
        </w:tc>
      </w:tr>
      <w:tr w:rsidR="00520333" w:rsidRPr="006D688A" w14:paraId="53DF107D" w14:textId="77777777" w:rsidTr="005E5E0C">
        <w:trPr>
          <w:trHeight w:val="250"/>
        </w:trPr>
        <w:tc>
          <w:tcPr>
            <w:tcW w:w="4224" w:type="dxa"/>
            <w:tcBorders>
              <w:top w:val="nil"/>
              <w:left w:val="nil"/>
              <w:bottom w:val="nil"/>
              <w:right w:val="nil"/>
            </w:tcBorders>
            <w:shd w:val="clear" w:color="FFFFFF" w:fill="FFFFFF"/>
            <w:vAlign w:val="bottom"/>
            <w:hideMark/>
          </w:tcPr>
          <w:p w14:paraId="1E31439B" w14:textId="77777777" w:rsidR="00520333" w:rsidRPr="006D688A" w:rsidRDefault="00520333" w:rsidP="005E5E0C">
            <w:pPr>
              <w:spacing w:after="0"/>
              <w:ind w:firstLineChars="100" w:firstLine="180"/>
              <w:rPr>
                <w:rFonts w:cs="Arial"/>
                <w:sz w:val="18"/>
                <w:szCs w:val="18"/>
              </w:rPr>
            </w:pPr>
            <w:r w:rsidRPr="006D688A">
              <w:rPr>
                <w:rFonts w:cs="Arial"/>
                <w:sz w:val="18"/>
                <w:szCs w:val="18"/>
              </w:rPr>
              <w:t>Provision for restoration obligations</w:t>
            </w:r>
          </w:p>
        </w:tc>
        <w:tc>
          <w:tcPr>
            <w:tcW w:w="1273" w:type="dxa"/>
            <w:tcBorders>
              <w:top w:val="nil"/>
              <w:left w:val="nil"/>
              <w:bottom w:val="nil"/>
              <w:right w:val="nil"/>
            </w:tcBorders>
            <w:shd w:val="clear" w:color="FFFFFF" w:fill="FFFFFF"/>
            <w:noWrap/>
            <w:vAlign w:val="bottom"/>
            <w:hideMark/>
          </w:tcPr>
          <w:p w14:paraId="62FB54AB" w14:textId="77777777" w:rsidR="00520333" w:rsidRPr="006D688A" w:rsidRDefault="00520333" w:rsidP="005E5E0C">
            <w:pPr>
              <w:spacing w:after="0"/>
              <w:jc w:val="center"/>
              <w:rPr>
                <w:rFonts w:cs="Arial"/>
                <w:sz w:val="18"/>
                <w:szCs w:val="18"/>
              </w:rPr>
            </w:pPr>
            <w:r w:rsidRPr="006D688A">
              <w:rPr>
                <w:rFonts w:cs="Arial"/>
                <w:sz w:val="18"/>
                <w:szCs w:val="18"/>
              </w:rPr>
              <w:t>2.6</w:t>
            </w:r>
          </w:p>
        </w:tc>
        <w:tc>
          <w:tcPr>
            <w:tcW w:w="1046" w:type="dxa"/>
            <w:tcBorders>
              <w:top w:val="nil"/>
              <w:left w:val="nil"/>
              <w:bottom w:val="nil"/>
              <w:right w:val="nil"/>
            </w:tcBorders>
            <w:shd w:val="clear" w:color="FFFFFF" w:fill="FFFFFF"/>
            <w:noWrap/>
            <w:vAlign w:val="bottom"/>
            <w:hideMark/>
          </w:tcPr>
          <w:p w14:paraId="5EEC0946" w14:textId="77777777" w:rsidR="00520333" w:rsidRPr="006D688A" w:rsidRDefault="00520333" w:rsidP="005E5E0C">
            <w:pPr>
              <w:spacing w:after="0"/>
              <w:jc w:val="right"/>
              <w:rPr>
                <w:rFonts w:cs="Arial"/>
                <w:b/>
                <w:bCs/>
                <w:sz w:val="18"/>
                <w:szCs w:val="18"/>
              </w:rPr>
            </w:pPr>
            <w:r w:rsidRPr="006D688A">
              <w:rPr>
                <w:rFonts w:cs="Arial"/>
                <w:b/>
                <w:bCs/>
                <w:sz w:val="18"/>
                <w:szCs w:val="18"/>
              </w:rPr>
              <w:t>7,467</w:t>
            </w:r>
          </w:p>
        </w:tc>
        <w:tc>
          <w:tcPr>
            <w:tcW w:w="236" w:type="dxa"/>
            <w:tcBorders>
              <w:top w:val="nil"/>
              <w:left w:val="nil"/>
              <w:bottom w:val="nil"/>
              <w:right w:val="nil"/>
            </w:tcBorders>
            <w:shd w:val="clear" w:color="FFFFFF" w:fill="FFFFFF"/>
            <w:noWrap/>
            <w:vAlign w:val="bottom"/>
            <w:hideMark/>
          </w:tcPr>
          <w:p w14:paraId="202CA483"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6BB00683" w14:textId="77777777" w:rsidR="00520333" w:rsidRPr="006D688A" w:rsidRDefault="00520333" w:rsidP="005E5E0C">
            <w:pPr>
              <w:spacing w:after="0"/>
              <w:jc w:val="right"/>
              <w:rPr>
                <w:rFonts w:cs="Arial"/>
                <w:sz w:val="18"/>
                <w:szCs w:val="18"/>
              </w:rPr>
            </w:pPr>
            <w:r w:rsidRPr="006D688A">
              <w:rPr>
                <w:rFonts w:cs="Arial"/>
                <w:sz w:val="18"/>
                <w:szCs w:val="18"/>
              </w:rPr>
              <w:t>5,936</w:t>
            </w:r>
          </w:p>
        </w:tc>
        <w:tc>
          <w:tcPr>
            <w:tcW w:w="236" w:type="dxa"/>
            <w:tcBorders>
              <w:top w:val="nil"/>
              <w:left w:val="nil"/>
              <w:bottom w:val="nil"/>
              <w:right w:val="nil"/>
            </w:tcBorders>
            <w:shd w:val="clear" w:color="FFFFFF" w:fill="FFFFFF"/>
            <w:noWrap/>
            <w:vAlign w:val="bottom"/>
            <w:hideMark/>
          </w:tcPr>
          <w:p w14:paraId="5AF6B005"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44CBA754" w14:textId="77777777" w:rsidR="00520333" w:rsidRPr="006D688A" w:rsidRDefault="00520333" w:rsidP="005E5E0C">
            <w:pPr>
              <w:spacing w:after="0"/>
              <w:jc w:val="right"/>
              <w:rPr>
                <w:rFonts w:cs="Arial"/>
                <w:sz w:val="18"/>
                <w:szCs w:val="18"/>
              </w:rPr>
            </w:pPr>
            <w:r w:rsidRPr="006D688A">
              <w:rPr>
                <w:rFonts w:cs="Arial"/>
                <w:sz w:val="18"/>
                <w:szCs w:val="18"/>
              </w:rPr>
              <w:t>7,855</w:t>
            </w:r>
          </w:p>
        </w:tc>
      </w:tr>
      <w:tr w:rsidR="00520333" w:rsidRPr="006D688A" w14:paraId="277497F9" w14:textId="77777777" w:rsidTr="005E5E0C">
        <w:trPr>
          <w:trHeight w:val="250"/>
        </w:trPr>
        <w:tc>
          <w:tcPr>
            <w:tcW w:w="4224" w:type="dxa"/>
            <w:tcBorders>
              <w:top w:val="nil"/>
              <w:left w:val="nil"/>
              <w:bottom w:val="nil"/>
              <w:right w:val="nil"/>
            </w:tcBorders>
            <w:shd w:val="clear" w:color="FFFFFF" w:fill="FFFFFF"/>
            <w:vAlign w:val="bottom"/>
          </w:tcPr>
          <w:p w14:paraId="2F88767C" w14:textId="77777777" w:rsidR="00520333" w:rsidRPr="006D688A" w:rsidRDefault="00520333" w:rsidP="005E5E0C">
            <w:pPr>
              <w:spacing w:after="0"/>
              <w:ind w:firstLineChars="100" w:firstLine="180"/>
              <w:rPr>
                <w:rFonts w:cs="Arial"/>
                <w:sz w:val="18"/>
                <w:szCs w:val="18"/>
              </w:rPr>
            </w:pPr>
            <w:r w:rsidRPr="006D688A">
              <w:rPr>
                <w:rFonts w:cs="Arial"/>
                <w:sz w:val="18"/>
                <w:szCs w:val="18"/>
              </w:rPr>
              <w:t xml:space="preserve">Provision for historical Scheme debt </w:t>
            </w:r>
          </w:p>
        </w:tc>
        <w:tc>
          <w:tcPr>
            <w:tcW w:w="1273" w:type="dxa"/>
            <w:tcBorders>
              <w:top w:val="nil"/>
              <w:left w:val="nil"/>
              <w:bottom w:val="nil"/>
              <w:right w:val="nil"/>
            </w:tcBorders>
            <w:shd w:val="clear" w:color="FFFFFF" w:fill="FFFFFF"/>
            <w:noWrap/>
            <w:vAlign w:val="bottom"/>
          </w:tcPr>
          <w:p w14:paraId="21363C2E" w14:textId="77777777" w:rsidR="00520333" w:rsidRPr="006D688A" w:rsidRDefault="00520333" w:rsidP="005E5E0C">
            <w:pPr>
              <w:spacing w:after="0"/>
              <w:jc w:val="center"/>
              <w:rPr>
                <w:rFonts w:cs="Arial"/>
                <w:sz w:val="18"/>
                <w:szCs w:val="18"/>
              </w:rPr>
            </w:pPr>
            <w:r w:rsidRPr="006D688A">
              <w:rPr>
                <w:rFonts w:cs="Arial"/>
                <w:sz w:val="18"/>
                <w:szCs w:val="18"/>
              </w:rPr>
              <w:t>2.6</w:t>
            </w:r>
          </w:p>
        </w:tc>
        <w:tc>
          <w:tcPr>
            <w:tcW w:w="1046" w:type="dxa"/>
            <w:tcBorders>
              <w:top w:val="nil"/>
              <w:left w:val="nil"/>
              <w:bottom w:val="nil"/>
              <w:right w:val="nil"/>
            </w:tcBorders>
            <w:shd w:val="clear" w:color="FFFFFF" w:fill="FFFFFF"/>
            <w:noWrap/>
            <w:vAlign w:val="bottom"/>
          </w:tcPr>
          <w:p w14:paraId="38AF6EFA" w14:textId="77777777" w:rsidR="00520333" w:rsidRPr="006D688A" w:rsidRDefault="00520333" w:rsidP="005E5E0C">
            <w:pPr>
              <w:spacing w:after="0"/>
              <w:jc w:val="right"/>
              <w:rPr>
                <w:rFonts w:cs="Arial"/>
                <w:b/>
                <w:bCs/>
                <w:sz w:val="18"/>
                <w:szCs w:val="18"/>
              </w:rPr>
            </w:pPr>
            <w:r w:rsidRPr="006D688A">
              <w:rPr>
                <w:rFonts w:cs="Arial"/>
                <w:b/>
                <w:bCs/>
                <w:sz w:val="18"/>
                <w:szCs w:val="18"/>
              </w:rPr>
              <w:t>9,088</w:t>
            </w:r>
          </w:p>
        </w:tc>
        <w:tc>
          <w:tcPr>
            <w:tcW w:w="236" w:type="dxa"/>
            <w:tcBorders>
              <w:top w:val="nil"/>
              <w:left w:val="nil"/>
              <w:bottom w:val="nil"/>
              <w:right w:val="nil"/>
            </w:tcBorders>
            <w:shd w:val="clear" w:color="FFFFFF" w:fill="FFFFFF"/>
            <w:noWrap/>
            <w:vAlign w:val="bottom"/>
          </w:tcPr>
          <w:p w14:paraId="3D41447D" w14:textId="77777777" w:rsidR="00520333" w:rsidRPr="006D688A" w:rsidRDefault="00520333" w:rsidP="005E5E0C">
            <w:pPr>
              <w:spacing w:after="0"/>
              <w:rPr>
                <w:rFonts w:cs="Arial"/>
                <w:sz w:val="18"/>
                <w:szCs w:val="18"/>
              </w:rPr>
            </w:pPr>
          </w:p>
        </w:tc>
        <w:tc>
          <w:tcPr>
            <w:tcW w:w="1036" w:type="dxa"/>
            <w:tcBorders>
              <w:top w:val="nil"/>
              <w:left w:val="nil"/>
              <w:bottom w:val="nil"/>
              <w:right w:val="nil"/>
            </w:tcBorders>
            <w:shd w:val="clear" w:color="FFFFFF" w:fill="FFFFFF"/>
            <w:noWrap/>
            <w:vAlign w:val="bottom"/>
          </w:tcPr>
          <w:p w14:paraId="0BED36D2" w14:textId="77777777" w:rsidR="00520333" w:rsidRPr="006D688A" w:rsidRDefault="00520333" w:rsidP="005E5E0C">
            <w:pPr>
              <w:spacing w:after="0"/>
              <w:jc w:val="right"/>
              <w:rPr>
                <w:rFonts w:cs="Arial"/>
                <w:sz w:val="18"/>
                <w:szCs w:val="18"/>
              </w:rPr>
            </w:pPr>
            <w:r w:rsidRPr="006D688A">
              <w:rPr>
                <w:rFonts w:cs="Arial"/>
                <w:sz w:val="18"/>
                <w:szCs w:val="18"/>
              </w:rPr>
              <w:t>-</w:t>
            </w:r>
          </w:p>
        </w:tc>
        <w:tc>
          <w:tcPr>
            <w:tcW w:w="236" w:type="dxa"/>
            <w:tcBorders>
              <w:top w:val="nil"/>
              <w:left w:val="nil"/>
              <w:bottom w:val="nil"/>
              <w:right w:val="nil"/>
            </w:tcBorders>
            <w:shd w:val="clear" w:color="FFFFFF" w:fill="FFFFFF"/>
            <w:noWrap/>
            <w:vAlign w:val="bottom"/>
          </w:tcPr>
          <w:p w14:paraId="265CCDBD" w14:textId="77777777" w:rsidR="00520333" w:rsidRPr="006D688A" w:rsidRDefault="00520333" w:rsidP="005E5E0C">
            <w:pPr>
              <w:spacing w:after="0"/>
              <w:rPr>
                <w:rFonts w:cs="Arial"/>
                <w:sz w:val="18"/>
                <w:szCs w:val="18"/>
              </w:rPr>
            </w:pPr>
          </w:p>
        </w:tc>
        <w:tc>
          <w:tcPr>
            <w:tcW w:w="1036" w:type="dxa"/>
            <w:tcBorders>
              <w:top w:val="nil"/>
              <w:left w:val="nil"/>
              <w:bottom w:val="nil"/>
              <w:right w:val="nil"/>
            </w:tcBorders>
            <w:shd w:val="clear" w:color="FFFFFF" w:fill="FFFFFF"/>
            <w:noWrap/>
            <w:vAlign w:val="bottom"/>
          </w:tcPr>
          <w:p w14:paraId="514D8F05" w14:textId="77777777" w:rsidR="00520333" w:rsidRPr="006D688A" w:rsidRDefault="00520333" w:rsidP="005E5E0C">
            <w:pPr>
              <w:spacing w:after="0"/>
              <w:jc w:val="right"/>
              <w:rPr>
                <w:rFonts w:cs="Arial"/>
                <w:sz w:val="18"/>
                <w:szCs w:val="18"/>
              </w:rPr>
            </w:pPr>
            <w:r w:rsidRPr="006D688A">
              <w:rPr>
                <w:rFonts w:cs="Arial"/>
                <w:sz w:val="18"/>
                <w:szCs w:val="18"/>
              </w:rPr>
              <w:t>-</w:t>
            </w:r>
          </w:p>
        </w:tc>
      </w:tr>
      <w:tr w:rsidR="00520333" w:rsidRPr="006D688A" w14:paraId="3238858E" w14:textId="77777777" w:rsidTr="005E5E0C">
        <w:trPr>
          <w:trHeight w:val="250"/>
        </w:trPr>
        <w:tc>
          <w:tcPr>
            <w:tcW w:w="4224" w:type="dxa"/>
            <w:tcBorders>
              <w:top w:val="nil"/>
              <w:left w:val="nil"/>
              <w:bottom w:val="nil"/>
              <w:right w:val="nil"/>
            </w:tcBorders>
            <w:shd w:val="clear" w:color="FFFFFF" w:fill="FFFFFF"/>
            <w:vAlign w:val="bottom"/>
            <w:hideMark/>
          </w:tcPr>
          <w:p w14:paraId="3EF6E72D" w14:textId="77777777" w:rsidR="00520333" w:rsidRPr="006D688A" w:rsidRDefault="00520333" w:rsidP="005E5E0C">
            <w:pPr>
              <w:spacing w:after="0"/>
              <w:rPr>
                <w:rFonts w:cs="Arial"/>
                <w:b/>
                <w:bCs/>
                <w:sz w:val="18"/>
                <w:szCs w:val="18"/>
              </w:rPr>
            </w:pPr>
            <w:r w:rsidRPr="006D688A">
              <w:rPr>
                <w:rFonts w:cs="Arial"/>
                <w:b/>
                <w:bCs/>
                <w:sz w:val="18"/>
                <w:szCs w:val="18"/>
              </w:rPr>
              <w:t>Total provisions</w:t>
            </w:r>
          </w:p>
        </w:tc>
        <w:tc>
          <w:tcPr>
            <w:tcW w:w="1273" w:type="dxa"/>
            <w:tcBorders>
              <w:top w:val="nil"/>
              <w:left w:val="nil"/>
              <w:bottom w:val="nil"/>
              <w:right w:val="nil"/>
            </w:tcBorders>
            <w:shd w:val="clear" w:color="FFFFFF" w:fill="FFFFFF"/>
            <w:noWrap/>
            <w:vAlign w:val="bottom"/>
            <w:hideMark/>
          </w:tcPr>
          <w:p w14:paraId="210F7A46"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46" w:type="dxa"/>
            <w:tcBorders>
              <w:top w:val="single" w:sz="4" w:space="0" w:color="auto"/>
              <w:left w:val="nil"/>
              <w:bottom w:val="single" w:sz="4" w:space="0" w:color="auto"/>
              <w:right w:val="nil"/>
            </w:tcBorders>
            <w:shd w:val="clear" w:color="FFFFFF" w:fill="FFFFFF"/>
            <w:noWrap/>
            <w:vAlign w:val="bottom"/>
            <w:hideMark/>
          </w:tcPr>
          <w:p w14:paraId="69D2897F" w14:textId="77777777" w:rsidR="00520333" w:rsidRPr="006D688A" w:rsidRDefault="00520333" w:rsidP="005E5E0C">
            <w:pPr>
              <w:spacing w:after="0"/>
              <w:jc w:val="right"/>
              <w:rPr>
                <w:rFonts w:cs="Arial"/>
                <w:b/>
                <w:bCs/>
                <w:sz w:val="18"/>
                <w:szCs w:val="18"/>
              </w:rPr>
            </w:pPr>
            <w:r w:rsidRPr="006D688A">
              <w:rPr>
                <w:rFonts w:cs="Arial"/>
                <w:b/>
                <w:bCs/>
                <w:sz w:val="18"/>
                <w:szCs w:val="18"/>
              </w:rPr>
              <w:t>2,233,485</w:t>
            </w:r>
          </w:p>
        </w:tc>
        <w:tc>
          <w:tcPr>
            <w:tcW w:w="236" w:type="dxa"/>
            <w:tcBorders>
              <w:top w:val="nil"/>
              <w:left w:val="nil"/>
              <w:bottom w:val="nil"/>
              <w:right w:val="nil"/>
            </w:tcBorders>
            <w:shd w:val="clear" w:color="FFFFFF" w:fill="FFFFFF"/>
            <w:noWrap/>
            <w:vAlign w:val="bottom"/>
            <w:hideMark/>
          </w:tcPr>
          <w:p w14:paraId="4CF1C492"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single" w:sz="4" w:space="0" w:color="auto"/>
              <w:left w:val="nil"/>
              <w:bottom w:val="single" w:sz="4" w:space="0" w:color="auto"/>
              <w:right w:val="nil"/>
            </w:tcBorders>
            <w:shd w:val="clear" w:color="FFFFFF" w:fill="FFFFFF"/>
            <w:noWrap/>
            <w:vAlign w:val="bottom"/>
            <w:hideMark/>
          </w:tcPr>
          <w:p w14:paraId="720F0368" w14:textId="77777777" w:rsidR="00520333" w:rsidRPr="006D688A" w:rsidRDefault="00520333" w:rsidP="005E5E0C">
            <w:pPr>
              <w:spacing w:after="0"/>
              <w:jc w:val="right"/>
              <w:rPr>
                <w:rFonts w:cs="Arial"/>
                <w:sz w:val="18"/>
                <w:szCs w:val="18"/>
              </w:rPr>
            </w:pPr>
            <w:r w:rsidRPr="006D688A">
              <w:rPr>
                <w:rFonts w:cs="Arial"/>
                <w:sz w:val="18"/>
                <w:szCs w:val="18"/>
              </w:rPr>
              <w:t>2,063,784</w:t>
            </w:r>
          </w:p>
        </w:tc>
        <w:tc>
          <w:tcPr>
            <w:tcW w:w="236" w:type="dxa"/>
            <w:tcBorders>
              <w:top w:val="nil"/>
              <w:left w:val="nil"/>
              <w:bottom w:val="nil"/>
              <w:right w:val="nil"/>
            </w:tcBorders>
            <w:shd w:val="clear" w:color="FFFFFF" w:fill="FFFFFF"/>
            <w:noWrap/>
            <w:vAlign w:val="bottom"/>
            <w:hideMark/>
          </w:tcPr>
          <w:p w14:paraId="45029BFA"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single" w:sz="4" w:space="0" w:color="auto"/>
              <w:left w:val="nil"/>
              <w:bottom w:val="single" w:sz="4" w:space="0" w:color="auto"/>
              <w:right w:val="nil"/>
            </w:tcBorders>
            <w:shd w:val="clear" w:color="FFFFFF" w:fill="FFFFFF"/>
            <w:noWrap/>
            <w:vAlign w:val="bottom"/>
            <w:hideMark/>
          </w:tcPr>
          <w:p w14:paraId="10268E94" w14:textId="77777777" w:rsidR="00520333" w:rsidRPr="006D688A" w:rsidRDefault="00520333" w:rsidP="005E5E0C">
            <w:pPr>
              <w:spacing w:after="0"/>
              <w:jc w:val="right"/>
              <w:rPr>
                <w:rFonts w:cs="Arial"/>
                <w:sz w:val="18"/>
                <w:szCs w:val="18"/>
              </w:rPr>
            </w:pPr>
            <w:r w:rsidRPr="006D688A">
              <w:rPr>
                <w:rFonts w:cs="Arial"/>
                <w:sz w:val="18"/>
                <w:szCs w:val="18"/>
              </w:rPr>
              <w:t>3,649,110</w:t>
            </w:r>
          </w:p>
        </w:tc>
      </w:tr>
      <w:tr w:rsidR="00520333" w:rsidRPr="006D688A" w14:paraId="4C0785CD" w14:textId="77777777" w:rsidTr="005E5E0C">
        <w:trPr>
          <w:trHeight w:val="250"/>
        </w:trPr>
        <w:tc>
          <w:tcPr>
            <w:tcW w:w="4224" w:type="dxa"/>
            <w:tcBorders>
              <w:top w:val="nil"/>
              <w:left w:val="nil"/>
              <w:bottom w:val="nil"/>
              <w:right w:val="nil"/>
            </w:tcBorders>
            <w:shd w:val="clear" w:color="FFFFFF" w:fill="FFFFFF"/>
            <w:vAlign w:val="bottom"/>
            <w:hideMark/>
          </w:tcPr>
          <w:p w14:paraId="3D685E7F" w14:textId="77777777" w:rsidR="00520333" w:rsidRPr="006D688A" w:rsidRDefault="00520333" w:rsidP="005E5E0C">
            <w:pPr>
              <w:spacing w:after="0"/>
              <w:rPr>
                <w:rFonts w:cs="Arial"/>
                <w:sz w:val="18"/>
                <w:szCs w:val="18"/>
              </w:rPr>
            </w:pPr>
            <w:r w:rsidRPr="006D688A">
              <w:rPr>
                <w:rFonts w:cs="Arial"/>
                <w:sz w:val="18"/>
                <w:szCs w:val="18"/>
              </w:rPr>
              <w:t> </w:t>
            </w:r>
          </w:p>
        </w:tc>
        <w:tc>
          <w:tcPr>
            <w:tcW w:w="1273" w:type="dxa"/>
            <w:tcBorders>
              <w:top w:val="nil"/>
              <w:left w:val="nil"/>
              <w:bottom w:val="nil"/>
              <w:right w:val="nil"/>
            </w:tcBorders>
            <w:shd w:val="clear" w:color="FFFFFF" w:fill="FFFFFF"/>
            <w:noWrap/>
            <w:vAlign w:val="bottom"/>
            <w:hideMark/>
          </w:tcPr>
          <w:p w14:paraId="67FDF3AB"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46" w:type="dxa"/>
            <w:tcBorders>
              <w:top w:val="nil"/>
              <w:left w:val="nil"/>
              <w:bottom w:val="nil"/>
              <w:right w:val="nil"/>
            </w:tcBorders>
            <w:shd w:val="clear" w:color="FFFFFF" w:fill="FFFFFF"/>
            <w:noWrap/>
            <w:vAlign w:val="bottom"/>
            <w:hideMark/>
          </w:tcPr>
          <w:p w14:paraId="1479D68B" w14:textId="77777777" w:rsidR="00520333" w:rsidRPr="006D688A" w:rsidRDefault="00520333" w:rsidP="005E5E0C">
            <w:pPr>
              <w:spacing w:after="0"/>
              <w:jc w:val="right"/>
              <w:rPr>
                <w:rFonts w:cs="Arial"/>
                <w:b/>
                <w:bCs/>
                <w:sz w:val="18"/>
                <w:szCs w:val="18"/>
              </w:rPr>
            </w:pPr>
            <w:r w:rsidRPr="006D688A">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212849CC"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21A3CC89" w14:textId="77777777" w:rsidR="00520333" w:rsidRPr="006D688A" w:rsidRDefault="00520333" w:rsidP="005E5E0C">
            <w:pPr>
              <w:spacing w:after="0"/>
              <w:jc w:val="right"/>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23EA6ACE"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73101BCD" w14:textId="77777777" w:rsidR="00520333" w:rsidRPr="006D688A" w:rsidRDefault="00520333" w:rsidP="005E5E0C">
            <w:pPr>
              <w:spacing w:after="0"/>
              <w:jc w:val="right"/>
              <w:rPr>
                <w:rFonts w:cs="Arial"/>
                <w:sz w:val="18"/>
                <w:szCs w:val="18"/>
              </w:rPr>
            </w:pPr>
            <w:r w:rsidRPr="006D688A">
              <w:rPr>
                <w:rFonts w:cs="Arial"/>
                <w:sz w:val="18"/>
                <w:szCs w:val="18"/>
              </w:rPr>
              <w:t> </w:t>
            </w:r>
          </w:p>
        </w:tc>
      </w:tr>
      <w:tr w:rsidR="00520333" w:rsidRPr="006D688A" w14:paraId="7313D07E" w14:textId="77777777" w:rsidTr="005E5E0C">
        <w:trPr>
          <w:trHeight w:val="250"/>
        </w:trPr>
        <w:tc>
          <w:tcPr>
            <w:tcW w:w="4224" w:type="dxa"/>
            <w:tcBorders>
              <w:top w:val="nil"/>
              <w:left w:val="nil"/>
              <w:bottom w:val="nil"/>
              <w:right w:val="nil"/>
            </w:tcBorders>
            <w:shd w:val="clear" w:color="FFFFFF" w:fill="FFFFFF"/>
            <w:vAlign w:val="bottom"/>
            <w:hideMark/>
          </w:tcPr>
          <w:p w14:paraId="57A4ECE7" w14:textId="77777777" w:rsidR="00520333" w:rsidRPr="006D688A" w:rsidRDefault="00520333" w:rsidP="005E5E0C">
            <w:pPr>
              <w:spacing w:after="0"/>
              <w:rPr>
                <w:rFonts w:cs="Arial"/>
                <w:b/>
                <w:bCs/>
                <w:sz w:val="18"/>
                <w:szCs w:val="18"/>
              </w:rPr>
            </w:pPr>
            <w:r w:rsidRPr="006D688A">
              <w:rPr>
                <w:rFonts w:cs="Arial"/>
                <w:b/>
                <w:bCs/>
                <w:sz w:val="18"/>
                <w:szCs w:val="18"/>
              </w:rPr>
              <w:t>Total liabilities</w:t>
            </w:r>
          </w:p>
        </w:tc>
        <w:tc>
          <w:tcPr>
            <w:tcW w:w="1273" w:type="dxa"/>
            <w:tcBorders>
              <w:top w:val="nil"/>
              <w:left w:val="nil"/>
              <w:bottom w:val="nil"/>
              <w:right w:val="nil"/>
            </w:tcBorders>
            <w:shd w:val="clear" w:color="FFFFFF" w:fill="FFFFFF"/>
            <w:noWrap/>
            <w:vAlign w:val="bottom"/>
            <w:hideMark/>
          </w:tcPr>
          <w:p w14:paraId="6D21352E"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46" w:type="dxa"/>
            <w:tcBorders>
              <w:top w:val="single" w:sz="4" w:space="0" w:color="auto"/>
              <w:left w:val="nil"/>
              <w:bottom w:val="single" w:sz="4" w:space="0" w:color="auto"/>
              <w:right w:val="nil"/>
            </w:tcBorders>
            <w:shd w:val="clear" w:color="FFFFFF" w:fill="FFFFFF"/>
            <w:noWrap/>
            <w:vAlign w:val="bottom"/>
            <w:hideMark/>
          </w:tcPr>
          <w:p w14:paraId="2E0208B1" w14:textId="77777777" w:rsidR="00520333" w:rsidRPr="006D688A" w:rsidRDefault="00520333" w:rsidP="005E5E0C">
            <w:pPr>
              <w:spacing w:after="0"/>
              <w:jc w:val="right"/>
              <w:rPr>
                <w:rFonts w:cs="Arial"/>
                <w:b/>
                <w:bCs/>
                <w:sz w:val="18"/>
                <w:szCs w:val="18"/>
              </w:rPr>
            </w:pPr>
            <w:r w:rsidRPr="006D688A">
              <w:rPr>
                <w:rFonts w:cs="Arial"/>
                <w:b/>
                <w:bCs/>
                <w:sz w:val="18"/>
                <w:szCs w:val="18"/>
              </w:rPr>
              <w:t>3,749,669</w:t>
            </w:r>
          </w:p>
        </w:tc>
        <w:tc>
          <w:tcPr>
            <w:tcW w:w="236" w:type="dxa"/>
            <w:tcBorders>
              <w:top w:val="nil"/>
              <w:left w:val="nil"/>
              <w:bottom w:val="nil"/>
              <w:right w:val="nil"/>
            </w:tcBorders>
            <w:shd w:val="clear" w:color="FFFFFF" w:fill="FFFFFF"/>
            <w:noWrap/>
            <w:vAlign w:val="bottom"/>
            <w:hideMark/>
          </w:tcPr>
          <w:p w14:paraId="1F144632"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single" w:sz="4" w:space="0" w:color="auto"/>
              <w:left w:val="nil"/>
              <w:bottom w:val="single" w:sz="4" w:space="0" w:color="auto"/>
              <w:right w:val="nil"/>
            </w:tcBorders>
            <w:shd w:val="clear" w:color="FFFFFF" w:fill="FFFFFF"/>
            <w:noWrap/>
            <w:vAlign w:val="bottom"/>
            <w:hideMark/>
          </w:tcPr>
          <w:p w14:paraId="67D5A21C" w14:textId="77777777" w:rsidR="00520333" w:rsidRPr="006D688A" w:rsidRDefault="00520333" w:rsidP="005E5E0C">
            <w:pPr>
              <w:spacing w:after="0"/>
              <w:jc w:val="right"/>
              <w:rPr>
                <w:rFonts w:cs="Arial"/>
                <w:sz w:val="18"/>
                <w:szCs w:val="18"/>
              </w:rPr>
            </w:pPr>
            <w:r w:rsidRPr="006D688A">
              <w:rPr>
                <w:rFonts w:cs="Arial"/>
                <w:sz w:val="18"/>
                <w:szCs w:val="18"/>
              </w:rPr>
              <w:t>3,326,661</w:t>
            </w:r>
          </w:p>
        </w:tc>
        <w:tc>
          <w:tcPr>
            <w:tcW w:w="236" w:type="dxa"/>
            <w:tcBorders>
              <w:top w:val="nil"/>
              <w:left w:val="nil"/>
              <w:bottom w:val="nil"/>
              <w:right w:val="nil"/>
            </w:tcBorders>
            <w:shd w:val="clear" w:color="FFFFFF" w:fill="FFFFFF"/>
            <w:noWrap/>
            <w:vAlign w:val="bottom"/>
            <w:hideMark/>
          </w:tcPr>
          <w:p w14:paraId="09B903FC"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single" w:sz="4" w:space="0" w:color="auto"/>
              <w:left w:val="nil"/>
              <w:bottom w:val="single" w:sz="4" w:space="0" w:color="auto"/>
              <w:right w:val="nil"/>
            </w:tcBorders>
            <w:shd w:val="clear" w:color="FFFFFF" w:fill="FFFFFF"/>
            <w:noWrap/>
            <w:vAlign w:val="bottom"/>
            <w:hideMark/>
          </w:tcPr>
          <w:p w14:paraId="19DA9F09" w14:textId="77777777" w:rsidR="00520333" w:rsidRPr="006D688A" w:rsidRDefault="00520333" w:rsidP="005E5E0C">
            <w:pPr>
              <w:spacing w:after="0"/>
              <w:jc w:val="right"/>
              <w:rPr>
                <w:rFonts w:cs="Arial"/>
                <w:sz w:val="18"/>
                <w:szCs w:val="18"/>
              </w:rPr>
            </w:pPr>
            <w:r w:rsidRPr="006D688A">
              <w:rPr>
                <w:rFonts w:cs="Arial"/>
                <w:sz w:val="18"/>
                <w:szCs w:val="18"/>
              </w:rPr>
              <w:t>4,577,476</w:t>
            </w:r>
          </w:p>
        </w:tc>
      </w:tr>
      <w:tr w:rsidR="00520333" w:rsidRPr="006D688A" w14:paraId="52D46D78" w14:textId="77777777" w:rsidTr="005E5E0C">
        <w:trPr>
          <w:trHeight w:val="250"/>
        </w:trPr>
        <w:tc>
          <w:tcPr>
            <w:tcW w:w="4224" w:type="dxa"/>
            <w:tcBorders>
              <w:top w:val="nil"/>
              <w:left w:val="nil"/>
              <w:bottom w:val="nil"/>
              <w:right w:val="nil"/>
            </w:tcBorders>
            <w:shd w:val="clear" w:color="FFFFFF" w:fill="FFFFFF"/>
            <w:vAlign w:val="bottom"/>
            <w:hideMark/>
          </w:tcPr>
          <w:p w14:paraId="5A3262C4" w14:textId="77777777" w:rsidR="00520333" w:rsidRPr="006D688A" w:rsidRDefault="00520333" w:rsidP="005E5E0C">
            <w:pPr>
              <w:spacing w:after="0"/>
              <w:rPr>
                <w:rFonts w:cs="Arial"/>
                <w:b/>
                <w:bCs/>
                <w:sz w:val="18"/>
                <w:szCs w:val="18"/>
              </w:rPr>
            </w:pPr>
            <w:r w:rsidRPr="006D688A">
              <w:rPr>
                <w:rFonts w:cs="Arial"/>
                <w:b/>
                <w:bCs/>
                <w:sz w:val="18"/>
                <w:szCs w:val="18"/>
              </w:rPr>
              <w:t>Net assets</w:t>
            </w:r>
          </w:p>
        </w:tc>
        <w:tc>
          <w:tcPr>
            <w:tcW w:w="1273" w:type="dxa"/>
            <w:tcBorders>
              <w:top w:val="nil"/>
              <w:left w:val="nil"/>
              <w:bottom w:val="nil"/>
              <w:right w:val="nil"/>
            </w:tcBorders>
            <w:shd w:val="clear" w:color="FFFFFF" w:fill="FFFFFF"/>
            <w:noWrap/>
            <w:vAlign w:val="bottom"/>
            <w:hideMark/>
          </w:tcPr>
          <w:p w14:paraId="5A03CFBE"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46" w:type="dxa"/>
            <w:tcBorders>
              <w:top w:val="nil"/>
              <w:left w:val="nil"/>
              <w:bottom w:val="single" w:sz="4" w:space="0" w:color="auto"/>
              <w:right w:val="nil"/>
            </w:tcBorders>
            <w:shd w:val="clear" w:color="FFFFFF" w:fill="FFFFFF"/>
            <w:noWrap/>
            <w:vAlign w:val="bottom"/>
            <w:hideMark/>
          </w:tcPr>
          <w:p w14:paraId="5F45A45B" w14:textId="77777777" w:rsidR="00520333" w:rsidRPr="006D688A" w:rsidRDefault="00520333" w:rsidP="005E5E0C">
            <w:pPr>
              <w:spacing w:after="0"/>
              <w:jc w:val="right"/>
              <w:rPr>
                <w:rFonts w:cs="Arial"/>
                <w:b/>
                <w:bCs/>
                <w:sz w:val="18"/>
                <w:szCs w:val="18"/>
              </w:rPr>
            </w:pPr>
            <w:r w:rsidRPr="006D688A">
              <w:rPr>
                <w:rFonts w:cs="Arial"/>
                <w:b/>
                <w:bCs/>
                <w:sz w:val="18"/>
                <w:szCs w:val="18"/>
              </w:rPr>
              <w:t>2,287,393</w:t>
            </w:r>
          </w:p>
        </w:tc>
        <w:tc>
          <w:tcPr>
            <w:tcW w:w="236" w:type="dxa"/>
            <w:tcBorders>
              <w:top w:val="nil"/>
              <w:left w:val="nil"/>
              <w:bottom w:val="nil"/>
              <w:right w:val="nil"/>
            </w:tcBorders>
            <w:shd w:val="clear" w:color="FFFFFF" w:fill="FFFFFF"/>
            <w:noWrap/>
            <w:vAlign w:val="bottom"/>
            <w:hideMark/>
          </w:tcPr>
          <w:p w14:paraId="0DBF2C53"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single" w:sz="4" w:space="0" w:color="auto"/>
              <w:right w:val="nil"/>
            </w:tcBorders>
            <w:shd w:val="clear" w:color="FFFFFF" w:fill="FFFFFF"/>
            <w:noWrap/>
            <w:vAlign w:val="bottom"/>
            <w:hideMark/>
          </w:tcPr>
          <w:p w14:paraId="7A1429E4" w14:textId="77777777" w:rsidR="00520333" w:rsidRPr="006D688A" w:rsidRDefault="00520333" w:rsidP="005E5E0C">
            <w:pPr>
              <w:spacing w:after="0"/>
              <w:jc w:val="right"/>
              <w:rPr>
                <w:rFonts w:cs="Arial"/>
                <w:sz w:val="18"/>
                <w:szCs w:val="18"/>
              </w:rPr>
            </w:pPr>
            <w:r w:rsidRPr="006D688A">
              <w:rPr>
                <w:rFonts w:cs="Arial"/>
                <w:sz w:val="18"/>
                <w:szCs w:val="18"/>
              </w:rPr>
              <w:t>1,276,257</w:t>
            </w:r>
          </w:p>
        </w:tc>
        <w:tc>
          <w:tcPr>
            <w:tcW w:w="236" w:type="dxa"/>
            <w:tcBorders>
              <w:top w:val="nil"/>
              <w:left w:val="nil"/>
              <w:bottom w:val="nil"/>
              <w:right w:val="nil"/>
            </w:tcBorders>
            <w:shd w:val="clear" w:color="FFFFFF" w:fill="FFFFFF"/>
            <w:noWrap/>
            <w:vAlign w:val="bottom"/>
            <w:hideMark/>
          </w:tcPr>
          <w:p w14:paraId="72980371"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single" w:sz="4" w:space="0" w:color="auto"/>
              <w:right w:val="nil"/>
            </w:tcBorders>
            <w:shd w:val="clear" w:color="FFFFFF" w:fill="FFFFFF"/>
            <w:noWrap/>
            <w:vAlign w:val="bottom"/>
            <w:hideMark/>
          </w:tcPr>
          <w:p w14:paraId="4CC8EA61" w14:textId="77777777" w:rsidR="00520333" w:rsidRPr="006D688A" w:rsidRDefault="00520333" w:rsidP="005E5E0C">
            <w:pPr>
              <w:spacing w:after="0"/>
              <w:jc w:val="right"/>
              <w:rPr>
                <w:rFonts w:cs="Arial"/>
                <w:sz w:val="18"/>
                <w:szCs w:val="18"/>
              </w:rPr>
            </w:pPr>
            <w:r w:rsidRPr="006D688A">
              <w:rPr>
                <w:rFonts w:cs="Arial"/>
                <w:sz w:val="18"/>
                <w:szCs w:val="18"/>
              </w:rPr>
              <w:t>1,417,317</w:t>
            </w:r>
          </w:p>
        </w:tc>
      </w:tr>
      <w:tr w:rsidR="00520333" w:rsidRPr="006D688A" w14:paraId="73829F3A" w14:textId="77777777" w:rsidTr="005E5E0C">
        <w:trPr>
          <w:trHeight w:val="250"/>
        </w:trPr>
        <w:tc>
          <w:tcPr>
            <w:tcW w:w="4224" w:type="dxa"/>
            <w:tcBorders>
              <w:top w:val="nil"/>
              <w:left w:val="nil"/>
              <w:bottom w:val="nil"/>
              <w:right w:val="nil"/>
            </w:tcBorders>
            <w:shd w:val="clear" w:color="FFFFFF" w:fill="FFFFFF"/>
            <w:vAlign w:val="bottom"/>
            <w:hideMark/>
          </w:tcPr>
          <w:p w14:paraId="3A787374" w14:textId="77777777" w:rsidR="00520333" w:rsidRPr="006D688A" w:rsidRDefault="00520333" w:rsidP="005E5E0C">
            <w:pPr>
              <w:spacing w:after="0"/>
              <w:rPr>
                <w:rFonts w:cs="Arial"/>
                <w:sz w:val="18"/>
                <w:szCs w:val="18"/>
              </w:rPr>
            </w:pPr>
            <w:r w:rsidRPr="006D688A">
              <w:rPr>
                <w:rFonts w:cs="Arial"/>
                <w:sz w:val="18"/>
                <w:szCs w:val="18"/>
              </w:rPr>
              <w:t> </w:t>
            </w:r>
          </w:p>
        </w:tc>
        <w:tc>
          <w:tcPr>
            <w:tcW w:w="1273" w:type="dxa"/>
            <w:tcBorders>
              <w:top w:val="nil"/>
              <w:left w:val="nil"/>
              <w:bottom w:val="nil"/>
              <w:right w:val="nil"/>
            </w:tcBorders>
            <w:shd w:val="clear" w:color="FFFFFF" w:fill="FFFFFF"/>
            <w:noWrap/>
            <w:vAlign w:val="bottom"/>
            <w:hideMark/>
          </w:tcPr>
          <w:p w14:paraId="39F20155"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46" w:type="dxa"/>
            <w:tcBorders>
              <w:top w:val="nil"/>
              <w:left w:val="nil"/>
              <w:bottom w:val="nil"/>
              <w:right w:val="nil"/>
            </w:tcBorders>
            <w:shd w:val="clear" w:color="FFFFFF" w:fill="FFFFFF"/>
            <w:noWrap/>
            <w:vAlign w:val="bottom"/>
            <w:hideMark/>
          </w:tcPr>
          <w:p w14:paraId="1429EBB4" w14:textId="77777777" w:rsidR="00520333" w:rsidRPr="006D688A" w:rsidRDefault="00520333" w:rsidP="005E5E0C">
            <w:pPr>
              <w:spacing w:after="0"/>
              <w:jc w:val="right"/>
              <w:rPr>
                <w:rFonts w:cs="Arial"/>
                <w:b/>
                <w:bCs/>
                <w:sz w:val="18"/>
                <w:szCs w:val="18"/>
              </w:rPr>
            </w:pPr>
            <w:r w:rsidRPr="006D688A">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2744195B"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7A8D7E0A" w14:textId="77777777" w:rsidR="00520333" w:rsidRPr="006D688A" w:rsidRDefault="00520333" w:rsidP="005E5E0C">
            <w:pPr>
              <w:spacing w:after="0"/>
              <w:jc w:val="right"/>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21293880"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45694B82" w14:textId="77777777" w:rsidR="00520333" w:rsidRPr="006D688A" w:rsidRDefault="00520333" w:rsidP="005E5E0C">
            <w:pPr>
              <w:spacing w:after="0"/>
              <w:jc w:val="right"/>
              <w:rPr>
                <w:rFonts w:cs="Arial"/>
                <w:sz w:val="18"/>
                <w:szCs w:val="18"/>
              </w:rPr>
            </w:pPr>
            <w:r w:rsidRPr="006D688A">
              <w:rPr>
                <w:rFonts w:cs="Arial"/>
                <w:sz w:val="18"/>
                <w:szCs w:val="18"/>
              </w:rPr>
              <w:t> </w:t>
            </w:r>
          </w:p>
        </w:tc>
      </w:tr>
      <w:tr w:rsidR="00520333" w:rsidRPr="006D688A" w14:paraId="412ED56C" w14:textId="77777777" w:rsidTr="005E5E0C">
        <w:trPr>
          <w:trHeight w:val="250"/>
        </w:trPr>
        <w:tc>
          <w:tcPr>
            <w:tcW w:w="4224" w:type="dxa"/>
            <w:tcBorders>
              <w:top w:val="nil"/>
              <w:left w:val="nil"/>
              <w:bottom w:val="nil"/>
              <w:right w:val="nil"/>
            </w:tcBorders>
            <w:shd w:val="clear" w:color="FFFFFF" w:fill="FFFFFF"/>
            <w:vAlign w:val="bottom"/>
            <w:hideMark/>
          </w:tcPr>
          <w:p w14:paraId="75236E93" w14:textId="77777777" w:rsidR="00520333" w:rsidRPr="006D688A" w:rsidRDefault="00520333" w:rsidP="005E5E0C">
            <w:pPr>
              <w:spacing w:after="0"/>
              <w:rPr>
                <w:rFonts w:cs="Arial"/>
                <w:b/>
                <w:bCs/>
                <w:sz w:val="18"/>
                <w:szCs w:val="18"/>
              </w:rPr>
            </w:pPr>
            <w:r w:rsidRPr="006D688A">
              <w:rPr>
                <w:rFonts w:cs="Arial"/>
                <w:b/>
                <w:bCs/>
                <w:sz w:val="18"/>
                <w:szCs w:val="18"/>
              </w:rPr>
              <w:t>EQUITY</w:t>
            </w:r>
          </w:p>
        </w:tc>
        <w:tc>
          <w:tcPr>
            <w:tcW w:w="1273" w:type="dxa"/>
            <w:tcBorders>
              <w:top w:val="nil"/>
              <w:left w:val="nil"/>
              <w:bottom w:val="nil"/>
              <w:right w:val="nil"/>
            </w:tcBorders>
            <w:shd w:val="clear" w:color="FFFFFF" w:fill="FFFFFF"/>
            <w:noWrap/>
            <w:vAlign w:val="bottom"/>
            <w:hideMark/>
          </w:tcPr>
          <w:p w14:paraId="6B55FD01"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46" w:type="dxa"/>
            <w:tcBorders>
              <w:top w:val="nil"/>
              <w:left w:val="nil"/>
              <w:bottom w:val="nil"/>
              <w:right w:val="nil"/>
            </w:tcBorders>
            <w:shd w:val="clear" w:color="FFFFFF" w:fill="FFFFFF"/>
            <w:noWrap/>
            <w:vAlign w:val="bottom"/>
            <w:hideMark/>
          </w:tcPr>
          <w:p w14:paraId="5CD7F617" w14:textId="77777777" w:rsidR="00520333" w:rsidRPr="006D688A" w:rsidRDefault="00520333" w:rsidP="005E5E0C">
            <w:pPr>
              <w:spacing w:after="0"/>
              <w:jc w:val="right"/>
              <w:rPr>
                <w:rFonts w:cs="Arial"/>
                <w:b/>
                <w:bCs/>
                <w:sz w:val="18"/>
                <w:szCs w:val="18"/>
              </w:rPr>
            </w:pPr>
            <w:r w:rsidRPr="006D688A">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6408AB64"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3BA40FC4" w14:textId="77777777" w:rsidR="00520333" w:rsidRPr="006D688A" w:rsidRDefault="00520333" w:rsidP="005E5E0C">
            <w:pPr>
              <w:spacing w:after="0"/>
              <w:jc w:val="right"/>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1FFDB662"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634AA1D2" w14:textId="77777777" w:rsidR="00520333" w:rsidRPr="006D688A" w:rsidRDefault="00520333" w:rsidP="005E5E0C">
            <w:pPr>
              <w:spacing w:after="0"/>
              <w:jc w:val="right"/>
              <w:rPr>
                <w:rFonts w:cs="Arial"/>
                <w:sz w:val="18"/>
                <w:szCs w:val="18"/>
              </w:rPr>
            </w:pPr>
            <w:r w:rsidRPr="006D688A">
              <w:rPr>
                <w:rFonts w:cs="Arial"/>
                <w:sz w:val="18"/>
                <w:szCs w:val="18"/>
              </w:rPr>
              <w:t> </w:t>
            </w:r>
          </w:p>
        </w:tc>
      </w:tr>
      <w:tr w:rsidR="00520333" w:rsidRPr="006D688A" w14:paraId="6B3352A8" w14:textId="77777777" w:rsidTr="005E5E0C">
        <w:trPr>
          <w:trHeight w:val="250"/>
        </w:trPr>
        <w:tc>
          <w:tcPr>
            <w:tcW w:w="4224" w:type="dxa"/>
            <w:tcBorders>
              <w:top w:val="nil"/>
              <w:left w:val="nil"/>
              <w:bottom w:val="nil"/>
              <w:right w:val="nil"/>
            </w:tcBorders>
            <w:shd w:val="clear" w:color="FFFFFF" w:fill="FFFFFF"/>
            <w:vAlign w:val="bottom"/>
            <w:hideMark/>
          </w:tcPr>
          <w:p w14:paraId="3CBE6BCC" w14:textId="77777777" w:rsidR="00520333" w:rsidRPr="006D688A" w:rsidRDefault="00520333" w:rsidP="005E5E0C">
            <w:pPr>
              <w:spacing w:after="0"/>
              <w:ind w:firstLineChars="100" w:firstLine="180"/>
              <w:rPr>
                <w:rFonts w:cs="Arial"/>
                <w:sz w:val="18"/>
                <w:szCs w:val="18"/>
              </w:rPr>
            </w:pPr>
            <w:r w:rsidRPr="006D688A">
              <w:rPr>
                <w:rFonts w:cs="Arial"/>
                <w:sz w:val="18"/>
                <w:szCs w:val="18"/>
              </w:rPr>
              <w:t>Contributed equity</w:t>
            </w:r>
          </w:p>
        </w:tc>
        <w:tc>
          <w:tcPr>
            <w:tcW w:w="1273" w:type="dxa"/>
            <w:tcBorders>
              <w:top w:val="nil"/>
              <w:left w:val="nil"/>
              <w:bottom w:val="nil"/>
              <w:right w:val="nil"/>
            </w:tcBorders>
            <w:shd w:val="clear" w:color="FFFFFF" w:fill="FFFFFF"/>
            <w:noWrap/>
            <w:vAlign w:val="bottom"/>
            <w:hideMark/>
          </w:tcPr>
          <w:p w14:paraId="703A4999"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46" w:type="dxa"/>
            <w:tcBorders>
              <w:top w:val="nil"/>
              <w:left w:val="nil"/>
              <w:bottom w:val="nil"/>
              <w:right w:val="nil"/>
            </w:tcBorders>
            <w:shd w:val="clear" w:color="FFFFFF" w:fill="FFFFFF"/>
            <w:noWrap/>
            <w:vAlign w:val="bottom"/>
            <w:hideMark/>
          </w:tcPr>
          <w:p w14:paraId="07266048" w14:textId="77777777" w:rsidR="00520333" w:rsidRPr="006D688A" w:rsidRDefault="00520333" w:rsidP="005E5E0C">
            <w:pPr>
              <w:spacing w:after="0"/>
              <w:jc w:val="right"/>
              <w:rPr>
                <w:rFonts w:cs="Arial"/>
                <w:b/>
                <w:bCs/>
                <w:sz w:val="18"/>
                <w:szCs w:val="18"/>
              </w:rPr>
            </w:pPr>
            <w:r w:rsidRPr="006D688A">
              <w:rPr>
                <w:rFonts w:cs="Arial"/>
                <w:b/>
                <w:bCs/>
                <w:sz w:val="18"/>
                <w:szCs w:val="18"/>
              </w:rPr>
              <w:t>205,733</w:t>
            </w:r>
          </w:p>
        </w:tc>
        <w:tc>
          <w:tcPr>
            <w:tcW w:w="236" w:type="dxa"/>
            <w:tcBorders>
              <w:top w:val="nil"/>
              <w:left w:val="nil"/>
              <w:bottom w:val="nil"/>
              <w:right w:val="nil"/>
            </w:tcBorders>
            <w:shd w:val="clear" w:color="FFFFFF" w:fill="FFFFFF"/>
            <w:noWrap/>
            <w:vAlign w:val="bottom"/>
            <w:hideMark/>
          </w:tcPr>
          <w:p w14:paraId="66485AA2"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00C9E6B3" w14:textId="77777777" w:rsidR="00520333" w:rsidRPr="006D688A" w:rsidRDefault="00520333" w:rsidP="005E5E0C">
            <w:pPr>
              <w:spacing w:after="0"/>
              <w:jc w:val="right"/>
              <w:rPr>
                <w:rFonts w:cs="Arial"/>
                <w:sz w:val="18"/>
                <w:szCs w:val="18"/>
              </w:rPr>
            </w:pPr>
            <w:r w:rsidRPr="006D688A">
              <w:rPr>
                <w:rFonts w:cs="Arial"/>
                <w:sz w:val="18"/>
                <w:szCs w:val="18"/>
              </w:rPr>
              <w:t>205,733</w:t>
            </w:r>
          </w:p>
        </w:tc>
        <w:tc>
          <w:tcPr>
            <w:tcW w:w="236" w:type="dxa"/>
            <w:tcBorders>
              <w:top w:val="nil"/>
              <w:left w:val="nil"/>
              <w:bottom w:val="nil"/>
              <w:right w:val="nil"/>
            </w:tcBorders>
            <w:shd w:val="clear" w:color="FFFFFF" w:fill="FFFFFF"/>
            <w:noWrap/>
            <w:vAlign w:val="bottom"/>
            <w:hideMark/>
          </w:tcPr>
          <w:p w14:paraId="5CA41F71"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1F5717A8" w14:textId="77777777" w:rsidR="00520333" w:rsidRPr="006D688A" w:rsidRDefault="00520333" w:rsidP="005E5E0C">
            <w:pPr>
              <w:spacing w:after="0"/>
              <w:jc w:val="right"/>
              <w:rPr>
                <w:rFonts w:cs="Arial"/>
                <w:sz w:val="18"/>
                <w:szCs w:val="18"/>
              </w:rPr>
            </w:pPr>
            <w:r w:rsidRPr="006D688A">
              <w:rPr>
                <w:rFonts w:cs="Arial"/>
                <w:sz w:val="18"/>
                <w:szCs w:val="18"/>
              </w:rPr>
              <w:t>205,733</w:t>
            </w:r>
          </w:p>
        </w:tc>
      </w:tr>
      <w:tr w:rsidR="00520333" w:rsidRPr="006D688A" w14:paraId="64E100DD" w14:textId="77777777" w:rsidTr="005E5E0C">
        <w:trPr>
          <w:trHeight w:val="250"/>
        </w:trPr>
        <w:tc>
          <w:tcPr>
            <w:tcW w:w="4224" w:type="dxa"/>
            <w:tcBorders>
              <w:top w:val="nil"/>
              <w:left w:val="nil"/>
              <w:bottom w:val="nil"/>
              <w:right w:val="nil"/>
            </w:tcBorders>
            <w:shd w:val="clear" w:color="FFFFFF" w:fill="FFFFFF"/>
            <w:vAlign w:val="bottom"/>
            <w:hideMark/>
          </w:tcPr>
          <w:p w14:paraId="2AF6F3F0" w14:textId="77777777" w:rsidR="00520333" w:rsidRPr="006D688A" w:rsidRDefault="00520333" w:rsidP="005E5E0C">
            <w:pPr>
              <w:spacing w:after="0"/>
              <w:ind w:firstLineChars="100" w:firstLine="180"/>
              <w:rPr>
                <w:rFonts w:cs="Arial"/>
                <w:sz w:val="18"/>
                <w:szCs w:val="18"/>
              </w:rPr>
            </w:pPr>
            <w:r w:rsidRPr="006D688A">
              <w:rPr>
                <w:rFonts w:cs="Arial"/>
                <w:sz w:val="18"/>
                <w:szCs w:val="18"/>
              </w:rPr>
              <w:t>Asset revaluation reserve</w:t>
            </w:r>
          </w:p>
        </w:tc>
        <w:tc>
          <w:tcPr>
            <w:tcW w:w="1273" w:type="dxa"/>
            <w:tcBorders>
              <w:top w:val="nil"/>
              <w:left w:val="nil"/>
              <w:bottom w:val="nil"/>
              <w:right w:val="nil"/>
            </w:tcBorders>
            <w:shd w:val="clear" w:color="FFFFFF" w:fill="FFFFFF"/>
            <w:noWrap/>
            <w:vAlign w:val="bottom"/>
            <w:hideMark/>
          </w:tcPr>
          <w:p w14:paraId="5EF9103B"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46" w:type="dxa"/>
            <w:tcBorders>
              <w:top w:val="nil"/>
              <w:left w:val="nil"/>
              <w:bottom w:val="nil"/>
              <w:right w:val="nil"/>
            </w:tcBorders>
            <w:shd w:val="clear" w:color="FFFFFF" w:fill="FFFFFF"/>
            <w:noWrap/>
            <w:vAlign w:val="bottom"/>
            <w:hideMark/>
          </w:tcPr>
          <w:p w14:paraId="13F0A3AB" w14:textId="77777777" w:rsidR="00520333" w:rsidRPr="006D688A" w:rsidRDefault="00520333" w:rsidP="005E5E0C">
            <w:pPr>
              <w:spacing w:after="0"/>
              <w:jc w:val="right"/>
              <w:rPr>
                <w:rFonts w:cs="Arial"/>
                <w:b/>
                <w:bCs/>
                <w:sz w:val="18"/>
                <w:szCs w:val="18"/>
              </w:rPr>
            </w:pPr>
            <w:r w:rsidRPr="006D688A">
              <w:rPr>
                <w:rFonts w:cs="Arial"/>
                <w:b/>
                <w:bCs/>
                <w:sz w:val="18"/>
                <w:szCs w:val="18"/>
              </w:rPr>
              <w:t>46,916</w:t>
            </w:r>
          </w:p>
        </w:tc>
        <w:tc>
          <w:tcPr>
            <w:tcW w:w="236" w:type="dxa"/>
            <w:tcBorders>
              <w:top w:val="nil"/>
              <w:left w:val="nil"/>
              <w:bottom w:val="nil"/>
              <w:right w:val="nil"/>
            </w:tcBorders>
            <w:shd w:val="clear" w:color="FFFFFF" w:fill="FFFFFF"/>
            <w:noWrap/>
            <w:vAlign w:val="bottom"/>
            <w:hideMark/>
          </w:tcPr>
          <w:p w14:paraId="11C390BE"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169496A7" w14:textId="77777777" w:rsidR="00520333" w:rsidRPr="006D688A" w:rsidRDefault="00520333" w:rsidP="005E5E0C">
            <w:pPr>
              <w:spacing w:after="0"/>
              <w:jc w:val="right"/>
              <w:rPr>
                <w:rFonts w:cs="Arial"/>
                <w:sz w:val="18"/>
                <w:szCs w:val="18"/>
              </w:rPr>
            </w:pPr>
            <w:r w:rsidRPr="006D688A">
              <w:rPr>
                <w:rFonts w:cs="Arial"/>
                <w:sz w:val="18"/>
                <w:szCs w:val="18"/>
              </w:rPr>
              <w:t>38,364</w:t>
            </w:r>
          </w:p>
        </w:tc>
        <w:tc>
          <w:tcPr>
            <w:tcW w:w="236" w:type="dxa"/>
            <w:tcBorders>
              <w:top w:val="nil"/>
              <w:left w:val="nil"/>
              <w:bottom w:val="nil"/>
              <w:right w:val="nil"/>
            </w:tcBorders>
            <w:shd w:val="clear" w:color="FFFFFF" w:fill="FFFFFF"/>
            <w:noWrap/>
            <w:vAlign w:val="bottom"/>
            <w:hideMark/>
          </w:tcPr>
          <w:p w14:paraId="5D643F09"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69D32937" w14:textId="77777777" w:rsidR="00520333" w:rsidRPr="006D688A" w:rsidRDefault="00520333" w:rsidP="005E5E0C">
            <w:pPr>
              <w:spacing w:after="0"/>
              <w:jc w:val="right"/>
              <w:rPr>
                <w:rFonts w:cs="Arial"/>
                <w:sz w:val="18"/>
                <w:szCs w:val="18"/>
              </w:rPr>
            </w:pPr>
            <w:r w:rsidRPr="006D688A">
              <w:rPr>
                <w:rFonts w:cs="Arial"/>
                <w:sz w:val="18"/>
                <w:szCs w:val="18"/>
              </w:rPr>
              <w:t>21,079</w:t>
            </w:r>
          </w:p>
        </w:tc>
      </w:tr>
      <w:tr w:rsidR="00520333" w:rsidRPr="006D688A" w14:paraId="2EC1BDDB" w14:textId="77777777" w:rsidTr="005E5E0C">
        <w:trPr>
          <w:trHeight w:val="250"/>
        </w:trPr>
        <w:tc>
          <w:tcPr>
            <w:tcW w:w="4224" w:type="dxa"/>
            <w:tcBorders>
              <w:top w:val="nil"/>
              <w:left w:val="nil"/>
              <w:bottom w:val="nil"/>
              <w:right w:val="nil"/>
            </w:tcBorders>
            <w:shd w:val="clear" w:color="FFFFFF" w:fill="FFFFFF"/>
            <w:vAlign w:val="bottom"/>
            <w:hideMark/>
          </w:tcPr>
          <w:p w14:paraId="26EB0EFB" w14:textId="77777777" w:rsidR="00520333" w:rsidRPr="006D688A" w:rsidRDefault="00520333" w:rsidP="005E5E0C">
            <w:pPr>
              <w:spacing w:after="0"/>
              <w:ind w:firstLineChars="100" w:firstLine="180"/>
              <w:rPr>
                <w:rFonts w:cs="Arial"/>
                <w:sz w:val="18"/>
                <w:szCs w:val="18"/>
              </w:rPr>
            </w:pPr>
            <w:r w:rsidRPr="006D688A">
              <w:rPr>
                <w:rFonts w:cs="Arial"/>
                <w:sz w:val="18"/>
                <w:szCs w:val="18"/>
              </w:rPr>
              <w:t>Retained surplus</w:t>
            </w:r>
          </w:p>
        </w:tc>
        <w:tc>
          <w:tcPr>
            <w:tcW w:w="1273" w:type="dxa"/>
            <w:tcBorders>
              <w:top w:val="nil"/>
              <w:left w:val="nil"/>
              <w:bottom w:val="nil"/>
              <w:right w:val="nil"/>
            </w:tcBorders>
            <w:shd w:val="clear" w:color="FFFFFF" w:fill="FFFFFF"/>
            <w:noWrap/>
            <w:vAlign w:val="bottom"/>
            <w:hideMark/>
          </w:tcPr>
          <w:p w14:paraId="22AA6DDB"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46" w:type="dxa"/>
            <w:tcBorders>
              <w:top w:val="nil"/>
              <w:left w:val="nil"/>
              <w:bottom w:val="nil"/>
              <w:right w:val="nil"/>
            </w:tcBorders>
            <w:shd w:val="clear" w:color="FFFFFF" w:fill="FFFFFF"/>
            <w:noWrap/>
            <w:vAlign w:val="bottom"/>
            <w:hideMark/>
          </w:tcPr>
          <w:p w14:paraId="7F4526A6" w14:textId="77777777" w:rsidR="00520333" w:rsidRPr="006D688A" w:rsidRDefault="00520333" w:rsidP="005E5E0C">
            <w:pPr>
              <w:spacing w:after="0"/>
              <w:jc w:val="right"/>
              <w:rPr>
                <w:rFonts w:cs="Arial"/>
                <w:b/>
                <w:bCs/>
                <w:sz w:val="18"/>
                <w:szCs w:val="18"/>
              </w:rPr>
            </w:pPr>
            <w:r w:rsidRPr="006D688A">
              <w:rPr>
                <w:rFonts w:cs="Arial"/>
                <w:b/>
                <w:bCs/>
                <w:sz w:val="18"/>
                <w:szCs w:val="18"/>
              </w:rPr>
              <w:t>2,034,744</w:t>
            </w:r>
          </w:p>
        </w:tc>
        <w:tc>
          <w:tcPr>
            <w:tcW w:w="236" w:type="dxa"/>
            <w:tcBorders>
              <w:top w:val="nil"/>
              <w:left w:val="nil"/>
              <w:bottom w:val="nil"/>
              <w:right w:val="nil"/>
            </w:tcBorders>
            <w:shd w:val="clear" w:color="FFFFFF" w:fill="FFFFFF"/>
            <w:noWrap/>
            <w:vAlign w:val="bottom"/>
            <w:hideMark/>
          </w:tcPr>
          <w:p w14:paraId="1AE8A212"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699E5870" w14:textId="77777777" w:rsidR="00520333" w:rsidRPr="006D688A" w:rsidRDefault="00520333" w:rsidP="005E5E0C">
            <w:pPr>
              <w:spacing w:after="0"/>
              <w:jc w:val="right"/>
              <w:rPr>
                <w:rFonts w:cs="Arial"/>
                <w:sz w:val="18"/>
                <w:szCs w:val="18"/>
              </w:rPr>
            </w:pPr>
            <w:r w:rsidRPr="006D688A">
              <w:rPr>
                <w:rFonts w:cs="Arial"/>
                <w:sz w:val="18"/>
                <w:szCs w:val="18"/>
              </w:rPr>
              <w:t>1,032,160</w:t>
            </w:r>
          </w:p>
        </w:tc>
        <w:tc>
          <w:tcPr>
            <w:tcW w:w="236" w:type="dxa"/>
            <w:tcBorders>
              <w:top w:val="nil"/>
              <w:left w:val="nil"/>
              <w:bottom w:val="nil"/>
              <w:right w:val="nil"/>
            </w:tcBorders>
            <w:shd w:val="clear" w:color="FFFFFF" w:fill="FFFFFF"/>
            <w:noWrap/>
            <w:vAlign w:val="bottom"/>
            <w:hideMark/>
          </w:tcPr>
          <w:p w14:paraId="7AB3C0F6"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nil"/>
              <w:left w:val="nil"/>
              <w:bottom w:val="nil"/>
              <w:right w:val="nil"/>
            </w:tcBorders>
            <w:shd w:val="clear" w:color="FFFFFF" w:fill="FFFFFF"/>
            <w:noWrap/>
            <w:vAlign w:val="bottom"/>
            <w:hideMark/>
          </w:tcPr>
          <w:p w14:paraId="5CFE9C5F" w14:textId="77777777" w:rsidR="00520333" w:rsidRPr="006D688A" w:rsidRDefault="00520333" w:rsidP="005E5E0C">
            <w:pPr>
              <w:spacing w:after="0"/>
              <w:jc w:val="right"/>
              <w:rPr>
                <w:rFonts w:cs="Arial"/>
                <w:sz w:val="18"/>
                <w:szCs w:val="18"/>
              </w:rPr>
            </w:pPr>
            <w:r w:rsidRPr="006D688A">
              <w:rPr>
                <w:rFonts w:cs="Arial"/>
                <w:sz w:val="18"/>
                <w:szCs w:val="18"/>
              </w:rPr>
              <w:t>1,190,505</w:t>
            </w:r>
          </w:p>
        </w:tc>
      </w:tr>
      <w:tr w:rsidR="00520333" w:rsidRPr="006D688A" w14:paraId="07EA4169" w14:textId="77777777" w:rsidTr="005E5E0C">
        <w:trPr>
          <w:trHeight w:val="250"/>
        </w:trPr>
        <w:tc>
          <w:tcPr>
            <w:tcW w:w="4224" w:type="dxa"/>
            <w:tcBorders>
              <w:top w:val="nil"/>
              <w:left w:val="nil"/>
              <w:bottom w:val="nil"/>
              <w:right w:val="nil"/>
            </w:tcBorders>
            <w:shd w:val="clear" w:color="FFFFFF" w:fill="FFFFFF"/>
            <w:vAlign w:val="bottom"/>
            <w:hideMark/>
          </w:tcPr>
          <w:p w14:paraId="599D5020" w14:textId="77777777" w:rsidR="00520333" w:rsidRPr="006D688A" w:rsidRDefault="00520333" w:rsidP="005E5E0C">
            <w:pPr>
              <w:spacing w:after="0"/>
              <w:rPr>
                <w:rFonts w:cs="Arial"/>
                <w:b/>
                <w:bCs/>
                <w:sz w:val="18"/>
                <w:szCs w:val="18"/>
              </w:rPr>
            </w:pPr>
            <w:r w:rsidRPr="006D688A">
              <w:rPr>
                <w:rFonts w:cs="Arial"/>
                <w:b/>
                <w:bCs/>
                <w:sz w:val="18"/>
                <w:szCs w:val="18"/>
              </w:rPr>
              <w:t>Total equity</w:t>
            </w:r>
          </w:p>
        </w:tc>
        <w:tc>
          <w:tcPr>
            <w:tcW w:w="1273" w:type="dxa"/>
            <w:tcBorders>
              <w:top w:val="nil"/>
              <w:left w:val="nil"/>
              <w:bottom w:val="nil"/>
              <w:right w:val="nil"/>
            </w:tcBorders>
            <w:shd w:val="clear" w:color="FFFFFF" w:fill="FFFFFF"/>
            <w:noWrap/>
            <w:vAlign w:val="bottom"/>
            <w:hideMark/>
          </w:tcPr>
          <w:p w14:paraId="0317C61A"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46" w:type="dxa"/>
            <w:tcBorders>
              <w:top w:val="single" w:sz="4" w:space="0" w:color="auto"/>
              <w:left w:val="nil"/>
              <w:bottom w:val="single" w:sz="4" w:space="0" w:color="auto"/>
              <w:right w:val="nil"/>
            </w:tcBorders>
            <w:shd w:val="clear" w:color="FFFFFF" w:fill="FFFFFF"/>
            <w:noWrap/>
            <w:vAlign w:val="bottom"/>
            <w:hideMark/>
          </w:tcPr>
          <w:p w14:paraId="42178B31" w14:textId="77777777" w:rsidR="00520333" w:rsidRPr="006D688A" w:rsidRDefault="00520333" w:rsidP="005E5E0C">
            <w:pPr>
              <w:spacing w:after="0"/>
              <w:jc w:val="right"/>
              <w:rPr>
                <w:rFonts w:cs="Arial"/>
                <w:b/>
                <w:bCs/>
                <w:sz w:val="18"/>
                <w:szCs w:val="18"/>
              </w:rPr>
            </w:pPr>
            <w:r w:rsidRPr="006D688A">
              <w:rPr>
                <w:rFonts w:cs="Arial"/>
                <w:b/>
                <w:bCs/>
                <w:sz w:val="18"/>
                <w:szCs w:val="18"/>
              </w:rPr>
              <w:t>2,287,393</w:t>
            </w:r>
          </w:p>
        </w:tc>
        <w:tc>
          <w:tcPr>
            <w:tcW w:w="236" w:type="dxa"/>
            <w:tcBorders>
              <w:top w:val="nil"/>
              <w:left w:val="nil"/>
              <w:bottom w:val="nil"/>
              <w:right w:val="nil"/>
            </w:tcBorders>
            <w:shd w:val="clear" w:color="FFFFFF" w:fill="FFFFFF"/>
            <w:noWrap/>
            <w:vAlign w:val="bottom"/>
            <w:hideMark/>
          </w:tcPr>
          <w:p w14:paraId="1C43B60A"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single" w:sz="4" w:space="0" w:color="auto"/>
              <w:left w:val="nil"/>
              <w:bottom w:val="single" w:sz="4" w:space="0" w:color="auto"/>
              <w:right w:val="nil"/>
            </w:tcBorders>
            <w:shd w:val="clear" w:color="FFFFFF" w:fill="FFFFFF"/>
            <w:noWrap/>
            <w:vAlign w:val="bottom"/>
            <w:hideMark/>
          </w:tcPr>
          <w:p w14:paraId="6CAB62F0" w14:textId="77777777" w:rsidR="00520333" w:rsidRPr="006D688A" w:rsidRDefault="00520333" w:rsidP="005E5E0C">
            <w:pPr>
              <w:spacing w:after="0"/>
              <w:jc w:val="right"/>
              <w:rPr>
                <w:rFonts w:cs="Arial"/>
                <w:sz w:val="18"/>
                <w:szCs w:val="18"/>
              </w:rPr>
            </w:pPr>
            <w:r w:rsidRPr="006D688A">
              <w:rPr>
                <w:rFonts w:cs="Arial"/>
                <w:sz w:val="18"/>
                <w:szCs w:val="18"/>
              </w:rPr>
              <w:t>1,276,257</w:t>
            </w:r>
          </w:p>
        </w:tc>
        <w:tc>
          <w:tcPr>
            <w:tcW w:w="236" w:type="dxa"/>
            <w:tcBorders>
              <w:top w:val="nil"/>
              <w:left w:val="nil"/>
              <w:bottom w:val="nil"/>
              <w:right w:val="nil"/>
            </w:tcBorders>
            <w:shd w:val="clear" w:color="FFFFFF" w:fill="FFFFFF"/>
            <w:noWrap/>
            <w:vAlign w:val="bottom"/>
            <w:hideMark/>
          </w:tcPr>
          <w:p w14:paraId="05FF9211" w14:textId="77777777" w:rsidR="00520333" w:rsidRPr="006D688A" w:rsidRDefault="00520333" w:rsidP="005E5E0C">
            <w:pPr>
              <w:spacing w:after="0"/>
              <w:rPr>
                <w:rFonts w:cs="Arial"/>
                <w:sz w:val="18"/>
                <w:szCs w:val="18"/>
              </w:rPr>
            </w:pPr>
            <w:r w:rsidRPr="006D688A">
              <w:rPr>
                <w:rFonts w:cs="Arial"/>
                <w:sz w:val="18"/>
                <w:szCs w:val="18"/>
              </w:rPr>
              <w:t> </w:t>
            </w:r>
          </w:p>
        </w:tc>
        <w:tc>
          <w:tcPr>
            <w:tcW w:w="1036" w:type="dxa"/>
            <w:tcBorders>
              <w:top w:val="single" w:sz="4" w:space="0" w:color="auto"/>
              <w:left w:val="nil"/>
              <w:bottom w:val="single" w:sz="4" w:space="0" w:color="auto"/>
              <w:right w:val="nil"/>
            </w:tcBorders>
            <w:shd w:val="clear" w:color="FFFFFF" w:fill="FFFFFF"/>
            <w:noWrap/>
            <w:vAlign w:val="bottom"/>
            <w:hideMark/>
          </w:tcPr>
          <w:p w14:paraId="389359D6" w14:textId="77777777" w:rsidR="00520333" w:rsidRPr="006D688A" w:rsidRDefault="00520333" w:rsidP="005E5E0C">
            <w:pPr>
              <w:spacing w:after="0"/>
              <w:jc w:val="right"/>
              <w:rPr>
                <w:rFonts w:cs="Arial"/>
                <w:sz w:val="18"/>
                <w:szCs w:val="18"/>
              </w:rPr>
            </w:pPr>
            <w:r w:rsidRPr="006D688A">
              <w:rPr>
                <w:rFonts w:cs="Arial"/>
                <w:sz w:val="18"/>
                <w:szCs w:val="18"/>
              </w:rPr>
              <w:t>1,417,317</w:t>
            </w:r>
          </w:p>
        </w:tc>
      </w:tr>
    </w:tbl>
    <w:p w14:paraId="53A0CFA9" w14:textId="77777777" w:rsidR="00520333" w:rsidRPr="006D688A" w:rsidRDefault="00520333" w:rsidP="003203A1">
      <w:pPr>
        <w:pStyle w:val="ReferenceText"/>
      </w:pPr>
      <w:r w:rsidRPr="006D688A">
        <w:t>The above statement should be read in conjunction with the accompanying notes.</w:t>
      </w:r>
    </w:p>
    <w:p w14:paraId="265CD8F1" w14:textId="16E7203D" w:rsidR="00AF700A" w:rsidRDefault="00520333" w:rsidP="003203A1">
      <w:pPr>
        <w:pStyle w:val="ReferenceText"/>
        <w:rPr>
          <w:rFonts w:cs="Arial"/>
          <w:b/>
          <w:bCs/>
          <w:szCs w:val="18"/>
          <w:lang w:eastAsia="en-US"/>
        </w:rPr>
      </w:pPr>
      <w:r w:rsidRPr="006D688A">
        <w:rPr>
          <w:vertAlign w:val="superscript"/>
        </w:rPr>
        <w:t xml:space="preserve">1 </w:t>
      </w:r>
      <w:r w:rsidRPr="006D688A">
        <w:t>Original Budget refers to the figures published in the 2023-24 Portfolio Budget Statements</w:t>
      </w:r>
      <w:r w:rsidR="00AF700A">
        <w:br w:type="page"/>
      </w:r>
    </w:p>
    <w:p w14:paraId="04E51D9A" w14:textId="77777777" w:rsidR="006D688A" w:rsidRPr="00AA02E5" w:rsidRDefault="006D688A" w:rsidP="006D688A">
      <w:pPr>
        <w:spacing w:after="0" w:line="240" w:lineRule="auto"/>
        <w:rPr>
          <w:b/>
          <w:bCs/>
        </w:rPr>
      </w:pPr>
      <w:r w:rsidRPr="00AA02E5">
        <w:rPr>
          <w:b/>
          <w:bCs/>
        </w:rPr>
        <w:lastRenderedPageBreak/>
        <w:t>National Disability Insurance Agency</w:t>
      </w:r>
    </w:p>
    <w:p w14:paraId="64AD5AE9" w14:textId="77777777" w:rsidR="006D688A" w:rsidRPr="00AA02E5" w:rsidRDefault="006D688A" w:rsidP="006D688A">
      <w:pPr>
        <w:spacing w:after="0" w:line="240" w:lineRule="auto"/>
        <w:rPr>
          <w:b/>
          <w:bCs/>
        </w:rPr>
      </w:pPr>
      <w:r w:rsidRPr="00AA02E5">
        <w:rPr>
          <w:b/>
          <w:bCs/>
        </w:rPr>
        <w:t xml:space="preserve">STATEMENT OF </w:t>
      </w:r>
      <w:r>
        <w:rPr>
          <w:b/>
          <w:bCs/>
        </w:rPr>
        <w:t>FINANCIAL POSITION</w:t>
      </w:r>
    </w:p>
    <w:p w14:paraId="69857ECC" w14:textId="77777777" w:rsidR="006D688A" w:rsidRPr="00AA02E5" w:rsidRDefault="006D688A" w:rsidP="00C821EB">
      <w:pPr>
        <w:pBdr>
          <w:bottom w:val="single" w:sz="8" w:space="1" w:color="auto"/>
        </w:pBdr>
        <w:spacing w:line="240" w:lineRule="auto"/>
        <w:rPr>
          <w:i/>
          <w:iCs/>
        </w:rPr>
      </w:pPr>
      <w:r>
        <w:rPr>
          <w:i/>
          <w:iCs/>
        </w:rPr>
        <w:t>as at</w:t>
      </w:r>
      <w:r w:rsidRPr="00AA02E5">
        <w:rPr>
          <w:i/>
          <w:iCs/>
        </w:rPr>
        <w:t xml:space="preserve"> 30 June 2024</w:t>
      </w:r>
    </w:p>
    <w:p w14:paraId="0F520AEC" w14:textId="1A9D79F8" w:rsidR="00520333" w:rsidRPr="006D688A" w:rsidRDefault="00520333" w:rsidP="006D688A">
      <w:pPr>
        <w:pStyle w:val="PolicyheadingDept"/>
        <w:pBdr>
          <w:top w:val="none" w:sz="0" w:space="0" w:color="auto"/>
          <w:left w:val="none" w:sz="0" w:space="0" w:color="auto"/>
          <w:bottom w:val="none" w:sz="0" w:space="0" w:color="auto"/>
          <w:right w:val="none" w:sz="0" w:space="0" w:color="auto"/>
        </w:pBdr>
        <w:spacing w:before="120"/>
      </w:pPr>
      <w:r w:rsidRPr="006D688A">
        <w:t xml:space="preserve">Budget Variances Commentary </w:t>
      </w:r>
    </w:p>
    <w:p w14:paraId="5979A892" w14:textId="77777777" w:rsidR="00520333" w:rsidRPr="006D688A" w:rsidRDefault="00520333" w:rsidP="006D688A">
      <w:pPr>
        <w:pStyle w:val="PolicyheadingDept"/>
        <w:pBdr>
          <w:top w:val="none" w:sz="0" w:space="0" w:color="auto"/>
          <w:left w:val="none" w:sz="0" w:space="0" w:color="auto"/>
          <w:bottom w:val="none" w:sz="0" w:space="0" w:color="auto"/>
          <w:right w:val="none" w:sz="0" w:space="0" w:color="auto"/>
        </w:pBdr>
        <w:spacing w:before="120"/>
      </w:pPr>
      <w:r w:rsidRPr="006D688A">
        <w:t>Statement of Financial Position</w:t>
      </w:r>
    </w:p>
    <w:p w14:paraId="2B44C2A8" w14:textId="77777777" w:rsidR="00520333" w:rsidRPr="006D688A" w:rsidRDefault="00520333" w:rsidP="00520333">
      <w:pPr>
        <w:spacing w:before="100" w:beforeAutospacing="1" w:after="0" w:line="240" w:lineRule="auto"/>
        <w:rPr>
          <w:rFonts w:cs="Arial"/>
          <w:sz w:val="18"/>
          <w:szCs w:val="18"/>
          <w:lang w:eastAsia="en-AU"/>
        </w:rPr>
      </w:pPr>
      <w:r w:rsidRPr="006D688A">
        <w:rPr>
          <w:rFonts w:cs="Arial"/>
          <w:sz w:val="18"/>
          <w:szCs w:val="18"/>
          <w:lang w:eastAsia="en-AU"/>
        </w:rPr>
        <w:t>The following major variance explanations between the Original Budget as presented in the 2023-24 Portfolio Budget Statements and the 2023–24 financial statements are presented in accordance with Australian Accounting Standards. The 2023–24 Portfolio Budget Statements contain the original financial statements’ budget estimates presented to Parliament in respect of the 2023–24 financial year. The information presented below should be read in the context of the following:</w:t>
      </w:r>
    </w:p>
    <w:p w14:paraId="07EC63CD" w14:textId="77777777" w:rsidR="00520333" w:rsidRPr="006D688A" w:rsidRDefault="00520333" w:rsidP="007D1B8F">
      <w:pPr>
        <w:spacing w:before="180" w:after="0" w:line="240" w:lineRule="auto"/>
        <w:rPr>
          <w:rFonts w:cs="Arial"/>
          <w:sz w:val="18"/>
          <w:szCs w:val="18"/>
          <w:lang w:eastAsia="en-AU"/>
        </w:rPr>
      </w:pPr>
      <w:r w:rsidRPr="006D688A">
        <w:rPr>
          <w:rFonts w:cs="Arial"/>
          <w:sz w:val="18"/>
          <w:szCs w:val="18"/>
          <w:lang w:eastAsia="en-AU"/>
        </w:rPr>
        <w:t>· major variances are determined in accordance with Department of Finance guidelines; and</w:t>
      </w:r>
    </w:p>
    <w:p w14:paraId="12BD6EDD" w14:textId="77777777" w:rsidR="00520333" w:rsidRPr="006D688A" w:rsidRDefault="00520333" w:rsidP="007D1B8F">
      <w:pPr>
        <w:spacing w:before="180" w:after="180" w:line="240" w:lineRule="auto"/>
        <w:rPr>
          <w:rFonts w:cs="Arial"/>
          <w:sz w:val="18"/>
          <w:szCs w:val="18"/>
          <w:lang w:eastAsia="en-AU"/>
        </w:rPr>
      </w:pPr>
      <w:r w:rsidRPr="006D688A">
        <w:rPr>
          <w:rFonts w:cs="Arial"/>
          <w:sz w:val="18"/>
          <w:szCs w:val="18"/>
          <w:lang w:eastAsia="en-AU"/>
        </w:rPr>
        <w:t>· the Budget is not audited.</w:t>
      </w:r>
    </w:p>
    <w:tbl>
      <w:tblPr>
        <w:tblW w:w="9077" w:type="dxa"/>
        <w:tblInd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273"/>
        <w:gridCol w:w="6804"/>
      </w:tblGrid>
      <w:tr w:rsidR="00520333" w:rsidRPr="006D688A" w14:paraId="27DCD297" w14:textId="77777777" w:rsidTr="006D688A">
        <w:trPr>
          <w:cantSplit/>
          <w:trHeight w:val="255"/>
          <w:tblHeader/>
        </w:trPr>
        <w:tc>
          <w:tcPr>
            <w:tcW w:w="2273" w:type="dxa"/>
            <w:shd w:val="clear" w:color="FFFFFF" w:fill="FFFFFF"/>
            <w:noWrap/>
            <w:vAlign w:val="center"/>
          </w:tcPr>
          <w:p w14:paraId="0852E164" w14:textId="77777777" w:rsidR="00520333" w:rsidRPr="006D688A" w:rsidRDefault="00520333" w:rsidP="005E5E0C">
            <w:pPr>
              <w:spacing w:after="0"/>
              <w:rPr>
                <w:rFonts w:cs="Arial"/>
                <w:b/>
                <w:sz w:val="18"/>
                <w:szCs w:val="18"/>
              </w:rPr>
            </w:pPr>
            <w:r w:rsidRPr="006D688A">
              <w:rPr>
                <w:rFonts w:cs="Arial"/>
                <w:b/>
                <w:sz w:val="18"/>
                <w:szCs w:val="18"/>
              </w:rPr>
              <w:t>Affected line items</w:t>
            </w:r>
          </w:p>
        </w:tc>
        <w:tc>
          <w:tcPr>
            <w:tcW w:w="6804" w:type="dxa"/>
            <w:shd w:val="clear" w:color="FFFFFF" w:fill="FFFFFF"/>
            <w:vAlign w:val="center"/>
          </w:tcPr>
          <w:p w14:paraId="6E9D6948" w14:textId="77777777" w:rsidR="00520333" w:rsidRPr="006D688A" w:rsidRDefault="00520333" w:rsidP="005E5E0C">
            <w:pPr>
              <w:spacing w:after="0"/>
              <w:rPr>
                <w:rFonts w:cs="Arial"/>
                <w:b/>
                <w:sz w:val="18"/>
                <w:szCs w:val="18"/>
                <w:highlight w:val="yellow"/>
              </w:rPr>
            </w:pPr>
            <w:r w:rsidRPr="006D688A">
              <w:rPr>
                <w:rFonts w:cs="Arial"/>
                <w:b/>
                <w:bCs/>
                <w:color w:val="000000"/>
                <w:sz w:val="18"/>
                <w:szCs w:val="18"/>
                <w:lang w:eastAsia="en-AU"/>
              </w:rPr>
              <w:t>Explanations of major variances</w:t>
            </w:r>
          </w:p>
        </w:tc>
      </w:tr>
      <w:tr w:rsidR="00520333" w:rsidRPr="006D688A" w14:paraId="5B8AFF50" w14:textId="77777777" w:rsidTr="006D688A">
        <w:trPr>
          <w:cantSplit/>
          <w:trHeight w:val="255"/>
        </w:trPr>
        <w:tc>
          <w:tcPr>
            <w:tcW w:w="2273" w:type="dxa"/>
            <w:shd w:val="clear" w:color="auto" w:fill="auto"/>
            <w:noWrap/>
          </w:tcPr>
          <w:p w14:paraId="5D879FD4" w14:textId="77777777" w:rsidR="00520333" w:rsidRPr="006D688A" w:rsidRDefault="00520333" w:rsidP="005E5E0C">
            <w:pPr>
              <w:spacing w:after="0"/>
              <w:rPr>
                <w:rFonts w:cs="Arial"/>
                <w:sz w:val="18"/>
                <w:szCs w:val="18"/>
              </w:rPr>
            </w:pPr>
            <w:r w:rsidRPr="006D688A">
              <w:rPr>
                <w:rFonts w:cs="Arial"/>
                <w:sz w:val="18"/>
                <w:szCs w:val="18"/>
              </w:rPr>
              <w:t>Financial assets</w:t>
            </w:r>
          </w:p>
          <w:p w14:paraId="370B71F7" w14:textId="77777777" w:rsidR="00520333" w:rsidRPr="006D688A" w:rsidRDefault="00520333" w:rsidP="005E5E0C">
            <w:pPr>
              <w:spacing w:after="0"/>
              <w:rPr>
                <w:rFonts w:cs="Arial"/>
                <w:i/>
                <w:sz w:val="18"/>
                <w:szCs w:val="18"/>
              </w:rPr>
            </w:pPr>
            <w:r w:rsidRPr="006D688A">
              <w:rPr>
                <w:rFonts w:cs="Arial"/>
                <w:i/>
                <w:sz w:val="18"/>
                <w:szCs w:val="18"/>
              </w:rPr>
              <w:t>Cash and cash equivalents</w:t>
            </w:r>
          </w:p>
        </w:tc>
        <w:tc>
          <w:tcPr>
            <w:tcW w:w="6804" w:type="dxa"/>
            <w:shd w:val="clear" w:color="auto" w:fill="auto"/>
            <w:noWrap/>
          </w:tcPr>
          <w:p w14:paraId="4D1FE46D" w14:textId="77777777" w:rsidR="00520333" w:rsidRPr="006D688A" w:rsidRDefault="00520333" w:rsidP="005E5E0C">
            <w:pPr>
              <w:spacing w:after="0"/>
              <w:jc w:val="both"/>
              <w:rPr>
                <w:rFonts w:cs="Arial"/>
                <w:color w:val="000000"/>
                <w:sz w:val="18"/>
                <w:szCs w:val="18"/>
              </w:rPr>
            </w:pPr>
            <w:r w:rsidRPr="006D688A">
              <w:rPr>
                <w:rFonts w:cs="Arial"/>
                <w:color w:val="000000"/>
                <w:sz w:val="18"/>
                <w:szCs w:val="18"/>
              </w:rPr>
              <w:t>The Original Budget assumed that surplus cash funds would be held in term deposits,</w:t>
            </w:r>
            <w:r w:rsidRPr="006D688A">
              <w:rPr>
                <w:rFonts w:cs="Arial"/>
                <w:color w:val="FF0000"/>
                <w:sz w:val="18"/>
                <w:szCs w:val="18"/>
              </w:rPr>
              <w:t xml:space="preserve"> </w:t>
            </w:r>
            <w:r w:rsidRPr="006D688A">
              <w:rPr>
                <w:rFonts w:cs="Arial"/>
                <w:color w:val="000000"/>
                <w:sz w:val="18"/>
                <w:szCs w:val="18"/>
              </w:rPr>
              <w:t>at year-end, reported under Other Financial Assets. The increase in cash balances reflects the movement of funds from term deposits to cash and cash equivalents</w:t>
            </w:r>
            <w:bookmarkStart w:id="113" w:name="_Hlk174601656"/>
            <w:r w:rsidRPr="006D688A">
              <w:rPr>
                <w:rFonts w:cs="Arial"/>
                <w:color w:val="000000"/>
                <w:sz w:val="18"/>
                <w:szCs w:val="18"/>
              </w:rPr>
              <w:t>.</w:t>
            </w:r>
            <w:bookmarkEnd w:id="113"/>
          </w:p>
        </w:tc>
      </w:tr>
      <w:tr w:rsidR="00520333" w:rsidRPr="006D688A" w14:paraId="04ABA796" w14:textId="77777777" w:rsidTr="006D688A">
        <w:trPr>
          <w:cantSplit/>
          <w:trHeight w:val="255"/>
        </w:trPr>
        <w:tc>
          <w:tcPr>
            <w:tcW w:w="2273" w:type="dxa"/>
            <w:shd w:val="clear" w:color="auto" w:fill="auto"/>
            <w:noWrap/>
          </w:tcPr>
          <w:p w14:paraId="7E719878" w14:textId="77777777" w:rsidR="00520333" w:rsidRPr="006D688A" w:rsidRDefault="00520333" w:rsidP="005E5E0C">
            <w:pPr>
              <w:spacing w:after="0"/>
              <w:rPr>
                <w:rFonts w:cs="Arial"/>
                <w:sz w:val="18"/>
                <w:szCs w:val="18"/>
              </w:rPr>
            </w:pPr>
            <w:r w:rsidRPr="006D688A">
              <w:rPr>
                <w:rFonts w:cs="Arial"/>
                <w:sz w:val="18"/>
                <w:szCs w:val="18"/>
              </w:rPr>
              <w:t>Financial assets</w:t>
            </w:r>
          </w:p>
          <w:p w14:paraId="66F32FD3" w14:textId="77777777" w:rsidR="00520333" w:rsidRPr="006D688A" w:rsidRDefault="00520333" w:rsidP="005E5E0C">
            <w:pPr>
              <w:spacing w:after="0"/>
              <w:rPr>
                <w:rFonts w:cs="Arial"/>
                <w:i/>
                <w:sz w:val="18"/>
                <w:szCs w:val="18"/>
              </w:rPr>
            </w:pPr>
            <w:r w:rsidRPr="006D688A">
              <w:rPr>
                <w:rFonts w:cs="Arial"/>
                <w:i/>
                <w:sz w:val="18"/>
                <w:szCs w:val="18"/>
              </w:rPr>
              <w:t>Trade and other receivables</w:t>
            </w:r>
          </w:p>
        </w:tc>
        <w:tc>
          <w:tcPr>
            <w:tcW w:w="6804" w:type="dxa"/>
            <w:shd w:val="clear" w:color="auto" w:fill="auto"/>
            <w:noWrap/>
          </w:tcPr>
          <w:p w14:paraId="1A7E91CA" w14:textId="77777777" w:rsidR="00520333" w:rsidRPr="006D688A" w:rsidRDefault="00520333" w:rsidP="005E5E0C">
            <w:pPr>
              <w:spacing w:after="0"/>
              <w:jc w:val="both"/>
              <w:rPr>
                <w:rFonts w:cs="Arial"/>
                <w:color w:val="000000"/>
                <w:sz w:val="18"/>
                <w:szCs w:val="18"/>
              </w:rPr>
            </w:pPr>
            <w:r w:rsidRPr="006D688A">
              <w:rPr>
                <w:rFonts w:cs="Arial"/>
                <w:color w:val="000000"/>
                <w:sz w:val="18"/>
                <w:szCs w:val="18"/>
              </w:rPr>
              <w:t>Movement is due to increases in participant and other provider receivables reflecting increased compliance reviews of participant and provider expenditure and accrued interest reflecting prevailing bank interest rates.</w:t>
            </w:r>
          </w:p>
        </w:tc>
      </w:tr>
      <w:tr w:rsidR="00520333" w:rsidRPr="006D688A" w14:paraId="622594CB" w14:textId="77777777" w:rsidTr="006D688A">
        <w:trPr>
          <w:cantSplit/>
          <w:trHeight w:val="255"/>
        </w:trPr>
        <w:tc>
          <w:tcPr>
            <w:tcW w:w="2273" w:type="dxa"/>
            <w:shd w:val="clear" w:color="auto" w:fill="auto"/>
            <w:noWrap/>
          </w:tcPr>
          <w:p w14:paraId="4848D79E" w14:textId="77777777" w:rsidR="00520333" w:rsidRPr="006D688A" w:rsidRDefault="00520333" w:rsidP="005E5E0C">
            <w:pPr>
              <w:spacing w:after="0"/>
              <w:rPr>
                <w:rFonts w:cs="Arial"/>
                <w:sz w:val="18"/>
                <w:szCs w:val="18"/>
              </w:rPr>
            </w:pPr>
            <w:r w:rsidRPr="006D688A">
              <w:rPr>
                <w:rFonts w:cs="Arial"/>
                <w:sz w:val="18"/>
                <w:szCs w:val="18"/>
              </w:rPr>
              <w:t>Financial assets</w:t>
            </w:r>
          </w:p>
          <w:p w14:paraId="2D84B618" w14:textId="77777777" w:rsidR="00520333" w:rsidRPr="006D688A" w:rsidRDefault="00520333" w:rsidP="005E5E0C">
            <w:pPr>
              <w:spacing w:after="0"/>
              <w:rPr>
                <w:rFonts w:cs="Arial"/>
                <w:i/>
                <w:sz w:val="18"/>
                <w:szCs w:val="18"/>
              </w:rPr>
            </w:pPr>
            <w:r w:rsidRPr="006D688A">
              <w:rPr>
                <w:rFonts w:cs="Arial"/>
                <w:i/>
                <w:sz w:val="18"/>
                <w:szCs w:val="18"/>
              </w:rPr>
              <w:t>Other financial assets</w:t>
            </w:r>
          </w:p>
        </w:tc>
        <w:tc>
          <w:tcPr>
            <w:tcW w:w="6804" w:type="dxa"/>
            <w:shd w:val="clear" w:color="auto" w:fill="auto"/>
            <w:noWrap/>
          </w:tcPr>
          <w:p w14:paraId="574A8D8F" w14:textId="77777777" w:rsidR="00520333" w:rsidRPr="006D688A" w:rsidRDefault="00520333" w:rsidP="005E5E0C">
            <w:pPr>
              <w:spacing w:after="0"/>
              <w:jc w:val="both"/>
              <w:rPr>
                <w:rFonts w:cs="Arial"/>
                <w:color w:val="000000"/>
                <w:sz w:val="18"/>
                <w:szCs w:val="18"/>
              </w:rPr>
            </w:pPr>
            <w:r w:rsidRPr="006D688A">
              <w:rPr>
                <w:rFonts w:cs="Arial"/>
                <w:color w:val="000000"/>
                <w:sz w:val="18"/>
                <w:szCs w:val="18"/>
              </w:rPr>
              <w:t>Other financial assets are term deposits with an initial maturity greater than three months. The decrease in other financial assets compared to the Original Budget reflects the movement of surplus funds which are now reported under cash and cash equivalents.</w:t>
            </w:r>
          </w:p>
        </w:tc>
      </w:tr>
      <w:tr w:rsidR="00520333" w:rsidRPr="006D688A" w14:paraId="2FC45923" w14:textId="77777777" w:rsidTr="006D688A">
        <w:trPr>
          <w:cantSplit/>
          <w:trHeight w:val="255"/>
        </w:trPr>
        <w:tc>
          <w:tcPr>
            <w:tcW w:w="2273" w:type="dxa"/>
            <w:shd w:val="clear" w:color="FFFFFF" w:fill="FFFFFF"/>
            <w:noWrap/>
          </w:tcPr>
          <w:p w14:paraId="56CA1486" w14:textId="77777777" w:rsidR="00520333" w:rsidRPr="006D688A" w:rsidRDefault="00520333" w:rsidP="005E5E0C">
            <w:pPr>
              <w:spacing w:after="0"/>
              <w:rPr>
                <w:rFonts w:cs="Arial"/>
                <w:sz w:val="18"/>
                <w:szCs w:val="18"/>
              </w:rPr>
            </w:pPr>
            <w:r w:rsidRPr="006D688A">
              <w:rPr>
                <w:rFonts w:cs="Arial"/>
                <w:sz w:val="18"/>
                <w:szCs w:val="18"/>
              </w:rPr>
              <w:t>Non-financial assets</w:t>
            </w:r>
          </w:p>
          <w:p w14:paraId="21823E49" w14:textId="77777777" w:rsidR="00520333" w:rsidRPr="006D688A" w:rsidRDefault="00520333" w:rsidP="005E5E0C">
            <w:pPr>
              <w:spacing w:after="0"/>
              <w:rPr>
                <w:rFonts w:cs="Arial"/>
                <w:i/>
                <w:sz w:val="18"/>
                <w:szCs w:val="18"/>
              </w:rPr>
            </w:pPr>
            <w:r w:rsidRPr="006D688A">
              <w:rPr>
                <w:rFonts w:cs="Arial"/>
                <w:i/>
                <w:sz w:val="18"/>
                <w:szCs w:val="18"/>
              </w:rPr>
              <w:t>Other non-financial assets</w:t>
            </w:r>
          </w:p>
        </w:tc>
        <w:tc>
          <w:tcPr>
            <w:tcW w:w="6804" w:type="dxa"/>
            <w:shd w:val="clear" w:color="FFFFFF" w:fill="FFFFFF"/>
            <w:noWrap/>
          </w:tcPr>
          <w:p w14:paraId="1C9C35B0" w14:textId="77777777" w:rsidR="00520333" w:rsidRPr="006D688A" w:rsidRDefault="00520333" w:rsidP="005E5E0C">
            <w:pPr>
              <w:spacing w:after="0"/>
              <w:jc w:val="both"/>
              <w:rPr>
                <w:rFonts w:cs="Arial"/>
                <w:color w:val="000000"/>
                <w:sz w:val="18"/>
                <w:szCs w:val="18"/>
              </w:rPr>
            </w:pPr>
            <w:r w:rsidRPr="006D688A">
              <w:rPr>
                <w:rFonts w:cs="Arial"/>
                <w:color w:val="000000"/>
                <w:sz w:val="18"/>
                <w:szCs w:val="18"/>
              </w:rPr>
              <w:t>Prepayment of software licences has increased in line with Agency growth.</w:t>
            </w:r>
          </w:p>
        </w:tc>
      </w:tr>
      <w:tr w:rsidR="00520333" w:rsidRPr="006D688A" w14:paraId="7168DF8E" w14:textId="77777777" w:rsidTr="006D688A">
        <w:trPr>
          <w:cantSplit/>
          <w:trHeight w:val="255"/>
        </w:trPr>
        <w:tc>
          <w:tcPr>
            <w:tcW w:w="2273" w:type="dxa"/>
            <w:shd w:val="clear" w:color="FFFFFF" w:fill="FFFFFF"/>
            <w:noWrap/>
          </w:tcPr>
          <w:p w14:paraId="1A9C5009" w14:textId="77777777" w:rsidR="00520333" w:rsidRPr="006D688A" w:rsidRDefault="00520333" w:rsidP="005E5E0C">
            <w:pPr>
              <w:spacing w:after="0"/>
              <w:rPr>
                <w:rFonts w:cs="Arial"/>
                <w:sz w:val="18"/>
                <w:szCs w:val="18"/>
              </w:rPr>
            </w:pPr>
            <w:r w:rsidRPr="006D688A">
              <w:rPr>
                <w:rFonts w:cs="Arial"/>
                <w:sz w:val="18"/>
                <w:szCs w:val="18"/>
              </w:rPr>
              <w:t>Payables</w:t>
            </w:r>
          </w:p>
          <w:p w14:paraId="79B72535" w14:textId="77777777" w:rsidR="00520333" w:rsidRPr="006D688A" w:rsidRDefault="00520333" w:rsidP="005E5E0C">
            <w:pPr>
              <w:spacing w:after="0"/>
              <w:rPr>
                <w:rFonts w:cs="Arial"/>
                <w:i/>
                <w:sz w:val="18"/>
                <w:szCs w:val="18"/>
              </w:rPr>
            </w:pPr>
            <w:r w:rsidRPr="006D688A">
              <w:rPr>
                <w:rFonts w:cs="Arial"/>
                <w:i/>
                <w:sz w:val="18"/>
                <w:szCs w:val="18"/>
              </w:rPr>
              <w:t>Suppliers</w:t>
            </w:r>
          </w:p>
        </w:tc>
        <w:tc>
          <w:tcPr>
            <w:tcW w:w="6804" w:type="dxa"/>
            <w:shd w:val="clear" w:color="FFFFFF" w:fill="FFFFFF"/>
            <w:noWrap/>
          </w:tcPr>
          <w:p w14:paraId="021B6E73" w14:textId="77777777" w:rsidR="00520333" w:rsidRPr="006D688A" w:rsidRDefault="00520333" w:rsidP="005E5E0C">
            <w:pPr>
              <w:spacing w:after="0"/>
              <w:jc w:val="both"/>
              <w:rPr>
                <w:rFonts w:cs="Arial"/>
                <w:color w:val="000000"/>
                <w:sz w:val="18"/>
                <w:szCs w:val="18"/>
              </w:rPr>
            </w:pPr>
            <w:r w:rsidRPr="006D688A">
              <w:rPr>
                <w:rFonts w:cs="Arial"/>
                <w:color w:val="000000"/>
                <w:sz w:val="18"/>
                <w:szCs w:val="18"/>
              </w:rPr>
              <w:t>Suppliers includes an amount payable to the Department of Health and Aged Care for Younger People in Residential Aged Care that remains unpaid as at the end of 2023-24 ($528.6M) which was assumed paid in the Original Budget. The actuals balance also includes personal benefit and other payable amounts worth $137.1M that are included the Other payable line item in the Original Budget.</w:t>
            </w:r>
          </w:p>
        </w:tc>
      </w:tr>
      <w:tr w:rsidR="00520333" w:rsidRPr="006D688A" w14:paraId="00CC160D" w14:textId="77777777" w:rsidTr="006D688A">
        <w:trPr>
          <w:cantSplit/>
          <w:trHeight w:val="255"/>
        </w:trPr>
        <w:tc>
          <w:tcPr>
            <w:tcW w:w="2273" w:type="dxa"/>
            <w:shd w:val="clear" w:color="FFFFFF" w:fill="FFFFFF"/>
            <w:noWrap/>
          </w:tcPr>
          <w:p w14:paraId="5F554A1D" w14:textId="77777777" w:rsidR="00520333" w:rsidRPr="006D688A" w:rsidRDefault="00520333" w:rsidP="005E5E0C">
            <w:pPr>
              <w:spacing w:after="0"/>
              <w:rPr>
                <w:rFonts w:cs="Arial"/>
                <w:sz w:val="18"/>
                <w:szCs w:val="18"/>
              </w:rPr>
            </w:pPr>
            <w:r w:rsidRPr="006D688A">
              <w:rPr>
                <w:rFonts w:cs="Arial"/>
                <w:sz w:val="18"/>
                <w:szCs w:val="18"/>
              </w:rPr>
              <w:t>Payables</w:t>
            </w:r>
          </w:p>
          <w:p w14:paraId="6609314B" w14:textId="77777777" w:rsidR="00520333" w:rsidRPr="006D688A" w:rsidRDefault="00520333" w:rsidP="005E5E0C">
            <w:pPr>
              <w:spacing w:after="0"/>
              <w:rPr>
                <w:rFonts w:cs="Arial"/>
                <w:i/>
                <w:sz w:val="18"/>
                <w:szCs w:val="18"/>
              </w:rPr>
            </w:pPr>
            <w:r w:rsidRPr="006D688A">
              <w:rPr>
                <w:rFonts w:cs="Arial"/>
                <w:i/>
                <w:sz w:val="18"/>
                <w:szCs w:val="18"/>
              </w:rPr>
              <w:t>Other payables, Unearned revenue</w:t>
            </w:r>
          </w:p>
        </w:tc>
        <w:tc>
          <w:tcPr>
            <w:tcW w:w="6804" w:type="dxa"/>
            <w:shd w:val="clear" w:color="FFFFFF" w:fill="FFFFFF"/>
            <w:noWrap/>
          </w:tcPr>
          <w:p w14:paraId="09B506A1" w14:textId="77777777" w:rsidR="00520333" w:rsidRPr="006D688A" w:rsidRDefault="00520333" w:rsidP="005E5E0C">
            <w:pPr>
              <w:spacing w:after="0"/>
              <w:jc w:val="both"/>
              <w:rPr>
                <w:rFonts w:cs="Arial"/>
                <w:color w:val="000000"/>
                <w:sz w:val="18"/>
                <w:szCs w:val="18"/>
              </w:rPr>
            </w:pPr>
            <w:r w:rsidRPr="006D688A">
              <w:rPr>
                <w:rFonts w:cs="Arial"/>
                <w:color w:val="000000"/>
                <w:sz w:val="18"/>
                <w:szCs w:val="18"/>
              </w:rPr>
              <w:t>The Original Budget does not separately disclose amounts attributable to Other payables and Unearned revenue. Refer also to commentary under Supplier payables.</w:t>
            </w:r>
          </w:p>
        </w:tc>
      </w:tr>
      <w:tr w:rsidR="00520333" w:rsidRPr="006D688A" w14:paraId="3026FD5A" w14:textId="77777777" w:rsidTr="006D688A">
        <w:trPr>
          <w:cantSplit/>
          <w:trHeight w:val="255"/>
        </w:trPr>
        <w:tc>
          <w:tcPr>
            <w:tcW w:w="2273" w:type="dxa"/>
            <w:shd w:val="clear" w:color="FFFFFF" w:fill="FFFFFF"/>
            <w:noWrap/>
          </w:tcPr>
          <w:p w14:paraId="30768FBF" w14:textId="77777777" w:rsidR="00520333" w:rsidRPr="006D688A" w:rsidRDefault="00520333" w:rsidP="005E5E0C">
            <w:pPr>
              <w:spacing w:after="0"/>
              <w:rPr>
                <w:rFonts w:cs="Arial"/>
                <w:sz w:val="18"/>
                <w:szCs w:val="18"/>
              </w:rPr>
            </w:pPr>
            <w:r w:rsidRPr="006D688A">
              <w:rPr>
                <w:rFonts w:cs="Arial"/>
                <w:sz w:val="18"/>
                <w:szCs w:val="18"/>
              </w:rPr>
              <w:t>Provisions</w:t>
            </w:r>
          </w:p>
          <w:p w14:paraId="4F754D81" w14:textId="77777777" w:rsidR="00520333" w:rsidRPr="006D688A" w:rsidRDefault="00520333" w:rsidP="005E5E0C">
            <w:pPr>
              <w:spacing w:after="0"/>
              <w:rPr>
                <w:rFonts w:cs="Arial"/>
                <w:i/>
                <w:sz w:val="18"/>
                <w:szCs w:val="18"/>
              </w:rPr>
            </w:pPr>
            <w:r w:rsidRPr="006D688A">
              <w:rPr>
                <w:rFonts w:cs="Arial"/>
                <w:i/>
                <w:sz w:val="18"/>
                <w:szCs w:val="18"/>
              </w:rPr>
              <w:t>Employee provisions</w:t>
            </w:r>
          </w:p>
        </w:tc>
        <w:tc>
          <w:tcPr>
            <w:tcW w:w="6804" w:type="dxa"/>
            <w:shd w:val="clear" w:color="FFFFFF" w:fill="FFFFFF"/>
            <w:noWrap/>
          </w:tcPr>
          <w:p w14:paraId="622B3F44" w14:textId="77777777" w:rsidR="00520333" w:rsidRPr="006D688A" w:rsidRDefault="00520333" w:rsidP="005E5E0C">
            <w:pPr>
              <w:spacing w:after="0"/>
              <w:jc w:val="both"/>
              <w:rPr>
                <w:rFonts w:cs="Arial"/>
                <w:sz w:val="18"/>
                <w:szCs w:val="18"/>
              </w:rPr>
            </w:pPr>
            <w:r w:rsidRPr="006D688A">
              <w:rPr>
                <w:rFonts w:cs="Arial"/>
                <w:sz w:val="18"/>
                <w:szCs w:val="18"/>
              </w:rPr>
              <w:t>The Agency has seen strong growth in staffing levels which has impacted on the level of employee leave provisions. In addition, employee leave provisions increased as a result of year-end actuarial assessment and changes in parameters. This balance is highly sensitive to the parameters and will fluctuate widely as a result. The Original Budget is based on historic trend.</w:t>
            </w:r>
          </w:p>
        </w:tc>
      </w:tr>
      <w:tr w:rsidR="00520333" w:rsidRPr="006D688A" w14:paraId="0F20AD0A" w14:textId="77777777" w:rsidTr="006D688A">
        <w:trPr>
          <w:cantSplit/>
          <w:trHeight w:val="255"/>
        </w:trPr>
        <w:tc>
          <w:tcPr>
            <w:tcW w:w="2273" w:type="dxa"/>
            <w:shd w:val="clear" w:color="FFFFFF" w:fill="FFFFFF"/>
            <w:noWrap/>
          </w:tcPr>
          <w:p w14:paraId="3782F4F1" w14:textId="3B10E985" w:rsidR="00520333" w:rsidRPr="006D688A" w:rsidRDefault="00520333" w:rsidP="006D688A">
            <w:pPr>
              <w:spacing w:after="0"/>
              <w:rPr>
                <w:rFonts w:cs="Arial"/>
                <w:sz w:val="18"/>
                <w:szCs w:val="18"/>
              </w:rPr>
            </w:pPr>
            <w:r w:rsidRPr="006D688A">
              <w:rPr>
                <w:rFonts w:cs="Arial"/>
                <w:sz w:val="18"/>
                <w:szCs w:val="18"/>
              </w:rPr>
              <w:t>Provisions</w:t>
            </w:r>
            <w:r w:rsidRPr="006D688A">
              <w:rPr>
                <w:rFonts w:cs="Arial"/>
                <w:sz w:val="18"/>
                <w:szCs w:val="18"/>
              </w:rPr>
              <w:br/>
            </w:r>
            <w:r w:rsidRPr="006D688A">
              <w:rPr>
                <w:rFonts w:cs="Arial"/>
                <w:i/>
                <w:iCs/>
                <w:sz w:val="18"/>
                <w:szCs w:val="18"/>
              </w:rPr>
              <w:t>Participant plan provisions</w:t>
            </w:r>
          </w:p>
        </w:tc>
        <w:tc>
          <w:tcPr>
            <w:tcW w:w="6804" w:type="dxa"/>
            <w:shd w:val="clear" w:color="FFFFFF" w:fill="FFFFFF"/>
            <w:noWrap/>
          </w:tcPr>
          <w:p w14:paraId="35FB921A" w14:textId="77777777" w:rsidR="00520333" w:rsidRPr="006D688A" w:rsidRDefault="00520333" w:rsidP="005E5E0C">
            <w:pPr>
              <w:spacing w:after="0"/>
              <w:jc w:val="both"/>
              <w:rPr>
                <w:rFonts w:cs="Arial"/>
                <w:color w:val="000000"/>
                <w:sz w:val="18"/>
                <w:szCs w:val="18"/>
              </w:rPr>
            </w:pPr>
            <w:r w:rsidRPr="006D688A">
              <w:rPr>
                <w:rFonts w:cs="Arial"/>
                <w:color w:val="000000"/>
                <w:sz w:val="18"/>
                <w:szCs w:val="18"/>
              </w:rPr>
              <w:t>Despite the strong growth in participant numbers, this was offset by an increase in the amounts paid against participant plans and the removal of the risk margin in the provision calculation. These were not anticipated at the time of the Original Budget was prepared.</w:t>
            </w:r>
          </w:p>
        </w:tc>
      </w:tr>
      <w:tr w:rsidR="00520333" w:rsidRPr="006D688A" w14:paraId="0DD7D830" w14:textId="77777777" w:rsidTr="006D688A">
        <w:trPr>
          <w:cantSplit/>
          <w:trHeight w:val="255"/>
        </w:trPr>
        <w:tc>
          <w:tcPr>
            <w:tcW w:w="2273" w:type="dxa"/>
            <w:shd w:val="clear" w:color="FFFFFF" w:fill="FFFFFF"/>
            <w:noWrap/>
          </w:tcPr>
          <w:p w14:paraId="739B17F2" w14:textId="77777777" w:rsidR="00520333" w:rsidRPr="006D688A" w:rsidRDefault="00520333" w:rsidP="005E5E0C">
            <w:pPr>
              <w:spacing w:after="0"/>
              <w:rPr>
                <w:rFonts w:cs="Arial"/>
                <w:sz w:val="18"/>
                <w:szCs w:val="18"/>
              </w:rPr>
            </w:pPr>
            <w:r w:rsidRPr="006D688A">
              <w:rPr>
                <w:rFonts w:cs="Arial"/>
                <w:sz w:val="18"/>
                <w:szCs w:val="18"/>
              </w:rPr>
              <w:t>Provisions</w:t>
            </w:r>
          </w:p>
          <w:p w14:paraId="1FF28B6A" w14:textId="77777777" w:rsidR="00520333" w:rsidRPr="006D688A" w:rsidRDefault="00520333" w:rsidP="005E5E0C">
            <w:pPr>
              <w:spacing w:after="0"/>
              <w:rPr>
                <w:rFonts w:cs="Arial"/>
                <w:sz w:val="18"/>
                <w:szCs w:val="18"/>
              </w:rPr>
            </w:pPr>
            <w:r w:rsidRPr="006D688A">
              <w:rPr>
                <w:rFonts w:cs="Arial"/>
                <w:i/>
                <w:iCs/>
                <w:sz w:val="18"/>
                <w:szCs w:val="18"/>
              </w:rPr>
              <w:t xml:space="preserve">Provision for historical Scheme debt </w:t>
            </w:r>
          </w:p>
        </w:tc>
        <w:tc>
          <w:tcPr>
            <w:tcW w:w="6804" w:type="dxa"/>
            <w:shd w:val="clear" w:color="FFFFFF" w:fill="FFFFFF"/>
            <w:noWrap/>
          </w:tcPr>
          <w:p w14:paraId="36DB1595" w14:textId="77777777" w:rsidR="00520333" w:rsidRPr="006D688A" w:rsidRDefault="00520333" w:rsidP="005E5E0C">
            <w:pPr>
              <w:spacing w:after="0"/>
              <w:jc w:val="both"/>
              <w:rPr>
                <w:rFonts w:cs="Arial"/>
                <w:sz w:val="18"/>
                <w:szCs w:val="18"/>
              </w:rPr>
            </w:pPr>
            <w:r w:rsidRPr="006D688A">
              <w:rPr>
                <w:rFonts w:cs="Arial"/>
                <w:sz w:val="18"/>
                <w:szCs w:val="18"/>
              </w:rPr>
              <w:t>The Agency has included a new provision for historical Scheme debt. This was not anticipated at the time the Original Budget was prepared.</w:t>
            </w:r>
          </w:p>
        </w:tc>
      </w:tr>
      <w:tr w:rsidR="00520333" w:rsidRPr="006D688A" w14:paraId="0C11898E" w14:textId="77777777" w:rsidTr="006D688A">
        <w:trPr>
          <w:cantSplit/>
          <w:trHeight w:val="255"/>
        </w:trPr>
        <w:tc>
          <w:tcPr>
            <w:tcW w:w="2273" w:type="dxa"/>
            <w:shd w:val="clear" w:color="FFFFFF" w:fill="FFFFFF"/>
            <w:noWrap/>
          </w:tcPr>
          <w:p w14:paraId="2C8D61DC" w14:textId="77777777" w:rsidR="00520333" w:rsidRPr="006D688A" w:rsidRDefault="00520333" w:rsidP="005E5E0C">
            <w:pPr>
              <w:spacing w:after="0"/>
              <w:rPr>
                <w:rFonts w:cs="Arial"/>
                <w:sz w:val="18"/>
                <w:szCs w:val="18"/>
              </w:rPr>
            </w:pPr>
            <w:r w:rsidRPr="006D688A">
              <w:rPr>
                <w:rFonts w:cs="Arial"/>
                <w:sz w:val="18"/>
                <w:szCs w:val="18"/>
              </w:rPr>
              <w:t>Equity</w:t>
            </w:r>
          </w:p>
          <w:p w14:paraId="46F00625" w14:textId="77777777" w:rsidR="00520333" w:rsidRPr="006D688A" w:rsidRDefault="00520333" w:rsidP="005E5E0C">
            <w:pPr>
              <w:spacing w:after="0"/>
              <w:rPr>
                <w:rFonts w:cs="Arial"/>
                <w:sz w:val="18"/>
                <w:szCs w:val="18"/>
              </w:rPr>
            </w:pPr>
            <w:r w:rsidRPr="006D688A">
              <w:rPr>
                <w:rFonts w:cs="Arial"/>
                <w:i/>
                <w:iCs/>
                <w:color w:val="000000"/>
                <w:sz w:val="18"/>
                <w:szCs w:val="18"/>
              </w:rPr>
              <w:t>Asset revaluation reserve</w:t>
            </w:r>
          </w:p>
        </w:tc>
        <w:tc>
          <w:tcPr>
            <w:tcW w:w="6804" w:type="dxa"/>
            <w:shd w:val="clear" w:color="FFFFFF" w:fill="FFFFFF"/>
            <w:noWrap/>
          </w:tcPr>
          <w:p w14:paraId="01288F63" w14:textId="77777777" w:rsidR="00520333" w:rsidRPr="006D688A" w:rsidRDefault="00520333" w:rsidP="005E5E0C">
            <w:pPr>
              <w:spacing w:after="0"/>
              <w:jc w:val="both"/>
              <w:rPr>
                <w:rFonts w:cs="Arial"/>
                <w:sz w:val="18"/>
                <w:szCs w:val="18"/>
              </w:rPr>
            </w:pPr>
            <w:r w:rsidRPr="006D688A">
              <w:rPr>
                <w:rFonts w:cs="Arial"/>
                <w:sz w:val="18"/>
                <w:szCs w:val="18"/>
              </w:rPr>
              <w:t xml:space="preserve">The external revaluation of the Agency's leasehold improvements resulted in a revaluation increment of $8.6m during the year. This was recorded in the asset revaluation reserve. This was not considered in the Original Budget. </w:t>
            </w:r>
          </w:p>
        </w:tc>
      </w:tr>
      <w:tr w:rsidR="00520333" w:rsidRPr="006D688A" w14:paraId="097815BF" w14:textId="77777777" w:rsidTr="006D688A">
        <w:trPr>
          <w:cantSplit/>
          <w:trHeight w:val="255"/>
        </w:trPr>
        <w:tc>
          <w:tcPr>
            <w:tcW w:w="2273" w:type="dxa"/>
            <w:shd w:val="clear" w:color="FFFFFF" w:fill="FFFFFF"/>
            <w:noWrap/>
          </w:tcPr>
          <w:p w14:paraId="17D6D618" w14:textId="77777777" w:rsidR="00520333" w:rsidRPr="006D688A" w:rsidRDefault="00520333" w:rsidP="005E5E0C">
            <w:pPr>
              <w:spacing w:after="0"/>
              <w:rPr>
                <w:rFonts w:cs="Arial"/>
                <w:sz w:val="18"/>
                <w:szCs w:val="18"/>
              </w:rPr>
            </w:pPr>
            <w:r w:rsidRPr="006D688A">
              <w:rPr>
                <w:rFonts w:cs="Arial"/>
                <w:sz w:val="18"/>
                <w:szCs w:val="18"/>
              </w:rPr>
              <w:t>Equity</w:t>
            </w:r>
          </w:p>
          <w:p w14:paraId="27E01CF7" w14:textId="77777777" w:rsidR="00520333" w:rsidRPr="006D688A" w:rsidRDefault="00520333" w:rsidP="005E5E0C">
            <w:pPr>
              <w:spacing w:after="0"/>
              <w:rPr>
                <w:rFonts w:cs="Arial"/>
                <w:i/>
                <w:iCs/>
                <w:sz w:val="18"/>
                <w:szCs w:val="18"/>
              </w:rPr>
            </w:pPr>
            <w:r w:rsidRPr="006D688A">
              <w:rPr>
                <w:rFonts w:cs="Arial"/>
                <w:i/>
                <w:iCs/>
                <w:sz w:val="18"/>
                <w:szCs w:val="18"/>
              </w:rPr>
              <w:t>Retained surplus</w:t>
            </w:r>
          </w:p>
        </w:tc>
        <w:tc>
          <w:tcPr>
            <w:tcW w:w="6804" w:type="dxa"/>
            <w:shd w:val="clear" w:color="FFFFFF" w:fill="FFFFFF"/>
            <w:noWrap/>
          </w:tcPr>
          <w:p w14:paraId="5BC40170" w14:textId="77777777" w:rsidR="00520333" w:rsidRPr="006D688A" w:rsidRDefault="00520333" w:rsidP="005E5E0C">
            <w:pPr>
              <w:spacing w:after="0"/>
              <w:jc w:val="both"/>
              <w:rPr>
                <w:rFonts w:cs="Arial"/>
                <w:sz w:val="18"/>
                <w:szCs w:val="18"/>
              </w:rPr>
            </w:pPr>
            <w:r w:rsidRPr="006D688A">
              <w:rPr>
                <w:rFonts w:cs="Arial"/>
                <w:sz w:val="18"/>
                <w:szCs w:val="18"/>
              </w:rPr>
              <w:t>The Original Budget did not anticipate the additional funding provided to the Agency through Appropriation Acts 3 and 5 of 2023-24.</w:t>
            </w:r>
          </w:p>
        </w:tc>
      </w:tr>
    </w:tbl>
    <w:p w14:paraId="5EE6F955" w14:textId="77777777" w:rsidR="00520333" w:rsidRPr="005E5430" w:rsidRDefault="00520333" w:rsidP="003203A1">
      <w:pPr>
        <w:pStyle w:val="ReferenceText"/>
        <w:sectPr w:rsidR="00520333" w:rsidRPr="005E5430" w:rsidSect="007D1B8F">
          <w:footerReference w:type="default" r:id="rId47"/>
          <w:pgSz w:w="11906" w:h="16838" w:code="9"/>
          <w:pgMar w:top="1361" w:right="1361" w:bottom="1361" w:left="1361" w:header="561" w:footer="374" w:gutter="0"/>
          <w:cols w:space="708"/>
          <w:docGrid w:linePitch="360"/>
        </w:sectPr>
      </w:pPr>
    </w:p>
    <w:p w14:paraId="37030CE1" w14:textId="7B594F5E" w:rsidR="006D688A" w:rsidRDefault="006D688A" w:rsidP="006D688A">
      <w:pPr>
        <w:pStyle w:val="StatementHeading"/>
        <w:rPr>
          <w:rFonts w:cs="Arial"/>
          <w:szCs w:val="24"/>
        </w:rPr>
      </w:pPr>
      <w:r>
        <w:rPr>
          <w:rFonts w:cs="Arial"/>
          <w:szCs w:val="24"/>
        </w:rPr>
        <w:lastRenderedPageBreak/>
        <w:fldChar w:fldCharType="begin"/>
      </w:r>
      <w:r>
        <w:rPr>
          <w:rFonts w:cs="Arial"/>
          <w:szCs w:val="24"/>
        </w:rPr>
        <w:instrText xml:space="preserve"> DOCPROPERTY  longName  \* MERGEFORMAT </w:instrText>
      </w:r>
      <w:r>
        <w:rPr>
          <w:rFonts w:cs="Arial"/>
          <w:szCs w:val="24"/>
        </w:rPr>
        <w:fldChar w:fldCharType="separate"/>
      </w:r>
      <w:r>
        <w:rPr>
          <w:rFonts w:cs="Arial"/>
          <w:szCs w:val="24"/>
        </w:rPr>
        <w:t>National Disability Insurance</w:t>
      </w:r>
      <w:r w:rsidRPr="0076409E">
        <w:t xml:space="preserve"> Agency</w:t>
      </w:r>
      <w:r>
        <w:fldChar w:fldCharType="end"/>
      </w:r>
    </w:p>
    <w:p w14:paraId="0B11F4A0" w14:textId="77777777" w:rsidR="006D688A" w:rsidRDefault="006D688A" w:rsidP="006D688A">
      <w:pPr>
        <w:pStyle w:val="StatementHeading"/>
        <w:rPr>
          <w:rFonts w:cs="Arial"/>
          <w:szCs w:val="24"/>
        </w:rPr>
      </w:pPr>
      <w:r>
        <w:rPr>
          <w:rFonts w:cs="Arial"/>
          <w:szCs w:val="24"/>
        </w:rPr>
        <w:t>STATEMENT OF CHANGES IN EQUITY</w:t>
      </w:r>
    </w:p>
    <w:p w14:paraId="5DF80D84" w14:textId="4AE24C48" w:rsidR="00520333" w:rsidRPr="00C821EB" w:rsidRDefault="006D688A" w:rsidP="00C821EB">
      <w:pPr>
        <w:pBdr>
          <w:bottom w:val="single" w:sz="8" w:space="1" w:color="auto"/>
        </w:pBdr>
        <w:spacing w:line="240" w:lineRule="auto"/>
        <w:rPr>
          <w:i/>
          <w:iCs/>
        </w:rPr>
      </w:pPr>
      <w:r w:rsidRPr="00C821EB">
        <w:rPr>
          <w:i/>
          <w:iCs/>
        </w:rPr>
        <w:t xml:space="preserve">for the year ended </w:t>
      </w:r>
      <w:r w:rsidRPr="00C821EB">
        <w:rPr>
          <w:i/>
          <w:iCs/>
        </w:rPr>
        <w:fldChar w:fldCharType="begin"/>
      </w:r>
      <w:r w:rsidRPr="00C821EB">
        <w:rPr>
          <w:i/>
          <w:iCs/>
        </w:rPr>
        <w:instrText>DOCPROPERTY  pEnd  \* MERGEFORMAT</w:instrText>
      </w:r>
      <w:r w:rsidRPr="00C821EB">
        <w:rPr>
          <w:i/>
          <w:iCs/>
        </w:rPr>
        <w:fldChar w:fldCharType="separate"/>
      </w:r>
      <w:r w:rsidRPr="00C821EB">
        <w:rPr>
          <w:i/>
          <w:iCs/>
        </w:rPr>
        <w:t>30 June</w:t>
      </w:r>
      <w:r w:rsidRPr="00C821EB">
        <w:rPr>
          <w:i/>
          <w:iCs/>
        </w:rPr>
        <w:fldChar w:fldCharType="end"/>
      </w:r>
      <w:r w:rsidRPr="00C821EB">
        <w:rPr>
          <w:i/>
          <w:iCs/>
        </w:rPr>
        <w:t xml:space="preserve"> </w:t>
      </w:r>
      <w:r w:rsidRPr="00C821EB">
        <w:rPr>
          <w:i/>
          <w:iCs/>
        </w:rPr>
        <w:fldChar w:fldCharType="begin"/>
      </w:r>
      <w:r w:rsidRPr="00C821EB">
        <w:rPr>
          <w:i/>
          <w:iCs/>
        </w:rPr>
        <w:instrText xml:space="preserve"> DOCPROPERTY  crYear  \* MERGEFORMAT </w:instrText>
      </w:r>
      <w:r w:rsidRPr="00C821EB">
        <w:rPr>
          <w:i/>
          <w:iCs/>
        </w:rPr>
        <w:fldChar w:fldCharType="separate"/>
      </w:r>
      <w:r w:rsidRPr="00C821EB">
        <w:rPr>
          <w:i/>
          <w:iCs/>
        </w:rPr>
        <w:t>2024</w:t>
      </w:r>
      <w:r w:rsidRPr="00C821EB">
        <w:rPr>
          <w:i/>
          <w:iCs/>
        </w:rPr>
        <w:fldChar w:fldCharType="end"/>
      </w:r>
    </w:p>
    <w:tbl>
      <w:tblPr>
        <w:tblW w:w="14683" w:type="dxa"/>
        <w:tblLayout w:type="fixed"/>
        <w:tblCellMar>
          <w:left w:w="57" w:type="dxa"/>
          <w:right w:w="57" w:type="dxa"/>
        </w:tblCellMar>
        <w:tblLook w:val="04A0" w:firstRow="1" w:lastRow="0" w:firstColumn="1" w:lastColumn="0" w:noHBand="0" w:noVBand="1"/>
      </w:tblPr>
      <w:tblGrid>
        <w:gridCol w:w="2642"/>
        <w:gridCol w:w="1007"/>
        <w:gridCol w:w="1069"/>
        <w:gridCol w:w="1006"/>
        <w:gridCol w:w="1002"/>
        <w:gridCol w:w="986"/>
        <w:gridCol w:w="988"/>
        <w:gridCol w:w="986"/>
        <w:gridCol w:w="984"/>
        <w:gridCol w:w="984"/>
        <w:gridCol w:w="984"/>
        <w:gridCol w:w="1061"/>
        <w:gridCol w:w="984"/>
      </w:tblGrid>
      <w:tr w:rsidR="00520333" w:rsidRPr="006D688A" w14:paraId="231BB0EC" w14:textId="77777777" w:rsidTr="005E5E0C">
        <w:trPr>
          <w:trHeight w:val="238"/>
        </w:trPr>
        <w:tc>
          <w:tcPr>
            <w:tcW w:w="2642" w:type="dxa"/>
            <w:tcBorders>
              <w:top w:val="single" w:sz="8" w:space="0" w:color="800080"/>
              <w:left w:val="nil"/>
              <w:bottom w:val="nil"/>
              <w:right w:val="nil"/>
            </w:tcBorders>
            <w:shd w:val="clear" w:color="FFFFFF" w:fill="FFFFFF"/>
            <w:noWrap/>
            <w:vAlign w:val="bottom"/>
            <w:hideMark/>
          </w:tcPr>
          <w:p w14:paraId="102B606A" w14:textId="77777777" w:rsidR="00520333" w:rsidRPr="006D688A" w:rsidRDefault="00520333" w:rsidP="005E5E0C">
            <w:pPr>
              <w:spacing w:after="0" w:line="240" w:lineRule="auto"/>
              <w:rPr>
                <w:rFonts w:cs="Arial"/>
                <w:sz w:val="18"/>
                <w:szCs w:val="18"/>
              </w:rPr>
            </w:pPr>
            <w:bookmarkStart w:id="114" w:name="Note_CEQTABLE1" w:colFirst="0" w:colLast="0"/>
            <w:r w:rsidRPr="006D688A">
              <w:rPr>
                <w:rFonts w:cs="Arial"/>
                <w:sz w:val="18"/>
                <w:szCs w:val="18"/>
              </w:rPr>
              <w:t> </w:t>
            </w:r>
          </w:p>
        </w:tc>
        <w:tc>
          <w:tcPr>
            <w:tcW w:w="3082" w:type="dxa"/>
            <w:gridSpan w:val="3"/>
            <w:tcBorders>
              <w:top w:val="single" w:sz="8" w:space="0" w:color="800080"/>
              <w:left w:val="nil"/>
              <w:bottom w:val="nil"/>
              <w:right w:val="nil"/>
            </w:tcBorders>
            <w:shd w:val="clear" w:color="FFFFFF" w:fill="FFFFFF"/>
            <w:vAlign w:val="center"/>
            <w:hideMark/>
          </w:tcPr>
          <w:p w14:paraId="6B1E85B7" w14:textId="77777777" w:rsidR="00520333" w:rsidRPr="006D688A" w:rsidRDefault="00520333" w:rsidP="005E5E0C">
            <w:pPr>
              <w:spacing w:after="0" w:line="240" w:lineRule="auto"/>
              <w:jc w:val="center"/>
              <w:rPr>
                <w:rFonts w:cs="Arial"/>
                <w:b/>
                <w:bCs/>
                <w:sz w:val="18"/>
                <w:szCs w:val="18"/>
              </w:rPr>
            </w:pPr>
            <w:r w:rsidRPr="006D688A">
              <w:rPr>
                <w:rFonts w:cs="Arial"/>
                <w:b/>
                <w:bCs/>
                <w:sz w:val="18"/>
                <w:szCs w:val="18"/>
              </w:rPr>
              <w:t>Retained Surplus</w:t>
            </w:r>
          </w:p>
        </w:tc>
        <w:tc>
          <w:tcPr>
            <w:tcW w:w="2976" w:type="dxa"/>
            <w:gridSpan w:val="3"/>
            <w:tcBorders>
              <w:top w:val="single" w:sz="8" w:space="0" w:color="800080"/>
              <w:left w:val="nil"/>
              <w:bottom w:val="nil"/>
              <w:right w:val="nil"/>
            </w:tcBorders>
            <w:shd w:val="clear" w:color="FFFFFF" w:fill="FFFFFF"/>
            <w:vAlign w:val="center"/>
            <w:hideMark/>
          </w:tcPr>
          <w:p w14:paraId="0CFCBB10" w14:textId="77777777" w:rsidR="00520333" w:rsidRPr="006D688A" w:rsidRDefault="00520333" w:rsidP="005E5E0C">
            <w:pPr>
              <w:spacing w:after="0" w:line="240" w:lineRule="auto"/>
              <w:jc w:val="center"/>
              <w:rPr>
                <w:rFonts w:cs="Arial"/>
                <w:b/>
                <w:bCs/>
                <w:sz w:val="18"/>
                <w:szCs w:val="18"/>
              </w:rPr>
            </w:pPr>
            <w:r w:rsidRPr="006D688A">
              <w:rPr>
                <w:rFonts w:cs="Arial"/>
                <w:b/>
                <w:bCs/>
                <w:sz w:val="18"/>
                <w:szCs w:val="18"/>
              </w:rPr>
              <w:t>Asset Revaluation Reserve</w:t>
            </w:r>
          </w:p>
        </w:tc>
        <w:tc>
          <w:tcPr>
            <w:tcW w:w="2954" w:type="dxa"/>
            <w:gridSpan w:val="3"/>
            <w:tcBorders>
              <w:top w:val="single" w:sz="8" w:space="0" w:color="800080"/>
              <w:left w:val="nil"/>
              <w:bottom w:val="nil"/>
              <w:right w:val="nil"/>
            </w:tcBorders>
            <w:shd w:val="clear" w:color="FFFFFF" w:fill="FFFFFF"/>
            <w:vAlign w:val="center"/>
            <w:hideMark/>
          </w:tcPr>
          <w:p w14:paraId="56A118C5" w14:textId="77777777" w:rsidR="00520333" w:rsidRPr="006D688A" w:rsidRDefault="00520333" w:rsidP="005E5E0C">
            <w:pPr>
              <w:spacing w:after="0" w:line="240" w:lineRule="auto"/>
              <w:jc w:val="center"/>
              <w:rPr>
                <w:rFonts w:cs="Arial"/>
                <w:b/>
                <w:bCs/>
                <w:sz w:val="18"/>
                <w:szCs w:val="18"/>
              </w:rPr>
            </w:pPr>
            <w:r w:rsidRPr="006D688A">
              <w:rPr>
                <w:rFonts w:cs="Arial"/>
                <w:b/>
                <w:bCs/>
                <w:sz w:val="18"/>
                <w:szCs w:val="18"/>
              </w:rPr>
              <w:t>Contributed Equity</w:t>
            </w:r>
          </w:p>
        </w:tc>
        <w:tc>
          <w:tcPr>
            <w:tcW w:w="3029" w:type="dxa"/>
            <w:gridSpan w:val="3"/>
            <w:tcBorders>
              <w:top w:val="single" w:sz="8" w:space="0" w:color="800080"/>
              <w:left w:val="nil"/>
              <w:bottom w:val="nil"/>
              <w:right w:val="nil"/>
            </w:tcBorders>
            <w:shd w:val="clear" w:color="FFFFFF" w:fill="FFFFFF"/>
            <w:vAlign w:val="center"/>
            <w:hideMark/>
          </w:tcPr>
          <w:p w14:paraId="7D403419" w14:textId="77777777" w:rsidR="00520333" w:rsidRPr="006D688A" w:rsidRDefault="00520333" w:rsidP="005E5E0C">
            <w:pPr>
              <w:spacing w:after="0" w:line="240" w:lineRule="auto"/>
              <w:jc w:val="center"/>
              <w:rPr>
                <w:rFonts w:cs="Arial"/>
                <w:b/>
                <w:bCs/>
                <w:sz w:val="18"/>
                <w:szCs w:val="18"/>
              </w:rPr>
            </w:pPr>
            <w:r w:rsidRPr="006D688A">
              <w:rPr>
                <w:rFonts w:cs="Arial"/>
                <w:b/>
                <w:bCs/>
                <w:sz w:val="18"/>
                <w:szCs w:val="18"/>
              </w:rPr>
              <w:t>Total Equity</w:t>
            </w:r>
          </w:p>
        </w:tc>
      </w:tr>
      <w:bookmarkEnd w:id="114"/>
      <w:tr w:rsidR="00520333" w:rsidRPr="006D688A" w14:paraId="7D421A14" w14:textId="77777777" w:rsidTr="005E5E0C">
        <w:trPr>
          <w:trHeight w:val="238"/>
        </w:trPr>
        <w:tc>
          <w:tcPr>
            <w:tcW w:w="2642" w:type="dxa"/>
            <w:tcBorders>
              <w:top w:val="nil"/>
              <w:left w:val="nil"/>
              <w:bottom w:val="nil"/>
              <w:right w:val="nil"/>
            </w:tcBorders>
            <w:shd w:val="clear" w:color="FFFFFF" w:fill="FFFFFF"/>
            <w:noWrap/>
            <w:vAlign w:val="bottom"/>
            <w:hideMark/>
          </w:tcPr>
          <w:p w14:paraId="785F21BA" w14:textId="77777777" w:rsidR="00520333" w:rsidRPr="006D688A" w:rsidRDefault="00520333" w:rsidP="005E5E0C">
            <w:pPr>
              <w:spacing w:after="0" w:line="240" w:lineRule="auto"/>
              <w:rPr>
                <w:rFonts w:cs="Arial"/>
                <w:sz w:val="18"/>
                <w:szCs w:val="18"/>
              </w:rPr>
            </w:pPr>
            <w:r w:rsidRPr="006D688A">
              <w:rPr>
                <w:rFonts w:cs="Arial"/>
                <w:sz w:val="18"/>
                <w:szCs w:val="18"/>
              </w:rPr>
              <w:t> </w:t>
            </w:r>
          </w:p>
        </w:tc>
        <w:tc>
          <w:tcPr>
            <w:tcW w:w="1007" w:type="dxa"/>
            <w:tcBorders>
              <w:top w:val="nil"/>
              <w:left w:val="nil"/>
              <w:bottom w:val="nil"/>
              <w:right w:val="nil"/>
            </w:tcBorders>
            <w:shd w:val="clear" w:color="FFFFFF" w:fill="FFFFFF"/>
            <w:vAlign w:val="center"/>
            <w:hideMark/>
          </w:tcPr>
          <w:p w14:paraId="749DCE29" w14:textId="77777777" w:rsidR="00520333" w:rsidRPr="006D688A" w:rsidRDefault="00520333" w:rsidP="005E5E0C">
            <w:pPr>
              <w:spacing w:after="0" w:line="240" w:lineRule="auto"/>
              <w:rPr>
                <w:rFonts w:cs="Arial"/>
                <w:b/>
                <w:bCs/>
                <w:sz w:val="18"/>
                <w:szCs w:val="18"/>
              </w:rPr>
            </w:pPr>
            <w:r w:rsidRPr="006D688A">
              <w:rPr>
                <w:rFonts w:cs="Arial"/>
                <w:b/>
                <w:bCs/>
                <w:sz w:val="18"/>
                <w:szCs w:val="18"/>
              </w:rPr>
              <w:t> </w:t>
            </w:r>
          </w:p>
        </w:tc>
        <w:tc>
          <w:tcPr>
            <w:tcW w:w="1069" w:type="dxa"/>
            <w:tcBorders>
              <w:top w:val="nil"/>
              <w:left w:val="nil"/>
              <w:bottom w:val="nil"/>
              <w:right w:val="nil"/>
            </w:tcBorders>
            <w:shd w:val="clear" w:color="FFFFFF" w:fill="FFFFFF"/>
            <w:vAlign w:val="center"/>
            <w:hideMark/>
          </w:tcPr>
          <w:p w14:paraId="64FAE2D1" w14:textId="77777777" w:rsidR="00520333" w:rsidRPr="006D688A" w:rsidRDefault="00520333" w:rsidP="005E5E0C">
            <w:pPr>
              <w:spacing w:after="0" w:line="240" w:lineRule="auto"/>
              <w:rPr>
                <w:rFonts w:cs="Arial"/>
                <w:b/>
                <w:bCs/>
                <w:sz w:val="18"/>
                <w:szCs w:val="18"/>
              </w:rPr>
            </w:pPr>
            <w:r w:rsidRPr="006D688A">
              <w:rPr>
                <w:rFonts w:cs="Arial"/>
                <w:b/>
                <w:bCs/>
                <w:sz w:val="18"/>
                <w:szCs w:val="18"/>
              </w:rPr>
              <w:t> </w:t>
            </w:r>
          </w:p>
        </w:tc>
        <w:tc>
          <w:tcPr>
            <w:tcW w:w="1006" w:type="dxa"/>
            <w:tcBorders>
              <w:top w:val="nil"/>
              <w:left w:val="nil"/>
              <w:bottom w:val="nil"/>
              <w:right w:val="nil"/>
            </w:tcBorders>
            <w:shd w:val="clear" w:color="FFFFFF" w:fill="FFFFFF"/>
            <w:vAlign w:val="bottom"/>
            <w:hideMark/>
          </w:tcPr>
          <w:p w14:paraId="07DC69BC" w14:textId="77777777" w:rsidR="00520333" w:rsidRPr="006D688A" w:rsidRDefault="00520333" w:rsidP="005E5E0C">
            <w:pPr>
              <w:spacing w:after="0" w:line="240" w:lineRule="auto"/>
              <w:jc w:val="right"/>
              <w:rPr>
                <w:rFonts w:cs="Arial"/>
                <w:color w:val="6B2976"/>
                <w:sz w:val="18"/>
                <w:szCs w:val="18"/>
              </w:rPr>
            </w:pPr>
            <w:r w:rsidRPr="006D688A">
              <w:rPr>
                <w:rFonts w:cs="Arial"/>
                <w:color w:val="6B2976"/>
                <w:sz w:val="18"/>
                <w:szCs w:val="18"/>
              </w:rPr>
              <w:t>Original</w:t>
            </w:r>
            <w:r w:rsidRPr="006D688A">
              <w:rPr>
                <w:rFonts w:cs="Arial"/>
                <w:color w:val="6B2976"/>
                <w:sz w:val="18"/>
                <w:szCs w:val="18"/>
              </w:rPr>
              <w:br/>
              <w:t>Budget</w:t>
            </w:r>
            <w:r w:rsidRPr="006D688A">
              <w:rPr>
                <w:rFonts w:cs="Arial"/>
                <w:color w:val="6B2976"/>
                <w:sz w:val="18"/>
                <w:szCs w:val="18"/>
                <w:vertAlign w:val="superscript"/>
              </w:rPr>
              <w:t>1</w:t>
            </w:r>
          </w:p>
        </w:tc>
        <w:tc>
          <w:tcPr>
            <w:tcW w:w="1002" w:type="dxa"/>
            <w:tcBorders>
              <w:top w:val="nil"/>
              <w:left w:val="nil"/>
              <w:bottom w:val="nil"/>
              <w:right w:val="nil"/>
            </w:tcBorders>
            <w:shd w:val="clear" w:color="FFFFFF" w:fill="FFFFFF"/>
            <w:vAlign w:val="center"/>
            <w:hideMark/>
          </w:tcPr>
          <w:p w14:paraId="2DD103CD" w14:textId="77777777" w:rsidR="00520333" w:rsidRPr="006D688A" w:rsidRDefault="00520333" w:rsidP="005E5E0C">
            <w:pPr>
              <w:spacing w:after="0" w:line="240" w:lineRule="auto"/>
              <w:rPr>
                <w:rFonts w:cs="Arial"/>
                <w:b/>
                <w:bCs/>
                <w:sz w:val="18"/>
                <w:szCs w:val="18"/>
              </w:rPr>
            </w:pPr>
            <w:r w:rsidRPr="006D688A">
              <w:rPr>
                <w:rFonts w:cs="Arial"/>
                <w:b/>
                <w:bCs/>
                <w:sz w:val="18"/>
                <w:szCs w:val="18"/>
              </w:rPr>
              <w:t> </w:t>
            </w:r>
          </w:p>
        </w:tc>
        <w:tc>
          <w:tcPr>
            <w:tcW w:w="986" w:type="dxa"/>
            <w:tcBorders>
              <w:top w:val="nil"/>
              <w:left w:val="nil"/>
              <w:bottom w:val="nil"/>
              <w:right w:val="nil"/>
            </w:tcBorders>
            <w:shd w:val="clear" w:color="FFFFFF" w:fill="FFFFFF"/>
            <w:vAlign w:val="center"/>
            <w:hideMark/>
          </w:tcPr>
          <w:p w14:paraId="468B9348" w14:textId="77777777" w:rsidR="00520333" w:rsidRPr="006D688A" w:rsidRDefault="00520333" w:rsidP="005E5E0C">
            <w:pPr>
              <w:spacing w:after="0" w:line="240" w:lineRule="auto"/>
              <w:rPr>
                <w:rFonts w:cs="Arial"/>
                <w:b/>
                <w:bCs/>
                <w:sz w:val="18"/>
                <w:szCs w:val="18"/>
              </w:rPr>
            </w:pPr>
            <w:r w:rsidRPr="006D688A">
              <w:rPr>
                <w:rFonts w:cs="Arial"/>
                <w:b/>
                <w:bCs/>
                <w:sz w:val="18"/>
                <w:szCs w:val="18"/>
              </w:rPr>
              <w:t> </w:t>
            </w:r>
          </w:p>
        </w:tc>
        <w:tc>
          <w:tcPr>
            <w:tcW w:w="988" w:type="dxa"/>
            <w:tcBorders>
              <w:top w:val="nil"/>
              <w:left w:val="nil"/>
              <w:bottom w:val="nil"/>
              <w:right w:val="nil"/>
            </w:tcBorders>
            <w:shd w:val="clear" w:color="FFFFFF" w:fill="FFFFFF"/>
            <w:vAlign w:val="bottom"/>
            <w:hideMark/>
          </w:tcPr>
          <w:p w14:paraId="739E19C1" w14:textId="77777777" w:rsidR="00520333" w:rsidRPr="006D688A" w:rsidRDefault="00520333" w:rsidP="005E5E0C">
            <w:pPr>
              <w:spacing w:after="0" w:line="240" w:lineRule="auto"/>
              <w:jc w:val="right"/>
              <w:rPr>
                <w:rFonts w:cs="Arial"/>
                <w:color w:val="6B2976"/>
                <w:sz w:val="18"/>
                <w:szCs w:val="18"/>
              </w:rPr>
            </w:pPr>
            <w:r w:rsidRPr="006D688A">
              <w:rPr>
                <w:rFonts w:cs="Arial"/>
                <w:color w:val="6B2976"/>
                <w:sz w:val="18"/>
                <w:szCs w:val="18"/>
              </w:rPr>
              <w:t>Original</w:t>
            </w:r>
            <w:r w:rsidRPr="006D688A">
              <w:rPr>
                <w:rFonts w:cs="Arial"/>
                <w:color w:val="6B2976"/>
                <w:sz w:val="18"/>
                <w:szCs w:val="18"/>
              </w:rPr>
              <w:br/>
              <w:t>Budget</w:t>
            </w:r>
            <w:r w:rsidRPr="006D688A">
              <w:rPr>
                <w:rFonts w:cs="Arial"/>
                <w:color w:val="6B2976"/>
                <w:sz w:val="18"/>
                <w:szCs w:val="18"/>
                <w:vertAlign w:val="superscript"/>
              </w:rPr>
              <w:t>1</w:t>
            </w:r>
          </w:p>
        </w:tc>
        <w:tc>
          <w:tcPr>
            <w:tcW w:w="986" w:type="dxa"/>
            <w:tcBorders>
              <w:top w:val="nil"/>
              <w:left w:val="nil"/>
              <w:bottom w:val="nil"/>
              <w:right w:val="nil"/>
            </w:tcBorders>
            <w:shd w:val="clear" w:color="FFFFFF" w:fill="FFFFFF"/>
            <w:vAlign w:val="center"/>
            <w:hideMark/>
          </w:tcPr>
          <w:p w14:paraId="134EF0D6" w14:textId="77777777" w:rsidR="00520333" w:rsidRPr="006D688A" w:rsidRDefault="00520333" w:rsidP="005E5E0C">
            <w:pPr>
              <w:spacing w:after="0" w:line="240" w:lineRule="auto"/>
              <w:rPr>
                <w:rFonts w:cs="Arial"/>
                <w:b/>
                <w:bCs/>
                <w:sz w:val="18"/>
                <w:szCs w:val="18"/>
              </w:rPr>
            </w:pPr>
            <w:r w:rsidRPr="006D688A">
              <w:rPr>
                <w:rFonts w:cs="Arial"/>
                <w:b/>
                <w:bCs/>
                <w:sz w:val="18"/>
                <w:szCs w:val="18"/>
              </w:rPr>
              <w:t> </w:t>
            </w:r>
          </w:p>
        </w:tc>
        <w:tc>
          <w:tcPr>
            <w:tcW w:w="984" w:type="dxa"/>
            <w:tcBorders>
              <w:top w:val="nil"/>
              <w:left w:val="nil"/>
              <w:bottom w:val="nil"/>
              <w:right w:val="nil"/>
            </w:tcBorders>
            <w:shd w:val="clear" w:color="FFFFFF" w:fill="FFFFFF"/>
            <w:vAlign w:val="center"/>
            <w:hideMark/>
          </w:tcPr>
          <w:p w14:paraId="5679EEA0" w14:textId="77777777" w:rsidR="00520333" w:rsidRPr="006D688A" w:rsidRDefault="00520333" w:rsidP="005E5E0C">
            <w:pPr>
              <w:spacing w:after="0" w:line="240" w:lineRule="auto"/>
              <w:rPr>
                <w:rFonts w:cs="Arial"/>
                <w:b/>
                <w:bCs/>
                <w:sz w:val="18"/>
                <w:szCs w:val="18"/>
              </w:rPr>
            </w:pPr>
            <w:r w:rsidRPr="006D688A">
              <w:rPr>
                <w:rFonts w:cs="Arial"/>
                <w:b/>
                <w:bCs/>
                <w:sz w:val="18"/>
                <w:szCs w:val="18"/>
              </w:rPr>
              <w:t> </w:t>
            </w:r>
          </w:p>
        </w:tc>
        <w:tc>
          <w:tcPr>
            <w:tcW w:w="984" w:type="dxa"/>
            <w:tcBorders>
              <w:top w:val="nil"/>
              <w:left w:val="nil"/>
              <w:bottom w:val="nil"/>
              <w:right w:val="nil"/>
            </w:tcBorders>
            <w:shd w:val="clear" w:color="FFFFFF" w:fill="FFFFFF"/>
            <w:vAlign w:val="bottom"/>
            <w:hideMark/>
          </w:tcPr>
          <w:p w14:paraId="1EC44266" w14:textId="77777777" w:rsidR="00520333" w:rsidRPr="006D688A" w:rsidRDefault="00520333" w:rsidP="005E5E0C">
            <w:pPr>
              <w:spacing w:after="0" w:line="240" w:lineRule="auto"/>
              <w:jc w:val="right"/>
              <w:rPr>
                <w:rFonts w:cs="Arial"/>
                <w:color w:val="6B2976"/>
                <w:sz w:val="18"/>
                <w:szCs w:val="18"/>
              </w:rPr>
            </w:pPr>
            <w:r w:rsidRPr="006D688A">
              <w:rPr>
                <w:rFonts w:cs="Arial"/>
                <w:color w:val="6B2976"/>
                <w:sz w:val="18"/>
                <w:szCs w:val="18"/>
              </w:rPr>
              <w:t>Original</w:t>
            </w:r>
            <w:r w:rsidRPr="006D688A">
              <w:rPr>
                <w:rFonts w:cs="Arial"/>
                <w:color w:val="6B2976"/>
                <w:sz w:val="18"/>
                <w:szCs w:val="18"/>
              </w:rPr>
              <w:br/>
              <w:t>Budget</w:t>
            </w:r>
            <w:r w:rsidRPr="006D688A">
              <w:rPr>
                <w:rFonts w:cs="Arial"/>
                <w:color w:val="6B2976"/>
                <w:sz w:val="18"/>
                <w:szCs w:val="18"/>
                <w:vertAlign w:val="superscript"/>
              </w:rPr>
              <w:t>1</w:t>
            </w:r>
          </w:p>
        </w:tc>
        <w:tc>
          <w:tcPr>
            <w:tcW w:w="984" w:type="dxa"/>
            <w:tcBorders>
              <w:top w:val="nil"/>
              <w:left w:val="nil"/>
              <w:bottom w:val="nil"/>
              <w:right w:val="nil"/>
            </w:tcBorders>
            <w:shd w:val="clear" w:color="FFFFFF" w:fill="FFFFFF"/>
            <w:vAlign w:val="center"/>
            <w:hideMark/>
          </w:tcPr>
          <w:p w14:paraId="6A340776" w14:textId="77777777" w:rsidR="00520333" w:rsidRPr="006D688A" w:rsidRDefault="00520333" w:rsidP="005E5E0C">
            <w:pPr>
              <w:spacing w:after="0" w:line="240" w:lineRule="auto"/>
              <w:rPr>
                <w:rFonts w:cs="Arial"/>
                <w:b/>
                <w:bCs/>
                <w:sz w:val="18"/>
                <w:szCs w:val="18"/>
              </w:rPr>
            </w:pPr>
            <w:r w:rsidRPr="006D688A">
              <w:rPr>
                <w:rFonts w:cs="Arial"/>
                <w:b/>
                <w:bCs/>
                <w:sz w:val="18"/>
                <w:szCs w:val="18"/>
              </w:rPr>
              <w:t> </w:t>
            </w:r>
          </w:p>
        </w:tc>
        <w:tc>
          <w:tcPr>
            <w:tcW w:w="1061" w:type="dxa"/>
            <w:tcBorders>
              <w:top w:val="nil"/>
              <w:left w:val="nil"/>
              <w:bottom w:val="nil"/>
              <w:right w:val="nil"/>
            </w:tcBorders>
            <w:shd w:val="clear" w:color="FFFFFF" w:fill="FFFFFF"/>
            <w:vAlign w:val="center"/>
            <w:hideMark/>
          </w:tcPr>
          <w:p w14:paraId="690F33D9" w14:textId="77777777" w:rsidR="00520333" w:rsidRPr="006D688A" w:rsidRDefault="00520333" w:rsidP="005E5E0C">
            <w:pPr>
              <w:spacing w:after="0" w:line="240" w:lineRule="auto"/>
              <w:rPr>
                <w:rFonts w:cs="Arial"/>
                <w:b/>
                <w:bCs/>
                <w:sz w:val="18"/>
                <w:szCs w:val="18"/>
              </w:rPr>
            </w:pPr>
            <w:r w:rsidRPr="006D688A">
              <w:rPr>
                <w:rFonts w:cs="Arial"/>
                <w:b/>
                <w:bCs/>
                <w:sz w:val="18"/>
                <w:szCs w:val="18"/>
              </w:rPr>
              <w:t> </w:t>
            </w:r>
          </w:p>
        </w:tc>
        <w:tc>
          <w:tcPr>
            <w:tcW w:w="984" w:type="dxa"/>
            <w:tcBorders>
              <w:top w:val="nil"/>
              <w:left w:val="nil"/>
              <w:bottom w:val="nil"/>
              <w:right w:val="nil"/>
            </w:tcBorders>
            <w:shd w:val="clear" w:color="FFFFFF" w:fill="FFFFFF"/>
            <w:vAlign w:val="bottom"/>
            <w:hideMark/>
          </w:tcPr>
          <w:p w14:paraId="074500F3" w14:textId="77777777" w:rsidR="00520333" w:rsidRPr="006D688A" w:rsidRDefault="00520333" w:rsidP="005E5E0C">
            <w:pPr>
              <w:spacing w:after="0" w:line="240" w:lineRule="auto"/>
              <w:jc w:val="right"/>
              <w:rPr>
                <w:rFonts w:cs="Arial"/>
                <w:color w:val="6B2976"/>
                <w:sz w:val="18"/>
                <w:szCs w:val="18"/>
              </w:rPr>
            </w:pPr>
            <w:r w:rsidRPr="006D688A">
              <w:rPr>
                <w:rFonts w:cs="Arial"/>
                <w:color w:val="6B2976"/>
                <w:sz w:val="18"/>
                <w:szCs w:val="18"/>
              </w:rPr>
              <w:t>Original</w:t>
            </w:r>
            <w:r w:rsidRPr="006D688A">
              <w:rPr>
                <w:rFonts w:cs="Arial"/>
                <w:color w:val="6B2976"/>
                <w:sz w:val="18"/>
                <w:szCs w:val="18"/>
              </w:rPr>
              <w:br/>
              <w:t>Budget</w:t>
            </w:r>
            <w:r w:rsidRPr="006D688A">
              <w:rPr>
                <w:rFonts w:cs="Arial"/>
                <w:color w:val="6B2976"/>
                <w:sz w:val="18"/>
                <w:szCs w:val="18"/>
                <w:vertAlign w:val="superscript"/>
              </w:rPr>
              <w:t>1</w:t>
            </w:r>
          </w:p>
        </w:tc>
      </w:tr>
      <w:tr w:rsidR="00520333" w:rsidRPr="006D688A" w14:paraId="07C319DB" w14:textId="77777777" w:rsidTr="005E5E0C">
        <w:trPr>
          <w:trHeight w:val="238"/>
        </w:trPr>
        <w:tc>
          <w:tcPr>
            <w:tcW w:w="2642" w:type="dxa"/>
            <w:tcBorders>
              <w:top w:val="nil"/>
              <w:left w:val="nil"/>
              <w:bottom w:val="nil"/>
              <w:right w:val="nil"/>
            </w:tcBorders>
            <w:shd w:val="clear" w:color="FFFFFF" w:fill="FFFFFF"/>
            <w:noWrap/>
            <w:vAlign w:val="bottom"/>
            <w:hideMark/>
          </w:tcPr>
          <w:p w14:paraId="6BEF6D1F" w14:textId="77777777" w:rsidR="00520333" w:rsidRPr="006D688A" w:rsidRDefault="00520333" w:rsidP="005E5E0C">
            <w:pPr>
              <w:spacing w:after="0" w:line="240" w:lineRule="auto"/>
              <w:rPr>
                <w:rFonts w:cs="Arial"/>
                <w:sz w:val="18"/>
                <w:szCs w:val="18"/>
              </w:rPr>
            </w:pPr>
            <w:r w:rsidRPr="006D688A">
              <w:rPr>
                <w:rFonts w:cs="Arial"/>
                <w:sz w:val="18"/>
                <w:szCs w:val="18"/>
              </w:rPr>
              <w:t> </w:t>
            </w:r>
          </w:p>
        </w:tc>
        <w:tc>
          <w:tcPr>
            <w:tcW w:w="1007" w:type="dxa"/>
            <w:tcBorders>
              <w:top w:val="nil"/>
              <w:left w:val="nil"/>
              <w:bottom w:val="nil"/>
              <w:right w:val="nil"/>
            </w:tcBorders>
            <w:shd w:val="clear" w:color="FFFFFF" w:fill="FFFFFF"/>
            <w:vAlign w:val="bottom"/>
            <w:hideMark/>
          </w:tcPr>
          <w:p w14:paraId="5B3A21D7"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2024</w:t>
            </w:r>
          </w:p>
        </w:tc>
        <w:tc>
          <w:tcPr>
            <w:tcW w:w="1069" w:type="dxa"/>
            <w:tcBorders>
              <w:top w:val="nil"/>
              <w:left w:val="nil"/>
              <w:bottom w:val="nil"/>
              <w:right w:val="nil"/>
            </w:tcBorders>
            <w:shd w:val="clear" w:color="FFFFFF" w:fill="FFFFFF"/>
            <w:vAlign w:val="bottom"/>
            <w:hideMark/>
          </w:tcPr>
          <w:p w14:paraId="60311E61" w14:textId="77777777" w:rsidR="00520333" w:rsidRPr="006D688A" w:rsidRDefault="00520333" w:rsidP="005E5E0C">
            <w:pPr>
              <w:spacing w:after="0" w:line="240" w:lineRule="auto"/>
              <w:jc w:val="right"/>
              <w:rPr>
                <w:rFonts w:cs="Arial"/>
                <w:sz w:val="18"/>
                <w:szCs w:val="18"/>
              </w:rPr>
            </w:pPr>
            <w:r w:rsidRPr="006D688A">
              <w:rPr>
                <w:rFonts w:cs="Arial"/>
                <w:sz w:val="18"/>
                <w:szCs w:val="18"/>
              </w:rPr>
              <w:t>2023</w:t>
            </w:r>
          </w:p>
        </w:tc>
        <w:tc>
          <w:tcPr>
            <w:tcW w:w="1006" w:type="dxa"/>
            <w:tcBorders>
              <w:top w:val="nil"/>
              <w:left w:val="nil"/>
              <w:bottom w:val="nil"/>
              <w:right w:val="nil"/>
            </w:tcBorders>
            <w:shd w:val="clear" w:color="FFFFFF" w:fill="FFFFFF"/>
            <w:vAlign w:val="bottom"/>
            <w:hideMark/>
          </w:tcPr>
          <w:p w14:paraId="576750F2" w14:textId="77777777" w:rsidR="00520333" w:rsidRPr="006D688A" w:rsidRDefault="00520333" w:rsidP="005E5E0C">
            <w:pPr>
              <w:spacing w:after="0" w:line="240" w:lineRule="auto"/>
              <w:jc w:val="right"/>
              <w:rPr>
                <w:rFonts w:cs="Arial"/>
                <w:color w:val="6B2976"/>
                <w:sz w:val="18"/>
                <w:szCs w:val="18"/>
              </w:rPr>
            </w:pPr>
            <w:r w:rsidRPr="006D688A">
              <w:rPr>
                <w:rFonts w:cs="Arial"/>
                <w:color w:val="6B2976"/>
                <w:sz w:val="18"/>
                <w:szCs w:val="18"/>
              </w:rPr>
              <w:t>2024</w:t>
            </w:r>
          </w:p>
        </w:tc>
        <w:tc>
          <w:tcPr>
            <w:tcW w:w="1002" w:type="dxa"/>
            <w:tcBorders>
              <w:top w:val="nil"/>
              <w:left w:val="nil"/>
              <w:bottom w:val="nil"/>
              <w:right w:val="nil"/>
            </w:tcBorders>
            <w:shd w:val="clear" w:color="FFFFFF" w:fill="FFFFFF"/>
            <w:vAlign w:val="bottom"/>
            <w:hideMark/>
          </w:tcPr>
          <w:p w14:paraId="3199285C"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2024</w:t>
            </w:r>
          </w:p>
        </w:tc>
        <w:tc>
          <w:tcPr>
            <w:tcW w:w="986" w:type="dxa"/>
            <w:tcBorders>
              <w:top w:val="nil"/>
              <w:left w:val="nil"/>
              <w:bottom w:val="nil"/>
              <w:right w:val="nil"/>
            </w:tcBorders>
            <w:shd w:val="clear" w:color="FFFFFF" w:fill="FFFFFF"/>
            <w:vAlign w:val="bottom"/>
            <w:hideMark/>
          </w:tcPr>
          <w:p w14:paraId="5BAE2018" w14:textId="77777777" w:rsidR="00520333" w:rsidRPr="006D688A" w:rsidRDefault="00520333" w:rsidP="005E5E0C">
            <w:pPr>
              <w:spacing w:after="0" w:line="240" w:lineRule="auto"/>
              <w:jc w:val="right"/>
              <w:rPr>
                <w:rFonts w:cs="Arial"/>
                <w:sz w:val="18"/>
                <w:szCs w:val="18"/>
              </w:rPr>
            </w:pPr>
            <w:r w:rsidRPr="006D688A">
              <w:rPr>
                <w:rFonts w:cs="Arial"/>
                <w:sz w:val="18"/>
                <w:szCs w:val="18"/>
              </w:rPr>
              <w:t>2023</w:t>
            </w:r>
          </w:p>
        </w:tc>
        <w:tc>
          <w:tcPr>
            <w:tcW w:w="988" w:type="dxa"/>
            <w:tcBorders>
              <w:top w:val="nil"/>
              <w:left w:val="nil"/>
              <w:bottom w:val="nil"/>
              <w:right w:val="nil"/>
            </w:tcBorders>
            <w:shd w:val="clear" w:color="FFFFFF" w:fill="FFFFFF"/>
            <w:vAlign w:val="bottom"/>
            <w:hideMark/>
          </w:tcPr>
          <w:p w14:paraId="42122E48" w14:textId="77777777" w:rsidR="00520333" w:rsidRPr="006D688A" w:rsidRDefault="00520333" w:rsidP="005E5E0C">
            <w:pPr>
              <w:spacing w:after="0" w:line="240" w:lineRule="auto"/>
              <w:jc w:val="right"/>
              <w:rPr>
                <w:rFonts w:cs="Arial"/>
                <w:color w:val="6B2976"/>
                <w:sz w:val="18"/>
                <w:szCs w:val="18"/>
              </w:rPr>
            </w:pPr>
            <w:r w:rsidRPr="006D688A">
              <w:rPr>
                <w:rFonts w:cs="Arial"/>
                <w:color w:val="6B2976"/>
                <w:sz w:val="18"/>
                <w:szCs w:val="18"/>
              </w:rPr>
              <w:t>2024</w:t>
            </w:r>
          </w:p>
        </w:tc>
        <w:tc>
          <w:tcPr>
            <w:tcW w:w="986" w:type="dxa"/>
            <w:tcBorders>
              <w:top w:val="nil"/>
              <w:left w:val="nil"/>
              <w:bottom w:val="nil"/>
              <w:right w:val="nil"/>
            </w:tcBorders>
            <w:shd w:val="clear" w:color="FFFFFF" w:fill="FFFFFF"/>
            <w:vAlign w:val="bottom"/>
            <w:hideMark/>
          </w:tcPr>
          <w:p w14:paraId="4E8659C5"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2024</w:t>
            </w:r>
          </w:p>
        </w:tc>
        <w:tc>
          <w:tcPr>
            <w:tcW w:w="984" w:type="dxa"/>
            <w:tcBorders>
              <w:top w:val="nil"/>
              <w:left w:val="nil"/>
              <w:bottom w:val="nil"/>
              <w:right w:val="nil"/>
            </w:tcBorders>
            <w:shd w:val="clear" w:color="FFFFFF" w:fill="FFFFFF"/>
            <w:vAlign w:val="bottom"/>
            <w:hideMark/>
          </w:tcPr>
          <w:p w14:paraId="132EBDB3" w14:textId="77777777" w:rsidR="00520333" w:rsidRPr="006D688A" w:rsidRDefault="00520333" w:rsidP="005E5E0C">
            <w:pPr>
              <w:spacing w:after="0" w:line="240" w:lineRule="auto"/>
              <w:jc w:val="right"/>
              <w:rPr>
                <w:rFonts w:cs="Arial"/>
                <w:sz w:val="18"/>
                <w:szCs w:val="18"/>
              </w:rPr>
            </w:pPr>
            <w:r w:rsidRPr="006D688A">
              <w:rPr>
                <w:rFonts w:cs="Arial"/>
                <w:sz w:val="18"/>
                <w:szCs w:val="18"/>
              </w:rPr>
              <w:t>2023</w:t>
            </w:r>
          </w:p>
        </w:tc>
        <w:tc>
          <w:tcPr>
            <w:tcW w:w="984" w:type="dxa"/>
            <w:tcBorders>
              <w:top w:val="nil"/>
              <w:left w:val="nil"/>
              <w:bottom w:val="nil"/>
              <w:right w:val="nil"/>
            </w:tcBorders>
            <w:shd w:val="clear" w:color="FFFFFF" w:fill="FFFFFF"/>
            <w:vAlign w:val="bottom"/>
            <w:hideMark/>
          </w:tcPr>
          <w:p w14:paraId="03303B6C" w14:textId="77777777" w:rsidR="00520333" w:rsidRPr="006D688A" w:rsidRDefault="00520333" w:rsidP="005E5E0C">
            <w:pPr>
              <w:spacing w:after="0" w:line="240" w:lineRule="auto"/>
              <w:jc w:val="right"/>
              <w:rPr>
                <w:rFonts w:cs="Arial"/>
                <w:color w:val="6B2976"/>
                <w:sz w:val="18"/>
                <w:szCs w:val="18"/>
              </w:rPr>
            </w:pPr>
            <w:r w:rsidRPr="006D688A">
              <w:rPr>
                <w:rFonts w:cs="Arial"/>
                <w:color w:val="6B2976"/>
                <w:sz w:val="18"/>
                <w:szCs w:val="18"/>
              </w:rPr>
              <w:t>2024</w:t>
            </w:r>
          </w:p>
        </w:tc>
        <w:tc>
          <w:tcPr>
            <w:tcW w:w="984" w:type="dxa"/>
            <w:tcBorders>
              <w:top w:val="nil"/>
              <w:left w:val="nil"/>
              <w:bottom w:val="nil"/>
              <w:right w:val="nil"/>
            </w:tcBorders>
            <w:shd w:val="clear" w:color="FFFFFF" w:fill="FFFFFF"/>
            <w:vAlign w:val="bottom"/>
            <w:hideMark/>
          </w:tcPr>
          <w:p w14:paraId="6C6444F8"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2024</w:t>
            </w:r>
          </w:p>
        </w:tc>
        <w:tc>
          <w:tcPr>
            <w:tcW w:w="1061" w:type="dxa"/>
            <w:tcBorders>
              <w:top w:val="nil"/>
              <w:left w:val="nil"/>
              <w:bottom w:val="nil"/>
              <w:right w:val="nil"/>
            </w:tcBorders>
            <w:shd w:val="clear" w:color="FFFFFF" w:fill="FFFFFF"/>
            <w:vAlign w:val="bottom"/>
            <w:hideMark/>
          </w:tcPr>
          <w:p w14:paraId="5DB6DAC6" w14:textId="77777777" w:rsidR="00520333" w:rsidRPr="006D688A" w:rsidRDefault="00520333" w:rsidP="005E5E0C">
            <w:pPr>
              <w:spacing w:after="0" w:line="240" w:lineRule="auto"/>
              <w:jc w:val="right"/>
              <w:rPr>
                <w:rFonts w:cs="Arial"/>
                <w:sz w:val="18"/>
                <w:szCs w:val="18"/>
              </w:rPr>
            </w:pPr>
            <w:r w:rsidRPr="006D688A">
              <w:rPr>
                <w:rFonts w:cs="Arial"/>
                <w:sz w:val="18"/>
                <w:szCs w:val="18"/>
              </w:rPr>
              <w:t>2023</w:t>
            </w:r>
          </w:p>
        </w:tc>
        <w:tc>
          <w:tcPr>
            <w:tcW w:w="984" w:type="dxa"/>
            <w:tcBorders>
              <w:top w:val="nil"/>
              <w:left w:val="nil"/>
              <w:bottom w:val="nil"/>
              <w:right w:val="nil"/>
            </w:tcBorders>
            <w:shd w:val="clear" w:color="FFFFFF" w:fill="FFFFFF"/>
            <w:vAlign w:val="bottom"/>
            <w:hideMark/>
          </w:tcPr>
          <w:p w14:paraId="4AF3D870" w14:textId="77777777" w:rsidR="00520333" w:rsidRPr="006D688A" w:rsidRDefault="00520333" w:rsidP="005E5E0C">
            <w:pPr>
              <w:spacing w:after="0" w:line="240" w:lineRule="auto"/>
              <w:jc w:val="right"/>
              <w:rPr>
                <w:rFonts w:cs="Arial"/>
                <w:color w:val="6B2976"/>
                <w:sz w:val="18"/>
                <w:szCs w:val="18"/>
              </w:rPr>
            </w:pPr>
            <w:r w:rsidRPr="006D688A">
              <w:rPr>
                <w:rFonts w:cs="Arial"/>
                <w:color w:val="6B2976"/>
                <w:sz w:val="18"/>
                <w:szCs w:val="18"/>
              </w:rPr>
              <w:t>2024</w:t>
            </w:r>
          </w:p>
        </w:tc>
      </w:tr>
      <w:tr w:rsidR="00520333" w:rsidRPr="006D688A" w14:paraId="0EF874B3" w14:textId="77777777" w:rsidTr="005E5E0C">
        <w:trPr>
          <w:trHeight w:val="238"/>
        </w:trPr>
        <w:tc>
          <w:tcPr>
            <w:tcW w:w="2642" w:type="dxa"/>
            <w:tcBorders>
              <w:top w:val="nil"/>
              <w:left w:val="nil"/>
              <w:bottom w:val="single" w:sz="8" w:space="0" w:color="800080"/>
              <w:right w:val="nil"/>
            </w:tcBorders>
            <w:shd w:val="clear" w:color="FFFFFF" w:fill="FFFFFF"/>
            <w:noWrap/>
            <w:vAlign w:val="bottom"/>
            <w:hideMark/>
          </w:tcPr>
          <w:p w14:paraId="62C39FE0" w14:textId="77777777" w:rsidR="00520333" w:rsidRPr="006D688A" w:rsidRDefault="00520333" w:rsidP="005E5E0C">
            <w:pPr>
              <w:spacing w:after="0" w:line="240" w:lineRule="auto"/>
              <w:rPr>
                <w:rFonts w:cs="Arial"/>
                <w:sz w:val="18"/>
                <w:szCs w:val="18"/>
              </w:rPr>
            </w:pPr>
            <w:r w:rsidRPr="006D688A">
              <w:rPr>
                <w:rFonts w:cs="Arial"/>
                <w:sz w:val="18"/>
                <w:szCs w:val="18"/>
              </w:rPr>
              <w:t> </w:t>
            </w:r>
          </w:p>
        </w:tc>
        <w:tc>
          <w:tcPr>
            <w:tcW w:w="1007" w:type="dxa"/>
            <w:tcBorders>
              <w:top w:val="nil"/>
              <w:left w:val="nil"/>
              <w:bottom w:val="single" w:sz="8" w:space="0" w:color="800080"/>
              <w:right w:val="nil"/>
            </w:tcBorders>
            <w:shd w:val="clear" w:color="FFFFFF" w:fill="FFFFFF"/>
            <w:vAlign w:val="bottom"/>
            <w:hideMark/>
          </w:tcPr>
          <w:p w14:paraId="05D952DC"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$'000</w:t>
            </w:r>
          </w:p>
        </w:tc>
        <w:tc>
          <w:tcPr>
            <w:tcW w:w="1069" w:type="dxa"/>
            <w:tcBorders>
              <w:top w:val="nil"/>
              <w:left w:val="nil"/>
              <w:bottom w:val="single" w:sz="8" w:space="0" w:color="800080"/>
              <w:right w:val="nil"/>
            </w:tcBorders>
            <w:shd w:val="clear" w:color="FFFFFF" w:fill="FFFFFF"/>
            <w:vAlign w:val="bottom"/>
            <w:hideMark/>
          </w:tcPr>
          <w:p w14:paraId="7D4C6669" w14:textId="77777777" w:rsidR="00520333" w:rsidRPr="006D688A" w:rsidRDefault="00520333" w:rsidP="005E5E0C">
            <w:pPr>
              <w:spacing w:after="0" w:line="240" w:lineRule="auto"/>
              <w:jc w:val="right"/>
              <w:rPr>
                <w:rFonts w:cs="Arial"/>
                <w:sz w:val="18"/>
                <w:szCs w:val="18"/>
              </w:rPr>
            </w:pPr>
            <w:r w:rsidRPr="006D688A">
              <w:rPr>
                <w:rFonts w:cs="Arial"/>
                <w:sz w:val="18"/>
                <w:szCs w:val="18"/>
              </w:rPr>
              <w:t>$'000</w:t>
            </w:r>
          </w:p>
        </w:tc>
        <w:tc>
          <w:tcPr>
            <w:tcW w:w="1006" w:type="dxa"/>
            <w:tcBorders>
              <w:top w:val="nil"/>
              <w:left w:val="nil"/>
              <w:bottom w:val="single" w:sz="8" w:space="0" w:color="800080"/>
              <w:right w:val="nil"/>
            </w:tcBorders>
            <w:shd w:val="clear" w:color="FFFFFF" w:fill="FFFFFF"/>
            <w:vAlign w:val="bottom"/>
            <w:hideMark/>
          </w:tcPr>
          <w:p w14:paraId="7701B597" w14:textId="77777777" w:rsidR="00520333" w:rsidRPr="006D688A" w:rsidRDefault="00520333" w:rsidP="005E5E0C">
            <w:pPr>
              <w:spacing w:after="0" w:line="240" w:lineRule="auto"/>
              <w:jc w:val="right"/>
              <w:rPr>
                <w:rFonts w:cs="Arial"/>
                <w:color w:val="6B2976"/>
                <w:sz w:val="18"/>
                <w:szCs w:val="18"/>
              </w:rPr>
            </w:pPr>
            <w:r w:rsidRPr="006D688A">
              <w:rPr>
                <w:rFonts w:cs="Arial"/>
                <w:color w:val="6B2976"/>
                <w:sz w:val="18"/>
                <w:szCs w:val="18"/>
              </w:rPr>
              <w:t>$'000</w:t>
            </w:r>
          </w:p>
        </w:tc>
        <w:tc>
          <w:tcPr>
            <w:tcW w:w="1002" w:type="dxa"/>
            <w:tcBorders>
              <w:top w:val="nil"/>
              <w:left w:val="nil"/>
              <w:bottom w:val="single" w:sz="8" w:space="0" w:color="800080"/>
              <w:right w:val="nil"/>
            </w:tcBorders>
            <w:shd w:val="clear" w:color="FFFFFF" w:fill="FFFFFF"/>
            <w:vAlign w:val="bottom"/>
            <w:hideMark/>
          </w:tcPr>
          <w:p w14:paraId="17A04DFB"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$'000</w:t>
            </w:r>
          </w:p>
        </w:tc>
        <w:tc>
          <w:tcPr>
            <w:tcW w:w="986" w:type="dxa"/>
            <w:tcBorders>
              <w:top w:val="nil"/>
              <w:left w:val="nil"/>
              <w:bottom w:val="single" w:sz="8" w:space="0" w:color="800080"/>
              <w:right w:val="nil"/>
            </w:tcBorders>
            <w:shd w:val="clear" w:color="FFFFFF" w:fill="FFFFFF"/>
            <w:vAlign w:val="bottom"/>
            <w:hideMark/>
          </w:tcPr>
          <w:p w14:paraId="7BDC4DDA" w14:textId="77777777" w:rsidR="00520333" w:rsidRPr="006D688A" w:rsidRDefault="00520333" w:rsidP="005E5E0C">
            <w:pPr>
              <w:spacing w:after="0" w:line="240" w:lineRule="auto"/>
              <w:jc w:val="right"/>
              <w:rPr>
                <w:rFonts w:cs="Arial"/>
                <w:sz w:val="18"/>
                <w:szCs w:val="18"/>
              </w:rPr>
            </w:pPr>
            <w:r w:rsidRPr="006D688A">
              <w:rPr>
                <w:rFonts w:cs="Arial"/>
                <w:sz w:val="18"/>
                <w:szCs w:val="18"/>
              </w:rPr>
              <w:t>$'000</w:t>
            </w:r>
          </w:p>
        </w:tc>
        <w:tc>
          <w:tcPr>
            <w:tcW w:w="988" w:type="dxa"/>
            <w:tcBorders>
              <w:top w:val="nil"/>
              <w:left w:val="nil"/>
              <w:bottom w:val="single" w:sz="8" w:space="0" w:color="800080"/>
              <w:right w:val="nil"/>
            </w:tcBorders>
            <w:shd w:val="clear" w:color="FFFFFF" w:fill="FFFFFF"/>
            <w:vAlign w:val="bottom"/>
            <w:hideMark/>
          </w:tcPr>
          <w:p w14:paraId="4DA3A2D3" w14:textId="77777777" w:rsidR="00520333" w:rsidRPr="006D688A" w:rsidRDefault="00520333" w:rsidP="005E5E0C">
            <w:pPr>
              <w:spacing w:after="0" w:line="240" w:lineRule="auto"/>
              <w:jc w:val="right"/>
              <w:rPr>
                <w:rFonts w:cs="Arial"/>
                <w:color w:val="6B2976"/>
                <w:sz w:val="18"/>
                <w:szCs w:val="18"/>
              </w:rPr>
            </w:pPr>
            <w:r w:rsidRPr="006D688A">
              <w:rPr>
                <w:rFonts w:cs="Arial"/>
                <w:color w:val="6B2976"/>
                <w:sz w:val="18"/>
                <w:szCs w:val="18"/>
              </w:rPr>
              <w:t>$'000</w:t>
            </w:r>
          </w:p>
        </w:tc>
        <w:tc>
          <w:tcPr>
            <w:tcW w:w="986" w:type="dxa"/>
            <w:tcBorders>
              <w:top w:val="nil"/>
              <w:left w:val="nil"/>
              <w:bottom w:val="single" w:sz="8" w:space="0" w:color="800080"/>
              <w:right w:val="nil"/>
            </w:tcBorders>
            <w:shd w:val="clear" w:color="FFFFFF" w:fill="FFFFFF"/>
            <w:vAlign w:val="bottom"/>
            <w:hideMark/>
          </w:tcPr>
          <w:p w14:paraId="19AA5198"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$'000</w:t>
            </w:r>
          </w:p>
        </w:tc>
        <w:tc>
          <w:tcPr>
            <w:tcW w:w="984" w:type="dxa"/>
            <w:tcBorders>
              <w:top w:val="nil"/>
              <w:left w:val="nil"/>
              <w:bottom w:val="single" w:sz="8" w:space="0" w:color="800080"/>
              <w:right w:val="nil"/>
            </w:tcBorders>
            <w:shd w:val="clear" w:color="FFFFFF" w:fill="FFFFFF"/>
            <w:vAlign w:val="bottom"/>
            <w:hideMark/>
          </w:tcPr>
          <w:p w14:paraId="3608FF00" w14:textId="77777777" w:rsidR="00520333" w:rsidRPr="006D688A" w:rsidRDefault="00520333" w:rsidP="005E5E0C">
            <w:pPr>
              <w:spacing w:after="0" w:line="240" w:lineRule="auto"/>
              <w:jc w:val="right"/>
              <w:rPr>
                <w:rFonts w:cs="Arial"/>
                <w:sz w:val="18"/>
                <w:szCs w:val="18"/>
              </w:rPr>
            </w:pPr>
            <w:r w:rsidRPr="006D688A">
              <w:rPr>
                <w:rFonts w:cs="Arial"/>
                <w:sz w:val="18"/>
                <w:szCs w:val="18"/>
              </w:rPr>
              <w:t>$'000</w:t>
            </w:r>
          </w:p>
        </w:tc>
        <w:tc>
          <w:tcPr>
            <w:tcW w:w="984" w:type="dxa"/>
            <w:tcBorders>
              <w:top w:val="nil"/>
              <w:left w:val="nil"/>
              <w:bottom w:val="single" w:sz="8" w:space="0" w:color="800080"/>
              <w:right w:val="nil"/>
            </w:tcBorders>
            <w:shd w:val="clear" w:color="FFFFFF" w:fill="FFFFFF"/>
            <w:vAlign w:val="bottom"/>
            <w:hideMark/>
          </w:tcPr>
          <w:p w14:paraId="122B611E" w14:textId="77777777" w:rsidR="00520333" w:rsidRPr="006D688A" w:rsidRDefault="00520333" w:rsidP="005E5E0C">
            <w:pPr>
              <w:spacing w:after="0" w:line="240" w:lineRule="auto"/>
              <w:jc w:val="right"/>
              <w:rPr>
                <w:rFonts w:cs="Arial"/>
                <w:color w:val="6B2976"/>
                <w:sz w:val="18"/>
                <w:szCs w:val="18"/>
              </w:rPr>
            </w:pPr>
            <w:r w:rsidRPr="006D688A">
              <w:rPr>
                <w:rFonts w:cs="Arial"/>
                <w:color w:val="6B2976"/>
                <w:sz w:val="18"/>
                <w:szCs w:val="18"/>
              </w:rPr>
              <w:t>$'000</w:t>
            </w:r>
          </w:p>
        </w:tc>
        <w:tc>
          <w:tcPr>
            <w:tcW w:w="984" w:type="dxa"/>
            <w:tcBorders>
              <w:top w:val="nil"/>
              <w:left w:val="nil"/>
              <w:bottom w:val="single" w:sz="8" w:space="0" w:color="800080"/>
              <w:right w:val="nil"/>
            </w:tcBorders>
            <w:shd w:val="clear" w:color="FFFFFF" w:fill="FFFFFF"/>
            <w:vAlign w:val="bottom"/>
            <w:hideMark/>
          </w:tcPr>
          <w:p w14:paraId="253985A1"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$'000</w:t>
            </w:r>
          </w:p>
        </w:tc>
        <w:tc>
          <w:tcPr>
            <w:tcW w:w="1061" w:type="dxa"/>
            <w:tcBorders>
              <w:top w:val="nil"/>
              <w:left w:val="nil"/>
              <w:bottom w:val="single" w:sz="8" w:space="0" w:color="800080"/>
              <w:right w:val="nil"/>
            </w:tcBorders>
            <w:shd w:val="clear" w:color="FFFFFF" w:fill="FFFFFF"/>
            <w:vAlign w:val="bottom"/>
            <w:hideMark/>
          </w:tcPr>
          <w:p w14:paraId="2AC84124" w14:textId="77777777" w:rsidR="00520333" w:rsidRPr="006D688A" w:rsidRDefault="00520333" w:rsidP="005E5E0C">
            <w:pPr>
              <w:spacing w:after="0" w:line="240" w:lineRule="auto"/>
              <w:jc w:val="right"/>
              <w:rPr>
                <w:rFonts w:cs="Arial"/>
                <w:sz w:val="18"/>
                <w:szCs w:val="18"/>
              </w:rPr>
            </w:pPr>
            <w:r w:rsidRPr="006D688A">
              <w:rPr>
                <w:rFonts w:cs="Arial"/>
                <w:sz w:val="18"/>
                <w:szCs w:val="18"/>
              </w:rPr>
              <w:t>$'000</w:t>
            </w:r>
          </w:p>
        </w:tc>
        <w:tc>
          <w:tcPr>
            <w:tcW w:w="984" w:type="dxa"/>
            <w:tcBorders>
              <w:top w:val="nil"/>
              <w:left w:val="nil"/>
              <w:bottom w:val="single" w:sz="8" w:space="0" w:color="800080"/>
              <w:right w:val="nil"/>
            </w:tcBorders>
            <w:shd w:val="clear" w:color="FFFFFF" w:fill="FFFFFF"/>
            <w:vAlign w:val="bottom"/>
            <w:hideMark/>
          </w:tcPr>
          <w:p w14:paraId="5F77B8C6" w14:textId="77777777" w:rsidR="00520333" w:rsidRPr="006D688A" w:rsidRDefault="00520333" w:rsidP="005E5E0C">
            <w:pPr>
              <w:spacing w:after="0" w:line="240" w:lineRule="auto"/>
              <w:jc w:val="right"/>
              <w:rPr>
                <w:rFonts w:cs="Arial"/>
                <w:color w:val="6B2976"/>
                <w:sz w:val="18"/>
                <w:szCs w:val="18"/>
              </w:rPr>
            </w:pPr>
            <w:r w:rsidRPr="006D688A">
              <w:rPr>
                <w:rFonts w:cs="Arial"/>
                <w:color w:val="6B2976"/>
                <w:sz w:val="18"/>
                <w:szCs w:val="18"/>
              </w:rPr>
              <w:t>$'000</w:t>
            </w:r>
          </w:p>
        </w:tc>
      </w:tr>
      <w:tr w:rsidR="00520333" w:rsidRPr="006D688A" w14:paraId="56716C41" w14:textId="77777777" w:rsidTr="005E5E0C">
        <w:trPr>
          <w:trHeight w:val="238"/>
        </w:trPr>
        <w:tc>
          <w:tcPr>
            <w:tcW w:w="2642" w:type="dxa"/>
            <w:tcBorders>
              <w:top w:val="nil"/>
              <w:left w:val="nil"/>
              <w:bottom w:val="nil"/>
              <w:right w:val="nil"/>
            </w:tcBorders>
            <w:shd w:val="clear" w:color="FFFFFF" w:fill="FFFFFF"/>
            <w:hideMark/>
          </w:tcPr>
          <w:p w14:paraId="6CA1B8AA" w14:textId="77777777" w:rsidR="00520333" w:rsidRPr="006D688A" w:rsidRDefault="00520333" w:rsidP="005E5E0C">
            <w:pPr>
              <w:spacing w:after="0" w:line="240" w:lineRule="auto"/>
              <w:rPr>
                <w:rFonts w:cs="Arial"/>
                <w:b/>
                <w:bCs/>
                <w:sz w:val="18"/>
                <w:szCs w:val="18"/>
              </w:rPr>
            </w:pPr>
            <w:r w:rsidRPr="006D688A">
              <w:rPr>
                <w:rFonts w:cs="Arial"/>
                <w:b/>
                <w:bCs/>
                <w:sz w:val="18"/>
                <w:szCs w:val="18"/>
              </w:rPr>
              <w:t>Opening balance</w:t>
            </w:r>
          </w:p>
        </w:tc>
        <w:tc>
          <w:tcPr>
            <w:tcW w:w="1007" w:type="dxa"/>
            <w:tcBorders>
              <w:top w:val="nil"/>
              <w:left w:val="nil"/>
              <w:bottom w:val="nil"/>
              <w:right w:val="nil"/>
            </w:tcBorders>
            <w:shd w:val="clear" w:color="FFFFFF" w:fill="FFFFFF"/>
            <w:noWrap/>
            <w:hideMark/>
          </w:tcPr>
          <w:p w14:paraId="13363018"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1,032,160</w:t>
            </w:r>
          </w:p>
        </w:tc>
        <w:tc>
          <w:tcPr>
            <w:tcW w:w="1069" w:type="dxa"/>
            <w:tcBorders>
              <w:top w:val="nil"/>
              <w:left w:val="nil"/>
              <w:bottom w:val="nil"/>
              <w:right w:val="nil"/>
            </w:tcBorders>
            <w:shd w:val="clear" w:color="FFFFFF" w:fill="FFFFFF"/>
            <w:noWrap/>
            <w:hideMark/>
          </w:tcPr>
          <w:p w14:paraId="20DFD692" w14:textId="77777777" w:rsidR="00520333" w:rsidRPr="006D688A" w:rsidRDefault="00520333" w:rsidP="005E5E0C">
            <w:pPr>
              <w:spacing w:after="0" w:line="240" w:lineRule="auto"/>
              <w:jc w:val="right"/>
              <w:rPr>
                <w:rFonts w:cs="Arial"/>
                <w:sz w:val="18"/>
                <w:szCs w:val="18"/>
              </w:rPr>
            </w:pPr>
            <w:r w:rsidRPr="006D688A">
              <w:rPr>
                <w:rFonts w:cs="Arial"/>
                <w:sz w:val="18"/>
                <w:szCs w:val="18"/>
              </w:rPr>
              <w:t>1,017,277</w:t>
            </w:r>
          </w:p>
        </w:tc>
        <w:tc>
          <w:tcPr>
            <w:tcW w:w="1006" w:type="dxa"/>
            <w:tcBorders>
              <w:top w:val="nil"/>
              <w:left w:val="nil"/>
              <w:bottom w:val="nil"/>
              <w:right w:val="nil"/>
            </w:tcBorders>
            <w:shd w:val="clear" w:color="FFFFFF" w:fill="FFFFFF"/>
            <w:noWrap/>
            <w:hideMark/>
          </w:tcPr>
          <w:p w14:paraId="46376E50" w14:textId="77777777" w:rsidR="00520333" w:rsidRPr="006D688A" w:rsidRDefault="00520333" w:rsidP="005E5E0C">
            <w:pPr>
              <w:spacing w:after="0" w:line="240" w:lineRule="auto"/>
              <w:jc w:val="right"/>
              <w:rPr>
                <w:rFonts w:cs="Arial"/>
                <w:sz w:val="18"/>
                <w:szCs w:val="18"/>
              </w:rPr>
            </w:pPr>
            <w:r w:rsidRPr="006D688A">
              <w:rPr>
                <w:rFonts w:cs="Arial"/>
                <w:sz w:val="18"/>
                <w:szCs w:val="18"/>
              </w:rPr>
              <w:t>1,023,395</w:t>
            </w:r>
          </w:p>
        </w:tc>
        <w:tc>
          <w:tcPr>
            <w:tcW w:w="1002" w:type="dxa"/>
            <w:tcBorders>
              <w:top w:val="nil"/>
              <w:left w:val="nil"/>
              <w:bottom w:val="nil"/>
              <w:right w:val="nil"/>
            </w:tcBorders>
            <w:shd w:val="clear" w:color="FFFFFF" w:fill="FFFFFF"/>
            <w:noWrap/>
            <w:hideMark/>
          </w:tcPr>
          <w:p w14:paraId="578FD3A5"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38,364</w:t>
            </w:r>
          </w:p>
        </w:tc>
        <w:tc>
          <w:tcPr>
            <w:tcW w:w="986" w:type="dxa"/>
            <w:tcBorders>
              <w:top w:val="nil"/>
              <w:left w:val="nil"/>
              <w:bottom w:val="nil"/>
              <w:right w:val="nil"/>
            </w:tcBorders>
            <w:shd w:val="clear" w:color="FFFFFF" w:fill="FFFFFF"/>
            <w:noWrap/>
            <w:hideMark/>
          </w:tcPr>
          <w:p w14:paraId="43B73FF3" w14:textId="77777777" w:rsidR="00520333" w:rsidRPr="006D688A" w:rsidRDefault="00520333" w:rsidP="005E5E0C">
            <w:pPr>
              <w:spacing w:after="0" w:line="240" w:lineRule="auto"/>
              <w:jc w:val="right"/>
              <w:rPr>
                <w:rFonts w:cs="Arial"/>
                <w:sz w:val="18"/>
                <w:szCs w:val="18"/>
              </w:rPr>
            </w:pPr>
            <w:r w:rsidRPr="006D688A">
              <w:rPr>
                <w:rFonts w:cs="Arial"/>
                <w:sz w:val="18"/>
                <w:szCs w:val="18"/>
              </w:rPr>
              <w:t>21,079</w:t>
            </w:r>
          </w:p>
        </w:tc>
        <w:tc>
          <w:tcPr>
            <w:tcW w:w="988" w:type="dxa"/>
            <w:tcBorders>
              <w:top w:val="nil"/>
              <w:left w:val="nil"/>
              <w:bottom w:val="nil"/>
              <w:right w:val="nil"/>
            </w:tcBorders>
            <w:shd w:val="clear" w:color="FFFFFF" w:fill="FFFFFF"/>
            <w:noWrap/>
            <w:hideMark/>
          </w:tcPr>
          <w:p w14:paraId="681D3367" w14:textId="77777777" w:rsidR="00520333" w:rsidRPr="006D688A" w:rsidRDefault="00520333" w:rsidP="005E5E0C">
            <w:pPr>
              <w:spacing w:after="0" w:line="240" w:lineRule="auto"/>
              <w:jc w:val="right"/>
              <w:rPr>
                <w:rFonts w:cs="Arial"/>
                <w:sz w:val="18"/>
                <w:szCs w:val="18"/>
              </w:rPr>
            </w:pPr>
            <w:r w:rsidRPr="006D688A">
              <w:rPr>
                <w:rFonts w:cs="Arial"/>
                <w:sz w:val="18"/>
                <w:szCs w:val="18"/>
              </w:rPr>
              <w:t>21,079</w:t>
            </w:r>
          </w:p>
        </w:tc>
        <w:tc>
          <w:tcPr>
            <w:tcW w:w="986" w:type="dxa"/>
            <w:tcBorders>
              <w:top w:val="nil"/>
              <w:left w:val="nil"/>
              <w:bottom w:val="nil"/>
              <w:right w:val="nil"/>
            </w:tcBorders>
            <w:shd w:val="clear" w:color="FFFFFF" w:fill="FFFFFF"/>
            <w:noWrap/>
            <w:hideMark/>
          </w:tcPr>
          <w:p w14:paraId="4349E65C"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205,733</w:t>
            </w:r>
          </w:p>
        </w:tc>
        <w:tc>
          <w:tcPr>
            <w:tcW w:w="984" w:type="dxa"/>
            <w:tcBorders>
              <w:top w:val="nil"/>
              <w:left w:val="nil"/>
              <w:bottom w:val="nil"/>
              <w:right w:val="nil"/>
            </w:tcBorders>
            <w:shd w:val="clear" w:color="FFFFFF" w:fill="FFFFFF"/>
            <w:noWrap/>
            <w:hideMark/>
          </w:tcPr>
          <w:p w14:paraId="05173F80" w14:textId="77777777" w:rsidR="00520333" w:rsidRPr="006D688A" w:rsidRDefault="00520333" w:rsidP="005E5E0C">
            <w:pPr>
              <w:spacing w:after="0" w:line="240" w:lineRule="auto"/>
              <w:jc w:val="right"/>
              <w:rPr>
                <w:rFonts w:cs="Arial"/>
                <w:sz w:val="18"/>
                <w:szCs w:val="18"/>
              </w:rPr>
            </w:pPr>
            <w:r w:rsidRPr="006D688A">
              <w:rPr>
                <w:rFonts w:cs="Arial"/>
                <w:sz w:val="18"/>
                <w:szCs w:val="18"/>
              </w:rPr>
              <w:t>205,733</w:t>
            </w:r>
          </w:p>
        </w:tc>
        <w:tc>
          <w:tcPr>
            <w:tcW w:w="984" w:type="dxa"/>
            <w:tcBorders>
              <w:top w:val="nil"/>
              <w:left w:val="nil"/>
              <w:bottom w:val="nil"/>
              <w:right w:val="nil"/>
            </w:tcBorders>
            <w:shd w:val="clear" w:color="FFFFFF" w:fill="FFFFFF"/>
            <w:noWrap/>
            <w:hideMark/>
          </w:tcPr>
          <w:p w14:paraId="67EBD070" w14:textId="77777777" w:rsidR="00520333" w:rsidRPr="006D688A" w:rsidRDefault="00520333" w:rsidP="005E5E0C">
            <w:pPr>
              <w:spacing w:after="0" w:line="240" w:lineRule="auto"/>
              <w:jc w:val="right"/>
              <w:rPr>
                <w:rFonts w:cs="Arial"/>
                <w:sz w:val="18"/>
                <w:szCs w:val="18"/>
              </w:rPr>
            </w:pPr>
            <w:r w:rsidRPr="006D688A">
              <w:rPr>
                <w:rFonts w:cs="Arial"/>
                <w:sz w:val="18"/>
                <w:szCs w:val="18"/>
              </w:rPr>
              <w:t>205,733</w:t>
            </w:r>
          </w:p>
        </w:tc>
        <w:tc>
          <w:tcPr>
            <w:tcW w:w="984" w:type="dxa"/>
            <w:tcBorders>
              <w:top w:val="nil"/>
              <w:left w:val="nil"/>
              <w:bottom w:val="nil"/>
              <w:right w:val="nil"/>
            </w:tcBorders>
            <w:shd w:val="clear" w:color="FFFFFF" w:fill="FFFFFF"/>
            <w:noWrap/>
            <w:hideMark/>
          </w:tcPr>
          <w:p w14:paraId="5CA848B4"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1,276,257</w:t>
            </w:r>
          </w:p>
        </w:tc>
        <w:tc>
          <w:tcPr>
            <w:tcW w:w="1061" w:type="dxa"/>
            <w:tcBorders>
              <w:top w:val="nil"/>
              <w:left w:val="nil"/>
              <w:bottom w:val="nil"/>
              <w:right w:val="nil"/>
            </w:tcBorders>
            <w:shd w:val="clear" w:color="FFFFFF" w:fill="FFFFFF"/>
            <w:noWrap/>
            <w:hideMark/>
          </w:tcPr>
          <w:p w14:paraId="3EFA106F" w14:textId="77777777" w:rsidR="00520333" w:rsidRPr="006D688A" w:rsidRDefault="00520333" w:rsidP="005E5E0C">
            <w:pPr>
              <w:spacing w:after="0" w:line="240" w:lineRule="auto"/>
              <w:jc w:val="right"/>
              <w:rPr>
                <w:rFonts w:cs="Arial"/>
                <w:sz w:val="18"/>
                <w:szCs w:val="18"/>
              </w:rPr>
            </w:pPr>
            <w:r w:rsidRPr="006D688A">
              <w:rPr>
                <w:rFonts w:cs="Arial"/>
                <w:sz w:val="18"/>
                <w:szCs w:val="18"/>
              </w:rPr>
              <w:t>1,244,089</w:t>
            </w:r>
          </w:p>
        </w:tc>
        <w:tc>
          <w:tcPr>
            <w:tcW w:w="984" w:type="dxa"/>
            <w:tcBorders>
              <w:top w:val="nil"/>
              <w:left w:val="nil"/>
              <w:bottom w:val="nil"/>
              <w:right w:val="nil"/>
            </w:tcBorders>
            <w:shd w:val="clear" w:color="FFFFFF" w:fill="FFFFFF"/>
            <w:noWrap/>
            <w:hideMark/>
          </w:tcPr>
          <w:p w14:paraId="1A555382" w14:textId="77777777" w:rsidR="00520333" w:rsidRPr="006D688A" w:rsidRDefault="00520333" w:rsidP="005E5E0C">
            <w:pPr>
              <w:spacing w:after="0" w:line="240" w:lineRule="auto"/>
              <w:jc w:val="right"/>
              <w:rPr>
                <w:rFonts w:cs="Arial"/>
                <w:sz w:val="18"/>
                <w:szCs w:val="18"/>
              </w:rPr>
            </w:pPr>
            <w:r w:rsidRPr="006D688A">
              <w:rPr>
                <w:rFonts w:cs="Arial"/>
                <w:sz w:val="18"/>
                <w:szCs w:val="18"/>
              </w:rPr>
              <w:t>1,250,207</w:t>
            </w:r>
          </w:p>
        </w:tc>
      </w:tr>
      <w:tr w:rsidR="00520333" w:rsidRPr="006D688A" w14:paraId="6CAEAB86" w14:textId="77777777" w:rsidTr="005E5E0C">
        <w:trPr>
          <w:trHeight w:val="238"/>
        </w:trPr>
        <w:tc>
          <w:tcPr>
            <w:tcW w:w="2642" w:type="dxa"/>
            <w:tcBorders>
              <w:top w:val="nil"/>
              <w:left w:val="nil"/>
              <w:bottom w:val="nil"/>
              <w:right w:val="nil"/>
            </w:tcBorders>
            <w:shd w:val="clear" w:color="FFFFFF" w:fill="FFFFFF"/>
            <w:hideMark/>
          </w:tcPr>
          <w:p w14:paraId="5852E522" w14:textId="77777777" w:rsidR="00520333" w:rsidRPr="006D688A" w:rsidRDefault="00520333" w:rsidP="005E5E0C">
            <w:pPr>
              <w:spacing w:after="0" w:line="240" w:lineRule="auto"/>
              <w:rPr>
                <w:rFonts w:cs="Arial"/>
                <w:sz w:val="18"/>
                <w:szCs w:val="18"/>
              </w:rPr>
            </w:pPr>
            <w:r w:rsidRPr="006D688A">
              <w:rPr>
                <w:rFonts w:cs="Arial"/>
                <w:sz w:val="18"/>
                <w:szCs w:val="18"/>
              </w:rPr>
              <w:t>Adjustment for rounding</w:t>
            </w:r>
          </w:p>
        </w:tc>
        <w:tc>
          <w:tcPr>
            <w:tcW w:w="1007" w:type="dxa"/>
            <w:tcBorders>
              <w:top w:val="nil"/>
              <w:left w:val="nil"/>
              <w:bottom w:val="nil"/>
              <w:right w:val="nil"/>
            </w:tcBorders>
            <w:shd w:val="clear" w:color="FFFFFF" w:fill="FFFFFF"/>
            <w:noWrap/>
            <w:hideMark/>
          </w:tcPr>
          <w:p w14:paraId="7F2D3C4A"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 xml:space="preserve"> -</w:t>
            </w:r>
          </w:p>
        </w:tc>
        <w:tc>
          <w:tcPr>
            <w:tcW w:w="1069" w:type="dxa"/>
            <w:tcBorders>
              <w:top w:val="nil"/>
              <w:left w:val="nil"/>
              <w:bottom w:val="nil"/>
              <w:right w:val="nil"/>
            </w:tcBorders>
            <w:shd w:val="clear" w:color="FFFFFF" w:fill="FFFFFF"/>
            <w:noWrap/>
            <w:hideMark/>
          </w:tcPr>
          <w:p w14:paraId="056ED527" w14:textId="77777777" w:rsidR="00520333" w:rsidRPr="006D688A" w:rsidRDefault="00520333" w:rsidP="005E5E0C">
            <w:pPr>
              <w:spacing w:after="0" w:line="240" w:lineRule="auto"/>
              <w:jc w:val="right"/>
              <w:rPr>
                <w:rFonts w:cs="Arial"/>
                <w:sz w:val="18"/>
                <w:szCs w:val="18"/>
              </w:rPr>
            </w:pPr>
            <w:r w:rsidRPr="006D688A">
              <w:rPr>
                <w:rFonts w:cs="Arial"/>
                <w:sz w:val="18"/>
                <w:szCs w:val="18"/>
              </w:rPr>
              <w:t>(6)</w:t>
            </w:r>
          </w:p>
        </w:tc>
        <w:tc>
          <w:tcPr>
            <w:tcW w:w="1006" w:type="dxa"/>
            <w:tcBorders>
              <w:top w:val="nil"/>
              <w:left w:val="nil"/>
              <w:bottom w:val="nil"/>
              <w:right w:val="nil"/>
            </w:tcBorders>
            <w:shd w:val="clear" w:color="FFFFFF" w:fill="FFFFFF"/>
            <w:noWrap/>
            <w:hideMark/>
          </w:tcPr>
          <w:p w14:paraId="07F3ECCC" w14:textId="77777777" w:rsidR="00520333" w:rsidRPr="006D688A" w:rsidRDefault="00520333" w:rsidP="005E5E0C">
            <w:pPr>
              <w:spacing w:after="0" w:line="240" w:lineRule="auto"/>
              <w:jc w:val="right"/>
              <w:rPr>
                <w:rFonts w:cs="Arial"/>
                <w:sz w:val="18"/>
                <w:szCs w:val="18"/>
              </w:rPr>
            </w:pPr>
            <w:r w:rsidRPr="006D688A">
              <w:rPr>
                <w:rFonts w:cs="Arial"/>
                <w:sz w:val="18"/>
                <w:szCs w:val="18"/>
              </w:rPr>
              <w:t xml:space="preserve"> -</w:t>
            </w:r>
          </w:p>
        </w:tc>
        <w:tc>
          <w:tcPr>
            <w:tcW w:w="1002" w:type="dxa"/>
            <w:tcBorders>
              <w:top w:val="nil"/>
              <w:left w:val="nil"/>
              <w:bottom w:val="nil"/>
              <w:right w:val="nil"/>
            </w:tcBorders>
            <w:shd w:val="clear" w:color="FFFFFF" w:fill="FFFFFF"/>
            <w:noWrap/>
            <w:hideMark/>
          </w:tcPr>
          <w:p w14:paraId="33D0075B"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 xml:space="preserve"> -</w:t>
            </w:r>
          </w:p>
        </w:tc>
        <w:tc>
          <w:tcPr>
            <w:tcW w:w="986" w:type="dxa"/>
            <w:tcBorders>
              <w:top w:val="nil"/>
              <w:left w:val="nil"/>
              <w:bottom w:val="nil"/>
              <w:right w:val="nil"/>
            </w:tcBorders>
            <w:shd w:val="clear" w:color="FFFFFF" w:fill="FFFFFF"/>
            <w:noWrap/>
            <w:hideMark/>
          </w:tcPr>
          <w:p w14:paraId="4EB6FF35" w14:textId="77777777" w:rsidR="00520333" w:rsidRPr="006D688A" w:rsidRDefault="00520333" w:rsidP="005E5E0C">
            <w:pPr>
              <w:spacing w:after="0" w:line="240" w:lineRule="auto"/>
              <w:jc w:val="right"/>
              <w:rPr>
                <w:rFonts w:cs="Arial"/>
                <w:sz w:val="18"/>
                <w:szCs w:val="18"/>
              </w:rPr>
            </w:pPr>
            <w:r w:rsidRPr="006D688A">
              <w:rPr>
                <w:rFonts w:cs="Arial"/>
                <w:sz w:val="18"/>
                <w:szCs w:val="18"/>
              </w:rPr>
              <w:t xml:space="preserve"> -</w:t>
            </w:r>
          </w:p>
        </w:tc>
        <w:tc>
          <w:tcPr>
            <w:tcW w:w="988" w:type="dxa"/>
            <w:tcBorders>
              <w:top w:val="nil"/>
              <w:left w:val="nil"/>
              <w:bottom w:val="nil"/>
              <w:right w:val="nil"/>
            </w:tcBorders>
            <w:shd w:val="clear" w:color="FFFFFF" w:fill="FFFFFF"/>
            <w:noWrap/>
            <w:hideMark/>
          </w:tcPr>
          <w:p w14:paraId="5D69633A" w14:textId="77777777" w:rsidR="00520333" w:rsidRPr="006D688A" w:rsidRDefault="00520333" w:rsidP="005E5E0C">
            <w:pPr>
              <w:spacing w:after="0" w:line="240" w:lineRule="auto"/>
              <w:jc w:val="right"/>
              <w:rPr>
                <w:rFonts w:cs="Arial"/>
                <w:sz w:val="18"/>
                <w:szCs w:val="18"/>
              </w:rPr>
            </w:pPr>
            <w:r w:rsidRPr="006D688A">
              <w:rPr>
                <w:rFonts w:cs="Arial"/>
                <w:sz w:val="18"/>
                <w:szCs w:val="18"/>
              </w:rPr>
              <w:t xml:space="preserve"> -</w:t>
            </w:r>
          </w:p>
        </w:tc>
        <w:tc>
          <w:tcPr>
            <w:tcW w:w="986" w:type="dxa"/>
            <w:tcBorders>
              <w:top w:val="nil"/>
              <w:left w:val="nil"/>
              <w:bottom w:val="nil"/>
              <w:right w:val="nil"/>
            </w:tcBorders>
            <w:shd w:val="clear" w:color="FFFFFF" w:fill="FFFFFF"/>
            <w:noWrap/>
            <w:hideMark/>
          </w:tcPr>
          <w:p w14:paraId="2F109325"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 xml:space="preserve"> -</w:t>
            </w:r>
          </w:p>
        </w:tc>
        <w:tc>
          <w:tcPr>
            <w:tcW w:w="984" w:type="dxa"/>
            <w:tcBorders>
              <w:top w:val="nil"/>
              <w:left w:val="nil"/>
              <w:bottom w:val="nil"/>
              <w:right w:val="nil"/>
            </w:tcBorders>
            <w:shd w:val="clear" w:color="FFFFFF" w:fill="FFFFFF"/>
            <w:noWrap/>
            <w:hideMark/>
          </w:tcPr>
          <w:p w14:paraId="29E9BB93" w14:textId="77777777" w:rsidR="00520333" w:rsidRPr="006D688A" w:rsidRDefault="00520333" w:rsidP="005E5E0C">
            <w:pPr>
              <w:spacing w:after="0" w:line="240" w:lineRule="auto"/>
              <w:jc w:val="right"/>
              <w:rPr>
                <w:rFonts w:cs="Arial"/>
                <w:sz w:val="18"/>
                <w:szCs w:val="18"/>
              </w:rPr>
            </w:pPr>
            <w:r w:rsidRPr="006D688A">
              <w:rPr>
                <w:rFonts w:cs="Arial"/>
                <w:sz w:val="18"/>
                <w:szCs w:val="18"/>
              </w:rPr>
              <w:t xml:space="preserve"> -</w:t>
            </w:r>
          </w:p>
        </w:tc>
        <w:tc>
          <w:tcPr>
            <w:tcW w:w="984" w:type="dxa"/>
            <w:tcBorders>
              <w:top w:val="nil"/>
              <w:left w:val="nil"/>
              <w:bottom w:val="nil"/>
              <w:right w:val="nil"/>
            </w:tcBorders>
            <w:shd w:val="clear" w:color="FFFFFF" w:fill="FFFFFF"/>
            <w:noWrap/>
            <w:hideMark/>
          </w:tcPr>
          <w:p w14:paraId="06CDB4AC" w14:textId="77777777" w:rsidR="00520333" w:rsidRPr="006D688A" w:rsidRDefault="00520333" w:rsidP="005E5E0C">
            <w:pPr>
              <w:spacing w:after="0" w:line="240" w:lineRule="auto"/>
              <w:jc w:val="right"/>
              <w:rPr>
                <w:rFonts w:cs="Arial"/>
                <w:sz w:val="18"/>
                <w:szCs w:val="18"/>
              </w:rPr>
            </w:pPr>
            <w:r w:rsidRPr="006D688A">
              <w:rPr>
                <w:rFonts w:cs="Arial"/>
                <w:sz w:val="18"/>
                <w:szCs w:val="18"/>
              </w:rPr>
              <w:t xml:space="preserve"> -</w:t>
            </w:r>
          </w:p>
        </w:tc>
        <w:tc>
          <w:tcPr>
            <w:tcW w:w="984" w:type="dxa"/>
            <w:tcBorders>
              <w:top w:val="nil"/>
              <w:left w:val="nil"/>
              <w:bottom w:val="nil"/>
              <w:right w:val="nil"/>
            </w:tcBorders>
            <w:shd w:val="clear" w:color="FFFFFF" w:fill="FFFFFF"/>
            <w:noWrap/>
            <w:hideMark/>
          </w:tcPr>
          <w:p w14:paraId="1C98DBCA"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w:t>
            </w:r>
          </w:p>
        </w:tc>
        <w:tc>
          <w:tcPr>
            <w:tcW w:w="1061" w:type="dxa"/>
            <w:tcBorders>
              <w:top w:val="nil"/>
              <w:left w:val="nil"/>
              <w:bottom w:val="nil"/>
              <w:right w:val="nil"/>
            </w:tcBorders>
            <w:shd w:val="clear" w:color="FFFFFF" w:fill="FFFFFF"/>
            <w:noWrap/>
            <w:hideMark/>
          </w:tcPr>
          <w:p w14:paraId="2F349BCA" w14:textId="77777777" w:rsidR="00520333" w:rsidRPr="006D688A" w:rsidRDefault="00520333" w:rsidP="005E5E0C">
            <w:pPr>
              <w:spacing w:after="0" w:line="240" w:lineRule="auto"/>
              <w:jc w:val="right"/>
              <w:rPr>
                <w:rFonts w:cs="Arial"/>
                <w:sz w:val="18"/>
                <w:szCs w:val="18"/>
              </w:rPr>
            </w:pPr>
            <w:r w:rsidRPr="006D688A">
              <w:rPr>
                <w:rFonts w:cs="Arial"/>
                <w:sz w:val="18"/>
                <w:szCs w:val="18"/>
              </w:rPr>
              <w:t>(6)</w:t>
            </w:r>
          </w:p>
        </w:tc>
        <w:tc>
          <w:tcPr>
            <w:tcW w:w="984" w:type="dxa"/>
            <w:tcBorders>
              <w:top w:val="nil"/>
              <w:left w:val="nil"/>
              <w:bottom w:val="nil"/>
              <w:right w:val="nil"/>
            </w:tcBorders>
            <w:shd w:val="clear" w:color="FFFFFF" w:fill="FFFFFF"/>
            <w:noWrap/>
            <w:hideMark/>
          </w:tcPr>
          <w:p w14:paraId="10497232" w14:textId="77777777" w:rsidR="00520333" w:rsidRPr="006D688A" w:rsidRDefault="00520333" w:rsidP="005E5E0C">
            <w:pPr>
              <w:spacing w:after="0" w:line="240" w:lineRule="auto"/>
              <w:jc w:val="right"/>
              <w:rPr>
                <w:rFonts w:cs="Arial"/>
                <w:sz w:val="18"/>
                <w:szCs w:val="18"/>
              </w:rPr>
            </w:pPr>
            <w:r w:rsidRPr="006D688A">
              <w:rPr>
                <w:rFonts w:cs="Arial"/>
                <w:sz w:val="18"/>
                <w:szCs w:val="18"/>
              </w:rPr>
              <w:t>-</w:t>
            </w:r>
          </w:p>
        </w:tc>
      </w:tr>
      <w:tr w:rsidR="00520333" w:rsidRPr="006D688A" w14:paraId="1E0E1B49" w14:textId="77777777" w:rsidTr="005E5E0C">
        <w:trPr>
          <w:trHeight w:val="238"/>
        </w:trPr>
        <w:tc>
          <w:tcPr>
            <w:tcW w:w="2642" w:type="dxa"/>
            <w:tcBorders>
              <w:top w:val="nil"/>
              <w:left w:val="nil"/>
              <w:bottom w:val="nil"/>
              <w:right w:val="nil"/>
            </w:tcBorders>
            <w:shd w:val="clear" w:color="FFFFFF" w:fill="FFFFFF"/>
            <w:hideMark/>
          </w:tcPr>
          <w:p w14:paraId="03F718D6" w14:textId="77777777" w:rsidR="00520333" w:rsidRPr="006D688A" w:rsidRDefault="00520333" w:rsidP="005E5E0C">
            <w:pPr>
              <w:spacing w:after="0" w:line="240" w:lineRule="auto"/>
              <w:rPr>
                <w:rFonts w:cs="Arial"/>
                <w:b/>
                <w:bCs/>
                <w:sz w:val="18"/>
                <w:szCs w:val="18"/>
              </w:rPr>
            </w:pPr>
            <w:r w:rsidRPr="006D688A">
              <w:rPr>
                <w:rFonts w:cs="Arial"/>
                <w:b/>
                <w:bCs/>
                <w:sz w:val="18"/>
                <w:szCs w:val="18"/>
              </w:rPr>
              <w:t>Adjusted Opening balance</w:t>
            </w:r>
          </w:p>
        </w:tc>
        <w:tc>
          <w:tcPr>
            <w:tcW w:w="1007" w:type="dxa"/>
            <w:tcBorders>
              <w:top w:val="single" w:sz="4" w:space="0" w:color="auto"/>
              <w:left w:val="nil"/>
              <w:bottom w:val="single" w:sz="4" w:space="0" w:color="auto"/>
              <w:right w:val="nil"/>
            </w:tcBorders>
            <w:shd w:val="clear" w:color="FFFFFF" w:fill="FFFFFF"/>
            <w:noWrap/>
            <w:hideMark/>
          </w:tcPr>
          <w:p w14:paraId="3980859C"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1,032,160</w:t>
            </w:r>
          </w:p>
        </w:tc>
        <w:tc>
          <w:tcPr>
            <w:tcW w:w="1069" w:type="dxa"/>
            <w:tcBorders>
              <w:top w:val="single" w:sz="4" w:space="0" w:color="auto"/>
              <w:left w:val="nil"/>
              <w:bottom w:val="single" w:sz="4" w:space="0" w:color="auto"/>
              <w:right w:val="nil"/>
            </w:tcBorders>
            <w:shd w:val="clear" w:color="FFFFFF" w:fill="FFFFFF"/>
            <w:noWrap/>
            <w:hideMark/>
          </w:tcPr>
          <w:p w14:paraId="12929089" w14:textId="77777777" w:rsidR="00520333" w:rsidRPr="006D688A" w:rsidRDefault="00520333" w:rsidP="005E5E0C">
            <w:pPr>
              <w:spacing w:after="0" w:line="240" w:lineRule="auto"/>
              <w:jc w:val="right"/>
              <w:rPr>
                <w:rFonts w:cs="Arial"/>
                <w:sz w:val="18"/>
                <w:szCs w:val="18"/>
              </w:rPr>
            </w:pPr>
            <w:r w:rsidRPr="006D688A">
              <w:rPr>
                <w:rFonts w:cs="Arial"/>
                <w:sz w:val="18"/>
                <w:szCs w:val="18"/>
              </w:rPr>
              <w:t>1,017,271</w:t>
            </w:r>
          </w:p>
        </w:tc>
        <w:tc>
          <w:tcPr>
            <w:tcW w:w="1006" w:type="dxa"/>
            <w:tcBorders>
              <w:top w:val="single" w:sz="4" w:space="0" w:color="auto"/>
              <w:left w:val="nil"/>
              <w:bottom w:val="single" w:sz="4" w:space="0" w:color="auto"/>
              <w:right w:val="nil"/>
            </w:tcBorders>
            <w:shd w:val="clear" w:color="FFFFFF" w:fill="FFFFFF"/>
            <w:noWrap/>
            <w:hideMark/>
          </w:tcPr>
          <w:p w14:paraId="1BBF8999" w14:textId="77777777" w:rsidR="00520333" w:rsidRPr="006D688A" w:rsidRDefault="00520333" w:rsidP="005E5E0C">
            <w:pPr>
              <w:spacing w:after="0" w:line="240" w:lineRule="auto"/>
              <w:jc w:val="right"/>
              <w:rPr>
                <w:rFonts w:cs="Arial"/>
                <w:sz w:val="18"/>
                <w:szCs w:val="18"/>
              </w:rPr>
            </w:pPr>
            <w:r w:rsidRPr="006D688A">
              <w:rPr>
                <w:rFonts w:cs="Arial"/>
                <w:sz w:val="18"/>
                <w:szCs w:val="18"/>
              </w:rPr>
              <w:t>1,023,395</w:t>
            </w:r>
          </w:p>
        </w:tc>
        <w:tc>
          <w:tcPr>
            <w:tcW w:w="1002" w:type="dxa"/>
            <w:tcBorders>
              <w:top w:val="single" w:sz="4" w:space="0" w:color="auto"/>
              <w:left w:val="nil"/>
              <w:bottom w:val="single" w:sz="4" w:space="0" w:color="auto"/>
              <w:right w:val="nil"/>
            </w:tcBorders>
            <w:shd w:val="clear" w:color="FFFFFF" w:fill="FFFFFF"/>
            <w:noWrap/>
            <w:hideMark/>
          </w:tcPr>
          <w:p w14:paraId="1E0E8468"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38,364</w:t>
            </w:r>
          </w:p>
        </w:tc>
        <w:tc>
          <w:tcPr>
            <w:tcW w:w="986" w:type="dxa"/>
            <w:tcBorders>
              <w:top w:val="single" w:sz="4" w:space="0" w:color="auto"/>
              <w:left w:val="nil"/>
              <w:bottom w:val="single" w:sz="4" w:space="0" w:color="auto"/>
              <w:right w:val="nil"/>
            </w:tcBorders>
            <w:shd w:val="clear" w:color="FFFFFF" w:fill="FFFFFF"/>
            <w:noWrap/>
            <w:hideMark/>
          </w:tcPr>
          <w:p w14:paraId="2DFA4ABF" w14:textId="77777777" w:rsidR="00520333" w:rsidRPr="006D688A" w:rsidRDefault="00520333" w:rsidP="005E5E0C">
            <w:pPr>
              <w:spacing w:after="0" w:line="240" w:lineRule="auto"/>
              <w:jc w:val="right"/>
              <w:rPr>
                <w:rFonts w:cs="Arial"/>
                <w:sz w:val="18"/>
                <w:szCs w:val="18"/>
              </w:rPr>
            </w:pPr>
            <w:r w:rsidRPr="006D688A">
              <w:rPr>
                <w:rFonts w:cs="Arial"/>
                <w:sz w:val="18"/>
                <w:szCs w:val="18"/>
              </w:rPr>
              <w:t>21,079</w:t>
            </w:r>
          </w:p>
        </w:tc>
        <w:tc>
          <w:tcPr>
            <w:tcW w:w="988" w:type="dxa"/>
            <w:tcBorders>
              <w:top w:val="single" w:sz="4" w:space="0" w:color="auto"/>
              <w:left w:val="nil"/>
              <w:bottom w:val="single" w:sz="4" w:space="0" w:color="auto"/>
              <w:right w:val="nil"/>
            </w:tcBorders>
            <w:shd w:val="clear" w:color="FFFFFF" w:fill="FFFFFF"/>
            <w:noWrap/>
            <w:hideMark/>
          </w:tcPr>
          <w:p w14:paraId="7612475E" w14:textId="77777777" w:rsidR="00520333" w:rsidRPr="006D688A" w:rsidRDefault="00520333" w:rsidP="005E5E0C">
            <w:pPr>
              <w:spacing w:after="0" w:line="240" w:lineRule="auto"/>
              <w:jc w:val="right"/>
              <w:rPr>
                <w:rFonts w:cs="Arial"/>
                <w:sz w:val="18"/>
                <w:szCs w:val="18"/>
              </w:rPr>
            </w:pPr>
            <w:r w:rsidRPr="006D688A">
              <w:rPr>
                <w:rFonts w:cs="Arial"/>
                <w:sz w:val="18"/>
                <w:szCs w:val="18"/>
              </w:rPr>
              <w:t>21,079</w:t>
            </w:r>
          </w:p>
        </w:tc>
        <w:tc>
          <w:tcPr>
            <w:tcW w:w="986" w:type="dxa"/>
            <w:tcBorders>
              <w:top w:val="single" w:sz="4" w:space="0" w:color="auto"/>
              <w:left w:val="nil"/>
              <w:bottom w:val="single" w:sz="4" w:space="0" w:color="auto"/>
              <w:right w:val="nil"/>
            </w:tcBorders>
            <w:shd w:val="clear" w:color="FFFFFF" w:fill="FFFFFF"/>
            <w:noWrap/>
            <w:hideMark/>
          </w:tcPr>
          <w:p w14:paraId="3648D404"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205,733</w:t>
            </w:r>
          </w:p>
        </w:tc>
        <w:tc>
          <w:tcPr>
            <w:tcW w:w="984" w:type="dxa"/>
            <w:tcBorders>
              <w:top w:val="single" w:sz="4" w:space="0" w:color="auto"/>
              <w:left w:val="nil"/>
              <w:bottom w:val="single" w:sz="4" w:space="0" w:color="auto"/>
              <w:right w:val="nil"/>
            </w:tcBorders>
            <w:shd w:val="clear" w:color="FFFFFF" w:fill="FFFFFF"/>
            <w:noWrap/>
            <w:hideMark/>
          </w:tcPr>
          <w:p w14:paraId="22FA6277" w14:textId="77777777" w:rsidR="00520333" w:rsidRPr="006D688A" w:rsidRDefault="00520333" w:rsidP="005E5E0C">
            <w:pPr>
              <w:spacing w:after="0" w:line="240" w:lineRule="auto"/>
              <w:jc w:val="right"/>
              <w:rPr>
                <w:rFonts w:cs="Arial"/>
                <w:sz w:val="18"/>
                <w:szCs w:val="18"/>
              </w:rPr>
            </w:pPr>
            <w:r w:rsidRPr="006D688A">
              <w:rPr>
                <w:rFonts w:cs="Arial"/>
                <w:sz w:val="18"/>
                <w:szCs w:val="18"/>
              </w:rPr>
              <w:t>205,733</w:t>
            </w:r>
          </w:p>
        </w:tc>
        <w:tc>
          <w:tcPr>
            <w:tcW w:w="984" w:type="dxa"/>
            <w:tcBorders>
              <w:top w:val="single" w:sz="4" w:space="0" w:color="auto"/>
              <w:left w:val="nil"/>
              <w:bottom w:val="single" w:sz="4" w:space="0" w:color="auto"/>
              <w:right w:val="nil"/>
            </w:tcBorders>
            <w:shd w:val="clear" w:color="FFFFFF" w:fill="FFFFFF"/>
            <w:noWrap/>
            <w:hideMark/>
          </w:tcPr>
          <w:p w14:paraId="7AA02DDE" w14:textId="77777777" w:rsidR="00520333" w:rsidRPr="006D688A" w:rsidRDefault="00520333" w:rsidP="005E5E0C">
            <w:pPr>
              <w:spacing w:after="0" w:line="240" w:lineRule="auto"/>
              <w:jc w:val="right"/>
              <w:rPr>
                <w:rFonts w:cs="Arial"/>
                <w:sz w:val="18"/>
                <w:szCs w:val="18"/>
              </w:rPr>
            </w:pPr>
            <w:r w:rsidRPr="006D688A">
              <w:rPr>
                <w:rFonts w:cs="Arial"/>
                <w:sz w:val="18"/>
                <w:szCs w:val="18"/>
              </w:rPr>
              <w:t>205,733</w:t>
            </w:r>
          </w:p>
        </w:tc>
        <w:tc>
          <w:tcPr>
            <w:tcW w:w="984" w:type="dxa"/>
            <w:tcBorders>
              <w:top w:val="single" w:sz="4" w:space="0" w:color="auto"/>
              <w:left w:val="nil"/>
              <w:bottom w:val="single" w:sz="4" w:space="0" w:color="auto"/>
              <w:right w:val="nil"/>
            </w:tcBorders>
            <w:shd w:val="clear" w:color="FFFFFF" w:fill="FFFFFF"/>
            <w:noWrap/>
            <w:hideMark/>
          </w:tcPr>
          <w:p w14:paraId="6E0C9827"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1,276,257</w:t>
            </w:r>
          </w:p>
        </w:tc>
        <w:tc>
          <w:tcPr>
            <w:tcW w:w="1061" w:type="dxa"/>
            <w:tcBorders>
              <w:top w:val="single" w:sz="4" w:space="0" w:color="auto"/>
              <w:left w:val="nil"/>
              <w:bottom w:val="single" w:sz="4" w:space="0" w:color="auto"/>
              <w:right w:val="nil"/>
            </w:tcBorders>
            <w:shd w:val="clear" w:color="FFFFFF" w:fill="FFFFFF"/>
            <w:noWrap/>
            <w:hideMark/>
          </w:tcPr>
          <w:p w14:paraId="74360FC5" w14:textId="77777777" w:rsidR="00520333" w:rsidRPr="006D688A" w:rsidRDefault="00520333" w:rsidP="005E5E0C">
            <w:pPr>
              <w:spacing w:after="0" w:line="240" w:lineRule="auto"/>
              <w:jc w:val="right"/>
              <w:rPr>
                <w:rFonts w:cs="Arial"/>
                <w:sz w:val="18"/>
                <w:szCs w:val="18"/>
              </w:rPr>
            </w:pPr>
            <w:r w:rsidRPr="006D688A">
              <w:rPr>
                <w:rFonts w:cs="Arial"/>
                <w:sz w:val="18"/>
                <w:szCs w:val="18"/>
              </w:rPr>
              <w:t>1,244,083</w:t>
            </w:r>
          </w:p>
        </w:tc>
        <w:tc>
          <w:tcPr>
            <w:tcW w:w="984" w:type="dxa"/>
            <w:tcBorders>
              <w:top w:val="single" w:sz="4" w:space="0" w:color="auto"/>
              <w:left w:val="nil"/>
              <w:bottom w:val="single" w:sz="4" w:space="0" w:color="auto"/>
              <w:right w:val="nil"/>
            </w:tcBorders>
            <w:shd w:val="clear" w:color="FFFFFF" w:fill="FFFFFF"/>
            <w:noWrap/>
            <w:hideMark/>
          </w:tcPr>
          <w:p w14:paraId="5907DF4B" w14:textId="77777777" w:rsidR="00520333" w:rsidRPr="006D688A" w:rsidRDefault="00520333" w:rsidP="005E5E0C">
            <w:pPr>
              <w:spacing w:after="0" w:line="240" w:lineRule="auto"/>
              <w:jc w:val="right"/>
              <w:rPr>
                <w:rFonts w:cs="Arial"/>
                <w:sz w:val="18"/>
                <w:szCs w:val="18"/>
              </w:rPr>
            </w:pPr>
            <w:r w:rsidRPr="006D688A">
              <w:rPr>
                <w:rFonts w:cs="Arial"/>
                <w:sz w:val="18"/>
                <w:szCs w:val="18"/>
              </w:rPr>
              <w:t>1,250,207</w:t>
            </w:r>
          </w:p>
        </w:tc>
      </w:tr>
      <w:tr w:rsidR="00520333" w:rsidRPr="006D688A" w14:paraId="52E1B8EE" w14:textId="77777777" w:rsidTr="005E5E0C">
        <w:trPr>
          <w:trHeight w:val="238"/>
        </w:trPr>
        <w:tc>
          <w:tcPr>
            <w:tcW w:w="2642" w:type="dxa"/>
            <w:tcBorders>
              <w:top w:val="nil"/>
              <w:left w:val="nil"/>
              <w:bottom w:val="nil"/>
              <w:right w:val="nil"/>
            </w:tcBorders>
            <w:shd w:val="clear" w:color="FFFFFF" w:fill="FFFFFF"/>
            <w:noWrap/>
            <w:hideMark/>
          </w:tcPr>
          <w:p w14:paraId="1E398D99" w14:textId="77777777" w:rsidR="00520333" w:rsidRPr="006D688A" w:rsidRDefault="00520333" w:rsidP="005E5E0C">
            <w:pPr>
              <w:spacing w:after="0" w:line="240" w:lineRule="auto"/>
              <w:rPr>
                <w:rFonts w:cs="Arial"/>
                <w:sz w:val="18"/>
                <w:szCs w:val="18"/>
              </w:rPr>
            </w:pPr>
            <w:r w:rsidRPr="006D688A">
              <w:rPr>
                <w:rFonts w:cs="Arial"/>
                <w:sz w:val="18"/>
                <w:szCs w:val="18"/>
              </w:rPr>
              <w:t> </w:t>
            </w:r>
          </w:p>
        </w:tc>
        <w:tc>
          <w:tcPr>
            <w:tcW w:w="1007" w:type="dxa"/>
            <w:tcBorders>
              <w:top w:val="nil"/>
              <w:left w:val="nil"/>
              <w:bottom w:val="nil"/>
              <w:right w:val="nil"/>
            </w:tcBorders>
            <w:shd w:val="clear" w:color="FFFFFF" w:fill="FFFFFF"/>
            <w:noWrap/>
            <w:hideMark/>
          </w:tcPr>
          <w:p w14:paraId="20F9E466" w14:textId="77777777" w:rsidR="00520333" w:rsidRPr="006D688A" w:rsidRDefault="00520333" w:rsidP="005E5E0C">
            <w:pPr>
              <w:spacing w:after="0" w:line="240" w:lineRule="auto"/>
              <w:rPr>
                <w:rFonts w:cs="Arial"/>
                <w:sz w:val="18"/>
                <w:szCs w:val="18"/>
              </w:rPr>
            </w:pPr>
            <w:r w:rsidRPr="006D688A">
              <w:rPr>
                <w:rFonts w:cs="Arial"/>
                <w:sz w:val="18"/>
                <w:szCs w:val="18"/>
              </w:rPr>
              <w:t> </w:t>
            </w:r>
          </w:p>
        </w:tc>
        <w:tc>
          <w:tcPr>
            <w:tcW w:w="1069" w:type="dxa"/>
            <w:tcBorders>
              <w:top w:val="nil"/>
              <w:left w:val="nil"/>
              <w:bottom w:val="nil"/>
              <w:right w:val="nil"/>
            </w:tcBorders>
            <w:shd w:val="clear" w:color="FFFFFF" w:fill="FFFFFF"/>
            <w:noWrap/>
            <w:hideMark/>
          </w:tcPr>
          <w:p w14:paraId="2DBBF147" w14:textId="77777777" w:rsidR="00520333" w:rsidRPr="006D688A" w:rsidRDefault="00520333" w:rsidP="005E5E0C">
            <w:pPr>
              <w:spacing w:after="0" w:line="240" w:lineRule="auto"/>
              <w:rPr>
                <w:rFonts w:cs="Arial"/>
                <w:sz w:val="18"/>
                <w:szCs w:val="18"/>
              </w:rPr>
            </w:pPr>
            <w:r w:rsidRPr="006D688A">
              <w:rPr>
                <w:rFonts w:cs="Arial"/>
                <w:sz w:val="18"/>
                <w:szCs w:val="18"/>
              </w:rPr>
              <w:t> </w:t>
            </w:r>
          </w:p>
        </w:tc>
        <w:tc>
          <w:tcPr>
            <w:tcW w:w="1006" w:type="dxa"/>
            <w:tcBorders>
              <w:top w:val="nil"/>
              <w:left w:val="nil"/>
              <w:bottom w:val="nil"/>
              <w:right w:val="nil"/>
            </w:tcBorders>
            <w:shd w:val="clear" w:color="FFFFFF" w:fill="FFFFFF"/>
            <w:noWrap/>
            <w:hideMark/>
          </w:tcPr>
          <w:p w14:paraId="1E23EA91" w14:textId="77777777" w:rsidR="00520333" w:rsidRPr="006D688A" w:rsidRDefault="00520333" w:rsidP="005E5E0C">
            <w:pPr>
              <w:spacing w:after="0" w:line="240" w:lineRule="auto"/>
              <w:rPr>
                <w:rFonts w:cs="Arial"/>
                <w:sz w:val="18"/>
                <w:szCs w:val="18"/>
              </w:rPr>
            </w:pPr>
            <w:r w:rsidRPr="006D688A">
              <w:rPr>
                <w:rFonts w:cs="Arial"/>
                <w:sz w:val="18"/>
                <w:szCs w:val="18"/>
              </w:rPr>
              <w:t> </w:t>
            </w:r>
          </w:p>
        </w:tc>
        <w:tc>
          <w:tcPr>
            <w:tcW w:w="1002" w:type="dxa"/>
            <w:tcBorders>
              <w:top w:val="nil"/>
              <w:left w:val="nil"/>
              <w:bottom w:val="nil"/>
              <w:right w:val="nil"/>
            </w:tcBorders>
            <w:shd w:val="clear" w:color="FFFFFF" w:fill="FFFFFF"/>
            <w:noWrap/>
            <w:hideMark/>
          </w:tcPr>
          <w:p w14:paraId="62EA71E0" w14:textId="77777777" w:rsidR="00520333" w:rsidRPr="006D688A" w:rsidRDefault="00520333" w:rsidP="005E5E0C">
            <w:pPr>
              <w:spacing w:after="0" w:line="240" w:lineRule="auto"/>
              <w:rPr>
                <w:rFonts w:cs="Arial"/>
                <w:sz w:val="18"/>
                <w:szCs w:val="18"/>
              </w:rPr>
            </w:pPr>
            <w:r w:rsidRPr="006D688A">
              <w:rPr>
                <w:rFonts w:cs="Arial"/>
                <w:sz w:val="18"/>
                <w:szCs w:val="18"/>
              </w:rPr>
              <w:t> </w:t>
            </w:r>
          </w:p>
        </w:tc>
        <w:tc>
          <w:tcPr>
            <w:tcW w:w="986" w:type="dxa"/>
            <w:tcBorders>
              <w:top w:val="nil"/>
              <w:left w:val="nil"/>
              <w:bottom w:val="nil"/>
              <w:right w:val="nil"/>
            </w:tcBorders>
            <w:shd w:val="clear" w:color="FFFFFF" w:fill="FFFFFF"/>
            <w:noWrap/>
            <w:hideMark/>
          </w:tcPr>
          <w:p w14:paraId="571F76DD" w14:textId="77777777" w:rsidR="00520333" w:rsidRPr="006D688A" w:rsidRDefault="00520333" w:rsidP="005E5E0C">
            <w:pPr>
              <w:spacing w:after="0" w:line="240" w:lineRule="auto"/>
              <w:rPr>
                <w:rFonts w:cs="Arial"/>
                <w:sz w:val="18"/>
                <w:szCs w:val="18"/>
              </w:rPr>
            </w:pPr>
            <w:r w:rsidRPr="006D688A">
              <w:rPr>
                <w:rFonts w:cs="Arial"/>
                <w:sz w:val="18"/>
                <w:szCs w:val="18"/>
              </w:rPr>
              <w:t> </w:t>
            </w:r>
          </w:p>
        </w:tc>
        <w:tc>
          <w:tcPr>
            <w:tcW w:w="988" w:type="dxa"/>
            <w:tcBorders>
              <w:top w:val="nil"/>
              <w:left w:val="nil"/>
              <w:bottom w:val="nil"/>
              <w:right w:val="nil"/>
            </w:tcBorders>
            <w:shd w:val="clear" w:color="FFFFFF" w:fill="FFFFFF"/>
            <w:noWrap/>
            <w:hideMark/>
          </w:tcPr>
          <w:p w14:paraId="6D1FE9FA" w14:textId="77777777" w:rsidR="00520333" w:rsidRPr="006D688A" w:rsidRDefault="00520333" w:rsidP="005E5E0C">
            <w:pPr>
              <w:spacing w:after="0" w:line="240" w:lineRule="auto"/>
              <w:rPr>
                <w:rFonts w:cs="Arial"/>
                <w:sz w:val="18"/>
                <w:szCs w:val="18"/>
              </w:rPr>
            </w:pPr>
            <w:r w:rsidRPr="006D688A">
              <w:rPr>
                <w:rFonts w:cs="Arial"/>
                <w:sz w:val="18"/>
                <w:szCs w:val="18"/>
              </w:rPr>
              <w:t> </w:t>
            </w:r>
          </w:p>
        </w:tc>
        <w:tc>
          <w:tcPr>
            <w:tcW w:w="986" w:type="dxa"/>
            <w:tcBorders>
              <w:top w:val="nil"/>
              <w:left w:val="nil"/>
              <w:bottom w:val="nil"/>
              <w:right w:val="nil"/>
            </w:tcBorders>
            <w:shd w:val="clear" w:color="FFFFFF" w:fill="FFFFFF"/>
            <w:noWrap/>
            <w:hideMark/>
          </w:tcPr>
          <w:p w14:paraId="7C601906" w14:textId="77777777" w:rsidR="00520333" w:rsidRPr="006D688A" w:rsidRDefault="00520333" w:rsidP="005E5E0C">
            <w:pPr>
              <w:spacing w:after="0" w:line="240" w:lineRule="auto"/>
              <w:rPr>
                <w:rFonts w:cs="Arial"/>
                <w:sz w:val="18"/>
                <w:szCs w:val="18"/>
              </w:rPr>
            </w:pPr>
            <w:r w:rsidRPr="006D688A">
              <w:rPr>
                <w:rFonts w:cs="Arial"/>
                <w:sz w:val="18"/>
                <w:szCs w:val="18"/>
              </w:rPr>
              <w:t> </w:t>
            </w:r>
          </w:p>
        </w:tc>
        <w:tc>
          <w:tcPr>
            <w:tcW w:w="984" w:type="dxa"/>
            <w:tcBorders>
              <w:top w:val="nil"/>
              <w:left w:val="nil"/>
              <w:bottom w:val="nil"/>
              <w:right w:val="nil"/>
            </w:tcBorders>
            <w:shd w:val="clear" w:color="FFFFFF" w:fill="FFFFFF"/>
            <w:noWrap/>
            <w:hideMark/>
          </w:tcPr>
          <w:p w14:paraId="0DACE91A" w14:textId="77777777" w:rsidR="00520333" w:rsidRPr="006D688A" w:rsidRDefault="00520333" w:rsidP="005E5E0C">
            <w:pPr>
              <w:spacing w:after="0" w:line="240" w:lineRule="auto"/>
              <w:rPr>
                <w:rFonts w:cs="Arial"/>
                <w:sz w:val="18"/>
                <w:szCs w:val="18"/>
              </w:rPr>
            </w:pPr>
            <w:r w:rsidRPr="006D688A">
              <w:rPr>
                <w:rFonts w:cs="Arial"/>
                <w:sz w:val="18"/>
                <w:szCs w:val="18"/>
              </w:rPr>
              <w:t> </w:t>
            </w:r>
          </w:p>
        </w:tc>
        <w:tc>
          <w:tcPr>
            <w:tcW w:w="984" w:type="dxa"/>
            <w:tcBorders>
              <w:top w:val="nil"/>
              <w:left w:val="nil"/>
              <w:bottom w:val="nil"/>
              <w:right w:val="nil"/>
            </w:tcBorders>
            <w:shd w:val="clear" w:color="FFFFFF" w:fill="FFFFFF"/>
            <w:noWrap/>
            <w:hideMark/>
          </w:tcPr>
          <w:p w14:paraId="3D774FE8" w14:textId="77777777" w:rsidR="00520333" w:rsidRPr="006D688A" w:rsidRDefault="00520333" w:rsidP="005E5E0C">
            <w:pPr>
              <w:spacing w:after="0" w:line="240" w:lineRule="auto"/>
              <w:rPr>
                <w:rFonts w:cs="Arial"/>
                <w:sz w:val="18"/>
                <w:szCs w:val="18"/>
              </w:rPr>
            </w:pPr>
            <w:r w:rsidRPr="006D688A">
              <w:rPr>
                <w:rFonts w:cs="Arial"/>
                <w:sz w:val="18"/>
                <w:szCs w:val="18"/>
              </w:rPr>
              <w:t> </w:t>
            </w:r>
          </w:p>
        </w:tc>
        <w:tc>
          <w:tcPr>
            <w:tcW w:w="984" w:type="dxa"/>
            <w:tcBorders>
              <w:top w:val="nil"/>
              <w:left w:val="nil"/>
              <w:bottom w:val="nil"/>
              <w:right w:val="nil"/>
            </w:tcBorders>
            <w:shd w:val="clear" w:color="FFFFFF" w:fill="FFFFFF"/>
            <w:noWrap/>
            <w:hideMark/>
          </w:tcPr>
          <w:p w14:paraId="2541395F" w14:textId="77777777" w:rsidR="00520333" w:rsidRPr="006D688A" w:rsidRDefault="00520333" w:rsidP="005E5E0C">
            <w:pPr>
              <w:spacing w:after="0" w:line="240" w:lineRule="auto"/>
              <w:rPr>
                <w:rFonts w:cs="Arial"/>
                <w:sz w:val="18"/>
                <w:szCs w:val="18"/>
              </w:rPr>
            </w:pPr>
            <w:r w:rsidRPr="006D688A">
              <w:rPr>
                <w:rFonts w:cs="Arial"/>
                <w:sz w:val="18"/>
                <w:szCs w:val="18"/>
              </w:rPr>
              <w:t> </w:t>
            </w:r>
          </w:p>
        </w:tc>
        <w:tc>
          <w:tcPr>
            <w:tcW w:w="1061" w:type="dxa"/>
            <w:tcBorders>
              <w:top w:val="nil"/>
              <w:left w:val="nil"/>
              <w:bottom w:val="nil"/>
              <w:right w:val="nil"/>
            </w:tcBorders>
            <w:shd w:val="clear" w:color="FFFFFF" w:fill="FFFFFF"/>
            <w:noWrap/>
            <w:hideMark/>
          </w:tcPr>
          <w:p w14:paraId="5242ACEE" w14:textId="77777777" w:rsidR="00520333" w:rsidRPr="006D688A" w:rsidRDefault="00520333" w:rsidP="005E5E0C">
            <w:pPr>
              <w:spacing w:after="0" w:line="240" w:lineRule="auto"/>
              <w:rPr>
                <w:rFonts w:cs="Arial"/>
                <w:sz w:val="18"/>
                <w:szCs w:val="18"/>
              </w:rPr>
            </w:pPr>
            <w:r w:rsidRPr="006D688A">
              <w:rPr>
                <w:rFonts w:cs="Arial"/>
                <w:sz w:val="18"/>
                <w:szCs w:val="18"/>
              </w:rPr>
              <w:t> </w:t>
            </w:r>
          </w:p>
        </w:tc>
        <w:tc>
          <w:tcPr>
            <w:tcW w:w="984" w:type="dxa"/>
            <w:tcBorders>
              <w:top w:val="nil"/>
              <w:left w:val="nil"/>
              <w:bottom w:val="nil"/>
              <w:right w:val="nil"/>
            </w:tcBorders>
            <w:shd w:val="clear" w:color="FFFFFF" w:fill="FFFFFF"/>
            <w:noWrap/>
            <w:hideMark/>
          </w:tcPr>
          <w:p w14:paraId="62F101DF" w14:textId="77777777" w:rsidR="00520333" w:rsidRPr="006D688A" w:rsidRDefault="00520333" w:rsidP="005E5E0C">
            <w:pPr>
              <w:spacing w:after="0" w:line="240" w:lineRule="auto"/>
              <w:rPr>
                <w:rFonts w:cs="Arial"/>
                <w:sz w:val="18"/>
                <w:szCs w:val="18"/>
              </w:rPr>
            </w:pPr>
            <w:r w:rsidRPr="006D688A">
              <w:rPr>
                <w:rFonts w:cs="Arial"/>
                <w:sz w:val="18"/>
                <w:szCs w:val="18"/>
              </w:rPr>
              <w:t> </w:t>
            </w:r>
          </w:p>
        </w:tc>
      </w:tr>
      <w:tr w:rsidR="00520333" w:rsidRPr="006D688A" w14:paraId="27934C7A" w14:textId="77777777" w:rsidTr="005E5E0C">
        <w:trPr>
          <w:trHeight w:val="238"/>
        </w:trPr>
        <w:tc>
          <w:tcPr>
            <w:tcW w:w="2642" w:type="dxa"/>
            <w:tcBorders>
              <w:top w:val="nil"/>
              <w:left w:val="nil"/>
              <w:bottom w:val="nil"/>
              <w:right w:val="nil"/>
            </w:tcBorders>
            <w:shd w:val="clear" w:color="FFFFFF" w:fill="FFFFFF"/>
            <w:hideMark/>
          </w:tcPr>
          <w:p w14:paraId="38805209" w14:textId="77777777" w:rsidR="00520333" w:rsidRPr="006D688A" w:rsidRDefault="00520333" w:rsidP="005E5E0C">
            <w:pPr>
              <w:spacing w:after="0" w:line="240" w:lineRule="auto"/>
              <w:rPr>
                <w:rFonts w:cs="Arial"/>
                <w:b/>
                <w:bCs/>
                <w:sz w:val="18"/>
                <w:szCs w:val="18"/>
              </w:rPr>
            </w:pPr>
            <w:r w:rsidRPr="006D688A">
              <w:rPr>
                <w:rFonts w:cs="Arial"/>
                <w:b/>
                <w:bCs/>
                <w:sz w:val="18"/>
                <w:szCs w:val="18"/>
              </w:rPr>
              <w:t>Comprehensive income</w:t>
            </w:r>
          </w:p>
        </w:tc>
        <w:tc>
          <w:tcPr>
            <w:tcW w:w="1007" w:type="dxa"/>
            <w:tcBorders>
              <w:top w:val="nil"/>
              <w:left w:val="nil"/>
              <w:bottom w:val="nil"/>
              <w:right w:val="nil"/>
            </w:tcBorders>
            <w:shd w:val="clear" w:color="FFFFFF" w:fill="FFFFFF"/>
            <w:noWrap/>
            <w:hideMark/>
          </w:tcPr>
          <w:p w14:paraId="2DD7F95D"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 </w:t>
            </w:r>
          </w:p>
        </w:tc>
        <w:tc>
          <w:tcPr>
            <w:tcW w:w="1069" w:type="dxa"/>
            <w:tcBorders>
              <w:top w:val="nil"/>
              <w:left w:val="nil"/>
              <w:bottom w:val="nil"/>
              <w:right w:val="nil"/>
            </w:tcBorders>
            <w:shd w:val="clear" w:color="FFFFFF" w:fill="FFFFFF"/>
            <w:noWrap/>
            <w:hideMark/>
          </w:tcPr>
          <w:p w14:paraId="5186334F"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 </w:t>
            </w:r>
          </w:p>
        </w:tc>
        <w:tc>
          <w:tcPr>
            <w:tcW w:w="1006" w:type="dxa"/>
            <w:tcBorders>
              <w:top w:val="nil"/>
              <w:left w:val="nil"/>
              <w:bottom w:val="nil"/>
              <w:right w:val="nil"/>
            </w:tcBorders>
            <w:shd w:val="clear" w:color="FFFFFF" w:fill="FFFFFF"/>
            <w:noWrap/>
            <w:hideMark/>
          </w:tcPr>
          <w:p w14:paraId="246B4554"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 </w:t>
            </w:r>
          </w:p>
        </w:tc>
        <w:tc>
          <w:tcPr>
            <w:tcW w:w="1002" w:type="dxa"/>
            <w:tcBorders>
              <w:top w:val="nil"/>
              <w:left w:val="nil"/>
              <w:bottom w:val="nil"/>
              <w:right w:val="nil"/>
            </w:tcBorders>
            <w:shd w:val="clear" w:color="FFFFFF" w:fill="FFFFFF"/>
            <w:noWrap/>
            <w:hideMark/>
          </w:tcPr>
          <w:p w14:paraId="424F6302"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 </w:t>
            </w:r>
          </w:p>
        </w:tc>
        <w:tc>
          <w:tcPr>
            <w:tcW w:w="986" w:type="dxa"/>
            <w:tcBorders>
              <w:top w:val="nil"/>
              <w:left w:val="nil"/>
              <w:bottom w:val="nil"/>
              <w:right w:val="nil"/>
            </w:tcBorders>
            <w:shd w:val="clear" w:color="FFFFFF" w:fill="FFFFFF"/>
            <w:noWrap/>
            <w:hideMark/>
          </w:tcPr>
          <w:p w14:paraId="7A96261B"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 </w:t>
            </w:r>
          </w:p>
        </w:tc>
        <w:tc>
          <w:tcPr>
            <w:tcW w:w="988" w:type="dxa"/>
            <w:tcBorders>
              <w:top w:val="nil"/>
              <w:left w:val="nil"/>
              <w:bottom w:val="nil"/>
              <w:right w:val="nil"/>
            </w:tcBorders>
            <w:shd w:val="clear" w:color="FFFFFF" w:fill="FFFFFF"/>
            <w:noWrap/>
            <w:hideMark/>
          </w:tcPr>
          <w:p w14:paraId="6D40C69A"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 </w:t>
            </w:r>
          </w:p>
        </w:tc>
        <w:tc>
          <w:tcPr>
            <w:tcW w:w="986" w:type="dxa"/>
            <w:tcBorders>
              <w:top w:val="nil"/>
              <w:left w:val="nil"/>
              <w:bottom w:val="nil"/>
              <w:right w:val="nil"/>
            </w:tcBorders>
            <w:shd w:val="clear" w:color="FFFFFF" w:fill="FFFFFF"/>
            <w:noWrap/>
            <w:hideMark/>
          </w:tcPr>
          <w:p w14:paraId="690FF841"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 </w:t>
            </w:r>
          </w:p>
        </w:tc>
        <w:tc>
          <w:tcPr>
            <w:tcW w:w="984" w:type="dxa"/>
            <w:tcBorders>
              <w:top w:val="nil"/>
              <w:left w:val="nil"/>
              <w:bottom w:val="nil"/>
              <w:right w:val="nil"/>
            </w:tcBorders>
            <w:shd w:val="clear" w:color="FFFFFF" w:fill="FFFFFF"/>
            <w:noWrap/>
            <w:hideMark/>
          </w:tcPr>
          <w:p w14:paraId="24B3CEA0"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 </w:t>
            </w:r>
          </w:p>
        </w:tc>
        <w:tc>
          <w:tcPr>
            <w:tcW w:w="984" w:type="dxa"/>
            <w:tcBorders>
              <w:top w:val="nil"/>
              <w:left w:val="nil"/>
              <w:bottom w:val="nil"/>
              <w:right w:val="nil"/>
            </w:tcBorders>
            <w:shd w:val="clear" w:color="FFFFFF" w:fill="FFFFFF"/>
            <w:noWrap/>
            <w:hideMark/>
          </w:tcPr>
          <w:p w14:paraId="210A9104"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 </w:t>
            </w:r>
          </w:p>
        </w:tc>
        <w:tc>
          <w:tcPr>
            <w:tcW w:w="984" w:type="dxa"/>
            <w:tcBorders>
              <w:top w:val="nil"/>
              <w:left w:val="nil"/>
              <w:bottom w:val="nil"/>
              <w:right w:val="nil"/>
            </w:tcBorders>
            <w:shd w:val="clear" w:color="FFFFFF" w:fill="FFFFFF"/>
            <w:noWrap/>
            <w:hideMark/>
          </w:tcPr>
          <w:p w14:paraId="2D6A0578"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 </w:t>
            </w:r>
          </w:p>
        </w:tc>
        <w:tc>
          <w:tcPr>
            <w:tcW w:w="1061" w:type="dxa"/>
            <w:tcBorders>
              <w:top w:val="nil"/>
              <w:left w:val="nil"/>
              <w:bottom w:val="nil"/>
              <w:right w:val="nil"/>
            </w:tcBorders>
            <w:shd w:val="clear" w:color="FFFFFF" w:fill="FFFFFF"/>
            <w:noWrap/>
            <w:hideMark/>
          </w:tcPr>
          <w:p w14:paraId="57609D37" w14:textId="77777777" w:rsidR="00520333" w:rsidRPr="006D688A" w:rsidRDefault="00520333" w:rsidP="005E5E0C">
            <w:pPr>
              <w:spacing w:after="0" w:line="240" w:lineRule="auto"/>
              <w:rPr>
                <w:rFonts w:cs="Arial"/>
                <w:sz w:val="18"/>
                <w:szCs w:val="18"/>
              </w:rPr>
            </w:pPr>
            <w:r w:rsidRPr="006D688A">
              <w:rPr>
                <w:rFonts w:cs="Arial"/>
                <w:sz w:val="18"/>
                <w:szCs w:val="18"/>
              </w:rPr>
              <w:t> </w:t>
            </w:r>
          </w:p>
        </w:tc>
        <w:tc>
          <w:tcPr>
            <w:tcW w:w="984" w:type="dxa"/>
            <w:tcBorders>
              <w:top w:val="nil"/>
              <w:left w:val="nil"/>
              <w:bottom w:val="nil"/>
              <w:right w:val="nil"/>
            </w:tcBorders>
            <w:shd w:val="clear" w:color="FFFFFF" w:fill="FFFFFF"/>
            <w:noWrap/>
            <w:hideMark/>
          </w:tcPr>
          <w:p w14:paraId="307C31E8" w14:textId="77777777" w:rsidR="00520333" w:rsidRPr="006D688A" w:rsidRDefault="00520333" w:rsidP="005E5E0C">
            <w:pPr>
              <w:spacing w:after="0" w:line="240" w:lineRule="auto"/>
              <w:rPr>
                <w:rFonts w:cs="Arial"/>
                <w:sz w:val="18"/>
                <w:szCs w:val="18"/>
              </w:rPr>
            </w:pPr>
            <w:r w:rsidRPr="006D688A">
              <w:rPr>
                <w:rFonts w:cs="Arial"/>
                <w:sz w:val="18"/>
                <w:szCs w:val="18"/>
              </w:rPr>
              <w:t> </w:t>
            </w:r>
          </w:p>
        </w:tc>
      </w:tr>
      <w:tr w:rsidR="00520333" w:rsidRPr="006D688A" w14:paraId="154740B3" w14:textId="77777777" w:rsidTr="005E5E0C">
        <w:trPr>
          <w:trHeight w:val="238"/>
        </w:trPr>
        <w:tc>
          <w:tcPr>
            <w:tcW w:w="2642" w:type="dxa"/>
            <w:tcBorders>
              <w:top w:val="nil"/>
              <w:left w:val="nil"/>
              <w:bottom w:val="nil"/>
              <w:right w:val="nil"/>
            </w:tcBorders>
            <w:shd w:val="clear" w:color="FFFFFF" w:fill="FFFFFF"/>
            <w:hideMark/>
          </w:tcPr>
          <w:p w14:paraId="58E9AAD4" w14:textId="77777777" w:rsidR="00520333" w:rsidRPr="006D688A" w:rsidRDefault="00520333" w:rsidP="005E5E0C">
            <w:pPr>
              <w:spacing w:after="0" w:line="240" w:lineRule="auto"/>
              <w:rPr>
                <w:rFonts w:cs="Arial"/>
                <w:sz w:val="18"/>
                <w:szCs w:val="18"/>
              </w:rPr>
            </w:pPr>
            <w:r w:rsidRPr="006D688A">
              <w:rPr>
                <w:rFonts w:cs="Arial"/>
                <w:sz w:val="18"/>
                <w:szCs w:val="18"/>
              </w:rPr>
              <w:t>Surplus/(Deficit) for the period</w:t>
            </w:r>
          </w:p>
        </w:tc>
        <w:tc>
          <w:tcPr>
            <w:tcW w:w="1007" w:type="dxa"/>
            <w:tcBorders>
              <w:top w:val="nil"/>
              <w:left w:val="nil"/>
              <w:bottom w:val="nil"/>
              <w:right w:val="nil"/>
            </w:tcBorders>
            <w:shd w:val="clear" w:color="FFFFFF" w:fill="FFFFFF"/>
            <w:noWrap/>
            <w:hideMark/>
          </w:tcPr>
          <w:p w14:paraId="174B5DEF"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1,002,584</w:t>
            </w:r>
          </w:p>
        </w:tc>
        <w:tc>
          <w:tcPr>
            <w:tcW w:w="1069" w:type="dxa"/>
            <w:tcBorders>
              <w:top w:val="nil"/>
              <w:left w:val="nil"/>
              <w:bottom w:val="nil"/>
              <w:right w:val="nil"/>
            </w:tcBorders>
            <w:shd w:val="clear" w:color="FFFFFF" w:fill="FFFFFF"/>
            <w:noWrap/>
            <w:hideMark/>
          </w:tcPr>
          <w:p w14:paraId="415F6846" w14:textId="77777777" w:rsidR="00520333" w:rsidRPr="006D688A" w:rsidRDefault="00520333" w:rsidP="005E5E0C">
            <w:pPr>
              <w:spacing w:after="0" w:line="240" w:lineRule="auto"/>
              <w:jc w:val="right"/>
              <w:rPr>
                <w:rFonts w:cs="Arial"/>
                <w:sz w:val="18"/>
                <w:szCs w:val="18"/>
              </w:rPr>
            </w:pPr>
            <w:r w:rsidRPr="006D688A">
              <w:rPr>
                <w:rFonts w:cs="Arial"/>
                <w:sz w:val="18"/>
                <w:szCs w:val="18"/>
              </w:rPr>
              <w:t>14,889</w:t>
            </w:r>
          </w:p>
        </w:tc>
        <w:tc>
          <w:tcPr>
            <w:tcW w:w="1006" w:type="dxa"/>
            <w:tcBorders>
              <w:top w:val="nil"/>
              <w:left w:val="nil"/>
              <w:bottom w:val="nil"/>
              <w:right w:val="nil"/>
            </w:tcBorders>
            <w:shd w:val="clear" w:color="FFFFFF" w:fill="FFFFFF"/>
            <w:noWrap/>
            <w:hideMark/>
          </w:tcPr>
          <w:p w14:paraId="04302617" w14:textId="77777777" w:rsidR="00520333" w:rsidRPr="006D688A" w:rsidRDefault="00520333" w:rsidP="005E5E0C">
            <w:pPr>
              <w:spacing w:after="0" w:line="240" w:lineRule="auto"/>
              <w:jc w:val="right"/>
              <w:rPr>
                <w:rFonts w:cs="Arial"/>
                <w:sz w:val="18"/>
                <w:szCs w:val="18"/>
              </w:rPr>
            </w:pPr>
            <w:r w:rsidRPr="006D688A">
              <w:rPr>
                <w:rFonts w:cs="Arial"/>
                <w:sz w:val="18"/>
                <w:szCs w:val="18"/>
              </w:rPr>
              <w:t>167,110</w:t>
            </w:r>
          </w:p>
        </w:tc>
        <w:tc>
          <w:tcPr>
            <w:tcW w:w="1002" w:type="dxa"/>
            <w:tcBorders>
              <w:top w:val="nil"/>
              <w:left w:val="nil"/>
              <w:bottom w:val="nil"/>
              <w:right w:val="nil"/>
            </w:tcBorders>
            <w:shd w:val="clear" w:color="FFFFFF" w:fill="FFFFFF"/>
            <w:noWrap/>
            <w:hideMark/>
          </w:tcPr>
          <w:p w14:paraId="4631FFF8"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 xml:space="preserve"> -</w:t>
            </w:r>
          </w:p>
        </w:tc>
        <w:tc>
          <w:tcPr>
            <w:tcW w:w="986" w:type="dxa"/>
            <w:tcBorders>
              <w:top w:val="nil"/>
              <w:left w:val="nil"/>
              <w:bottom w:val="nil"/>
              <w:right w:val="nil"/>
            </w:tcBorders>
            <w:shd w:val="clear" w:color="FFFFFF" w:fill="FFFFFF"/>
            <w:noWrap/>
            <w:hideMark/>
          </w:tcPr>
          <w:p w14:paraId="0735AF1B" w14:textId="77777777" w:rsidR="00520333" w:rsidRPr="006D688A" w:rsidRDefault="00520333" w:rsidP="005E5E0C">
            <w:pPr>
              <w:spacing w:after="0" w:line="240" w:lineRule="auto"/>
              <w:jc w:val="right"/>
              <w:rPr>
                <w:rFonts w:cs="Arial"/>
                <w:sz w:val="18"/>
                <w:szCs w:val="18"/>
              </w:rPr>
            </w:pPr>
            <w:r w:rsidRPr="006D688A">
              <w:rPr>
                <w:rFonts w:cs="Arial"/>
                <w:sz w:val="18"/>
                <w:szCs w:val="18"/>
              </w:rPr>
              <w:t xml:space="preserve"> -</w:t>
            </w:r>
          </w:p>
        </w:tc>
        <w:tc>
          <w:tcPr>
            <w:tcW w:w="988" w:type="dxa"/>
            <w:tcBorders>
              <w:top w:val="nil"/>
              <w:left w:val="nil"/>
              <w:bottom w:val="nil"/>
              <w:right w:val="nil"/>
            </w:tcBorders>
            <w:shd w:val="clear" w:color="FFFFFF" w:fill="FFFFFF"/>
            <w:noWrap/>
            <w:hideMark/>
          </w:tcPr>
          <w:p w14:paraId="318B4267" w14:textId="77777777" w:rsidR="00520333" w:rsidRPr="006D688A" w:rsidRDefault="00520333" w:rsidP="005E5E0C">
            <w:pPr>
              <w:spacing w:after="0" w:line="240" w:lineRule="auto"/>
              <w:jc w:val="right"/>
              <w:rPr>
                <w:rFonts w:cs="Arial"/>
                <w:sz w:val="18"/>
                <w:szCs w:val="18"/>
              </w:rPr>
            </w:pPr>
            <w:r w:rsidRPr="006D688A">
              <w:rPr>
                <w:rFonts w:cs="Arial"/>
                <w:sz w:val="18"/>
                <w:szCs w:val="18"/>
              </w:rPr>
              <w:t xml:space="preserve"> -</w:t>
            </w:r>
          </w:p>
        </w:tc>
        <w:tc>
          <w:tcPr>
            <w:tcW w:w="986" w:type="dxa"/>
            <w:tcBorders>
              <w:top w:val="nil"/>
              <w:left w:val="nil"/>
              <w:bottom w:val="nil"/>
              <w:right w:val="nil"/>
            </w:tcBorders>
            <w:shd w:val="clear" w:color="FFFFFF" w:fill="FFFFFF"/>
            <w:noWrap/>
            <w:hideMark/>
          </w:tcPr>
          <w:p w14:paraId="467F279C"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w:t>
            </w:r>
          </w:p>
        </w:tc>
        <w:tc>
          <w:tcPr>
            <w:tcW w:w="984" w:type="dxa"/>
            <w:tcBorders>
              <w:top w:val="nil"/>
              <w:left w:val="nil"/>
              <w:bottom w:val="nil"/>
              <w:right w:val="nil"/>
            </w:tcBorders>
            <w:shd w:val="clear" w:color="FFFFFF" w:fill="FFFFFF"/>
            <w:noWrap/>
            <w:hideMark/>
          </w:tcPr>
          <w:p w14:paraId="171F5C5F" w14:textId="77777777" w:rsidR="00520333" w:rsidRPr="006D688A" w:rsidRDefault="00520333" w:rsidP="005E5E0C">
            <w:pPr>
              <w:spacing w:after="0" w:line="240" w:lineRule="auto"/>
              <w:jc w:val="right"/>
              <w:rPr>
                <w:rFonts w:cs="Arial"/>
                <w:sz w:val="18"/>
                <w:szCs w:val="18"/>
              </w:rPr>
            </w:pPr>
            <w:r w:rsidRPr="006D688A">
              <w:rPr>
                <w:rFonts w:cs="Arial"/>
                <w:sz w:val="18"/>
                <w:szCs w:val="18"/>
              </w:rPr>
              <w:t xml:space="preserve"> -</w:t>
            </w:r>
          </w:p>
        </w:tc>
        <w:tc>
          <w:tcPr>
            <w:tcW w:w="984" w:type="dxa"/>
            <w:tcBorders>
              <w:top w:val="nil"/>
              <w:left w:val="nil"/>
              <w:bottom w:val="nil"/>
              <w:right w:val="nil"/>
            </w:tcBorders>
            <w:shd w:val="clear" w:color="FFFFFF" w:fill="FFFFFF"/>
            <w:noWrap/>
            <w:hideMark/>
          </w:tcPr>
          <w:p w14:paraId="2927740B" w14:textId="77777777" w:rsidR="00520333" w:rsidRPr="006D688A" w:rsidRDefault="00520333" w:rsidP="005E5E0C">
            <w:pPr>
              <w:spacing w:after="0" w:line="240" w:lineRule="auto"/>
              <w:jc w:val="right"/>
              <w:rPr>
                <w:rFonts w:cs="Arial"/>
                <w:sz w:val="18"/>
                <w:szCs w:val="18"/>
              </w:rPr>
            </w:pPr>
            <w:r w:rsidRPr="006D688A">
              <w:rPr>
                <w:rFonts w:cs="Arial"/>
                <w:sz w:val="18"/>
                <w:szCs w:val="18"/>
              </w:rPr>
              <w:t xml:space="preserve"> -</w:t>
            </w:r>
          </w:p>
        </w:tc>
        <w:tc>
          <w:tcPr>
            <w:tcW w:w="984" w:type="dxa"/>
            <w:tcBorders>
              <w:top w:val="nil"/>
              <w:left w:val="nil"/>
              <w:bottom w:val="nil"/>
              <w:right w:val="nil"/>
            </w:tcBorders>
            <w:shd w:val="clear" w:color="FFFFFF" w:fill="FFFFFF"/>
            <w:noWrap/>
            <w:hideMark/>
          </w:tcPr>
          <w:p w14:paraId="699B8111"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1,002,584</w:t>
            </w:r>
          </w:p>
        </w:tc>
        <w:tc>
          <w:tcPr>
            <w:tcW w:w="1061" w:type="dxa"/>
            <w:tcBorders>
              <w:top w:val="nil"/>
              <w:left w:val="nil"/>
              <w:bottom w:val="nil"/>
              <w:right w:val="nil"/>
            </w:tcBorders>
            <w:shd w:val="clear" w:color="FFFFFF" w:fill="FFFFFF"/>
            <w:noWrap/>
            <w:hideMark/>
          </w:tcPr>
          <w:p w14:paraId="0DB3566D" w14:textId="77777777" w:rsidR="00520333" w:rsidRPr="006D688A" w:rsidRDefault="00520333" w:rsidP="005E5E0C">
            <w:pPr>
              <w:spacing w:after="0" w:line="240" w:lineRule="auto"/>
              <w:jc w:val="right"/>
              <w:rPr>
                <w:rFonts w:cs="Arial"/>
                <w:sz w:val="18"/>
                <w:szCs w:val="18"/>
              </w:rPr>
            </w:pPr>
            <w:r w:rsidRPr="006D688A">
              <w:rPr>
                <w:rFonts w:cs="Arial"/>
                <w:sz w:val="18"/>
                <w:szCs w:val="18"/>
              </w:rPr>
              <w:t>14,889</w:t>
            </w:r>
          </w:p>
        </w:tc>
        <w:tc>
          <w:tcPr>
            <w:tcW w:w="984" w:type="dxa"/>
            <w:tcBorders>
              <w:top w:val="nil"/>
              <w:left w:val="nil"/>
              <w:bottom w:val="nil"/>
              <w:right w:val="nil"/>
            </w:tcBorders>
            <w:shd w:val="clear" w:color="FFFFFF" w:fill="FFFFFF"/>
            <w:noWrap/>
            <w:hideMark/>
          </w:tcPr>
          <w:p w14:paraId="340740A1" w14:textId="77777777" w:rsidR="00520333" w:rsidRPr="006D688A" w:rsidRDefault="00520333" w:rsidP="005E5E0C">
            <w:pPr>
              <w:spacing w:after="0" w:line="240" w:lineRule="auto"/>
              <w:jc w:val="right"/>
              <w:rPr>
                <w:rFonts w:cs="Arial"/>
                <w:sz w:val="18"/>
                <w:szCs w:val="18"/>
              </w:rPr>
            </w:pPr>
            <w:r w:rsidRPr="006D688A">
              <w:rPr>
                <w:rFonts w:cs="Arial"/>
                <w:sz w:val="18"/>
                <w:szCs w:val="18"/>
              </w:rPr>
              <w:t>167,110</w:t>
            </w:r>
          </w:p>
        </w:tc>
      </w:tr>
      <w:tr w:rsidR="00520333" w:rsidRPr="006D688A" w14:paraId="2641AD34" w14:textId="77777777" w:rsidTr="005E5E0C">
        <w:trPr>
          <w:trHeight w:val="238"/>
        </w:trPr>
        <w:tc>
          <w:tcPr>
            <w:tcW w:w="2642" w:type="dxa"/>
            <w:tcBorders>
              <w:top w:val="nil"/>
              <w:left w:val="nil"/>
              <w:bottom w:val="nil"/>
              <w:right w:val="nil"/>
            </w:tcBorders>
            <w:shd w:val="clear" w:color="FFFFFF" w:fill="FFFFFF"/>
            <w:hideMark/>
          </w:tcPr>
          <w:p w14:paraId="6989CF31" w14:textId="77777777" w:rsidR="00520333" w:rsidRPr="006D688A" w:rsidRDefault="00520333" w:rsidP="005E5E0C">
            <w:pPr>
              <w:spacing w:after="0" w:line="240" w:lineRule="auto"/>
              <w:rPr>
                <w:rFonts w:cs="Arial"/>
                <w:sz w:val="18"/>
                <w:szCs w:val="18"/>
              </w:rPr>
            </w:pPr>
            <w:r w:rsidRPr="006D688A">
              <w:rPr>
                <w:rFonts w:cs="Arial"/>
                <w:sz w:val="18"/>
                <w:szCs w:val="18"/>
              </w:rPr>
              <w:t>Other comprehensive income</w:t>
            </w:r>
          </w:p>
        </w:tc>
        <w:tc>
          <w:tcPr>
            <w:tcW w:w="1007" w:type="dxa"/>
            <w:tcBorders>
              <w:top w:val="nil"/>
              <w:left w:val="nil"/>
              <w:bottom w:val="nil"/>
              <w:right w:val="nil"/>
            </w:tcBorders>
            <w:shd w:val="clear" w:color="FFFFFF" w:fill="FFFFFF"/>
            <w:noWrap/>
            <w:hideMark/>
          </w:tcPr>
          <w:p w14:paraId="66DE8588"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 xml:space="preserve"> -</w:t>
            </w:r>
          </w:p>
        </w:tc>
        <w:tc>
          <w:tcPr>
            <w:tcW w:w="1069" w:type="dxa"/>
            <w:tcBorders>
              <w:top w:val="nil"/>
              <w:left w:val="nil"/>
              <w:bottom w:val="nil"/>
              <w:right w:val="nil"/>
            </w:tcBorders>
            <w:shd w:val="clear" w:color="FFFFFF" w:fill="FFFFFF"/>
            <w:noWrap/>
            <w:hideMark/>
          </w:tcPr>
          <w:p w14:paraId="01B5A07B" w14:textId="77777777" w:rsidR="00520333" w:rsidRPr="006D688A" w:rsidRDefault="00520333" w:rsidP="005E5E0C">
            <w:pPr>
              <w:spacing w:after="0" w:line="240" w:lineRule="auto"/>
              <w:jc w:val="right"/>
              <w:rPr>
                <w:rFonts w:cs="Arial"/>
                <w:sz w:val="18"/>
                <w:szCs w:val="18"/>
              </w:rPr>
            </w:pPr>
            <w:r w:rsidRPr="006D688A">
              <w:rPr>
                <w:rFonts w:cs="Arial"/>
                <w:sz w:val="18"/>
                <w:szCs w:val="18"/>
              </w:rPr>
              <w:t xml:space="preserve"> -</w:t>
            </w:r>
          </w:p>
        </w:tc>
        <w:tc>
          <w:tcPr>
            <w:tcW w:w="1006" w:type="dxa"/>
            <w:tcBorders>
              <w:top w:val="nil"/>
              <w:left w:val="nil"/>
              <w:bottom w:val="nil"/>
              <w:right w:val="nil"/>
            </w:tcBorders>
            <w:shd w:val="clear" w:color="FFFFFF" w:fill="FFFFFF"/>
            <w:noWrap/>
            <w:hideMark/>
          </w:tcPr>
          <w:p w14:paraId="2FDA3BA4" w14:textId="77777777" w:rsidR="00520333" w:rsidRPr="006D688A" w:rsidRDefault="00520333" w:rsidP="005E5E0C">
            <w:pPr>
              <w:spacing w:after="0" w:line="240" w:lineRule="auto"/>
              <w:jc w:val="right"/>
              <w:rPr>
                <w:rFonts w:cs="Arial"/>
                <w:sz w:val="18"/>
                <w:szCs w:val="18"/>
              </w:rPr>
            </w:pPr>
            <w:r w:rsidRPr="006D688A">
              <w:rPr>
                <w:rFonts w:cs="Arial"/>
                <w:sz w:val="18"/>
                <w:szCs w:val="18"/>
              </w:rPr>
              <w:t xml:space="preserve"> -</w:t>
            </w:r>
          </w:p>
        </w:tc>
        <w:tc>
          <w:tcPr>
            <w:tcW w:w="1002" w:type="dxa"/>
            <w:tcBorders>
              <w:top w:val="nil"/>
              <w:left w:val="nil"/>
              <w:bottom w:val="nil"/>
              <w:right w:val="nil"/>
            </w:tcBorders>
            <w:shd w:val="clear" w:color="FFFFFF" w:fill="FFFFFF"/>
            <w:noWrap/>
            <w:hideMark/>
          </w:tcPr>
          <w:p w14:paraId="622EDBD1"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8,552</w:t>
            </w:r>
          </w:p>
        </w:tc>
        <w:tc>
          <w:tcPr>
            <w:tcW w:w="986" w:type="dxa"/>
            <w:tcBorders>
              <w:top w:val="nil"/>
              <w:left w:val="nil"/>
              <w:bottom w:val="nil"/>
              <w:right w:val="nil"/>
            </w:tcBorders>
            <w:shd w:val="clear" w:color="FFFFFF" w:fill="FFFFFF"/>
            <w:noWrap/>
            <w:hideMark/>
          </w:tcPr>
          <w:p w14:paraId="3AB3DE95" w14:textId="77777777" w:rsidR="00520333" w:rsidRPr="006D688A" w:rsidRDefault="00520333" w:rsidP="005E5E0C">
            <w:pPr>
              <w:spacing w:after="0" w:line="240" w:lineRule="auto"/>
              <w:jc w:val="right"/>
              <w:rPr>
                <w:rFonts w:cs="Arial"/>
                <w:sz w:val="18"/>
                <w:szCs w:val="18"/>
              </w:rPr>
            </w:pPr>
            <w:r w:rsidRPr="006D688A">
              <w:rPr>
                <w:rFonts w:cs="Arial"/>
                <w:sz w:val="18"/>
                <w:szCs w:val="18"/>
              </w:rPr>
              <w:t>17,285</w:t>
            </w:r>
          </w:p>
        </w:tc>
        <w:tc>
          <w:tcPr>
            <w:tcW w:w="988" w:type="dxa"/>
            <w:tcBorders>
              <w:top w:val="nil"/>
              <w:left w:val="nil"/>
              <w:bottom w:val="nil"/>
              <w:right w:val="nil"/>
            </w:tcBorders>
            <w:shd w:val="clear" w:color="FFFFFF" w:fill="FFFFFF"/>
            <w:noWrap/>
            <w:hideMark/>
          </w:tcPr>
          <w:p w14:paraId="216EC50F" w14:textId="77777777" w:rsidR="00520333" w:rsidRPr="006D688A" w:rsidRDefault="00520333" w:rsidP="005E5E0C">
            <w:pPr>
              <w:spacing w:after="0" w:line="240" w:lineRule="auto"/>
              <w:jc w:val="right"/>
              <w:rPr>
                <w:rFonts w:cs="Arial"/>
                <w:sz w:val="18"/>
                <w:szCs w:val="18"/>
              </w:rPr>
            </w:pPr>
            <w:r w:rsidRPr="006D688A">
              <w:rPr>
                <w:rFonts w:cs="Arial"/>
                <w:sz w:val="18"/>
                <w:szCs w:val="18"/>
              </w:rPr>
              <w:t xml:space="preserve"> -</w:t>
            </w:r>
          </w:p>
        </w:tc>
        <w:tc>
          <w:tcPr>
            <w:tcW w:w="986" w:type="dxa"/>
            <w:tcBorders>
              <w:top w:val="nil"/>
              <w:left w:val="nil"/>
              <w:bottom w:val="nil"/>
              <w:right w:val="nil"/>
            </w:tcBorders>
            <w:shd w:val="clear" w:color="FFFFFF" w:fill="FFFFFF"/>
            <w:noWrap/>
            <w:hideMark/>
          </w:tcPr>
          <w:p w14:paraId="318A9C81"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w:t>
            </w:r>
          </w:p>
        </w:tc>
        <w:tc>
          <w:tcPr>
            <w:tcW w:w="984" w:type="dxa"/>
            <w:tcBorders>
              <w:top w:val="nil"/>
              <w:left w:val="nil"/>
              <w:bottom w:val="nil"/>
              <w:right w:val="nil"/>
            </w:tcBorders>
            <w:shd w:val="clear" w:color="FFFFFF" w:fill="FFFFFF"/>
            <w:noWrap/>
            <w:hideMark/>
          </w:tcPr>
          <w:p w14:paraId="2DA2C25A" w14:textId="77777777" w:rsidR="00520333" w:rsidRPr="006D688A" w:rsidRDefault="00520333" w:rsidP="005E5E0C">
            <w:pPr>
              <w:spacing w:after="0" w:line="240" w:lineRule="auto"/>
              <w:jc w:val="right"/>
              <w:rPr>
                <w:rFonts w:cs="Arial"/>
                <w:sz w:val="18"/>
                <w:szCs w:val="18"/>
              </w:rPr>
            </w:pPr>
            <w:r w:rsidRPr="006D688A">
              <w:rPr>
                <w:rFonts w:cs="Arial"/>
                <w:sz w:val="18"/>
                <w:szCs w:val="18"/>
              </w:rPr>
              <w:t xml:space="preserve"> -</w:t>
            </w:r>
          </w:p>
        </w:tc>
        <w:tc>
          <w:tcPr>
            <w:tcW w:w="984" w:type="dxa"/>
            <w:tcBorders>
              <w:top w:val="nil"/>
              <w:left w:val="nil"/>
              <w:bottom w:val="nil"/>
              <w:right w:val="nil"/>
            </w:tcBorders>
            <w:shd w:val="clear" w:color="FFFFFF" w:fill="FFFFFF"/>
            <w:noWrap/>
            <w:hideMark/>
          </w:tcPr>
          <w:p w14:paraId="5806C718" w14:textId="77777777" w:rsidR="00520333" w:rsidRPr="006D688A" w:rsidRDefault="00520333" w:rsidP="005E5E0C">
            <w:pPr>
              <w:spacing w:after="0" w:line="240" w:lineRule="auto"/>
              <w:jc w:val="right"/>
              <w:rPr>
                <w:rFonts w:cs="Arial"/>
                <w:sz w:val="18"/>
                <w:szCs w:val="18"/>
              </w:rPr>
            </w:pPr>
            <w:r w:rsidRPr="006D688A">
              <w:rPr>
                <w:rFonts w:cs="Arial"/>
                <w:sz w:val="18"/>
                <w:szCs w:val="18"/>
              </w:rPr>
              <w:t xml:space="preserve"> -</w:t>
            </w:r>
          </w:p>
        </w:tc>
        <w:tc>
          <w:tcPr>
            <w:tcW w:w="984" w:type="dxa"/>
            <w:tcBorders>
              <w:top w:val="nil"/>
              <w:left w:val="nil"/>
              <w:bottom w:val="nil"/>
              <w:right w:val="nil"/>
            </w:tcBorders>
            <w:shd w:val="clear" w:color="FFFFFF" w:fill="FFFFFF"/>
            <w:noWrap/>
            <w:hideMark/>
          </w:tcPr>
          <w:p w14:paraId="1710B9BD"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8,552</w:t>
            </w:r>
          </w:p>
        </w:tc>
        <w:tc>
          <w:tcPr>
            <w:tcW w:w="1061" w:type="dxa"/>
            <w:tcBorders>
              <w:top w:val="nil"/>
              <w:left w:val="nil"/>
              <w:bottom w:val="nil"/>
              <w:right w:val="nil"/>
            </w:tcBorders>
            <w:shd w:val="clear" w:color="FFFFFF" w:fill="FFFFFF"/>
            <w:noWrap/>
            <w:hideMark/>
          </w:tcPr>
          <w:p w14:paraId="77B24F37" w14:textId="77777777" w:rsidR="00520333" w:rsidRPr="006D688A" w:rsidRDefault="00520333" w:rsidP="005E5E0C">
            <w:pPr>
              <w:spacing w:after="0" w:line="240" w:lineRule="auto"/>
              <w:jc w:val="right"/>
              <w:rPr>
                <w:rFonts w:cs="Arial"/>
                <w:sz w:val="18"/>
                <w:szCs w:val="18"/>
              </w:rPr>
            </w:pPr>
            <w:r w:rsidRPr="006D688A">
              <w:rPr>
                <w:rFonts w:cs="Arial"/>
                <w:sz w:val="18"/>
                <w:szCs w:val="18"/>
              </w:rPr>
              <w:t>17,285</w:t>
            </w:r>
          </w:p>
        </w:tc>
        <w:tc>
          <w:tcPr>
            <w:tcW w:w="984" w:type="dxa"/>
            <w:tcBorders>
              <w:top w:val="nil"/>
              <w:left w:val="nil"/>
              <w:bottom w:val="nil"/>
              <w:right w:val="nil"/>
            </w:tcBorders>
            <w:shd w:val="clear" w:color="FFFFFF" w:fill="FFFFFF"/>
            <w:noWrap/>
            <w:hideMark/>
          </w:tcPr>
          <w:p w14:paraId="0E95DCBB" w14:textId="77777777" w:rsidR="00520333" w:rsidRPr="006D688A" w:rsidRDefault="00520333" w:rsidP="005E5E0C">
            <w:pPr>
              <w:spacing w:after="0" w:line="240" w:lineRule="auto"/>
              <w:jc w:val="right"/>
              <w:rPr>
                <w:rFonts w:cs="Arial"/>
                <w:sz w:val="18"/>
                <w:szCs w:val="18"/>
              </w:rPr>
            </w:pPr>
            <w:r w:rsidRPr="006D688A">
              <w:rPr>
                <w:rFonts w:cs="Arial"/>
                <w:sz w:val="18"/>
                <w:szCs w:val="18"/>
              </w:rPr>
              <w:t>-</w:t>
            </w:r>
          </w:p>
        </w:tc>
      </w:tr>
      <w:tr w:rsidR="00520333" w:rsidRPr="006D688A" w14:paraId="0FD96B2E" w14:textId="77777777" w:rsidTr="005E5E0C">
        <w:trPr>
          <w:trHeight w:val="238"/>
        </w:trPr>
        <w:tc>
          <w:tcPr>
            <w:tcW w:w="2642" w:type="dxa"/>
            <w:tcBorders>
              <w:top w:val="single" w:sz="4" w:space="0" w:color="auto"/>
              <w:left w:val="nil"/>
              <w:bottom w:val="single" w:sz="4" w:space="0" w:color="auto"/>
              <w:right w:val="nil"/>
            </w:tcBorders>
            <w:shd w:val="clear" w:color="FFFFFF" w:fill="FFFFFF"/>
            <w:hideMark/>
          </w:tcPr>
          <w:p w14:paraId="409E715E" w14:textId="77777777" w:rsidR="00520333" w:rsidRPr="006D688A" w:rsidRDefault="00520333" w:rsidP="005E5E0C">
            <w:pPr>
              <w:spacing w:after="0" w:line="240" w:lineRule="auto"/>
              <w:rPr>
                <w:rFonts w:cs="Arial"/>
                <w:b/>
                <w:bCs/>
                <w:sz w:val="18"/>
                <w:szCs w:val="18"/>
              </w:rPr>
            </w:pPr>
            <w:r w:rsidRPr="006D688A">
              <w:rPr>
                <w:rFonts w:cs="Arial"/>
                <w:b/>
                <w:bCs/>
                <w:sz w:val="18"/>
                <w:szCs w:val="18"/>
              </w:rPr>
              <w:t>Total comprehensive income/(loss)</w:t>
            </w:r>
          </w:p>
        </w:tc>
        <w:tc>
          <w:tcPr>
            <w:tcW w:w="1007" w:type="dxa"/>
            <w:tcBorders>
              <w:top w:val="single" w:sz="4" w:space="0" w:color="auto"/>
              <w:left w:val="nil"/>
              <w:bottom w:val="single" w:sz="4" w:space="0" w:color="auto"/>
              <w:right w:val="nil"/>
            </w:tcBorders>
            <w:shd w:val="clear" w:color="FFFFFF" w:fill="FFFFFF"/>
            <w:noWrap/>
            <w:hideMark/>
          </w:tcPr>
          <w:p w14:paraId="196FF5F2"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1,002,584</w:t>
            </w:r>
          </w:p>
        </w:tc>
        <w:tc>
          <w:tcPr>
            <w:tcW w:w="1069" w:type="dxa"/>
            <w:tcBorders>
              <w:top w:val="single" w:sz="4" w:space="0" w:color="auto"/>
              <w:left w:val="nil"/>
              <w:bottom w:val="single" w:sz="4" w:space="0" w:color="auto"/>
              <w:right w:val="nil"/>
            </w:tcBorders>
            <w:shd w:val="clear" w:color="FFFFFF" w:fill="FFFFFF"/>
            <w:noWrap/>
            <w:hideMark/>
          </w:tcPr>
          <w:p w14:paraId="773B13BC" w14:textId="77777777" w:rsidR="00520333" w:rsidRPr="006D688A" w:rsidRDefault="00520333" w:rsidP="005E5E0C">
            <w:pPr>
              <w:spacing w:after="0" w:line="240" w:lineRule="auto"/>
              <w:jc w:val="right"/>
              <w:rPr>
                <w:rFonts w:cs="Arial"/>
                <w:sz w:val="18"/>
                <w:szCs w:val="18"/>
              </w:rPr>
            </w:pPr>
            <w:r w:rsidRPr="006D688A">
              <w:rPr>
                <w:rFonts w:cs="Arial"/>
                <w:sz w:val="18"/>
                <w:szCs w:val="18"/>
              </w:rPr>
              <w:t>14,889</w:t>
            </w:r>
          </w:p>
        </w:tc>
        <w:tc>
          <w:tcPr>
            <w:tcW w:w="1006" w:type="dxa"/>
            <w:tcBorders>
              <w:top w:val="single" w:sz="4" w:space="0" w:color="auto"/>
              <w:left w:val="nil"/>
              <w:bottom w:val="single" w:sz="4" w:space="0" w:color="auto"/>
              <w:right w:val="nil"/>
            </w:tcBorders>
            <w:shd w:val="clear" w:color="FFFFFF" w:fill="FFFFFF"/>
            <w:noWrap/>
            <w:hideMark/>
          </w:tcPr>
          <w:p w14:paraId="307116CC" w14:textId="77777777" w:rsidR="00520333" w:rsidRPr="006D688A" w:rsidRDefault="00520333" w:rsidP="005E5E0C">
            <w:pPr>
              <w:spacing w:after="0" w:line="240" w:lineRule="auto"/>
              <w:jc w:val="right"/>
              <w:rPr>
                <w:rFonts w:cs="Arial"/>
                <w:sz w:val="18"/>
                <w:szCs w:val="18"/>
              </w:rPr>
            </w:pPr>
            <w:r w:rsidRPr="006D688A">
              <w:rPr>
                <w:rFonts w:cs="Arial"/>
                <w:sz w:val="18"/>
                <w:szCs w:val="18"/>
              </w:rPr>
              <w:t>167,110</w:t>
            </w:r>
          </w:p>
        </w:tc>
        <w:tc>
          <w:tcPr>
            <w:tcW w:w="1002" w:type="dxa"/>
            <w:tcBorders>
              <w:top w:val="single" w:sz="4" w:space="0" w:color="auto"/>
              <w:left w:val="nil"/>
              <w:bottom w:val="single" w:sz="4" w:space="0" w:color="auto"/>
              <w:right w:val="nil"/>
            </w:tcBorders>
            <w:shd w:val="clear" w:color="FFFFFF" w:fill="FFFFFF"/>
            <w:noWrap/>
            <w:hideMark/>
          </w:tcPr>
          <w:p w14:paraId="7D84618E"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8,552</w:t>
            </w:r>
          </w:p>
        </w:tc>
        <w:tc>
          <w:tcPr>
            <w:tcW w:w="986" w:type="dxa"/>
            <w:tcBorders>
              <w:top w:val="single" w:sz="4" w:space="0" w:color="auto"/>
              <w:left w:val="nil"/>
              <w:bottom w:val="single" w:sz="4" w:space="0" w:color="auto"/>
              <w:right w:val="nil"/>
            </w:tcBorders>
            <w:shd w:val="clear" w:color="FFFFFF" w:fill="FFFFFF"/>
            <w:noWrap/>
            <w:hideMark/>
          </w:tcPr>
          <w:p w14:paraId="5A9F6F6F" w14:textId="77777777" w:rsidR="00520333" w:rsidRPr="006D688A" w:rsidRDefault="00520333" w:rsidP="005E5E0C">
            <w:pPr>
              <w:spacing w:after="0" w:line="240" w:lineRule="auto"/>
              <w:jc w:val="right"/>
              <w:rPr>
                <w:rFonts w:cs="Arial"/>
                <w:sz w:val="18"/>
                <w:szCs w:val="18"/>
              </w:rPr>
            </w:pPr>
            <w:r w:rsidRPr="006D688A">
              <w:rPr>
                <w:rFonts w:cs="Arial"/>
                <w:sz w:val="18"/>
                <w:szCs w:val="18"/>
              </w:rPr>
              <w:t>17,285</w:t>
            </w:r>
          </w:p>
        </w:tc>
        <w:tc>
          <w:tcPr>
            <w:tcW w:w="988" w:type="dxa"/>
            <w:tcBorders>
              <w:top w:val="single" w:sz="4" w:space="0" w:color="auto"/>
              <w:left w:val="nil"/>
              <w:bottom w:val="single" w:sz="4" w:space="0" w:color="auto"/>
              <w:right w:val="nil"/>
            </w:tcBorders>
            <w:shd w:val="clear" w:color="FFFFFF" w:fill="FFFFFF"/>
            <w:noWrap/>
            <w:hideMark/>
          </w:tcPr>
          <w:p w14:paraId="3182D010" w14:textId="77777777" w:rsidR="00520333" w:rsidRPr="006D688A" w:rsidRDefault="00520333" w:rsidP="005E5E0C">
            <w:pPr>
              <w:spacing w:after="0" w:line="240" w:lineRule="auto"/>
              <w:jc w:val="right"/>
              <w:rPr>
                <w:rFonts w:cs="Arial"/>
                <w:sz w:val="18"/>
                <w:szCs w:val="18"/>
              </w:rPr>
            </w:pPr>
            <w:r w:rsidRPr="006D688A">
              <w:rPr>
                <w:rFonts w:cs="Arial"/>
                <w:sz w:val="18"/>
                <w:szCs w:val="18"/>
              </w:rPr>
              <w:t>-</w:t>
            </w:r>
          </w:p>
        </w:tc>
        <w:tc>
          <w:tcPr>
            <w:tcW w:w="986" w:type="dxa"/>
            <w:tcBorders>
              <w:top w:val="single" w:sz="4" w:space="0" w:color="auto"/>
              <w:left w:val="nil"/>
              <w:bottom w:val="single" w:sz="4" w:space="0" w:color="auto"/>
              <w:right w:val="nil"/>
            </w:tcBorders>
            <w:shd w:val="clear" w:color="FFFFFF" w:fill="FFFFFF"/>
            <w:noWrap/>
            <w:hideMark/>
          </w:tcPr>
          <w:p w14:paraId="0274CE62"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w:t>
            </w:r>
          </w:p>
        </w:tc>
        <w:tc>
          <w:tcPr>
            <w:tcW w:w="984" w:type="dxa"/>
            <w:tcBorders>
              <w:top w:val="single" w:sz="4" w:space="0" w:color="auto"/>
              <w:left w:val="nil"/>
              <w:bottom w:val="single" w:sz="4" w:space="0" w:color="auto"/>
              <w:right w:val="nil"/>
            </w:tcBorders>
            <w:shd w:val="clear" w:color="FFFFFF" w:fill="FFFFFF"/>
            <w:noWrap/>
            <w:hideMark/>
          </w:tcPr>
          <w:p w14:paraId="561E2D8A" w14:textId="77777777" w:rsidR="00520333" w:rsidRPr="006D688A" w:rsidRDefault="00520333" w:rsidP="005E5E0C">
            <w:pPr>
              <w:spacing w:after="0" w:line="240" w:lineRule="auto"/>
              <w:jc w:val="right"/>
              <w:rPr>
                <w:rFonts w:cs="Arial"/>
                <w:sz w:val="18"/>
                <w:szCs w:val="18"/>
              </w:rPr>
            </w:pPr>
            <w:r w:rsidRPr="006D688A">
              <w:rPr>
                <w:rFonts w:cs="Arial"/>
                <w:sz w:val="18"/>
                <w:szCs w:val="18"/>
              </w:rPr>
              <w:t>-</w:t>
            </w:r>
          </w:p>
        </w:tc>
        <w:tc>
          <w:tcPr>
            <w:tcW w:w="984" w:type="dxa"/>
            <w:tcBorders>
              <w:top w:val="single" w:sz="4" w:space="0" w:color="auto"/>
              <w:left w:val="nil"/>
              <w:bottom w:val="single" w:sz="4" w:space="0" w:color="auto"/>
              <w:right w:val="nil"/>
            </w:tcBorders>
            <w:shd w:val="clear" w:color="FFFFFF" w:fill="FFFFFF"/>
            <w:noWrap/>
            <w:hideMark/>
          </w:tcPr>
          <w:p w14:paraId="5EC5D9DB" w14:textId="77777777" w:rsidR="00520333" w:rsidRPr="006D688A" w:rsidRDefault="00520333" w:rsidP="005E5E0C">
            <w:pPr>
              <w:spacing w:after="0" w:line="240" w:lineRule="auto"/>
              <w:jc w:val="right"/>
              <w:rPr>
                <w:rFonts w:cs="Arial"/>
                <w:sz w:val="18"/>
                <w:szCs w:val="18"/>
              </w:rPr>
            </w:pPr>
            <w:r w:rsidRPr="006D688A">
              <w:rPr>
                <w:rFonts w:cs="Arial"/>
                <w:sz w:val="18"/>
                <w:szCs w:val="18"/>
              </w:rPr>
              <w:t>-</w:t>
            </w:r>
          </w:p>
        </w:tc>
        <w:tc>
          <w:tcPr>
            <w:tcW w:w="984" w:type="dxa"/>
            <w:tcBorders>
              <w:top w:val="single" w:sz="4" w:space="0" w:color="auto"/>
              <w:left w:val="nil"/>
              <w:bottom w:val="single" w:sz="4" w:space="0" w:color="auto"/>
              <w:right w:val="nil"/>
            </w:tcBorders>
            <w:shd w:val="clear" w:color="FFFFFF" w:fill="FFFFFF"/>
            <w:noWrap/>
            <w:hideMark/>
          </w:tcPr>
          <w:p w14:paraId="6743856A"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1,011,136</w:t>
            </w:r>
          </w:p>
        </w:tc>
        <w:tc>
          <w:tcPr>
            <w:tcW w:w="1061" w:type="dxa"/>
            <w:tcBorders>
              <w:top w:val="single" w:sz="4" w:space="0" w:color="auto"/>
              <w:left w:val="nil"/>
              <w:bottom w:val="single" w:sz="4" w:space="0" w:color="auto"/>
              <w:right w:val="nil"/>
            </w:tcBorders>
            <w:shd w:val="clear" w:color="FFFFFF" w:fill="FFFFFF"/>
            <w:noWrap/>
            <w:hideMark/>
          </w:tcPr>
          <w:p w14:paraId="24623210" w14:textId="77777777" w:rsidR="00520333" w:rsidRPr="006D688A" w:rsidRDefault="00520333" w:rsidP="005E5E0C">
            <w:pPr>
              <w:spacing w:after="0" w:line="240" w:lineRule="auto"/>
              <w:jc w:val="right"/>
              <w:rPr>
                <w:rFonts w:cs="Arial"/>
                <w:sz w:val="18"/>
                <w:szCs w:val="18"/>
              </w:rPr>
            </w:pPr>
            <w:r w:rsidRPr="006D688A">
              <w:rPr>
                <w:rFonts w:cs="Arial"/>
                <w:sz w:val="18"/>
                <w:szCs w:val="18"/>
              </w:rPr>
              <w:t>32,174</w:t>
            </w:r>
          </w:p>
        </w:tc>
        <w:tc>
          <w:tcPr>
            <w:tcW w:w="984" w:type="dxa"/>
            <w:tcBorders>
              <w:top w:val="single" w:sz="4" w:space="0" w:color="auto"/>
              <w:left w:val="nil"/>
              <w:bottom w:val="single" w:sz="4" w:space="0" w:color="auto"/>
              <w:right w:val="nil"/>
            </w:tcBorders>
            <w:shd w:val="clear" w:color="FFFFFF" w:fill="FFFFFF"/>
            <w:noWrap/>
            <w:hideMark/>
          </w:tcPr>
          <w:p w14:paraId="662761A2" w14:textId="77777777" w:rsidR="00520333" w:rsidRPr="006D688A" w:rsidRDefault="00520333" w:rsidP="005E5E0C">
            <w:pPr>
              <w:spacing w:after="0" w:line="240" w:lineRule="auto"/>
              <w:jc w:val="right"/>
              <w:rPr>
                <w:rFonts w:cs="Arial"/>
                <w:sz w:val="18"/>
                <w:szCs w:val="18"/>
              </w:rPr>
            </w:pPr>
            <w:r w:rsidRPr="006D688A">
              <w:rPr>
                <w:rFonts w:cs="Arial"/>
                <w:sz w:val="18"/>
                <w:szCs w:val="18"/>
              </w:rPr>
              <w:t>167,110</w:t>
            </w:r>
          </w:p>
        </w:tc>
      </w:tr>
      <w:tr w:rsidR="00520333" w:rsidRPr="006D688A" w14:paraId="23CECAA1" w14:textId="77777777" w:rsidTr="005E5E0C">
        <w:trPr>
          <w:trHeight w:val="238"/>
        </w:trPr>
        <w:tc>
          <w:tcPr>
            <w:tcW w:w="2642" w:type="dxa"/>
            <w:tcBorders>
              <w:top w:val="nil"/>
              <w:left w:val="nil"/>
              <w:bottom w:val="nil"/>
              <w:right w:val="nil"/>
            </w:tcBorders>
            <w:shd w:val="clear" w:color="FFFFFF" w:fill="FFFFFF"/>
            <w:hideMark/>
          </w:tcPr>
          <w:p w14:paraId="22F189B2" w14:textId="77777777" w:rsidR="00520333" w:rsidRPr="006D688A" w:rsidRDefault="00520333" w:rsidP="005E5E0C">
            <w:pPr>
              <w:spacing w:after="0" w:line="240" w:lineRule="auto"/>
              <w:rPr>
                <w:rFonts w:cs="Arial"/>
                <w:b/>
                <w:bCs/>
                <w:sz w:val="18"/>
                <w:szCs w:val="18"/>
              </w:rPr>
            </w:pPr>
            <w:r w:rsidRPr="006D688A">
              <w:rPr>
                <w:rFonts w:cs="Arial"/>
                <w:b/>
                <w:bCs/>
                <w:sz w:val="18"/>
                <w:szCs w:val="18"/>
              </w:rPr>
              <w:t> </w:t>
            </w:r>
          </w:p>
        </w:tc>
        <w:tc>
          <w:tcPr>
            <w:tcW w:w="1007" w:type="dxa"/>
            <w:tcBorders>
              <w:top w:val="nil"/>
              <w:left w:val="nil"/>
              <w:bottom w:val="nil"/>
              <w:right w:val="nil"/>
            </w:tcBorders>
            <w:shd w:val="clear" w:color="FFFFFF" w:fill="FFFFFF"/>
            <w:noWrap/>
            <w:hideMark/>
          </w:tcPr>
          <w:p w14:paraId="273C3E2B"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 </w:t>
            </w:r>
          </w:p>
        </w:tc>
        <w:tc>
          <w:tcPr>
            <w:tcW w:w="1069" w:type="dxa"/>
            <w:tcBorders>
              <w:top w:val="nil"/>
              <w:left w:val="nil"/>
              <w:bottom w:val="nil"/>
              <w:right w:val="nil"/>
            </w:tcBorders>
            <w:shd w:val="clear" w:color="FFFFFF" w:fill="FFFFFF"/>
            <w:noWrap/>
            <w:hideMark/>
          </w:tcPr>
          <w:p w14:paraId="4D29BC8E" w14:textId="77777777" w:rsidR="00520333" w:rsidRPr="006D688A" w:rsidRDefault="00520333" w:rsidP="005E5E0C">
            <w:pPr>
              <w:spacing w:after="0" w:line="240" w:lineRule="auto"/>
              <w:jc w:val="right"/>
              <w:rPr>
                <w:rFonts w:cs="Arial"/>
                <w:sz w:val="18"/>
                <w:szCs w:val="18"/>
              </w:rPr>
            </w:pPr>
            <w:r w:rsidRPr="006D688A">
              <w:rPr>
                <w:rFonts w:cs="Arial"/>
                <w:sz w:val="18"/>
                <w:szCs w:val="18"/>
              </w:rPr>
              <w:t> </w:t>
            </w:r>
          </w:p>
        </w:tc>
        <w:tc>
          <w:tcPr>
            <w:tcW w:w="1006" w:type="dxa"/>
            <w:tcBorders>
              <w:top w:val="nil"/>
              <w:left w:val="nil"/>
              <w:bottom w:val="nil"/>
              <w:right w:val="nil"/>
            </w:tcBorders>
            <w:shd w:val="clear" w:color="FFFFFF" w:fill="FFFFFF"/>
            <w:noWrap/>
            <w:hideMark/>
          </w:tcPr>
          <w:p w14:paraId="5533719F" w14:textId="77777777" w:rsidR="00520333" w:rsidRPr="006D688A" w:rsidRDefault="00520333" w:rsidP="005E5E0C">
            <w:pPr>
              <w:spacing w:after="0" w:line="240" w:lineRule="auto"/>
              <w:jc w:val="right"/>
              <w:rPr>
                <w:rFonts w:cs="Arial"/>
                <w:sz w:val="18"/>
                <w:szCs w:val="18"/>
              </w:rPr>
            </w:pPr>
            <w:r w:rsidRPr="006D688A">
              <w:rPr>
                <w:rFonts w:cs="Arial"/>
                <w:sz w:val="18"/>
                <w:szCs w:val="18"/>
              </w:rPr>
              <w:t> </w:t>
            </w:r>
          </w:p>
        </w:tc>
        <w:tc>
          <w:tcPr>
            <w:tcW w:w="1002" w:type="dxa"/>
            <w:tcBorders>
              <w:top w:val="nil"/>
              <w:left w:val="nil"/>
              <w:bottom w:val="nil"/>
              <w:right w:val="nil"/>
            </w:tcBorders>
            <w:shd w:val="clear" w:color="FFFFFF" w:fill="FFFFFF"/>
            <w:noWrap/>
            <w:hideMark/>
          </w:tcPr>
          <w:p w14:paraId="319AB907"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 </w:t>
            </w:r>
          </w:p>
        </w:tc>
        <w:tc>
          <w:tcPr>
            <w:tcW w:w="986" w:type="dxa"/>
            <w:tcBorders>
              <w:top w:val="nil"/>
              <w:left w:val="nil"/>
              <w:bottom w:val="nil"/>
              <w:right w:val="nil"/>
            </w:tcBorders>
            <w:shd w:val="clear" w:color="FFFFFF" w:fill="FFFFFF"/>
            <w:noWrap/>
            <w:hideMark/>
          </w:tcPr>
          <w:p w14:paraId="17B91A56" w14:textId="77777777" w:rsidR="00520333" w:rsidRPr="006D688A" w:rsidRDefault="00520333" w:rsidP="005E5E0C">
            <w:pPr>
              <w:spacing w:after="0" w:line="240" w:lineRule="auto"/>
              <w:jc w:val="right"/>
              <w:rPr>
                <w:rFonts w:cs="Arial"/>
                <w:sz w:val="18"/>
                <w:szCs w:val="18"/>
              </w:rPr>
            </w:pPr>
            <w:r w:rsidRPr="006D688A">
              <w:rPr>
                <w:rFonts w:cs="Arial"/>
                <w:sz w:val="18"/>
                <w:szCs w:val="18"/>
              </w:rPr>
              <w:t> </w:t>
            </w:r>
          </w:p>
        </w:tc>
        <w:tc>
          <w:tcPr>
            <w:tcW w:w="988" w:type="dxa"/>
            <w:tcBorders>
              <w:top w:val="nil"/>
              <w:left w:val="nil"/>
              <w:bottom w:val="nil"/>
              <w:right w:val="nil"/>
            </w:tcBorders>
            <w:shd w:val="clear" w:color="FFFFFF" w:fill="FFFFFF"/>
            <w:noWrap/>
            <w:hideMark/>
          </w:tcPr>
          <w:p w14:paraId="33341216" w14:textId="77777777" w:rsidR="00520333" w:rsidRPr="006D688A" w:rsidRDefault="00520333" w:rsidP="005E5E0C">
            <w:pPr>
              <w:spacing w:after="0" w:line="240" w:lineRule="auto"/>
              <w:jc w:val="right"/>
              <w:rPr>
                <w:rFonts w:cs="Arial"/>
                <w:sz w:val="18"/>
                <w:szCs w:val="18"/>
              </w:rPr>
            </w:pPr>
            <w:r w:rsidRPr="006D688A">
              <w:rPr>
                <w:rFonts w:cs="Arial"/>
                <w:sz w:val="18"/>
                <w:szCs w:val="18"/>
              </w:rPr>
              <w:t> </w:t>
            </w:r>
          </w:p>
        </w:tc>
        <w:tc>
          <w:tcPr>
            <w:tcW w:w="986" w:type="dxa"/>
            <w:tcBorders>
              <w:top w:val="nil"/>
              <w:left w:val="nil"/>
              <w:bottom w:val="nil"/>
              <w:right w:val="nil"/>
            </w:tcBorders>
            <w:shd w:val="clear" w:color="FFFFFF" w:fill="FFFFFF"/>
            <w:noWrap/>
            <w:hideMark/>
          </w:tcPr>
          <w:p w14:paraId="6FA69C59"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 </w:t>
            </w:r>
          </w:p>
        </w:tc>
        <w:tc>
          <w:tcPr>
            <w:tcW w:w="984" w:type="dxa"/>
            <w:tcBorders>
              <w:top w:val="nil"/>
              <w:left w:val="nil"/>
              <w:bottom w:val="nil"/>
              <w:right w:val="nil"/>
            </w:tcBorders>
            <w:shd w:val="clear" w:color="FFFFFF" w:fill="FFFFFF"/>
            <w:noWrap/>
            <w:hideMark/>
          </w:tcPr>
          <w:p w14:paraId="65C8F1AC" w14:textId="77777777" w:rsidR="00520333" w:rsidRPr="006D688A" w:rsidRDefault="00520333" w:rsidP="005E5E0C">
            <w:pPr>
              <w:spacing w:after="0" w:line="240" w:lineRule="auto"/>
              <w:jc w:val="right"/>
              <w:rPr>
                <w:rFonts w:cs="Arial"/>
                <w:sz w:val="18"/>
                <w:szCs w:val="18"/>
              </w:rPr>
            </w:pPr>
            <w:r w:rsidRPr="006D688A">
              <w:rPr>
                <w:rFonts w:cs="Arial"/>
                <w:sz w:val="18"/>
                <w:szCs w:val="18"/>
              </w:rPr>
              <w:t> </w:t>
            </w:r>
          </w:p>
        </w:tc>
        <w:tc>
          <w:tcPr>
            <w:tcW w:w="984" w:type="dxa"/>
            <w:tcBorders>
              <w:top w:val="nil"/>
              <w:left w:val="nil"/>
              <w:bottom w:val="nil"/>
              <w:right w:val="nil"/>
            </w:tcBorders>
            <w:shd w:val="clear" w:color="FFFFFF" w:fill="FFFFFF"/>
            <w:noWrap/>
            <w:hideMark/>
          </w:tcPr>
          <w:p w14:paraId="68EC50B0" w14:textId="77777777" w:rsidR="00520333" w:rsidRPr="006D688A" w:rsidRDefault="00520333" w:rsidP="005E5E0C">
            <w:pPr>
              <w:spacing w:after="0" w:line="240" w:lineRule="auto"/>
              <w:jc w:val="right"/>
              <w:rPr>
                <w:rFonts w:cs="Arial"/>
                <w:sz w:val="18"/>
                <w:szCs w:val="18"/>
              </w:rPr>
            </w:pPr>
            <w:r w:rsidRPr="006D688A">
              <w:rPr>
                <w:rFonts w:cs="Arial"/>
                <w:sz w:val="18"/>
                <w:szCs w:val="18"/>
              </w:rPr>
              <w:t> </w:t>
            </w:r>
          </w:p>
        </w:tc>
        <w:tc>
          <w:tcPr>
            <w:tcW w:w="984" w:type="dxa"/>
            <w:tcBorders>
              <w:top w:val="nil"/>
              <w:left w:val="nil"/>
              <w:bottom w:val="nil"/>
              <w:right w:val="nil"/>
            </w:tcBorders>
            <w:shd w:val="clear" w:color="FFFFFF" w:fill="FFFFFF"/>
            <w:noWrap/>
            <w:hideMark/>
          </w:tcPr>
          <w:p w14:paraId="4CE05DC8"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 </w:t>
            </w:r>
          </w:p>
        </w:tc>
        <w:tc>
          <w:tcPr>
            <w:tcW w:w="1061" w:type="dxa"/>
            <w:tcBorders>
              <w:top w:val="nil"/>
              <w:left w:val="nil"/>
              <w:bottom w:val="nil"/>
              <w:right w:val="nil"/>
            </w:tcBorders>
            <w:shd w:val="clear" w:color="FFFFFF" w:fill="FFFFFF"/>
            <w:noWrap/>
            <w:hideMark/>
          </w:tcPr>
          <w:p w14:paraId="567AA66F" w14:textId="77777777" w:rsidR="00520333" w:rsidRPr="006D688A" w:rsidRDefault="00520333" w:rsidP="005E5E0C">
            <w:pPr>
              <w:spacing w:after="0" w:line="240" w:lineRule="auto"/>
              <w:jc w:val="right"/>
              <w:rPr>
                <w:rFonts w:cs="Arial"/>
                <w:sz w:val="18"/>
                <w:szCs w:val="18"/>
              </w:rPr>
            </w:pPr>
            <w:r w:rsidRPr="006D688A">
              <w:rPr>
                <w:rFonts w:cs="Arial"/>
                <w:sz w:val="18"/>
                <w:szCs w:val="18"/>
              </w:rPr>
              <w:t> </w:t>
            </w:r>
          </w:p>
        </w:tc>
        <w:tc>
          <w:tcPr>
            <w:tcW w:w="984" w:type="dxa"/>
            <w:tcBorders>
              <w:top w:val="nil"/>
              <w:left w:val="nil"/>
              <w:bottom w:val="nil"/>
              <w:right w:val="nil"/>
            </w:tcBorders>
            <w:shd w:val="clear" w:color="FFFFFF" w:fill="FFFFFF"/>
            <w:noWrap/>
            <w:hideMark/>
          </w:tcPr>
          <w:p w14:paraId="3A4FD5ED" w14:textId="77777777" w:rsidR="00520333" w:rsidRPr="006D688A" w:rsidRDefault="00520333" w:rsidP="005E5E0C">
            <w:pPr>
              <w:spacing w:after="0" w:line="240" w:lineRule="auto"/>
              <w:jc w:val="right"/>
              <w:rPr>
                <w:rFonts w:cs="Arial"/>
                <w:sz w:val="18"/>
                <w:szCs w:val="18"/>
              </w:rPr>
            </w:pPr>
            <w:r w:rsidRPr="006D688A">
              <w:rPr>
                <w:rFonts w:cs="Arial"/>
                <w:sz w:val="18"/>
                <w:szCs w:val="18"/>
              </w:rPr>
              <w:t> </w:t>
            </w:r>
          </w:p>
        </w:tc>
      </w:tr>
      <w:tr w:rsidR="00520333" w:rsidRPr="006D688A" w14:paraId="647C5190" w14:textId="77777777" w:rsidTr="005E5E0C">
        <w:trPr>
          <w:trHeight w:val="238"/>
        </w:trPr>
        <w:tc>
          <w:tcPr>
            <w:tcW w:w="2642" w:type="dxa"/>
            <w:tcBorders>
              <w:top w:val="nil"/>
              <w:left w:val="nil"/>
              <w:bottom w:val="nil"/>
              <w:right w:val="nil"/>
            </w:tcBorders>
            <w:shd w:val="clear" w:color="FFFFFF" w:fill="FFFFFF"/>
            <w:vAlign w:val="bottom"/>
            <w:hideMark/>
          </w:tcPr>
          <w:p w14:paraId="4F403AAF" w14:textId="77777777" w:rsidR="00520333" w:rsidRPr="006D688A" w:rsidRDefault="00520333" w:rsidP="005E5E0C">
            <w:pPr>
              <w:spacing w:after="0" w:line="240" w:lineRule="auto"/>
              <w:rPr>
                <w:rFonts w:cs="Arial"/>
                <w:b/>
                <w:bCs/>
                <w:sz w:val="18"/>
                <w:szCs w:val="18"/>
              </w:rPr>
            </w:pPr>
            <w:r w:rsidRPr="006D688A">
              <w:rPr>
                <w:rFonts w:cs="Arial"/>
                <w:b/>
                <w:bCs/>
                <w:sz w:val="18"/>
                <w:szCs w:val="18"/>
              </w:rPr>
              <w:t> </w:t>
            </w:r>
          </w:p>
        </w:tc>
        <w:tc>
          <w:tcPr>
            <w:tcW w:w="1007" w:type="dxa"/>
            <w:tcBorders>
              <w:top w:val="nil"/>
              <w:left w:val="nil"/>
              <w:bottom w:val="nil"/>
              <w:right w:val="nil"/>
            </w:tcBorders>
            <w:shd w:val="clear" w:color="FFFFFF" w:fill="FFFFFF"/>
            <w:noWrap/>
            <w:vAlign w:val="bottom"/>
            <w:hideMark/>
          </w:tcPr>
          <w:p w14:paraId="6E182E41"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 </w:t>
            </w:r>
          </w:p>
        </w:tc>
        <w:tc>
          <w:tcPr>
            <w:tcW w:w="1069" w:type="dxa"/>
            <w:tcBorders>
              <w:top w:val="nil"/>
              <w:left w:val="nil"/>
              <w:bottom w:val="nil"/>
              <w:right w:val="nil"/>
            </w:tcBorders>
            <w:shd w:val="clear" w:color="FFFFFF" w:fill="FFFFFF"/>
            <w:noWrap/>
            <w:vAlign w:val="bottom"/>
            <w:hideMark/>
          </w:tcPr>
          <w:p w14:paraId="30B355EC" w14:textId="77777777" w:rsidR="00520333" w:rsidRPr="006D688A" w:rsidRDefault="00520333" w:rsidP="005E5E0C">
            <w:pPr>
              <w:spacing w:after="0" w:line="240" w:lineRule="auto"/>
              <w:jc w:val="right"/>
              <w:rPr>
                <w:rFonts w:cs="Arial"/>
                <w:sz w:val="18"/>
                <w:szCs w:val="18"/>
              </w:rPr>
            </w:pPr>
            <w:r w:rsidRPr="006D688A">
              <w:rPr>
                <w:rFonts w:cs="Arial"/>
                <w:sz w:val="18"/>
                <w:szCs w:val="18"/>
              </w:rPr>
              <w:t> </w:t>
            </w:r>
          </w:p>
        </w:tc>
        <w:tc>
          <w:tcPr>
            <w:tcW w:w="1006" w:type="dxa"/>
            <w:tcBorders>
              <w:top w:val="nil"/>
              <w:left w:val="nil"/>
              <w:bottom w:val="nil"/>
              <w:right w:val="nil"/>
            </w:tcBorders>
            <w:shd w:val="clear" w:color="FFFFFF" w:fill="FFFFFF"/>
            <w:noWrap/>
            <w:vAlign w:val="bottom"/>
            <w:hideMark/>
          </w:tcPr>
          <w:p w14:paraId="6AF3FE32" w14:textId="77777777" w:rsidR="00520333" w:rsidRPr="006D688A" w:rsidRDefault="00520333" w:rsidP="005E5E0C">
            <w:pPr>
              <w:spacing w:after="0" w:line="240" w:lineRule="auto"/>
              <w:jc w:val="right"/>
              <w:rPr>
                <w:rFonts w:cs="Arial"/>
                <w:sz w:val="18"/>
                <w:szCs w:val="18"/>
              </w:rPr>
            </w:pPr>
            <w:r w:rsidRPr="006D688A">
              <w:rPr>
                <w:rFonts w:cs="Arial"/>
                <w:sz w:val="18"/>
                <w:szCs w:val="18"/>
              </w:rPr>
              <w:t> </w:t>
            </w:r>
          </w:p>
        </w:tc>
        <w:tc>
          <w:tcPr>
            <w:tcW w:w="1002" w:type="dxa"/>
            <w:tcBorders>
              <w:top w:val="nil"/>
              <w:left w:val="nil"/>
              <w:bottom w:val="nil"/>
              <w:right w:val="nil"/>
            </w:tcBorders>
            <w:shd w:val="clear" w:color="FFFFFF" w:fill="FFFFFF"/>
            <w:noWrap/>
            <w:vAlign w:val="bottom"/>
            <w:hideMark/>
          </w:tcPr>
          <w:p w14:paraId="2D6BBE99"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 </w:t>
            </w:r>
          </w:p>
        </w:tc>
        <w:tc>
          <w:tcPr>
            <w:tcW w:w="986" w:type="dxa"/>
            <w:tcBorders>
              <w:top w:val="nil"/>
              <w:left w:val="nil"/>
              <w:bottom w:val="nil"/>
              <w:right w:val="nil"/>
            </w:tcBorders>
            <w:shd w:val="clear" w:color="FFFFFF" w:fill="FFFFFF"/>
            <w:noWrap/>
            <w:vAlign w:val="bottom"/>
            <w:hideMark/>
          </w:tcPr>
          <w:p w14:paraId="197BC5EE" w14:textId="77777777" w:rsidR="00520333" w:rsidRPr="006D688A" w:rsidRDefault="00520333" w:rsidP="005E5E0C">
            <w:pPr>
              <w:spacing w:after="0" w:line="240" w:lineRule="auto"/>
              <w:jc w:val="right"/>
              <w:rPr>
                <w:rFonts w:cs="Arial"/>
                <w:sz w:val="18"/>
                <w:szCs w:val="18"/>
              </w:rPr>
            </w:pPr>
            <w:r w:rsidRPr="006D688A">
              <w:rPr>
                <w:rFonts w:cs="Arial"/>
                <w:sz w:val="18"/>
                <w:szCs w:val="18"/>
              </w:rPr>
              <w:t> </w:t>
            </w:r>
          </w:p>
        </w:tc>
        <w:tc>
          <w:tcPr>
            <w:tcW w:w="988" w:type="dxa"/>
            <w:tcBorders>
              <w:top w:val="nil"/>
              <w:left w:val="nil"/>
              <w:bottom w:val="nil"/>
              <w:right w:val="nil"/>
            </w:tcBorders>
            <w:shd w:val="clear" w:color="FFFFFF" w:fill="FFFFFF"/>
            <w:noWrap/>
            <w:vAlign w:val="bottom"/>
            <w:hideMark/>
          </w:tcPr>
          <w:p w14:paraId="3C6506D7" w14:textId="77777777" w:rsidR="00520333" w:rsidRPr="006D688A" w:rsidRDefault="00520333" w:rsidP="005E5E0C">
            <w:pPr>
              <w:spacing w:after="0" w:line="240" w:lineRule="auto"/>
              <w:jc w:val="right"/>
              <w:rPr>
                <w:rFonts w:cs="Arial"/>
                <w:sz w:val="18"/>
                <w:szCs w:val="18"/>
              </w:rPr>
            </w:pPr>
            <w:r w:rsidRPr="006D688A">
              <w:rPr>
                <w:rFonts w:cs="Arial"/>
                <w:sz w:val="18"/>
                <w:szCs w:val="18"/>
              </w:rPr>
              <w:t> </w:t>
            </w:r>
          </w:p>
        </w:tc>
        <w:tc>
          <w:tcPr>
            <w:tcW w:w="986" w:type="dxa"/>
            <w:tcBorders>
              <w:top w:val="nil"/>
              <w:left w:val="nil"/>
              <w:bottom w:val="nil"/>
              <w:right w:val="nil"/>
            </w:tcBorders>
            <w:shd w:val="clear" w:color="FFFFFF" w:fill="FFFFFF"/>
            <w:noWrap/>
            <w:vAlign w:val="bottom"/>
            <w:hideMark/>
          </w:tcPr>
          <w:p w14:paraId="0AC4359C"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 </w:t>
            </w:r>
          </w:p>
        </w:tc>
        <w:tc>
          <w:tcPr>
            <w:tcW w:w="984" w:type="dxa"/>
            <w:tcBorders>
              <w:top w:val="nil"/>
              <w:left w:val="nil"/>
              <w:bottom w:val="nil"/>
              <w:right w:val="nil"/>
            </w:tcBorders>
            <w:shd w:val="clear" w:color="FFFFFF" w:fill="FFFFFF"/>
            <w:noWrap/>
            <w:vAlign w:val="bottom"/>
            <w:hideMark/>
          </w:tcPr>
          <w:p w14:paraId="24494A6F" w14:textId="77777777" w:rsidR="00520333" w:rsidRPr="006D688A" w:rsidRDefault="00520333" w:rsidP="005E5E0C">
            <w:pPr>
              <w:spacing w:after="0" w:line="240" w:lineRule="auto"/>
              <w:jc w:val="right"/>
              <w:rPr>
                <w:rFonts w:cs="Arial"/>
                <w:sz w:val="18"/>
                <w:szCs w:val="18"/>
              </w:rPr>
            </w:pPr>
            <w:r w:rsidRPr="006D688A">
              <w:rPr>
                <w:rFonts w:cs="Arial"/>
                <w:sz w:val="18"/>
                <w:szCs w:val="18"/>
              </w:rPr>
              <w:t> </w:t>
            </w:r>
          </w:p>
        </w:tc>
        <w:tc>
          <w:tcPr>
            <w:tcW w:w="984" w:type="dxa"/>
            <w:tcBorders>
              <w:top w:val="nil"/>
              <w:left w:val="nil"/>
              <w:bottom w:val="nil"/>
              <w:right w:val="nil"/>
            </w:tcBorders>
            <w:shd w:val="clear" w:color="FFFFFF" w:fill="FFFFFF"/>
            <w:noWrap/>
            <w:vAlign w:val="bottom"/>
            <w:hideMark/>
          </w:tcPr>
          <w:p w14:paraId="2AB956F9" w14:textId="77777777" w:rsidR="00520333" w:rsidRPr="006D688A" w:rsidRDefault="00520333" w:rsidP="005E5E0C">
            <w:pPr>
              <w:spacing w:after="0" w:line="240" w:lineRule="auto"/>
              <w:jc w:val="right"/>
              <w:rPr>
                <w:rFonts w:cs="Arial"/>
                <w:sz w:val="18"/>
                <w:szCs w:val="18"/>
              </w:rPr>
            </w:pPr>
            <w:r w:rsidRPr="006D688A">
              <w:rPr>
                <w:rFonts w:cs="Arial"/>
                <w:sz w:val="18"/>
                <w:szCs w:val="18"/>
              </w:rPr>
              <w:t> </w:t>
            </w:r>
          </w:p>
        </w:tc>
        <w:tc>
          <w:tcPr>
            <w:tcW w:w="984" w:type="dxa"/>
            <w:tcBorders>
              <w:top w:val="nil"/>
              <w:left w:val="nil"/>
              <w:bottom w:val="nil"/>
              <w:right w:val="nil"/>
            </w:tcBorders>
            <w:shd w:val="clear" w:color="FFFFFF" w:fill="FFFFFF"/>
            <w:noWrap/>
            <w:vAlign w:val="bottom"/>
            <w:hideMark/>
          </w:tcPr>
          <w:p w14:paraId="234A4F59"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 </w:t>
            </w:r>
          </w:p>
        </w:tc>
        <w:tc>
          <w:tcPr>
            <w:tcW w:w="1061" w:type="dxa"/>
            <w:tcBorders>
              <w:top w:val="nil"/>
              <w:left w:val="nil"/>
              <w:bottom w:val="nil"/>
              <w:right w:val="nil"/>
            </w:tcBorders>
            <w:shd w:val="clear" w:color="FFFFFF" w:fill="FFFFFF"/>
            <w:noWrap/>
            <w:vAlign w:val="bottom"/>
            <w:hideMark/>
          </w:tcPr>
          <w:p w14:paraId="74D2C858" w14:textId="77777777" w:rsidR="00520333" w:rsidRPr="006D688A" w:rsidRDefault="00520333" w:rsidP="005E5E0C">
            <w:pPr>
              <w:spacing w:after="0" w:line="240" w:lineRule="auto"/>
              <w:jc w:val="right"/>
              <w:rPr>
                <w:rFonts w:cs="Arial"/>
                <w:sz w:val="18"/>
                <w:szCs w:val="18"/>
              </w:rPr>
            </w:pPr>
            <w:r w:rsidRPr="006D688A">
              <w:rPr>
                <w:rFonts w:cs="Arial"/>
                <w:sz w:val="18"/>
                <w:szCs w:val="18"/>
              </w:rPr>
              <w:t> </w:t>
            </w:r>
          </w:p>
        </w:tc>
        <w:tc>
          <w:tcPr>
            <w:tcW w:w="984" w:type="dxa"/>
            <w:tcBorders>
              <w:top w:val="nil"/>
              <w:left w:val="nil"/>
              <w:bottom w:val="nil"/>
              <w:right w:val="nil"/>
            </w:tcBorders>
            <w:shd w:val="clear" w:color="FFFFFF" w:fill="FFFFFF"/>
            <w:noWrap/>
            <w:vAlign w:val="bottom"/>
            <w:hideMark/>
          </w:tcPr>
          <w:p w14:paraId="555CCEF4" w14:textId="77777777" w:rsidR="00520333" w:rsidRPr="006D688A" w:rsidRDefault="00520333" w:rsidP="005E5E0C">
            <w:pPr>
              <w:spacing w:after="0" w:line="240" w:lineRule="auto"/>
              <w:jc w:val="right"/>
              <w:rPr>
                <w:rFonts w:cs="Arial"/>
                <w:sz w:val="18"/>
                <w:szCs w:val="18"/>
              </w:rPr>
            </w:pPr>
            <w:r w:rsidRPr="006D688A">
              <w:rPr>
                <w:rFonts w:cs="Arial"/>
                <w:sz w:val="18"/>
                <w:szCs w:val="18"/>
              </w:rPr>
              <w:t> </w:t>
            </w:r>
          </w:p>
        </w:tc>
      </w:tr>
      <w:tr w:rsidR="00520333" w:rsidRPr="006D688A" w14:paraId="712D2FC5" w14:textId="77777777" w:rsidTr="005E5E0C">
        <w:trPr>
          <w:trHeight w:val="238"/>
        </w:trPr>
        <w:tc>
          <w:tcPr>
            <w:tcW w:w="2642" w:type="dxa"/>
            <w:tcBorders>
              <w:top w:val="single" w:sz="4" w:space="0" w:color="auto"/>
              <w:left w:val="nil"/>
              <w:bottom w:val="single" w:sz="4" w:space="0" w:color="auto"/>
              <w:right w:val="nil"/>
            </w:tcBorders>
            <w:shd w:val="clear" w:color="FFFFFF" w:fill="FFFFFF"/>
            <w:vAlign w:val="bottom"/>
            <w:hideMark/>
          </w:tcPr>
          <w:p w14:paraId="1051E2DF" w14:textId="77777777" w:rsidR="00520333" w:rsidRPr="006D688A" w:rsidRDefault="00520333" w:rsidP="005E5E0C">
            <w:pPr>
              <w:spacing w:after="0" w:line="240" w:lineRule="auto"/>
              <w:rPr>
                <w:rFonts w:cs="Arial"/>
                <w:b/>
                <w:bCs/>
                <w:sz w:val="18"/>
                <w:szCs w:val="18"/>
              </w:rPr>
            </w:pPr>
            <w:r w:rsidRPr="006D688A">
              <w:rPr>
                <w:rFonts w:cs="Arial"/>
                <w:b/>
                <w:bCs/>
                <w:sz w:val="18"/>
                <w:szCs w:val="18"/>
              </w:rPr>
              <w:t>Closing balance</w:t>
            </w:r>
          </w:p>
        </w:tc>
        <w:tc>
          <w:tcPr>
            <w:tcW w:w="1007" w:type="dxa"/>
            <w:tcBorders>
              <w:top w:val="single" w:sz="4" w:space="0" w:color="auto"/>
              <w:left w:val="nil"/>
              <w:bottom w:val="single" w:sz="4" w:space="0" w:color="auto"/>
              <w:right w:val="nil"/>
            </w:tcBorders>
            <w:shd w:val="clear" w:color="FFFFFF" w:fill="FFFFFF"/>
            <w:noWrap/>
            <w:vAlign w:val="bottom"/>
            <w:hideMark/>
          </w:tcPr>
          <w:p w14:paraId="30794B85"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2,034,744</w:t>
            </w:r>
          </w:p>
        </w:tc>
        <w:tc>
          <w:tcPr>
            <w:tcW w:w="1069" w:type="dxa"/>
            <w:tcBorders>
              <w:top w:val="single" w:sz="4" w:space="0" w:color="auto"/>
              <w:left w:val="nil"/>
              <w:bottom w:val="single" w:sz="4" w:space="0" w:color="auto"/>
              <w:right w:val="nil"/>
            </w:tcBorders>
            <w:shd w:val="clear" w:color="FFFFFF" w:fill="FFFFFF"/>
            <w:noWrap/>
            <w:vAlign w:val="bottom"/>
            <w:hideMark/>
          </w:tcPr>
          <w:p w14:paraId="3853043C" w14:textId="77777777" w:rsidR="00520333" w:rsidRPr="006D688A" w:rsidRDefault="00520333" w:rsidP="005E5E0C">
            <w:pPr>
              <w:spacing w:after="0" w:line="240" w:lineRule="auto"/>
              <w:jc w:val="right"/>
              <w:rPr>
                <w:rFonts w:cs="Arial"/>
                <w:sz w:val="18"/>
                <w:szCs w:val="18"/>
              </w:rPr>
            </w:pPr>
            <w:r w:rsidRPr="006D688A">
              <w:rPr>
                <w:rFonts w:cs="Arial"/>
                <w:sz w:val="18"/>
                <w:szCs w:val="18"/>
              </w:rPr>
              <w:t>1,032,160</w:t>
            </w:r>
          </w:p>
        </w:tc>
        <w:tc>
          <w:tcPr>
            <w:tcW w:w="1006" w:type="dxa"/>
            <w:tcBorders>
              <w:top w:val="single" w:sz="4" w:space="0" w:color="auto"/>
              <w:left w:val="nil"/>
              <w:bottom w:val="single" w:sz="4" w:space="0" w:color="auto"/>
              <w:right w:val="nil"/>
            </w:tcBorders>
            <w:shd w:val="clear" w:color="FFFFFF" w:fill="FFFFFF"/>
            <w:noWrap/>
            <w:vAlign w:val="bottom"/>
            <w:hideMark/>
          </w:tcPr>
          <w:p w14:paraId="63D6403F" w14:textId="77777777" w:rsidR="00520333" w:rsidRPr="006D688A" w:rsidRDefault="00520333" w:rsidP="005E5E0C">
            <w:pPr>
              <w:spacing w:after="0" w:line="240" w:lineRule="auto"/>
              <w:jc w:val="right"/>
              <w:rPr>
                <w:rFonts w:cs="Arial"/>
                <w:sz w:val="18"/>
                <w:szCs w:val="18"/>
              </w:rPr>
            </w:pPr>
            <w:r w:rsidRPr="006D688A">
              <w:rPr>
                <w:rFonts w:cs="Arial"/>
                <w:sz w:val="18"/>
                <w:szCs w:val="18"/>
              </w:rPr>
              <w:t>1,190,505</w:t>
            </w:r>
          </w:p>
        </w:tc>
        <w:tc>
          <w:tcPr>
            <w:tcW w:w="1002" w:type="dxa"/>
            <w:tcBorders>
              <w:top w:val="single" w:sz="4" w:space="0" w:color="auto"/>
              <w:left w:val="nil"/>
              <w:bottom w:val="single" w:sz="4" w:space="0" w:color="auto"/>
              <w:right w:val="nil"/>
            </w:tcBorders>
            <w:shd w:val="clear" w:color="FFFFFF" w:fill="FFFFFF"/>
            <w:noWrap/>
            <w:vAlign w:val="bottom"/>
            <w:hideMark/>
          </w:tcPr>
          <w:p w14:paraId="2D6B918C"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46,916</w:t>
            </w:r>
          </w:p>
        </w:tc>
        <w:tc>
          <w:tcPr>
            <w:tcW w:w="986" w:type="dxa"/>
            <w:tcBorders>
              <w:top w:val="single" w:sz="4" w:space="0" w:color="auto"/>
              <w:left w:val="nil"/>
              <w:bottom w:val="single" w:sz="4" w:space="0" w:color="auto"/>
              <w:right w:val="nil"/>
            </w:tcBorders>
            <w:shd w:val="clear" w:color="FFFFFF" w:fill="FFFFFF"/>
            <w:noWrap/>
            <w:vAlign w:val="bottom"/>
            <w:hideMark/>
          </w:tcPr>
          <w:p w14:paraId="12BB677A" w14:textId="77777777" w:rsidR="00520333" w:rsidRPr="006D688A" w:rsidRDefault="00520333" w:rsidP="005E5E0C">
            <w:pPr>
              <w:spacing w:after="0" w:line="240" w:lineRule="auto"/>
              <w:jc w:val="right"/>
              <w:rPr>
                <w:rFonts w:cs="Arial"/>
                <w:sz w:val="18"/>
                <w:szCs w:val="18"/>
              </w:rPr>
            </w:pPr>
            <w:r w:rsidRPr="006D688A">
              <w:rPr>
                <w:rFonts w:cs="Arial"/>
                <w:sz w:val="18"/>
                <w:szCs w:val="18"/>
              </w:rPr>
              <w:t>38,364</w:t>
            </w:r>
          </w:p>
        </w:tc>
        <w:tc>
          <w:tcPr>
            <w:tcW w:w="988" w:type="dxa"/>
            <w:tcBorders>
              <w:top w:val="single" w:sz="4" w:space="0" w:color="auto"/>
              <w:left w:val="nil"/>
              <w:bottom w:val="single" w:sz="4" w:space="0" w:color="auto"/>
              <w:right w:val="nil"/>
            </w:tcBorders>
            <w:shd w:val="clear" w:color="FFFFFF" w:fill="FFFFFF"/>
            <w:noWrap/>
            <w:vAlign w:val="bottom"/>
            <w:hideMark/>
          </w:tcPr>
          <w:p w14:paraId="3A7D6EF7" w14:textId="77777777" w:rsidR="00520333" w:rsidRPr="006D688A" w:rsidRDefault="00520333" w:rsidP="005E5E0C">
            <w:pPr>
              <w:spacing w:after="0" w:line="240" w:lineRule="auto"/>
              <w:jc w:val="right"/>
              <w:rPr>
                <w:rFonts w:cs="Arial"/>
                <w:sz w:val="18"/>
                <w:szCs w:val="18"/>
              </w:rPr>
            </w:pPr>
            <w:r w:rsidRPr="006D688A">
              <w:rPr>
                <w:rFonts w:cs="Arial"/>
                <w:sz w:val="18"/>
                <w:szCs w:val="18"/>
              </w:rPr>
              <w:t>21,079</w:t>
            </w:r>
          </w:p>
        </w:tc>
        <w:tc>
          <w:tcPr>
            <w:tcW w:w="986" w:type="dxa"/>
            <w:tcBorders>
              <w:top w:val="single" w:sz="4" w:space="0" w:color="auto"/>
              <w:left w:val="nil"/>
              <w:bottom w:val="single" w:sz="4" w:space="0" w:color="auto"/>
              <w:right w:val="nil"/>
            </w:tcBorders>
            <w:shd w:val="clear" w:color="FFFFFF" w:fill="FFFFFF"/>
            <w:noWrap/>
            <w:vAlign w:val="bottom"/>
            <w:hideMark/>
          </w:tcPr>
          <w:p w14:paraId="7916C3AE"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205,733</w:t>
            </w:r>
          </w:p>
        </w:tc>
        <w:tc>
          <w:tcPr>
            <w:tcW w:w="984" w:type="dxa"/>
            <w:tcBorders>
              <w:top w:val="single" w:sz="4" w:space="0" w:color="auto"/>
              <w:left w:val="nil"/>
              <w:bottom w:val="single" w:sz="4" w:space="0" w:color="auto"/>
              <w:right w:val="nil"/>
            </w:tcBorders>
            <w:shd w:val="clear" w:color="FFFFFF" w:fill="FFFFFF"/>
            <w:noWrap/>
            <w:vAlign w:val="bottom"/>
            <w:hideMark/>
          </w:tcPr>
          <w:p w14:paraId="795DF520" w14:textId="77777777" w:rsidR="00520333" w:rsidRPr="006D688A" w:rsidRDefault="00520333" w:rsidP="005E5E0C">
            <w:pPr>
              <w:spacing w:after="0" w:line="240" w:lineRule="auto"/>
              <w:jc w:val="right"/>
              <w:rPr>
                <w:rFonts w:cs="Arial"/>
                <w:sz w:val="18"/>
                <w:szCs w:val="18"/>
              </w:rPr>
            </w:pPr>
            <w:r w:rsidRPr="006D688A">
              <w:rPr>
                <w:rFonts w:cs="Arial"/>
                <w:sz w:val="18"/>
                <w:szCs w:val="18"/>
              </w:rPr>
              <w:t>205,733</w:t>
            </w:r>
          </w:p>
        </w:tc>
        <w:tc>
          <w:tcPr>
            <w:tcW w:w="984" w:type="dxa"/>
            <w:tcBorders>
              <w:top w:val="single" w:sz="4" w:space="0" w:color="auto"/>
              <w:left w:val="nil"/>
              <w:bottom w:val="single" w:sz="4" w:space="0" w:color="auto"/>
              <w:right w:val="nil"/>
            </w:tcBorders>
            <w:shd w:val="clear" w:color="FFFFFF" w:fill="FFFFFF"/>
            <w:noWrap/>
            <w:vAlign w:val="bottom"/>
            <w:hideMark/>
          </w:tcPr>
          <w:p w14:paraId="2491C3D7" w14:textId="77777777" w:rsidR="00520333" w:rsidRPr="006D688A" w:rsidRDefault="00520333" w:rsidP="005E5E0C">
            <w:pPr>
              <w:spacing w:after="0" w:line="240" w:lineRule="auto"/>
              <w:jc w:val="right"/>
              <w:rPr>
                <w:rFonts w:cs="Arial"/>
                <w:sz w:val="18"/>
                <w:szCs w:val="18"/>
              </w:rPr>
            </w:pPr>
            <w:r w:rsidRPr="006D688A">
              <w:rPr>
                <w:rFonts w:cs="Arial"/>
                <w:sz w:val="18"/>
                <w:szCs w:val="18"/>
              </w:rPr>
              <w:t>205,733</w:t>
            </w:r>
          </w:p>
        </w:tc>
        <w:tc>
          <w:tcPr>
            <w:tcW w:w="984" w:type="dxa"/>
            <w:tcBorders>
              <w:top w:val="single" w:sz="4" w:space="0" w:color="auto"/>
              <w:left w:val="nil"/>
              <w:bottom w:val="single" w:sz="4" w:space="0" w:color="auto"/>
              <w:right w:val="nil"/>
            </w:tcBorders>
            <w:shd w:val="clear" w:color="FFFFFF" w:fill="FFFFFF"/>
            <w:noWrap/>
            <w:vAlign w:val="bottom"/>
            <w:hideMark/>
          </w:tcPr>
          <w:p w14:paraId="0712C249" w14:textId="77777777" w:rsidR="00520333" w:rsidRPr="006D688A" w:rsidRDefault="00520333" w:rsidP="005E5E0C">
            <w:pPr>
              <w:spacing w:after="0" w:line="240" w:lineRule="auto"/>
              <w:jc w:val="right"/>
              <w:rPr>
                <w:rFonts w:cs="Arial"/>
                <w:b/>
                <w:bCs/>
                <w:sz w:val="18"/>
                <w:szCs w:val="18"/>
              </w:rPr>
            </w:pPr>
            <w:r w:rsidRPr="006D688A">
              <w:rPr>
                <w:rFonts w:cs="Arial"/>
                <w:b/>
                <w:bCs/>
                <w:sz w:val="18"/>
                <w:szCs w:val="18"/>
              </w:rPr>
              <w:t>2,287,393</w:t>
            </w:r>
          </w:p>
        </w:tc>
        <w:tc>
          <w:tcPr>
            <w:tcW w:w="1061" w:type="dxa"/>
            <w:tcBorders>
              <w:top w:val="single" w:sz="4" w:space="0" w:color="auto"/>
              <w:left w:val="nil"/>
              <w:bottom w:val="single" w:sz="4" w:space="0" w:color="auto"/>
              <w:right w:val="nil"/>
            </w:tcBorders>
            <w:shd w:val="clear" w:color="FFFFFF" w:fill="FFFFFF"/>
            <w:noWrap/>
            <w:vAlign w:val="bottom"/>
            <w:hideMark/>
          </w:tcPr>
          <w:p w14:paraId="75B42051" w14:textId="77777777" w:rsidR="00520333" w:rsidRPr="006D688A" w:rsidRDefault="00520333" w:rsidP="005E5E0C">
            <w:pPr>
              <w:spacing w:after="0" w:line="240" w:lineRule="auto"/>
              <w:jc w:val="right"/>
              <w:rPr>
                <w:rFonts w:cs="Arial"/>
                <w:sz w:val="18"/>
                <w:szCs w:val="18"/>
              </w:rPr>
            </w:pPr>
            <w:r w:rsidRPr="006D688A">
              <w:rPr>
                <w:rFonts w:cs="Arial"/>
                <w:sz w:val="18"/>
                <w:szCs w:val="18"/>
              </w:rPr>
              <w:t>1,276,257</w:t>
            </w:r>
          </w:p>
        </w:tc>
        <w:tc>
          <w:tcPr>
            <w:tcW w:w="984" w:type="dxa"/>
            <w:tcBorders>
              <w:top w:val="single" w:sz="4" w:space="0" w:color="auto"/>
              <w:left w:val="nil"/>
              <w:bottom w:val="single" w:sz="4" w:space="0" w:color="auto"/>
              <w:right w:val="nil"/>
            </w:tcBorders>
            <w:shd w:val="clear" w:color="FFFFFF" w:fill="FFFFFF"/>
            <w:noWrap/>
            <w:vAlign w:val="bottom"/>
            <w:hideMark/>
          </w:tcPr>
          <w:p w14:paraId="1A48AD4D" w14:textId="77777777" w:rsidR="00520333" w:rsidRPr="006D688A" w:rsidRDefault="00520333" w:rsidP="005E5E0C">
            <w:pPr>
              <w:spacing w:after="0" w:line="240" w:lineRule="auto"/>
              <w:jc w:val="right"/>
              <w:rPr>
                <w:rFonts w:cs="Arial"/>
                <w:sz w:val="18"/>
                <w:szCs w:val="18"/>
              </w:rPr>
            </w:pPr>
            <w:r w:rsidRPr="006D688A">
              <w:rPr>
                <w:rFonts w:cs="Arial"/>
                <w:sz w:val="18"/>
                <w:szCs w:val="18"/>
              </w:rPr>
              <w:t>1,417,317</w:t>
            </w:r>
          </w:p>
        </w:tc>
      </w:tr>
    </w:tbl>
    <w:p w14:paraId="1392E337" w14:textId="77777777" w:rsidR="00520333" w:rsidRPr="006D688A" w:rsidRDefault="00520333" w:rsidP="006D688A">
      <w:pPr>
        <w:spacing w:before="240"/>
        <w:rPr>
          <w:rFonts w:cs="Arial"/>
          <w:sz w:val="18"/>
          <w:szCs w:val="18"/>
        </w:rPr>
      </w:pPr>
      <w:r w:rsidRPr="006D688A">
        <w:rPr>
          <w:rFonts w:cs="Arial"/>
          <w:sz w:val="18"/>
          <w:szCs w:val="18"/>
        </w:rPr>
        <w:t>The above statement should be read in conjunction with the accompanying notes.</w:t>
      </w:r>
    </w:p>
    <w:p w14:paraId="3A6B222D" w14:textId="77777777" w:rsidR="00520333" w:rsidRPr="006D688A" w:rsidRDefault="00520333" w:rsidP="00520333">
      <w:pPr>
        <w:pStyle w:val="PolicyheadingDept"/>
        <w:pBdr>
          <w:left w:val="single" w:sz="4" w:space="4" w:color="800080"/>
          <w:right w:val="single" w:sz="4" w:space="4" w:color="800080"/>
        </w:pBdr>
        <w:spacing w:after="40" w:line="240" w:lineRule="auto"/>
      </w:pPr>
      <w:r w:rsidRPr="006D688A">
        <w:t>Budget Variances Commentary</w:t>
      </w:r>
    </w:p>
    <w:p w14:paraId="3B0AF1BD" w14:textId="77777777" w:rsidR="00520333" w:rsidRPr="006D688A" w:rsidRDefault="00520333" w:rsidP="00520333">
      <w:pPr>
        <w:pStyle w:val="PolicyheadingDept"/>
        <w:pBdr>
          <w:left w:val="single" w:sz="4" w:space="4" w:color="800080"/>
          <w:right w:val="single" w:sz="4" w:space="4" w:color="800080"/>
        </w:pBdr>
        <w:spacing w:after="40" w:line="240" w:lineRule="auto"/>
      </w:pPr>
      <w:r w:rsidRPr="006D688A">
        <w:t>Statement of Changes in Equity</w:t>
      </w:r>
    </w:p>
    <w:p w14:paraId="2DE8ADE3" w14:textId="77777777" w:rsidR="00520333" w:rsidRPr="006D688A" w:rsidRDefault="00520333" w:rsidP="00520333">
      <w:pPr>
        <w:pStyle w:val="PolicyheadingDept"/>
        <w:pBdr>
          <w:left w:val="single" w:sz="4" w:space="4" w:color="800080"/>
          <w:right w:val="single" w:sz="4" w:space="4" w:color="800080"/>
        </w:pBdr>
        <w:spacing w:after="40" w:line="240" w:lineRule="auto"/>
        <w:rPr>
          <w:b w:val="0"/>
        </w:rPr>
      </w:pPr>
      <w:r w:rsidRPr="006D688A">
        <w:rPr>
          <w:b w:val="0"/>
        </w:rPr>
        <w:t xml:space="preserve">Major budget variances for balances contained in the Statement of Changes in Equity have been included in the budget variances commentary for the Statement of Comprehensive Income and the Statement of Financial Position. </w:t>
      </w:r>
    </w:p>
    <w:p w14:paraId="545F9552" w14:textId="77777777" w:rsidR="00520333" w:rsidRPr="006D688A" w:rsidRDefault="00520333" w:rsidP="003203A1">
      <w:pPr>
        <w:pStyle w:val="ReferenceText"/>
      </w:pPr>
      <w:r w:rsidRPr="006D688A">
        <w:rPr>
          <w:vertAlign w:val="superscript"/>
        </w:rPr>
        <w:t xml:space="preserve">1 </w:t>
      </w:r>
      <w:r w:rsidRPr="006D688A">
        <w:t>Original Budget refers to the figures published in the 2023-24 Portfolio Budget Statements.</w:t>
      </w:r>
    </w:p>
    <w:p w14:paraId="71F04BAB" w14:textId="77777777" w:rsidR="00520333" w:rsidRDefault="00520333" w:rsidP="00520333">
      <w:pPr>
        <w:rPr>
          <w:rFonts w:cs="Arial"/>
          <w:sz w:val="18"/>
          <w:szCs w:val="18"/>
        </w:rPr>
        <w:sectPr w:rsidR="00520333" w:rsidSect="00F23525">
          <w:headerReference w:type="even" r:id="rId48"/>
          <w:headerReference w:type="default" r:id="rId49"/>
          <w:footerReference w:type="default" r:id="rId50"/>
          <w:headerReference w:type="first" r:id="rId51"/>
          <w:pgSz w:w="16838" w:h="11906" w:orient="landscape" w:code="9"/>
          <w:pgMar w:top="1361" w:right="1361" w:bottom="1361" w:left="1361" w:header="561" w:footer="374" w:gutter="0"/>
          <w:cols w:space="708"/>
          <w:docGrid w:linePitch="360"/>
        </w:sectPr>
      </w:pPr>
    </w:p>
    <w:p w14:paraId="3DE30239" w14:textId="6568F6A9" w:rsidR="006D688A" w:rsidRDefault="006D688A" w:rsidP="006D688A">
      <w:pPr>
        <w:pStyle w:val="StatementHeading"/>
        <w:rPr>
          <w:rFonts w:cs="Arial"/>
          <w:szCs w:val="24"/>
        </w:rPr>
      </w:pPr>
      <w:r>
        <w:rPr>
          <w:rFonts w:cs="Arial"/>
          <w:szCs w:val="24"/>
        </w:rPr>
        <w:lastRenderedPageBreak/>
        <w:fldChar w:fldCharType="begin"/>
      </w:r>
      <w:r>
        <w:rPr>
          <w:rFonts w:cs="Arial"/>
          <w:szCs w:val="24"/>
        </w:rPr>
        <w:instrText xml:space="preserve"> DOCPROPERTY  longName  \* MERGEFORMAT </w:instrText>
      </w:r>
      <w:r>
        <w:rPr>
          <w:rFonts w:cs="Arial"/>
          <w:szCs w:val="24"/>
        </w:rPr>
        <w:fldChar w:fldCharType="separate"/>
      </w:r>
      <w:r>
        <w:rPr>
          <w:rFonts w:cs="Arial"/>
          <w:szCs w:val="24"/>
        </w:rPr>
        <w:t>National Disability Insurance</w:t>
      </w:r>
      <w:r w:rsidRPr="0076409E">
        <w:t xml:space="preserve"> Agency</w:t>
      </w:r>
      <w:r>
        <w:fldChar w:fldCharType="end"/>
      </w:r>
    </w:p>
    <w:p w14:paraId="48D91FBF" w14:textId="77777777" w:rsidR="006D688A" w:rsidRDefault="006D688A" w:rsidP="006D688A">
      <w:pPr>
        <w:pStyle w:val="StatementHeading"/>
        <w:rPr>
          <w:rFonts w:cs="Arial"/>
          <w:szCs w:val="24"/>
        </w:rPr>
      </w:pPr>
      <w:r>
        <w:rPr>
          <w:szCs w:val="24"/>
        </w:rPr>
        <w:t>CASH FLOW STATEMENT</w:t>
      </w:r>
    </w:p>
    <w:p w14:paraId="276DE47B" w14:textId="4CA3B076" w:rsidR="006D688A" w:rsidRPr="00C821EB" w:rsidRDefault="006D688A" w:rsidP="00C821EB">
      <w:pPr>
        <w:pBdr>
          <w:bottom w:val="single" w:sz="8" w:space="1" w:color="auto"/>
        </w:pBdr>
        <w:spacing w:line="240" w:lineRule="auto"/>
        <w:rPr>
          <w:i/>
          <w:iCs/>
        </w:rPr>
      </w:pPr>
      <w:r w:rsidRPr="00C821EB">
        <w:rPr>
          <w:i/>
          <w:iCs/>
        </w:rPr>
        <w:t xml:space="preserve">for the year ended </w:t>
      </w:r>
      <w:r w:rsidRPr="00C821EB">
        <w:rPr>
          <w:i/>
          <w:iCs/>
        </w:rPr>
        <w:fldChar w:fldCharType="begin"/>
      </w:r>
      <w:r w:rsidRPr="00C821EB">
        <w:rPr>
          <w:i/>
          <w:iCs/>
        </w:rPr>
        <w:instrText>DOCPROPERTY  pEnd  \* MERGEFORMAT</w:instrText>
      </w:r>
      <w:r w:rsidRPr="00C821EB">
        <w:rPr>
          <w:i/>
          <w:iCs/>
        </w:rPr>
        <w:fldChar w:fldCharType="separate"/>
      </w:r>
      <w:r w:rsidRPr="00C821EB">
        <w:rPr>
          <w:i/>
          <w:iCs/>
        </w:rPr>
        <w:t>30 June</w:t>
      </w:r>
      <w:r w:rsidRPr="00C821EB">
        <w:rPr>
          <w:i/>
          <w:iCs/>
        </w:rPr>
        <w:fldChar w:fldCharType="end"/>
      </w:r>
      <w:r w:rsidRPr="00C821EB">
        <w:rPr>
          <w:i/>
          <w:iCs/>
        </w:rPr>
        <w:t xml:space="preserve"> </w:t>
      </w:r>
      <w:r w:rsidRPr="00C821EB">
        <w:rPr>
          <w:i/>
          <w:iCs/>
        </w:rPr>
        <w:fldChar w:fldCharType="begin"/>
      </w:r>
      <w:r w:rsidRPr="00C821EB">
        <w:rPr>
          <w:i/>
          <w:iCs/>
        </w:rPr>
        <w:instrText xml:space="preserve"> DOCPROPERTY  crYear  \* MERGEFORMAT </w:instrText>
      </w:r>
      <w:r w:rsidRPr="00C821EB">
        <w:rPr>
          <w:i/>
          <w:iCs/>
        </w:rPr>
        <w:fldChar w:fldCharType="separate"/>
      </w:r>
      <w:r w:rsidRPr="00C821EB">
        <w:rPr>
          <w:i/>
          <w:iCs/>
        </w:rPr>
        <w:t>2024</w:t>
      </w:r>
      <w:r w:rsidRPr="00C821EB">
        <w:rPr>
          <w:i/>
          <w:iCs/>
        </w:rPr>
        <w:fldChar w:fldCharType="end"/>
      </w:r>
    </w:p>
    <w:tbl>
      <w:tblPr>
        <w:tblW w:w="9087" w:type="dxa"/>
        <w:tblLayout w:type="fixed"/>
        <w:tblCellMar>
          <w:left w:w="57" w:type="dxa"/>
          <w:right w:w="57" w:type="dxa"/>
        </w:tblCellMar>
        <w:tblLook w:val="04A0" w:firstRow="1" w:lastRow="0" w:firstColumn="1" w:lastColumn="0" w:noHBand="0" w:noVBand="1"/>
      </w:tblPr>
      <w:tblGrid>
        <w:gridCol w:w="4488"/>
        <w:gridCol w:w="723"/>
        <w:gridCol w:w="1067"/>
        <w:gridCol w:w="236"/>
        <w:gridCol w:w="1064"/>
        <w:gridCol w:w="236"/>
        <w:gridCol w:w="1037"/>
        <w:gridCol w:w="236"/>
      </w:tblGrid>
      <w:tr w:rsidR="00520333" w:rsidRPr="006D688A" w14:paraId="1D2326AD" w14:textId="77777777" w:rsidTr="005E5E0C">
        <w:trPr>
          <w:trHeight w:val="510"/>
        </w:trPr>
        <w:tc>
          <w:tcPr>
            <w:tcW w:w="4488" w:type="dxa"/>
            <w:tcBorders>
              <w:top w:val="single" w:sz="8" w:space="0" w:color="800080"/>
              <w:left w:val="nil"/>
              <w:bottom w:val="nil"/>
              <w:right w:val="nil"/>
            </w:tcBorders>
            <w:shd w:val="clear" w:color="FFFFFF" w:fill="FFFFFF"/>
            <w:noWrap/>
            <w:vAlign w:val="bottom"/>
            <w:hideMark/>
          </w:tcPr>
          <w:p w14:paraId="2A93DA01" w14:textId="77777777" w:rsidR="00520333" w:rsidRPr="006D688A" w:rsidRDefault="00520333" w:rsidP="005E5E0C">
            <w:pPr>
              <w:spacing w:after="0"/>
              <w:rPr>
                <w:rFonts w:cs="Arial"/>
                <w:sz w:val="18"/>
                <w:szCs w:val="18"/>
              </w:rPr>
            </w:pPr>
            <w:bookmarkStart w:id="115" w:name="Note_DCFTABLE1" w:colFirst="0" w:colLast="0"/>
            <w:r w:rsidRPr="006D688A">
              <w:rPr>
                <w:rFonts w:cs="Arial"/>
                <w:sz w:val="18"/>
                <w:szCs w:val="18"/>
              </w:rPr>
              <w:t> </w:t>
            </w:r>
          </w:p>
        </w:tc>
        <w:tc>
          <w:tcPr>
            <w:tcW w:w="723" w:type="dxa"/>
            <w:tcBorders>
              <w:top w:val="single" w:sz="8" w:space="0" w:color="800080"/>
              <w:left w:val="nil"/>
              <w:bottom w:val="nil"/>
              <w:right w:val="nil"/>
            </w:tcBorders>
            <w:shd w:val="clear" w:color="FFFFFF" w:fill="FFFFFF"/>
            <w:noWrap/>
            <w:vAlign w:val="bottom"/>
            <w:hideMark/>
          </w:tcPr>
          <w:p w14:paraId="051F2E03" w14:textId="77777777" w:rsidR="00520333" w:rsidRPr="006D688A" w:rsidRDefault="00520333" w:rsidP="005E5E0C">
            <w:pPr>
              <w:spacing w:after="0"/>
              <w:rPr>
                <w:rFonts w:cs="Arial"/>
                <w:sz w:val="18"/>
                <w:szCs w:val="18"/>
              </w:rPr>
            </w:pPr>
            <w:r w:rsidRPr="006D688A">
              <w:rPr>
                <w:rFonts w:cs="Arial"/>
                <w:sz w:val="18"/>
                <w:szCs w:val="18"/>
              </w:rPr>
              <w:t> </w:t>
            </w:r>
          </w:p>
        </w:tc>
        <w:tc>
          <w:tcPr>
            <w:tcW w:w="1067" w:type="dxa"/>
            <w:tcBorders>
              <w:top w:val="single" w:sz="8" w:space="0" w:color="800080"/>
              <w:left w:val="nil"/>
              <w:bottom w:val="nil"/>
              <w:right w:val="nil"/>
            </w:tcBorders>
            <w:shd w:val="clear" w:color="FFFFFF" w:fill="FFFFFF"/>
            <w:noWrap/>
            <w:vAlign w:val="bottom"/>
            <w:hideMark/>
          </w:tcPr>
          <w:p w14:paraId="1834CDCF" w14:textId="77777777" w:rsidR="00520333" w:rsidRPr="006D688A" w:rsidRDefault="00520333" w:rsidP="005E5E0C">
            <w:pPr>
              <w:spacing w:after="0"/>
              <w:jc w:val="right"/>
              <w:rPr>
                <w:rFonts w:cs="Arial"/>
                <w:b/>
                <w:bCs/>
                <w:sz w:val="18"/>
                <w:szCs w:val="18"/>
              </w:rPr>
            </w:pPr>
            <w:r w:rsidRPr="006D688A">
              <w:rPr>
                <w:rFonts w:cs="Arial"/>
                <w:b/>
                <w:bCs/>
                <w:sz w:val="18"/>
                <w:szCs w:val="18"/>
              </w:rPr>
              <w:t> </w:t>
            </w:r>
          </w:p>
        </w:tc>
        <w:tc>
          <w:tcPr>
            <w:tcW w:w="236" w:type="dxa"/>
            <w:tcBorders>
              <w:top w:val="single" w:sz="8" w:space="0" w:color="800080"/>
              <w:left w:val="nil"/>
              <w:bottom w:val="nil"/>
              <w:right w:val="nil"/>
            </w:tcBorders>
            <w:shd w:val="clear" w:color="FFFFFF" w:fill="FFFFFF"/>
            <w:noWrap/>
            <w:vAlign w:val="bottom"/>
            <w:hideMark/>
          </w:tcPr>
          <w:p w14:paraId="3CC831D3"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single" w:sz="8" w:space="0" w:color="800080"/>
              <w:left w:val="nil"/>
              <w:bottom w:val="nil"/>
              <w:right w:val="nil"/>
            </w:tcBorders>
            <w:shd w:val="clear" w:color="FFFFFF" w:fill="FFFFFF"/>
            <w:noWrap/>
            <w:vAlign w:val="bottom"/>
            <w:hideMark/>
          </w:tcPr>
          <w:p w14:paraId="672C4B42" w14:textId="77777777" w:rsidR="00520333" w:rsidRPr="006D688A" w:rsidRDefault="00520333" w:rsidP="005E5E0C">
            <w:pPr>
              <w:spacing w:after="0"/>
              <w:jc w:val="right"/>
              <w:rPr>
                <w:rFonts w:cs="Arial"/>
                <w:sz w:val="18"/>
                <w:szCs w:val="18"/>
              </w:rPr>
            </w:pPr>
            <w:r w:rsidRPr="006D688A">
              <w:rPr>
                <w:rFonts w:cs="Arial"/>
                <w:sz w:val="18"/>
                <w:szCs w:val="18"/>
              </w:rPr>
              <w:t> </w:t>
            </w:r>
          </w:p>
        </w:tc>
        <w:tc>
          <w:tcPr>
            <w:tcW w:w="236" w:type="dxa"/>
            <w:tcBorders>
              <w:top w:val="single" w:sz="8" w:space="0" w:color="800080"/>
              <w:left w:val="nil"/>
              <w:bottom w:val="nil"/>
              <w:right w:val="nil"/>
            </w:tcBorders>
            <w:shd w:val="clear" w:color="FFFFFF" w:fill="FFFFFF"/>
            <w:noWrap/>
            <w:vAlign w:val="bottom"/>
            <w:hideMark/>
          </w:tcPr>
          <w:p w14:paraId="29501A7D" w14:textId="77777777" w:rsidR="00520333" w:rsidRPr="006D688A" w:rsidRDefault="00520333" w:rsidP="005E5E0C">
            <w:pPr>
              <w:spacing w:after="0"/>
              <w:rPr>
                <w:rFonts w:cs="Arial"/>
                <w:sz w:val="18"/>
                <w:szCs w:val="18"/>
              </w:rPr>
            </w:pPr>
            <w:r w:rsidRPr="006D688A">
              <w:rPr>
                <w:rFonts w:cs="Arial"/>
                <w:sz w:val="18"/>
                <w:szCs w:val="18"/>
              </w:rPr>
              <w:t> </w:t>
            </w:r>
          </w:p>
        </w:tc>
        <w:tc>
          <w:tcPr>
            <w:tcW w:w="1273" w:type="dxa"/>
            <w:gridSpan w:val="2"/>
            <w:tcBorders>
              <w:top w:val="single" w:sz="8" w:space="0" w:color="800080"/>
              <w:left w:val="nil"/>
              <w:bottom w:val="nil"/>
              <w:right w:val="nil"/>
            </w:tcBorders>
            <w:shd w:val="clear" w:color="FFFFFF" w:fill="FFFFFF"/>
            <w:vAlign w:val="center"/>
            <w:hideMark/>
          </w:tcPr>
          <w:p w14:paraId="0114FC64" w14:textId="77777777" w:rsidR="00520333" w:rsidRPr="006D688A" w:rsidRDefault="00520333" w:rsidP="005E5E0C">
            <w:pPr>
              <w:spacing w:after="0"/>
              <w:jc w:val="center"/>
              <w:rPr>
                <w:rFonts w:cs="Arial"/>
                <w:color w:val="6B2976"/>
                <w:sz w:val="18"/>
                <w:szCs w:val="18"/>
              </w:rPr>
            </w:pPr>
            <w:r w:rsidRPr="006D688A">
              <w:rPr>
                <w:rFonts w:cs="Arial"/>
                <w:color w:val="6B2976"/>
                <w:sz w:val="18"/>
                <w:szCs w:val="18"/>
              </w:rPr>
              <w:t>Original</w:t>
            </w:r>
            <w:r w:rsidRPr="006D688A">
              <w:rPr>
                <w:rFonts w:cs="Arial"/>
                <w:color w:val="6B2976"/>
                <w:sz w:val="18"/>
                <w:szCs w:val="18"/>
              </w:rPr>
              <w:br/>
              <w:t>Budget</w:t>
            </w:r>
            <w:r w:rsidRPr="006D688A">
              <w:rPr>
                <w:rFonts w:cs="Arial"/>
                <w:color w:val="6B2976"/>
                <w:sz w:val="18"/>
                <w:szCs w:val="18"/>
                <w:vertAlign w:val="superscript"/>
              </w:rPr>
              <w:t>1</w:t>
            </w:r>
          </w:p>
        </w:tc>
      </w:tr>
      <w:bookmarkEnd w:id="115"/>
      <w:tr w:rsidR="00520333" w:rsidRPr="006D688A" w14:paraId="53166727" w14:textId="77777777" w:rsidTr="005E5E0C">
        <w:trPr>
          <w:trHeight w:val="260"/>
        </w:trPr>
        <w:tc>
          <w:tcPr>
            <w:tcW w:w="4488" w:type="dxa"/>
            <w:tcBorders>
              <w:top w:val="nil"/>
              <w:left w:val="nil"/>
              <w:bottom w:val="nil"/>
              <w:right w:val="nil"/>
            </w:tcBorders>
            <w:shd w:val="clear" w:color="FFFFFF" w:fill="FFFFFF"/>
            <w:noWrap/>
            <w:vAlign w:val="bottom"/>
            <w:hideMark/>
          </w:tcPr>
          <w:p w14:paraId="688F83FA" w14:textId="77777777" w:rsidR="00520333" w:rsidRPr="006D688A" w:rsidRDefault="00520333" w:rsidP="005E5E0C">
            <w:pPr>
              <w:spacing w:after="0"/>
              <w:rPr>
                <w:rFonts w:cs="Arial"/>
                <w:sz w:val="18"/>
                <w:szCs w:val="18"/>
              </w:rPr>
            </w:pPr>
            <w:r w:rsidRPr="006D688A">
              <w:rPr>
                <w:rFonts w:cs="Arial"/>
                <w:sz w:val="18"/>
                <w:szCs w:val="18"/>
              </w:rPr>
              <w:t> </w:t>
            </w:r>
          </w:p>
        </w:tc>
        <w:tc>
          <w:tcPr>
            <w:tcW w:w="723" w:type="dxa"/>
            <w:tcBorders>
              <w:top w:val="nil"/>
              <w:left w:val="nil"/>
              <w:bottom w:val="nil"/>
              <w:right w:val="nil"/>
            </w:tcBorders>
            <w:shd w:val="clear" w:color="FFFFFF" w:fill="FFFFFF"/>
            <w:noWrap/>
            <w:vAlign w:val="bottom"/>
            <w:hideMark/>
          </w:tcPr>
          <w:p w14:paraId="64C6FDF3" w14:textId="77777777" w:rsidR="00520333" w:rsidRPr="006D688A" w:rsidRDefault="00520333" w:rsidP="005E5E0C">
            <w:pPr>
              <w:spacing w:after="0"/>
              <w:rPr>
                <w:rFonts w:cs="Arial"/>
                <w:sz w:val="18"/>
                <w:szCs w:val="18"/>
              </w:rPr>
            </w:pPr>
            <w:r w:rsidRPr="006D688A">
              <w:rPr>
                <w:rFonts w:cs="Arial"/>
                <w:sz w:val="18"/>
                <w:szCs w:val="18"/>
              </w:rPr>
              <w:t> </w:t>
            </w:r>
          </w:p>
        </w:tc>
        <w:tc>
          <w:tcPr>
            <w:tcW w:w="1067" w:type="dxa"/>
            <w:tcBorders>
              <w:top w:val="nil"/>
              <w:left w:val="nil"/>
              <w:bottom w:val="nil"/>
              <w:right w:val="nil"/>
            </w:tcBorders>
            <w:shd w:val="clear" w:color="FFFFFF" w:fill="FFFFFF"/>
            <w:noWrap/>
            <w:vAlign w:val="bottom"/>
            <w:hideMark/>
          </w:tcPr>
          <w:p w14:paraId="410939A1" w14:textId="77777777" w:rsidR="00520333" w:rsidRPr="006D688A" w:rsidRDefault="00520333" w:rsidP="005E5E0C">
            <w:pPr>
              <w:spacing w:after="0"/>
              <w:jc w:val="right"/>
              <w:rPr>
                <w:rFonts w:cs="Arial"/>
                <w:b/>
                <w:bCs/>
                <w:sz w:val="18"/>
                <w:szCs w:val="18"/>
              </w:rPr>
            </w:pPr>
            <w:r w:rsidRPr="006D688A">
              <w:rPr>
                <w:rFonts w:cs="Arial"/>
                <w:b/>
                <w:bCs/>
                <w:sz w:val="18"/>
                <w:szCs w:val="18"/>
              </w:rPr>
              <w:t>2024</w:t>
            </w:r>
          </w:p>
        </w:tc>
        <w:tc>
          <w:tcPr>
            <w:tcW w:w="236" w:type="dxa"/>
            <w:tcBorders>
              <w:top w:val="nil"/>
              <w:left w:val="nil"/>
              <w:bottom w:val="nil"/>
              <w:right w:val="nil"/>
            </w:tcBorders>
            <w:shd w:val="clear" w:color="FFFFFF" w:fill="FFFFFF"/>
            <w:noWrap/>
            <w:vAlign w:val="bottom"/>
            <w:hideMark/>
          </w:tcPr>
          <w:p w14:paraId="19F4B3FA"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nil"/>
              <w:left w:val="nil"/>
              <w:bottom w:val="nil"/>
              <w:right w:val="nil"/>
            </w:tcBorders>
            <w:shd w:val="clear" w:color="FFFFFF" w:fill="FFFFFF"/>
            <w:noWrap/>
            <w:vAlign w:val="bottom"/>
            <w:hideMark/>
          </w:tcPr>
          <w:p w14:paraId="5BA9332B" w14:textId="77777777" w:rsidR="00520333" w:rsidRPr="006D688A" w:rsidRDefault="00520333" w:rsidP="005E5E0C">
            <w:pPr>
              <w:spacing w:after="0"/>
              <w:jc w:val="right"/>
              <w:rPr>
                <w:rFonts w:cs="Arial"/>
                <w:sz w:val="18"/>
                <w:szCs w:val="18"/>
              </w:rPr>
            </w:pPr>
            <w:r w:rsidRPr="006D688A">
              <w:rPr>
                <w:rFonts w:cs="Arial"/>
                <w:sz w:val="18"/>
                <w:szCs w:val="18"/>
              </w:rPr>
              <w:t>2023</w:t>
            </w:r>
          </w:p>
        </w:tc>
        <w:tc>
          <w:tcPr>
            <w:tcW w:w="236" w:type="dxa"/>
            <w:tcBorders>
              <w:top w:val="nil"/>
              <w:left w:val="nil"/>
              <w:bottom w:val="nil"/>
              <w:right w:val="nil"/>
            </w:tcBorders>
            <w:shd w:val="clear" w:color="FFFFFF" w:fill="FFFFFF"/>
            <w:noWrap/>
            <w:vAlign w:val="bottom"/>
            <w:hideMark/>
          </w:tcPr>
          <w:p w14:paraId="051CDF0D" w14:textId="77777777" w:rsidR="00520333" w:rsidRPr="006D688A" w:rsidRDefault="00520333" w:rsidP="005E5E0C">
            <w:pPr>
              <w:spacing w:after="0"/>
              <w:rPr>
                <w:rFonts w:cs="Arial"/>
                <w:sz w:val="18"/>
                <w:szCs w:val="18"/>
              </w:rPr>
            </w:pPr>
            <w:r w:rsidRPr="006D688A">
              <w:rPr>
                <w:rFonts w:cs="Arial"/>
                <w:sz w:val="18"/>
                <w:szCs w:val="18"/>
              </w:rPr>
              <w:t> </w:t>
            </w:r>
          </w:p>
        </w:tc>
        <w:tc>
          <w:tcPr>
            <w:tcW w:w="1273" w:type="dxa"/>
            <w:gridSpan w:val="2"/>
            <w:tcBorders>
              <w:top w:val="nil"/>
              <w:left w:val="nil"/>
              <w:bottom w:val="nil"/>
              <w:right w:val="nil"/>
            </w:tcBorders>
            <w:shd w:val="clear" w:color="FFFFFF" w:fill="FFFFFF"/>
            <w:noWrap/>
            <w:vAlign w:val="bottom"/>
            <w:hideMark/>
          </w:tcPr>
          <w:p w14:paraId="3FA5B4D0" w14:textId="77777777" w:rsidR="00520333" w:rsidRPr="006D688A" w:rsidRDefault="00520333" w:rsidP="005E5E0C">
            <w:pPr>
              <w:spacing w:after="0"/>
              <w:jc w:val="center"/>
              <w:rPr>
                <w:rFonts w:cs="Arial"/>
                <w:color w:val="6B2976"/>
                <w:sz w:val="18"/>
                <w:szCs w:val="18"/>
              </w:rPr>
            </w:pPr>
            <w:r w:rsidRPr="006D688A">
              <w:rPr>
                <w:rFonts w:cs="Arial"/>
                <w:color w:val="6B2976"/>
                <w:sz w:val="18"/>
                <w:szCs w:val="18"/>
              </w:rPr>
              <w:t>2024</w:t>
            </w:r>
          </w:p>
        </w:tc>
      </w:tr>
      <w:tr w:rsidR="00520333" w:rsidRPr="006D688A" w14:paraId="5AFE0844" w14:textId="77777777" w:rsidTr="005E5E0C">
        <w:trPr>
          <w:trHeight w:val="270"/>
        </w:trPr>
        <w:tc>
          <w:tcPr>
            <w:tcW w:w="4488" w:type="dxa"/>
            <w:tcBorders>
              <w:top w:val="nil"/>
              <w:left w:val="nil"/>
              <w:bottom w:val="single" w:sz="8" w:space="0" w:color="800080"/>
              <w:right w:val="nil"/>
            </w:tcBorders>
            <w:shd w:val="clear" w:color="FFFFFF" w:fill="FFFFFF"/>
            <w:noWrap/>
            <w:vAlign w:val="bottom"/>
            <w:hideMark/>
          </w:tcPr>
          <w:p w14:paraId="1D8029F9" w14:textId="77777777" w:rsidR="00520333" w:rsidRPr="006D688A" w:rsidRDefault="00520333" w:rsidP="005E5E0C">
            <w:pPr>
              <w:spacing w:after="0"/>
              <w:rPr>
                <w:rFonts w:cs="Arial"/>
                <w:sz w:val="18"/>
                <w:szCs w:val="18"/>
              </w:rPr>
            </w:pPr>
            <w:r w:rsidRPr="006D688A">
              <w:rPr>
                <w:rFonts w:cs="Arial"/>
                <w:sz w:val="18"/>
                <w:szCs w:val="18"/>
              </w:rPr>
              <w:t> </w:t>
            </w:r>
          </w:p>
        </w:tc>
        <w:tc>
          <w:tcPr>
            <w:tcW w:w="723" w:type="dxa"/>
            <w:tcBorders>
              <w:top w:val="nil"/>
              <w:left w:val="nil"/>
              <w:bottom w:val="single" w:sz="8" w:space="0" w:color="800080"/>
              <w:right w:val="nil"/>
            </w:tcBorders>
            <w:shd w:val="clear" w:color="FFFFFF" w:fill="FFFFFF"/>
            <w:noWrap/>
            <w:vAlign w:val="bottom"/>
            <w:hideMark/>
          </w:tcPr>
          <w:p w14:paraId="58D6F106" w14:textId="77777777" w:rsidR="00520333" w:rsidRPr="006D688A" w:rsidRDefault="00520333" w:rsidP="005E5E0C">
            <w:pPr>
              <w:spacing w:after="0"/>
              <w:jc w:val="center"/>
              <w:rPr>
                <w:rFonts w:cs="Arial"/>
                <w:b/>
                <w:bCs/>
                <w:sz w:val="18"/>
                <w:szCs w:val="18"/>
              </w:rPr>
            </w:pPr>
            <w:r w:rsidRPr="006D688A">
              <w:rPr>
                <w:rFonts w:cs="Arial"/>
                <w:b/>
                <w:bCs/>
                <w:sz w:val="18"/>
                <w:szCs w:val="18"/>
              </w:rPr>
              <w:t>Notes</w:t>
            </w:r>
          </w:p>
        </w:tc>
        <w:tc>
          <w:tcPr>
            <w:tcW w:w="1067" w:type="dxa"/>
            <w:tcBorders>
              <w:top w:val="nil"/>
              <w:left w:val="nil"/>
              <w:bottom w:val="single" w:sz="8" w:space="0" w:color="800080"/>
              <w:right w:val="nil"/>
            </w:tcBorders>
            <w:shd w:val="clear" w:color="FFFFFF" w:fill="FFFFFF"/>
            <w:noWrap/>
            <w:vAlign w:val="bottom"/>
            <w:hideMark/>
          </w:tcPr>
          <w:p w14:paraId="48E95C87" w14:textId="77777777" w:rsidR="00520333" w:rsidRPr="006D688A" w:rsidRDefault="00520333" w:rsidP="005E5E0C">
            <w:pPr>
              <w:spacing w:after="0"/>
              <w:jc w:val="right"/>
              <w:rPr>
                <w:rFonts w:cs="Arial"/>
                <w:b/>
                <w:bCs/>
                <w:sz w:val="18"/>
                <w:szCs w:val="18"/>
              </w:rPr>
            </w:pPr>
            <w:r w:rsidRPr="006D688A">
              <w:rPr>
                <w:rFonts w:cs="Arial"/>
                <w:b/>
                <w:bCs/>
                <w:sz w:val="18"/>
                <w:szCs w:val="18"/>
              </w:rPr>
              <w:t>$'000</w:t>
            </w:r>
          </w:p>
        </w:tc>
        <w:tc>
          <w:tcPr>
            <w:tcW w:w="236" w:type="dxa"/>
            <w:tcBorders>
              <w:top w:val="nil"/>
              <w:left w:val="nil"/>
              <w:bottom w:val="single" w:sz="8" w:space="0" w:color="800080"/>
              <w:right w:val="nil"/>
            </w:tcBorders>
            <w:shd w:val="clear" w:color="FFFFFF" w:fill="FFFFFF"/>
            <w:noWrap/>
            <w:vAlign w:val="bottom"/>
            <w:hideMark/>
          </w:tcPr>
          <w:p w14:paraId="3B8F8FB8"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nil"/>
              <w:left w:val="nil"/>
              <w:bottom w:val="single" w:sz="8" w:space="0" w:color="800080"/>
              <w:right w:val="nil"/>
            </w:tcBorders>
            <w:shd w:val="clear" w:color="FFFFFF" w:fill="FFFFFF"/>
            <w:noWrap/>
            <w:vAlign w:val="bottom"/>
            <w:hideMark/>
          </w:tcPr>
          <w:p w14:paraId="0D89562C" w14:textId="77777777" w:rsidR="00520333" w:rsidRPr="006D688A" w:rsidRDefault="00520333" w:rsidP="005E5E0C">
            <w:pPr>
              <w:spacing w:after="0"/>
              <w:jc w:val="right"/>
              <w:rPr>
                <w:rFonts w:cs="Arial"/>
                <w:sz w:val="18"/>
                <w:szCs w:val="18"/>
              </w:rPr>
            </w:pPr>
            <w:r w:rsidRPr="006D688A">
              <w:rPr>
                <w:rFonts w:cs="Arial"/>
                <w:sz w:val="18"/>
                <w:szCs w:val="18"/>
              </w:rPr>
              <w:t>$'000</w:t>
            </w:r>
          </w:p>
        </w:tc>
        <w:tc>
          <w:tcPr>
            <w:tcW w:w="236" w:type="dxa"/>
            <w:tcBorders>
              <w:top w:val="nil"/>
              <w:left w:val="nil"/>
              <w:bottom w:val="single" w:sz="8" w:space="0" w:color="800080"/>
              <w:right w:val="nil"/>
            </w:tcBorders>
            <w:shd w:val="clear" w:color="FFFFFF" w:fill="FFFFFF"/>
            <w:noWrap/>
            <w:vAlign w:val="bottom"/>
            <w:hideMark/>
          </w:tcPr>
          <w:p w14:paraId="68BB7EAB" w14:textId="77777777" w:rsidR="00520333" w:rsidRPr="006D688A" w:rsidRDefault="00520333" w:rsidP="005E5E0C">
            <w:pPr>
              <w:spacing w:after="0"/>
              <w:rPr>
                <w:rFonts w:cs="Arial"/>
                <w:sz w:val="18"/>
                <w:szCs w:val="18"/>
              </w:rPr>
            </w:pPr>
            <w:r w:rsidRPr="006D688A">
              <w:rPr>
                <w:rFonts w:cs="Arial"/>
                <w:sz w:val="18"/>
                <w:szCs w:val="18"/>
              </w:rPr>
              <w:t> </w:t>
            </w:r>
          </w:p>
        </w:tc>
        <w:tc>
          <w:tcPr>
            <w:tcW w:w="1273" w:type="dxa"/>
            <w:gridSpan w:val="2"/>
            <w:tcBorders>
              <w:top w:val="nil"/>
              <w:left w:val="nil"/>
              <w:bottom w:val="single" w:sz="8" w:space="0" w:color="800080"/>
              <w:right w:val="nil"/>
            </w:tcBorders>
            <w:shd w:val="clear" w:color="FFFFFF" w:fill="FFFFFF"/>
            <w:noWrap/>
            <w:vAlign w:val="center"/>
            <w:hideMark/>
          </w:tcPr>
          <w:p w14:paraId="7BF75829" w14:textId="77777777" w:rsidR="00520333" w:rsidRPr="006D688A" w:rsidRDefault="00520333" w:rsidP="005E5E0C">
            <w:pPr>
              <w:spacing w:after="0"/>
              <w:jc w:val="center"/>
              <w:rPr>
                <w:rFonts w:cs="Arial"/>
                <w:color w:val="6B2976"/>
                <w:sz w:val="18"/>
                <w:szCs w:val="18"/>
              </w:rPr>
            </w:pPr>
            <w:r w:rsidRPr="006D688A">
              <w:rPr>
                <w:rFonts w:cs="Arial"/>
                <w:color w:val="6B2976"/>
                <w:sz w:val="18"/>
                <w:szCs w:val="18"/>
              </w:rPr>
              <w:t>$'000</w:t>
            </w:r>
          </w:p>
        </w:tc>
      </w:tr>
      <w:tr w:rsidR="00520333" w:rsidRPr="006D688A" w14:paraId="4C458BB8" w14:textId="77777777" w:rsidTr="005E5E0C">
        <w:trPr>
          <w:trHeight w:val="250"/>
        </w:trPr>
        <w:tc>
          <w:tcPr>
            <w:tcW w:w="4488" w:type="dxa"/>
            <w:tcBorders>
              <w:top w:val="nil"/>
              <w:left w:val="nil"/>
              <w:bottom w:val="nil"/>
              <w:right w:val="nil"/>
            </w:tcBorders>
            <w:shd w:val="clear" w:color="FFFFFF" w:fill="FFFFFF"/>
            <w:noWrap/>
            <w:vAlign w:val="bottom"/>
            <w:hideMark/>
          </w:tcPr>
          <w:p w14:paraId="5E8FFDC8" w14:textId="77777777" w:rsidR="00520333" w:rsidRPr="006D688A" w:rsidRDefault="00520333" w:rsidP="005E5E0C">
            <w:pPr>
              <w:spacing w:after="0"/>
              <w:rPr>
                <w:rFonts w:cs="Arial"/>
                <w:sz w:val="18"/>
                <w:szCs w:val="18"/>
              </w:rPr>
            </w:pPr>
            <w:r w:rsidRPr="006D688A">
              <w:rPr>
                <w:rFonts w:cs="Arial"/>
                <w:sz w:val="18"/>
                <w:szCs w:val="18"/>
              </w:rPr>
              <w:t> </w:t>
            </w:r>
          </w:p>
        </w:tc>
        <w:tc>
          <w:tcPr>
            <w:tcW w:w="723" w:type="dxa"/>
            <w:tcBorders>
              <w:top w:val="nil"/>
              <w:left w:val="nil"/>
              <w:bottom w:val="nil"/>
              <w:right w:val="nil"/>
            </w:tcBorders>
            <w:shd w:val="clear" w:color="FFFFFF" w:fill="FFFFFF"/>
            <w:noWrap/>
            <w:vAlign w:val="bottom"/>
            <w:hideMark/>
          </w:tcPr>
          <w:p w14:paraId="5507BCC5" w14:textId="77777777" w:rsidR="00520333" w:rsidRPr="006D688A" w:rsidRDefault="00520333" w:rsidP="005E5E0C">
            <w:pPr>
              <w:spacing w:after="0"/>
              <w:rPr>
                <w:rFonts w:cs="Arial"/>
                <w:sz w:val="18"/>
                <w:szCs w:val="18"/>
              </w:rPr>
            </w:pPr>
            <w:r w:rsidRPr="006D688A">
              <w:rPr>
                <w:rFonts w:cs="Arial"/>
                <w:sz w:val="18"/>
                <w:szCs w:val="18"/>
              </w:rPr>
              <w:t> </w:t>
            </w:r>
          </w:p>
        </w:tc>
        <w:tc>
          <w:tcPr>
            <w:tcW w:w="1067" w:type="dxa"/>
            <w:tcBorders>
              <w:top w:val="nil"/>
              <w:left w:val="nil"/>
              <w:bottom w:val="nil"/>
              <w:right w:val="nil"/>
            </w:tcBorders>
            <w:shd w:val="clear" w:color="FFFFFF" w:fill="FFFFFF"/>
            <w:noWrap/>
            <w:vAlign w:val="bottom"/>
            <w:hideMark/>
          </w:tcPr>
          <w:p w14:paraId="24E1A69D"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7FC18EBA"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nil"/>
              <w:left w:val="nil"/>
              <w:bottom w:val="nil"/>
              <w:right w:val="nil"/>
            </w:tcBorders>
            <w:shd w:val="clear" w:color="FFFFFF" w:fill="FFFFFF"/>
            <w:noWrap/>
            <w:vAlign w:val="bottom"/>
            <w:hideMark/>
          </w:tcPr>
          <w:p w14:paraId="3F8D7087"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3022C7BB" w14:textId="77777777" w:rsidR="00520333" w:rsidRPr="006D688A" w:rsidRDefault="00520333" w:rsidP="005E5E0C">
            <w:pPr>
              <w:spacing w:after="0"/>
              <w:rPr>
                <w:rFonts w:cs="Arial"/>
                <w:sz w:val="18"/>
                <w:szCs w:val="18"/>
              </w:rPr>
            </w:pPr>
            <w:r w:rsidRPr="006D688A">
              <w:rPr>
                <w:rFonts w:cs="Arial"/>
                <w:sz w:val="18"/>
                <w:szCs w:val="18"/>
              </w:rPr>
              <w:t> </w:t>
            </w:r>
          </w:p>
        </w:tc>
        <w:tc>
          <w:tcPr>
            <w:tcW w:w="1037" w:type="dxa"/>
            <w:tcBorders>
              <w:top w:val="nil"/>
              <w:left w:val="nil"/>
              <w:bottom w:val="nil"/>
              <w:right w:val="nil"/>
            </w:tcBorders>
            <w:shd w:val="clear" w:color="FFFFFF" w:fill="FFFFFF"/>
            <w:noWrap/>
            <w:vAlign w:val="bottom"/>
            <w:hideMark/>
          </w:tcPr>
          <w:p w14:paraId="41551EDC"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single" w:sz="4" w:space="0" w:color="auto"/>
              <w:left w:val="nil"/>
              <w:bottom w:val="nil"/>
              <w:right w:val="nil"/>
            </w:tcBorders>
            <w:shd w:val="clear" w:color="FFFFFF" w:fill="FFFFFF"/>
            <w:noWrap/>
            <w:vAlign w:val="bottom"/>
            <w:hideMark/>
          </w:tcPr>
          <w:p w14:paraId="798DB429" w14:textId="77777777" w:rsidR="00520333" w:rsidRPr="006D688A" w:rsidRDefault="00520333" w:rsidP="005E5E0C">
            <w:pPr>
              <w:spacing w:after="0"/>
              <w:rPr>
                <w:rFonts w:cs="Arial"/>
                <w:sz w:val="18"/>
                <w:szCs w:val="18"/>
              </w:rPr>
            </w:pPr>
            <w:r w:rsidRPr="006D688A">
              <w:rPr>
                <w:rFonts w:cs="Arial"/>
                <w:sz w:val="18"/>
                <w:szCs w:val="18"/>
              </w:rPr>
              <w:t> </w:t>
            </w:r>
          </w:p>
        </w:tc>
      </w:tr>
      <w:tr w:rsidR="00520333" w:rsidRPr="006D688A" w14:paraId="1512DE1F" w14:textId="77777777" w:rsidTr="005E5E0C">
        <w:trPr>
          <w:trHeight w:val="250"/>
        </w:trPr>
        <w:tc>
          <w:tcPr>
            <w:tcW w:w="4488" w:type="dxa"/>
            <w:tcBorders>
              <w:top w:val="nil"/>
              <w:left w:val="nil"/>
              <w:bottom w:val="nil"/>
              <w:right w:val="nil"/>
            </w:tcBorders>
            <w:shd w:val="clear" w:color="FFFFFF" w:fill="FFFFFF"/>
            <w:vAlign w:val="bottom"/>
            <w:hideMark/>
          </w:tcPr>
          <w:p w14:paraId="230DF161" w14:textId="77777777" w:rsidR="00520333" w:rsidRPr="006D688A" w:rsidRDefault="00520333" w:rsidP="005E5E0C">
            <w:pPr>
              <w:spacing w:after="0"/>
              <w:rPr>
                <w:rFonts w:cs="Arial"/>
                <w:b/>
                <w:bCs/>
                <w:sz w:val="18"/>
                <w:szCs w:val="18"/>
              </w:rPr>
            </w:pPr>
            <w:r w:rsidRPr="006D688A">
              <w:rPr>
                <w:rFonts w:cs="Arial"/>
                <w:b/>
                <w:bCs/>
                <w:sz w:val="18"/>
                <w:szCs w:val="18"/>
              </w:rPr>
              <w:t>OPERATING ACTIVITIES</w:t>
            </w:r>
          </w:p>
        </w:tc>
        <w:tc>
          <w:tcPr>
            <w:tcW w:w="723" w:type="dxa"/>
            <w:tcBorders>
              <w:top w:val="nil"/>
              <w:left w:val="nil"/>
              <w:bottom w:val="nil"/>
              <w:right w:val="nil"/>
            </w:tcBorders>
            <w:shd w:val="clear" w:color="FFFFFF" w:fill="FFFFFF"/>
            <w:noWrap/>
            <w:vAlign w:val="bottom"/>
            <w:hideMark/>
          </w:tcPr>
          <w:p w14:paraId="68F1E06A"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67" w:type="dxa"/>
            <w:tcBorders>
              <w:top w:val="nil"/>
              <w:left w:val="nil"/>
              <w:bottom w:val="nil"/>
              <w:right w:val="nil"/>
            </w:tcBorders>
            <w:shd w:val="clear" w:color="FFFFFF" w:fill="FFFFFF"/>
            <w:noWrap/>
            <w:vAlign w:val="bottom"/>
            <w:hideMark/>
          </w:tcPr>
          <w:p w14:paraId="223B3BF8"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55785D6D"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nil"/>
              <w:left w:val="nil"/>
              <w:bottom w:val="nil"/>
              <w:right w:val="nil"/>
            </w:tcBorders>
            <w:shd w:val="clear" w:color="FFFFFF" w:fill="FFFFFF"/>
            <w:noWrap/>
            <w:vAlign w:val="bottom"/>
            <w:hideMark/>
          </w:tcPr>
          <w:p w14:paraId="05A5119E"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28A186E8" w14:textId="77777777" w:rsidR="00520333" w:rsidRPr="006D688A" w:rsidRDefault="00520333" w:rsidP="005E5E0C">
            <w:pPr>
              <w:spacing w:after="0"/>
              <w:rPr>
                <w:rFonts w:cs="Arial"/>
                <w:sz w:val="18"/>
                <w:szCs w:val="18"/>
              </w:rPr>
            </w:pPr>
            <w:r w:rsidRPr="006D688A">
              <w:rPr>
                <w:rFonts w:cs="Arial"/>
                <w:sz w:val="18"/>
                <w:szCs w:val="18"/>
              </w:rPr>
              <w:t> </w:t>
            </w:r>
          </w:p>
        </w:tc>
        <w:tc>
          <w:tcPr>
            <w:tcW w:w="1037" w:type="dxa"/>
            <w:tcBorders>
              <w:top w:val="nil"/>
              <w:left w:val="nil"/>
              <w:bottom w:val="nil"/>
              <w:right w:val="nil"/>
            </w:tcBorders>
            <w:shd w:val="clear" w:color="FFFFFF" w:fill="FFFFFF"/>
            <w:noWrap/>
            <w:vAlign w:val="bottom"/>
            <w:hideMark/>
          </w:tcPr>
          <w:p w14:paraId="57C14813"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2CF6D9EB" w14:textId="77777777" w:rsidR="00520333" w:rsidRPr="006D688A" w:rsidRDefault="00520333" w:rsidP="005E5E0C">
            <w:pPr>
              <w:spacing w:after="0"/>
              <w:rPr>
                <w:rFonts w:cs="Arial"/>
                <w:sz w:val="18"/>
                <w:szCs w:val="18"/>
              </w:rPr>
            </w:pPr>
            <w:r w:rsidRPr="006D688A">
              <w:rPr>
                <w:rFonts w:cs="Arial"/>
                <w:sz w:val="18"/>
                <w:szCs w:val="18"/>
              </w:rPr>
              <w:t> </w:t>
            </w:r>
          </w:p>
        </w:tc>
      </w:tr>
      <w:tr w:rsidR="00520333" w:rsidRPr="006D688A" w14:paraId="232089C7" w14:textId="77777777" w:rsidTr="005E5E0C">
        <w:trPr>
          <w:trHeight w:val="250"/>
        </w:trPr>
        <w:tc>
          <w:tcPr>
            <w:tcW w:w="4488" w:type="dxa"/>
            <w:tcBorders>
              <w:top w:val="nil"/>
              <w:left w:val="nil"/>
              <w:bottom w:val="nil"/>
              <w:right w:val="nil"/>
            </w:tcBorders>
            <w:shd w:val="clear" w:color="FFFFFF" w:fill="FFFFFF"/>
            <w:vAlign w:val="bottom"/>
            <w:hideMark/>
          </w:tcPr>
          <w:p w14:paraId="0FE00542" w14:textId="77777777" w:rsidR="00520333" w:rsidRPr="006D688A" w:rsidRDefault="00520333" w:rsidP="005E5E0C">
            <w:pPr>
              <w:spacing w:after="0"/>
              <w:rPr>
                <w:rFonts w:cs="Arial"/>
                <w:b/>
                <w:bCs/>
                <w:sz w:val="18"/>
                <w:szCs w:val="18"/>
              </w:rPr>
            </w:pPr>
            <w:r w:rsidRPr="006D688A">
              <w:rPr>
                <w:rFonts w:cs="Arial"/>
                <w:b/>
                <w:bCs/>
                <w:sz w:val="18"/>
                <w:szCs w:val="18"/>
              </w:rPr>
              <w:t>Cash received</w:t>
            </w:r>
          </w:p>
        </w:tc>
        <w:tc>
          <w:tcPr>
            <w:tcW w:w="723" w:type="dxa"/>
            <w:tcBorders>
              <w:top w:val="nil"/>
              <w:left w:val="nil"/>
              <w:bottom w:val="nil"/>
              <w:right w:val="nil"/>
            </w:tcBorders>
            <w:shd w:val="clear" w:color="FFFFFF" w:fill="FFFFFF"/>
            <w:noWrap/>
            <w:vAlign w:val="bottom"/>
            <w:hideMark/>
          </w:tcPr>
          <w:p w14:paraId="20367F15"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67" w:type="dxa"/>
            <w:tcBorders>
              <w:top w:val="nil"/>
              <w:left w:val="nil"/>
              <w:bottom w:val="nil"/>
              <w:right w:val="nil"/>
            </w:tcBorders>
            <w:shd w:val="clear" w:color="FFFFFF" w:fill="FFFFFF"/>
            <w:noWrap/>
            <w:vAlign w:val="bottom"/>
            <w:hideMark/>
          </w:tcPr>
          <w:p w14:paraId="65B614C1"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15471EEF"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nil"/>
              <w:left w:val="nil"/>
              <w:bottom w:val="nil"/>
              <w:right w:val="nil"/>
            </w:tcBorders>
            <w:shd w:val="clear" w:color="FFFFFF" w:fill="FFFFFF"/>
            <w:noWrap/>
            <w:vAlign w:val="bottom"/>
            <w:hideMark/>
          </w:tcPr>
          <w:p w14:paraId="647A8319"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4B0452D6" w14:textId="77777777" w:rsidR="00520333" w:rsidRPr="006D688A" w:rsidRDefault="00520333" w:rsidP="005E5E0C">
            <w:pPr>
              <w:spacing w:after="0"/>
              <w:rPr>
                <w:rFonts w:cs="Arial"/>
                <w:sz w:val="18"/>
                <w:szCs w:val="18"/>
              </w:rPr>
            </w:pPr>
            <w:r w:rsidRPr="006D688A">
              <w:rPr>
                <w:rFonts w:cs="Arial"/>
                <w:sz w:val="18"/>
                <w:szCs w:val="18"/>
              </w:rPr>
              <w:t> </w:t>
            </w:r>
          </w:p>
        </w:tc>
        <w:tc>
          <w:tcPr>
            <w:tcW w:w="1037" w:type="dxa"/>
            <w:tcBorders>
              <w:top w:val="nil"/>
              <w:left w:val="nil"/>
              <w:bottom w:val="nil"/>
              <w:right w:val="nil"/>
            </w:tcBorders>
            <w:shd w:val="clear" w:color="FFFFFF" w:fill="FFFFFF"/>
            <w:noWrap/>
            <w:vAlign w:val="bottom"/>
            <w:hideMark/>
          </w:tcPr>
          <w:p w14:paraId="7FEAC623"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6CC02A38" w14:textId="77777777" w:rsidR="00520333" w:rsidRPr="006D688A" w:rsidRDefault="00520333" w:rsidP="005E5E0C">
            <w:pPr>
              <w:spacing w:after="0"/>
              <w:rPr>
                <w:rFonts w:cs="Arial"/>
                <w:sz w:val="18"/>
                <w:szCs w:val="18"/>
              </w:rPr>
            </w:pPr>
            <w:r w:rsidRPr="006D688A">
              <w:rPr>
                <w:rFonts w:cs="Arial"/>
                <w:sz w:val="18"/>
                <w:szCs w:val="18"/>
              </w:rPr>
              <w:t> </w:t>
            </w:r>
          </w:p>
        </w:tc>
      </w:tr>
      <w:tr w:rsidR="00520333" w:rsidRPr="006D688A" w14:paraId="43A0F647" w14:textId="77777777" w:rsidTr="005E5E0C">
        <w:trPr>
          <w:trHeight w:val="250"/>
        </w:trPr>
        <w:tc>
          <w:tcPr>
            <w:tcW w:w="4488" w:type="dxa"/>
            <w:tcBorders>
              <w:top w:val="nil"/>
              <w:left w:val="nil"/>
              <w:bottom w:val="nil"/>
              <w:right w:val="nil"/>
            </w:tcBorders>
            <w:shd w:val="clear" w:color="FFFFFF" w:fill="FFFFFF"/>
            <w:vAlign w:val="bottom"/>
            <w:hideMark/>
          </w:tcPr>
          <w:p w14:paraId="32524C45" w14:textId="77777777" w:rsidR="00520333" w:rsidRPr="006D688A" w:rsidRDefault="00520333" w:rsidP="005E5E0C">
            <w:pPr>
              <w:spacing w:after="0"/>
              <w:ind w:firstLineChars="100" w:firstLine="180"/>
              <w:rPr>
                <w:rFonts w:cs="Arial"/>
                <w:sz w:val="18"/>
                <w:szCs w:val="18"/>
              </w:rPr>
            </w:pPr>
            <w:r w:rsidRPr="006D688A">
              <w:rPr>
                <w:rFonts w:cs="Arial"/>
                <w:sz w:val="18"/>
                <w:szCs w:val="18"/>
              </w:rPr>
              <w:t>Receipts from Government</w:t>
            </w:r>
          </w:p>
        </w:tc>
        <w:tc>
          <w:tcPr>
            <w:tcW w:w="723" w:type="dxa"/>
            <w:tcBorders>
              <w:top w:val="nil"/>
              <w:left w:val="nil"/>
              <w:bottom w:val="nil"/>
              <w:right w:val="nil"/>
            </w:tcBorders>
            <w:shd w:val="clear" w:color="FFFFFF" w:fill="FFFFFF"/>
            <w:noWrap/>
            <w:vAlign w:val="bottom"/>
            <w:hideMark/>
          </w:tcPr>
          <w:p w14:paraId="1A44B6A8"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67" w:type="dxa"/>
            <w:tcBorders>
              <w:top w:val="nil"/>
              <w:left w:val="nil"/>
              <w:bottom w:val="nil"/>
              <w:right w:val="nil"/>
            </w:tcBorders>
            <w:shd w:val="clear" w:color="FFFFFF" w:fill="FFFFFF"/>
            <w:noWrap/>
            <w:vAlign w:val="bottom"/>
            <w:hideMark/>
          </w:tcPr>
          <w:p w14:paraId="591FF85D" w14:textId="77777777" w:rsidR="00520333" w:rsidRPr="006D688A" w:rsidRDefault="00520333" w:rsidP="005E5E0C">
            <w:pPr>
              <w:spacing w:after="0"/>
              <w:jc w:val="right"/>
              <w:rPr>
                <w:rFonts w:cs="Arial"/>
                <w:b/>
                <w:bCs/>
                <w:sz w:val="18"/>
                <w:szCs w:val="18"/>
              </w:rPr>
            </w:pPr>
            <w:r w:rsidRPr="006D688A">
              <w:rPr>
                <w:rFonts w:cs="Arial"/>
                <w:b/>
                <w:bCs/>
                <w:sz w:val="18"/>
                <w:szCs w:val="18"/>
              </w:rPr>
              <w:t>2,032,420</w:t>
            </w:r>
          </w:p>
        </w:tc>
        <w:tc>
          <w:tcPr>
            <w:tcW w:w="236" w:type="dxa"/>
            <w:tcBorders>
              <w:top w:val="nil"/>
              <w:left w:val="nil"/>
              <w:bottom w:val="nil"/>
              <w:right w:val="nil"/>
            </w:tcBorders>
            <w:shd w:val="clear" w:color="FFFFFF" w:fill="FFFFFF"/>
            <w:noWrap/>
            <w:vAlign w:val="bottom"/>
            <w:hideMark/>
          </w:tcPr>
          <w:p w14:paraId="3A87DD81"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nil"/>
              <w:left w:val="nil"/>
              <w:bottom w:val="nil"/>
              <w:right w:val="nil"/>
            </w:tcBorders>
            <w:shd w:val="clear" w:color="FFFFFF" w:fill="FFFFFF"/>
            <w:noWrap/>
            <w:vAlign w:val="bottom"/>
            <w:hideMark/>
          </w:tcPr>
          <w:p w14:paraId="09496FEA" w14:textId="77777777" w:rsidR="00520333" w:rsidRPr="006D688A" w:rsidRDefault="00520333" w:rsidP="005E5E0C">
            <w:pPr>
              <w:spacing w:after="0"/>
              <w:jc w:val="right"/>
              <w:rPr>
                <w:rFonts w:cs="Arial"/>
                <w:sz w:val="18"/>
                <w:szCs w:val="18"/>
              </w:rPr>
            </w:pPr>
            <w:r w:rsidRPr="006D688A">
              <w:rPr>
                <w:rFonts w:cs="Arial"/>
                <w:sz w:val="18"/>
                <w:szCs w:val="18"/>
              </w:rPr>
              <w:t>1,445,361</w:t>
            </w:r>
          </w:p>
        </w:tc>
        <w:tc>
          <w:tcPr>
            <w:tcW w:w="236" w:type="dxa"/>
            <w:tcBorders>
              <w:top w:val="nil"/>
              <w:left w:val="nil"/>
              <w:bottom w:val="nil"/>
              <w:right w:val="nil"/>
            </w:tcBorders>
            <w:shd w:val="clear" w:color="FFFFFF" w:fill="FFFFFF"/>
            <w:noWrap/>
            <w:vAlign w:val="bottom"/>
            <w:hideMark/>
          </w:tcPr>
          <w:p w14:paraId="61571383" w14:textId="77777777" w:rsidR="00520333" w:rsidRPr="006D688A" w:rsidRDefault="00520333" w:rsidP="005E5E0C">
            <w:pPr>
              <w:spacing w:after="0"/>
              <w:rPr>
                <w:rFonts w:cs="Arial"/>
                <w:sz w:val="18"/>
                <w:szCs w:val="18"/>
              </w:rPr>
            </w:pPr>
            <w:r w:rsidRPr="006D688A">
              <w:rPr>
                <w:rFonts w:cs="Arial"/>
                <w:sz w:val="18"/>
                <w:szCs w:val="18"/>
              </w:rPr>
              <w:t> </w:t>
            </w:r>
          </w:p>
        </w:tc>
        <w:tc>
          <w:tcPr>
            <w:tcW w:w="1037" w:type="dxa"/>
            <w:tcBorders>
              <w:top w:val="nil"/>
              <w:left w:val="nil"/>
              <w:bottom w:val="nil"/>
              <w:right w:val="nil"/>
            </w:tcBorders>
            <w:shd w:val="clear" w:color="FFFFFF" w:fill="FFFFFF"/>
            <w:noWrap/>
            <w:vAlign w:val="bottom"/>
            <w:hideMark/>
          </w:tcPr>
          <w:p w14:paraId="64946892" w14:textId="77777777" w:rsidR="00520333" w:rsidRPr="006D688A" w:rsidRDefault="00520333" w:rsidP="005E5E0C">
            <w:pPr>
              <w:spacing w:after="0"/>
              <w:jc w:val="right"/>
              <w:rPr>
                <w:rFonts w:cs="Arial"/>
                <w:sz w:val="18"/>
                <w:szCs w:val="18"/>
              </w:rPr>
            </w:pPr>
            <w:r w:rsidRPr="006D688A">
              <w:rPr>
                <w:rFonts w:cs="Arial"/>
                <w:sz w:val="18"/>
                <w:szCs w:val="18"/>
              </w:rPr>
              <w:t>1,984,176</w:t>
            </w:r>
          </w:p>
        </w:tc>
        <w:tc>
          <w:tcPr>
            <w:tcW w:w="236" w:type="dxa"/>
            <w:tcBorders>
              <w:top w:val="nil"/>
              <w:left w:val="nil"/>
              <w:bottom w:val="nil"/>
              <w:right w:val="nil"/>
            </w:tcBorders>
            <w:shd w:val="clear" w:color="FFFFFF" w:fill="FFFFFF"/>
            <w:noWrap/>
            <w:vAlign w:val="bottom"/>
            <w:hideMark/>
          </w:tcPr>
          <w:p w14:paraId="2C7C9D08" w14:textId="77777777" w:rsidR="00520333" w:rsidRPr="006D688A" w:rsidRDefault="00520333" w:rsidP="005E5E0C">
            <w:pPr>
              <w:spacing w:after="0"/>
              <w:rPr>
                <w:rFonts w:cs="Arial"/>
                <w:sz w:val="18"/>
                <w:szCs w:val="18"/>
              </w:rPr>
            </w:pPr>
            <w:r w:rsidRPr="006D688A">
              <w:rPr>
                <w:rFonts w:cs="Arial"/>
                <w:sz w:val="18"/>
                <w:szCs w:val="18"/>
              </w:rPr>
              <w:t> </w:t>
            </w:r>
          </w:p>
        </w:tc>
      </w:tr>
      <w:tr w:rsidR="00520333" w:rsidRPr="006D688A" w14:paraId="5029BAA2" w14:textId="77777777" w:rsidTr="005E5E0C">
        <w:trPr>
          <w:trHeight w:val="250"/>
        </w:trPr>
        <w:tc>
          <w:tcPr>
            <w:tcW w:w="4488" w:type="dxa"/>
            <w:tcBorders>
              <w:top w:val="nil"/>
              <w:left w:val="nil"/>
              <w:bottom w:val="nil"/>
              <w:right w:val="nil"/>
            </w:tcBorders>
            <w:shd w:val="clear" w:color="FFFFFF" w:fill="FFFFFF"/>
            <w:vAlign w:val="bottom"/>
            <w:hideMark/>
          </w:tcPr>
          <w:p w14:paraId="1114C861" w14:textId="77777777" w:rsidR="00520333" w:rsidRPr="006D688A" w:rsidRDefault="00520333" w:rsidP="005E5E0C">
            <w:pPr>
              <w:spacing w:after="0"/>
              <w:ind w:firstLineChars="100" w:firstLine="180"/>
              <w:rPr>
                <w:rFonts w:cs="Arial"/>
                <w:sz w:val="18"/>
                <w:szCs w:val="18"/>
              </w:rPr>
            </w:pPr>
            <w:r w:rsidRPr="006D688A">
              <w:rPr>
                <w:rFonts w:cs="Arial"/>
                <w:sz w:val="18"/>
                <w:szCs w:val="18"/>
              </w:rPr>
              <w:t>Rendering of services</w:t>
            </w:r>
          </w:p>
        </w:tc>
        <w:tc>
          <w:tcPr>
            <w:tcW w:w="723" w:type="dxa"/>
            <w:tcBorders>
              <w:top w:val="nil"/>
              <w:left w:val="nil"/>
              <w:bottom w:val="nil"/>
              <w:right w:val="nil"/>
            </w:tcBorders>
            <w:shd w:val="clear" w:color="FFFFFF" w:fill="FFFFFF"/>
            <w:noWrap/>
            <w:vAlign w:val="bottom"/>
            <w:hideMark/>
          </w:tcPr>
          <w:p w14:paraId="6557E8C2"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67" w:type="dxa"/>
            <w:tcBorders>
              <w:top w:val="nil"/>
              <w:left w:val="nil"/>
              <w:bottom w:val="nil"/>
              <w:right w:val="nil"/>
            </w:tcBorders>
            <w:shd w:val="clear" w:color="FFFFFF" w:fill="FFFFFF"/>
            <w:noWrap/>
            <w:vAlign w:val="bottom"/>
            <w:hideMark/>
          </w:tcPr>
          <w:p w14:paraId="78894B2A" w14:textId="77777777" w:rsidR="00520333" w:rsidRPr="006D688A" w:rsidRDefault="00520333" w:rsidP="005E5E0C">
            <w:pPr>
              <w:spacing w:after="0"/>
              <w:jc w:val="right"/>
              <w:rPr>
                <w:rFonts w:cs="Arial"/>
                <w:b/>
                <w:bCs/>
                <w:sz w:val="18"/>
                <w:szCs w:val="18"/>
              </w:rPr>
            </w:pPr>
            <w:r w:rsidRPr="006D688A">
              <w:rPr>
                <w:rFonts w:cs="Arial"/>
                <w:b/>
                <w:bCs/>
                <w:sz w:val="18"/>
                <w:szCs w:val="18"/>
              </w:rPr>
              <w:t>41,305,772</w:t>
            </w:r>
          </w:p>
        </w:tc>
        <w:tc>
          <w:tcPr>
            <w:tcW w:w="236" w:type="dxa"/>
            <w:tcBorders>
              <w:top w:val="nil"/>
              <w:left w:val="nil"/>
              <w:bottom w:val="nil"/>
              <w:right w:val="nil"/>
            </w:tcBorders>
            <w:shd w:val="clear" w:color="FFFFFF" w:fill="FFFFFF"/>
            <w:noWrap/>
            <w:vAlign w:val="bottom"/>
            <w:hideMark/>
          </w:tcPr>
          <w:p w14:paraId="461591A7"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nil"/>
              <w:left w:val="nil"/>
              <w:bottom w:val="nil"/>
              <w:right w:val="nil"/>
            </w:tcBorders>
            <w:shd w:val="clear" w:color="FFFFFF" w:fill="FFFFFF"/>
            <w:noWrap/>
            <w:vAlign w:val="bottom"/>
            <w:hideMark/>
          </w:tcPr>
          <w:p w14:paraId="44819633" w14:textId="77777777" w:rsidR="00520333" w:rsidRPr="006D688A" w:rsidRDefault="00520333" w:rsidP="005E5E0C">
            <w:pPr>
              <w:spacing w:after="0"/>
              <w:jc w:val="right"/>
              <w:rPr>
                <w:rFonts w:cs="Arial"/>
                <w:sz w:val="18"/>
                <w:szCs w:val="18"/>
              </w:rPr>
            </w:pPr>
            <w:r w:rsidRPr="006D688A">
              <w:rPr>
                <w:rFonts w:cs="Arial"/>
                <w:sz w:val="18"/>
                <w:szCs w:val="18"/>
              </w:rPr>
              <w:t>34,134,568</w:t>
            </w:r>
          </w:p>
        </w:tc>
        <w:tc>
          <w:tcPr>
            <w:tcW w:w="236" w:type="dxa"/>
            <w:tcBorders>
              <w:top w:val="nil"/>
              <w:left w:val="nil"/>
              <w:bottom w:val="nil"/>
              <w:right w:val="nil"/>
            </w:tcBorders>
            <w:shd w:val="clear" w:color="FFFFFF" w:fill="FFFFFF"/>
            <w:noWrap/>
            <w:vAlign w:val="bottom"/>
            <w:hideMark/>
          </w:tcPr>
          <w:p w14:paraId="3A6BF6E6" w14:textId="77777777" w:rsidR="00520333" w:rsidRPr="006D688A" w:rsidRDefault="00520333" w:rsidP="005E5E0C">
            <w:pPr>
              <w:spacing w:after="0"/>
              <w:rPr>
                <w:rFonts w:cs="Arial"/>
                <w:sz w:val="18"/>
                <w:szCs w:val="18"/>
              </w:rPr>
            </w:pPr>
            <w:r w:rsidRPr="006D688A">
              <w:rPr>
                <w:rFonts w:cs="Arial"/>
                <w:sz w:val="18"/>
                <w:szCs w:val="18"/>
              </w:rPr>
              <w:t> </w:t>
            </w:r>
          </w:p>
        </w:tc>
        <w:tc>
          <w:tcPr>
            <w:tcW w:w="1037" w:type="dxa"/>
            <w:tcBorders>
              <w:top w:val="nil"/>
              <w:left w:val="nil"/>
              <w:bottom w:val="nil"/>
              <w:right w:val="nil"/>
            </w:tcBorders>
            <w:shd w:val="clear" w:color="FFFFFF" w:fill="FFFFFF"/>
            <w:noWrap/>
            <w:vAlign w:val="bottom"/>
            <w:hideMark/>
          </w:tcPr>
          <w:p w14:paraId="5AEB9D42" w14:textId="77777777" w:rsidR="00520333" w:rsidRPr="006D688A" w:rsidRDefault="00520333" w:rsidP="005E5E0C">
            <w:pPr>
              <w:spacing w:after="0"/>
              <w:jc w:val="right"/>
              <w:rPr>
                <w:rFonts w:cs="Arial"/>
                <w:sz w:val="18"/>
                <w:szCs w:val="18"/>
              </w:rPr>
            </w:pPr>
            <w:r w:rsidRPr="006D688A">
              <w:rPr>
                <w:rFonts w:cs="Arial"/>
                <w:sz w:val="18"/>
                <w:szCs w:val="18"/>
              </w:rPr>
              <w:t>39,664,677</w:t>
            </w:r>
          </w:p>
        </w:tc>
        <w:tc>
          <w:tcPr>
            <w:tcW w:w="236" w:type="dxa"/>
            <w:tcBorders>
              <w:top w:val="nil"/>
              <w:left w:val="nil"/>
              <w:bottom w:val="nil"/>
              <w:right w:val="nil"/>
            </w:tcBorders>
            <w:shd w:val="clear" w:color="FFFFFF" w:fill="FFFFFF"/>
            <w:noWrap/>
            <w:vAlign w:val="bottom"/>
            <w:hideMark/>
          </w:tcPr>
          <w:p w14:paraId="1BFCE6AA" w14:textId="77777777" w:rsidR="00520333" w:rsidRPr="006D688A" w:rsidRDefault="00520333" w:rsidP="005E5E0C">
            <w:pPr>
              <w:spacing w:after="0"/>
              <w:rPr>
                <w:rFonts w:cs="Arial"/>
                <w:sz w:val="18"/>
                <w:szCs w:val="18"/>
              </w:rPr>
            </w:pPr>
            <w:r w:rsidRPr="006D688A">
              <w:rPr>
                <w:rFonts w:cs="Arial"/>
                <w:sz w:val="18"/>
                <w:szCs w:val="18"/>
              </w:rPr>
              <w:t> </w:t>
            </w:r>
          </w:p>
        </w:tc>
      </w:tr>
      <w:tr w:rsidR="00520333" w:rsidRPr="006D688A" w14:paraId="058C0892" w14:textId="77777777" w:rsidTr="005E5E0C">
        <w:trPr>
          <w:trHeight w:val="250"/>
        </w:trPr>
        <w:tc>
          <w:tcPr>
            <w:tcW w:w="4488" w:type="dxa"/>
            <w:tcBorders>
              <w:top w:val="nil"/>
              <w:left w:val="nil"/>
              <w:bottom w:val="nil"/>
              <w:right w:val="nil"/>
            </w:tcBorders>
            <w:shd w:val="clear" w:color="FFFFFF" w:fill="FFFFFF"/>
            <w:vAlign w:val="bottom"/>
            <w:hideMark/>
          </w:tcPr>
          <w:p w14:paraId="6BE9BF80" w14:textId="77777777" w:rsidR="00520333" w:rsidRPr="006D688A" w:rsidRDefault="00520333" w:rsidP="005E5E0C">
            <w:pPr>
              <w:spacing w:after="0"/>
              <w:ind w:firstLineChars="100" w:firstLine="180"/>
              <w:rPr>
                <w:rFonts w:cs="Arial"/>
                <w:sz w:val="18"/>
                <w:szCs w:val="18"/>
              </w:rPr>
            </w:pPr>
            <w:r w:rsidRPr="006D688A">
              <w:rPr>
                <w:rFonts w:cs="Arial"/>
                <w:sz w:val="18"/>
                <w:szCs w:val="18"/>
              </w:rPr>
              <w:t>Interest received</w:t>
            </w:r>
          </w:p>
        </w:tc>
        <w:tc>
          <w:tcPr>
            <w:tcW w:w="723" w:type="dxa"/>
            <w:tcBorders>
              <w:top w:val="nil"/>
              <w:left w:val="nil"/>
              <w:bottom w:val="nil"/>
              <w:right w:val="nil"/>
            </w:tcBorders>
            <w:shd w:val="clear" w:color="FFFFFF" w:fill="FFFFFF"/>
            <w:noWrap/>
            <w:vAlign w:val="bottom"/>
            <w:hideMark/>
          </w:tcPr>
          <w:p w14:paraId="01648BDD"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67" w:type="dxa"/>
            <w:tcBorders>
              <w:top w:val="nil"/>
              <w:left w:val="nil"/>
              <w:bottom w:val="nil"/>
              <w:right w:val="nil"/>
            </w:tcBorders>
            <w:shd w:val="clear" w:color="FFFFFF" w:fill="FFFFFF"/>
            <w:noWrap/>
            <w:vAlign w:val="bottom"/>
            <w:hideMark/>
          </w:tcPr>
          <w:p w14:paraId="0956423A" w14:textId="77777777" w:rsidR="00520333" w:rsidRPr="006D688A" w:rsidRDefault="00520333" w:rsidP="005E5E0C">
            <w:pPr>
              <w:spacing w:after="0"/>
              <w:jc w:val="right"/>
              <w:rPr>
                <w:rFonts w:cs="Arial"/>
                <w:b/>
                <w:bCs/>
                <w:sz w:val="18"/>
                <w:szCs w:val="18"/>
              </w:rPr>
            </w:pPr>
            <w:r w:rsidRPr="006D688A">
              <w:rPr>
                <w:rFonts w:cs="Arial"/>
                <w:b/>
                <w:bCs/>
                <w:sz w:val="18"/>
                <w:szCs w:val="18"/>
              </w:rPr>
              <w:t>408,467</w:t>
            </w:r>
          </w:p>
        </w:tc>
        <w:tc>
          <w:tcPr>
            <w:tcW w:w="236" w:type="dxa"/>
            <w:tcBorders>
              <w:top w:val="nil"/>
              <w:left w:val="nil"/>
              <w:bottom w:val="nil"/>
              <w:right w:val="nil"/>
            </w:tcBorders>
            <w:shd w:val="clear" w:color="FFFFFF" w:fill="FFFFFF"/>
            <w:noWrap/>
            <w:vAlign w:val="bottom"/>
            <w:hideMark/>
          </w:tcPr>
          <w:p w14:paraId="4D37739A"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nil"/>
              <w:left w:val="nil"/>
              <w:bottom w:val="nil"/>
              <w:right w:val="nil"/>
            </w:tcBorders>
            <w:shd w:val="clear" w:color="FFFFFF" w:fill="FFFFFF"/>
            <w:noWrap/>
            <w:vAlign w:val="bottom"/>
            <w:hideMark/>
          </w:tcPr>
          <w:p w14:paraId="635AB9B1" w14:textId="77777777" w:rsidR="00520333" w:rsidRPr="006D688A" w:rsidRDefault="00520333" w:rsidP="005E5E0C">
            <w:pPr>
              <w:spacing w:after="0"/>
              <w:jc w:val="right"/>
              <w:rPr>
                <w:rFonts w:cs="Arial"/>
                <w:sz w:val="18"/>
                <w:szCs w:val="18"/>
              </w:rPr>
            </w:pPr>
            <w:r w:rsidRPr="006D688A">
              <w:rPr>
                <w:rFonts w:cs="Arial"/>
                <w:sz w:val="18"/>
                <w:szCs w:val="18"/>
              </w:rPr>
              <w:t>225,495</w:t>
            </w:r>
          </w:p>
        </w:tc>
        <w:tc>
          <w:tcPr>
            <w:tcW w:w="236" w:type="dxa"/>
            <w:tcBorders>
              <w:top w:val="nil"/>
              <w:left w:val="nil"/>
              <w:bottom w:val="nil"/>
              <w:right w:val="nil"/>
            </w:tcBorders>
            <w:shd w:val="clear" w:color="FFFFFF" w:fill="FFFFFF"/>
            <w:noWrap/>
            <w:vAlign w:val="bottom"/>
            <w:hideMark/>
          </w:tcPr>
          <w:p w14:paraId="2A929C42" w14:textId="77777777" w:rsidR="00520333" w:rsidRPr="006D688A" w:rsidRDefault="00520333" w:rsidP="005E5E0C">
            <w:pPr>
              <w:spacing w:after="0"/>
              <w:rPr>
                <w:rFonts w:cs="Arial"/>
                <w:sz w:val="18"/>
                <w:szCs w:val="18"/>
              </w:rPr>
            </w:pPr>
            <w:r w:rsidRPr="006D688A">
              <w:rPr>
                <w:rFonts w:cs="Arial"/>
                <w:sz w:val="18"/>
                <w:szCs w:val="18"/>
              </w:rPr>
              <w:t> </w:t>
            </w:r>
          </w:p>
        </w:tc>
        <w:tc>
          <w:tcPr>
            <w:tcW w:w="1037" w:type="dxa"/>
            <w:tcBorders>
              <w:top w:val="nil"/>
              <w:left w:val="nil"/>
              <w:bottom w:val="nil"/>
              <w:right w:val="nil"/>
            </w:tcBorders>
            <w:shd w:val="clear" w:color="FFFFFF" w:fill="FFFFFF"/>
            <w:noWrap/>
            <w:vAlign w:val="bottom"/>
            <w:hideMark/>
          </w:tcPr>
          <w:p w14:paraId="55816B77" w14:textId="77777777" w:rsidR="00520333" w:rsidRPr="006D688A" w:rsidRDefault="00520333" w:rsidP="005E5E0C">
            <w:pPr>
              <w:spacing w:after="0"/>
              <w:jc w:val="right"/>
              <w:rPr>
                <w:rFonts w:cs="Arial"/>
                <w:sz w:val="18"/>
                <w:szCs w:val="18"/>
              </w:rPr>
            </w:pPr>
            <w:r w:rsidRPr="006D688A">
              <w:rPr>
                <w:rFonts w:cs="Arial"/>
                <w:sz w:val="18"/>
                <w:szCs w:val="18"/>
              </w:rPr>
              <w:t>259,054</w:t>
            </w:r>
          </w:p>
        </w:tc>
        <w:tc>
          <w:tcPr>
            <w:tcW w:w="236" w:type="dxa"/>
            <w:tcBorders>
              <w:top w:val="nil"/>
              <w:left w:val="nil"/>
              <w:bottom w:val="nil"/>
              <w:right w:val="nil"/>
            </w:tcBorders>
            <w:shd w:val="clear" w:color="FFFFFF" w:fill="FFFFFF"/>
            <w:noWrap/>
            <w:vAlign w:val="bottom"/>
            <w:hideMark/>
          </w:tcPr>
          <w:p w14:paraId="610485C0" w14:textId="77777777" w:rsidR="00520333" w:rsidRPr="006D688A" w:rsidRDefault="00520333" w:rsidP="005E5E0C">
            <w:pPr>
              <w:spacing w:after="0"/>
              <w:rPr>
                <w:rFonts w:cs="Arial"/>
                <w:sz w:val="18"/>
                <w:szCs w:val="18"/>
              </w:rPr>
            </w:pPr>
            <w:r w:rsidRPr="006D688A">
              <w:rPr>
                <w:rFonts w:cs="Arial"/>
                <w:sz w:val="18"/>
                <w:szCs w:val="18"/>
              </w:rPr>
              <w:t> </w:t>
            </w:r>
          </w:p>
        </w:tc>
      </w:tr>
      <w:tr w:rsidR="00520333" w:rsidRPr="006D688A" w14:paraId="33C90E8A" w14:textId="77777777" w:rsidTr="005E5E0C">
        <w:trPr>
          <w:trHeight w:val="250"/>
        </w:trPr>
        <w:tc>
          <w:tcPr>
            <w:tcW w:w="4488" w:type="dxa"/>
            <w:tcBorders>
              <w:top w:val="nil"/>
              <w:left w:val="nil"/>
              <w:bottom w:val="nil"/>
              <w:right w:val="nil"/>
            </w:tcBorders>
            <w:shd w:val="clear" w:color="FFFFFF" w:fill="FFFFFF"/>
            <w:vAlign w:val="bottom"/>
            <w:hideMark/>
          </w:tcPr>
          <w:p w14:paraId="68317924" w14:textId="77777777" w:rsidR="00520333" w:rsidRPr="006D688A" w:rsidRDefault="00520333" w:rsidP="005E5E0C">
            <w:pPr>
              <w:spacing w:after="0"/>
              <w:ind w:firstLineChars="100" w:firstLine="180"/>
              <w:rPr>
                <w:rFonts w:cs="Arial"/>
                <w:sz w:val="18"/>
                <w:szCs w:val="18"/>
              </w:rPr>
            </w:pPr>
            <w:r w:rsidRPr="006D688A">
              <w:rPr>
                <w:rFonts w:cs="Arial"/>
                <w:sz w:val="18"/>
                <w:szCs w:val="18"/>
              </w:rPr>
              <w:t>GST received</w:t>
            </w:r>
          </w:p>
        </w:tc>
        <w:tc>
          <w:tcPr>
            <w:tcW w:w="723" w:type="dxa"/>
            <w:tcBorders>
              <w:top w:val="nil"/>
              <w:left w:val="nil"/>
              <w:bottom w:val="nil"/>
              <w:right w:val="nil"/>
            </w:tcBorders>
            <w:shd w:val="clear" w:color="FFFFFF" w:fill="FFFFFF"/>
            <w:noWrap/>
            <w:vAlign w:val="bottom"/>
            <w:hideMark/>
          </w:tcPr>
          <w:p w14:paraId="4D014B72"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67" w:type="dxa"/>
            <w:tcBorders>
              <w:top w:val="nil"/>
              <w:left w:val="nil"/>
              <w:bottom w:val="nil"/>
              <w:right w:val="nil"/>
            </w:tcBorders>
            <w:shd w:val="clear" w:color="FFFFFF" w:fill="FFFFFF"/>
            <w:noWrap/>
            <w:vAlign w:val="bottom"/>
            <w:hideMark/>
          </w:tcPr>
          <w:p w14:paraId="45B8276F" w14:textId="77777777" w:rsidR="00520333" w:rsidRPr="006D688A" w:rsidRDefault="00520333" w:rsidP="005E5E0C">
            <w:pPr>
              <w:spacing w:after="0"/>
              <w:jc w:val="right"/>
              <w:rPr>
                <w:rFonts w:cs="Arial"/>
                <w:b/>
                <w:bCs/>
                <w:sz w:val="18"/>
                <w:szCs w:val="18"/>
              </w:rPr>
            </w:pPr>
            <w:r w:rsidRPr="006D688A">
              <w:rPr>
                <w:rFonts w:cs="Arial"/>
                <w:b/>
                <w:bCs/>
                <w:sz w:val="18"/>
                <w:szCs w:val="18"/>
              </w:rPr>
              <w:t>144,321</w:t>
            </w:r>
          </w:p>
        </w:tc>
        <w:tc>
          <w:tcPr>
            <w:tcW w:w="236" w:type="dxa"/>
            <w:tcBorders>
              <w:top w:val="nil"/>
              <w:left w:val="nil"/>
              <w:bottom w:val="nil"/>
              <w:right w:val="nil"/>
            </w:tcBorders>
            <w:shd w:val="clear" w:color="FFFFFF" w:fill="FFFFFF"/>
            <w:noWrap/>
            <w:vAlign w:val="bottom"/>
            <w:hideMark/>
          </w:tcPr>
          <w:p w14:paraId="44CDB10E"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nil"/>
              <w:left w:val="nil"/>
              <w:bottom w:val="nil"/>
              <w:right w:val="nil"/>
            </w:tcBorders>
            <w:shd w:val="clear" w:color="FFFFFF" w:fill="FFFFFF"/>
            <w:noWrap/>
            <w:vAlign w:val="bottom"/>
            <w:hideMark/>
          </w:tcPr>
          <w:p w14:paraId="220E36DC" w14:textId="77777777" w:rsidR="00520333" w:rsidRPr="006D688A" w:rsidRDefault="00520333" w:rsidP="005E5E0C">
            <w:pPr>
              <w:spacing w:after="0"/>
              <w:jc w:val="right"/>
              <w:rPr>
                <w:rFonts w:cs="Arial"/>
                <w:sz w:val="18"/>
                <w:szCs w:val="18"/>
              </w:rPr>
            </w:pPr>
            <w:r w:rsidRPr="006D688A">
              <w:rPr>
                <w:rFonts w:cs="Arial"/>
                <w:sz w:val="18"/>
                <w:szCs w:val="18"/>
              </w:rPr>
              <w:t>141,879</w:t>
            </w:r>
          </w:p>
        </w:tc>
        <w:tc>
          <w:tcPr>
            <w:tcW w:w="236" w:type="dxa"/>
            <w:tcBorders>
              <w:top w:val="nil"/>
              <w:left w:val="nil"/>
              <w:bottom w:val="nil"/>
              <w:right w:val="nil"/>
            </w:tcBorders>
            <w:shd w:val="clear" w:color="FFFFFF" w:fill="FFFFFF"/>
            <w:noWrap/>
            <w:vAlign w:val="bottom"/>
            <w:hideMark/>
          </w:tcPr>
          <w:p w14:paraId="165B686C" w14:textId="77777777" w:rsidR="00520333" w:rsidRPr="006D688A" w:rsidRDefault="00520333" w:rsidP="005E5E0C">
            <w:pPr>
              <w:spacing w:after="0"/>
              <w:rPr>
                <w:rFonts w:cs="Arial"/>
                <w:sz w:val="18"/>
                <w:szCs w:val="18"/>
              </w:rPr>
            </w:pPr>
            <w:r w:rsidRPr="006D688A">
              <w:rPr>
                <w:rFonts w:cs="Arial"/>
                <w:sz w:val="18"/>
                <w:szCs w:val="18"/>
              </w:rPr>
              <w:t> </w:t>
            </w:r>
          </w:p>
        </w:tc>
        <w:tc>
          <w:tcPr>
            <w:tcW w:w="1037" w:type="dxa"/>
            <w:tcBorders>
              <w:top w:val="nil"/>
              <w:left w:val="nil"/>
              <w:bottom w:val="nil"/>
              <w:right w:val="nil"/>
            </w:tcBorders>
            <w:shd w:val="clear" w:color="FFFFFF" w:fill="FFFFFF"/>
            <w:noWrap/>
            <w:vAlign w:val="bottom"/>
            <w:hideMark/>
          </w:tcPr>
          <w:p w14:paraId="4BC1AA2F" w14:textId="77777777" w:rsidR="00520333" w:rsidRPr="006D688A" w:rsidRDefault="00520333" w:rsidP="005E5E0C">
            <w:pPr>
              <w:spacing w:after="0"/>
              <w:jc w:val="right"/>
              <w:rPr>
                <w:rFonts w:cs="Arial"/>
                <w:sz w:val="18"/>
                <w:szCs w:val="18"/>
              </w:rPr>
            </w:pPr>
            <w:r w:rsidRPr="006D688A">
              <w:rPr>
                <w:rFonts w:cs="Arial"/>
                <w:sz w:val="18"/>
                <w:szCs w:val="18"/>
              </w:rPr>
              <w:t>87,296</w:t>
            </w:r>
          </w:p>
        </w:tc>
        <w:tc>
          <w:tcPr>
            <w:tcW w:w="236" w:type="dxa"/>
            <w:tcBorders>
              <w:top w:val="nil"/>
              <w:left w:val="nil"/>
              <w:bottom w:val="nil"/>
              <w:right w:val="nil"/>
            </w:tcBorders>
            <w:shd w:val="clear" w:color="FFFFFF" w:fill="FFFFFF"/>
            <w:noWrap/>
            <w:vAlign w:val="bottom"/>
            <w:hideMark/>
          </w:tcPr>
          <w:p w14:paraId="5FAABAB1" w14:textId="77777777" w:rsidR="00520333" w:rsidRPr="006D688A" w:rsidRDefault="00520333" w:rsidP="005E5E0C">
            <w:pPr>
              <w:spacing w:after="0"/>
              <w:rPr>
                <w:rFonts w:cs="Arial"/>
                <w:sz w:val="18"/>
                <w:szCs w:val="18"/>
              </w:rPr>
            </w:pPr>
            <w:r w:rsidRPr="006D688A">
              <w:rPr>
                <w:rFonts w:cs="Arial"/>
                <w:sz w:val="18"/>
                <w:szCs w:val="18"/>
              </w:rPr>
              <w:t> </w:t>
            </w:r>
          </w:p>
        </w:tc>
      </w:tr>
      <w:tr w:rsidR="00520333" w:rsidRPr="006D688A" w14:paraId="32FCC2B6" w14:textId="77777777" w:rsidTr="005E5E0C">
        <w:trPr>
          <w:trHeight w:val="250"/>
        </w:trPr>
        <w:tc>
          <w:tcPr>
            <w:tcW w:w="4488" w:type="dxa"/>
            <w:tcBorders>
              <w:top w:val="nil"/>
              <w:left w:val="nil"/>
              <w:bottom w:val="nil"/>
              <w:right w:val="nil"/>
            </w:tcBorders>
            <w:shd w:val="clear" w:color="FFFFFF" w:fill="FFFFFF"/>
            <w:vAlign w:val="bottom"/>
            <w:hideMark/>
          </w:tcPr>
          <w:p w14:paraId="433F8FBC" w14:textId="77777777" w:rsidR="00520333" w:rsidRPr="006D688A" w:rsidRDefault="00520333" w:rsidP="005E5E0C">
            <w:pPr>
              <w:spacing w:after="0"/>
              <w:ind w:firstLineChars="100" w:firstLine="180"/>
              <w:rPr>
                <w:rFonts w:cs="Arial"/>
                <w:sz w:val="18"/>
                <w:szCs w:val="18"/>
              </w:rPr>
            </w:pPr>
            <w:r w:rsidRPr="006D688A">
              <w:rPr>
                <w:rFonts w:cs="Arial"/>
                <w:sz w:val="18"/>
                <w:szCs w:val="18"/>
              </w:rPr>
              <w:t>Other</w:t>
            </w:r>
          </w:p>
        </w:tc>
        <w:tc>
          <w:tcPr>
            <w:tcW w:w="723" w:type="dxa"/>
            <w:tcBorders>
              <w:top w:val="nil"/>
              <w:left w:val="nil"/>
              <w:bottom w:val="nil"/>
              <w:right w:val="nil"/>
            </w:tcBorders>
            <w:shd w:val="clear" w:color="FFFFFF" w:fill="FFFFFF"/>
            <w:noWrap/>
            <w:vAlign w:val="bottom"/>
            <w:hideMark/>
          </w:tcPr>
          <w:p w14:paraId="787A03B3"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67" w:type="dxa"/>
            <w:tcBorders>
              <w:top w:val="nil"/>
              <w:left w:val="nil"/>
              <w:bottom w:val="nil"/>
              <w:right w:val="nil"/>
            </w:tcBorders>
            <w:shd w:val="clear" w:color="FFFFFF" w:fill="FFFFFF"/>
            <w:noWrap/>
            <w:vAlign w:val="bottom"/>
            <w:hideMark/>
          </w:tcPr>
          <w:p w14:paraId="7BECD326" w14:textId="77777777" w:rsidR="00520333" w:rsidRPr="006D688A" w:rsidRDefault="00520333" w:rsidP="005E5E0C">
            <w:pPr>
              <w:spacing w:after="0"/>
              <w:jc w:val="right"/>
              <w:rPr>
                <w:rFonts w:cs="Arial"/>
                <w:b/>
                <w:bCs/>
                <w:sz w:val="18"/>
                <w:szCs w:val="18"/>
              </w:rPr>
            </w:pPr>
            <w:r w:rsidRPr="006D688A">
              <w:rPr>
                <w:rFonts w:cs="Arial"/>
                <w:b/>
                <w:bCs/>
                <w:sz w:val="18"/>
                <w:szCs w:val="18"/>
              </w:rPr>
              <w:t>48,699</w:t>
            </w:r>
          </w:p>
        </w:tc>
        <w:tc>
          <w:tcPr>
            <w:tcW w:w="236" w:type="dxa"/>
            <w:tcBorders>
              <w:top w:val="nil"/>
              <w:left w:val="nil"/>
              <w:bottom w:val="nil"/>
              <w:right w:val="nil"/>
            </w:tcBorders>
            <w:shd w:val="clear" w:color="FFFFFF" w:fill="FFFFFF"/>
            <w:noWrap/>
            <w:vAlign w:val="bottom"/>
            <w:hideMark/>
          </w:tcPr>
          <w:p w14:paraId="476D5303"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nil"/>
              <w:left w:val="nil"/>
              <w:bottom w:val="nil"/>
              <w:right w:val="nil"/>
            </w:tcBorders>
            <w:shd w:val="clear" w:color="FFFFFF" w:fill="FFFFFF"/>
            <w:noWrap/>
            <w:vAlign w:val="bottom"/>
            <w:hideMark/>
          </w:tcPr>
          <w:p w14:paraId="48167DD2" w14:textId="77777777" w:rsidR="00520333" w:rsidRPr="006D688A" w:rsidRDefault="00520333" w:rsidP="005E5E0C">
            <w:pPr>
              <w:spacing w:after="0"/>
              <w:jc w:val="right"/>
              <w:rPr>
                <w:rFonts w:cs="Arial"/>
                <w:sz w:val="18"/>
                <w:szCs w:val="18"/>
              </w:rPr>
            </w:pPr>
            <w:r w:rsidRPr="006D688A">
              <w:rPr>
                <w:rFonts w:cs="Arial"/>
                <w:sz w:val="18"/>
                <w:szCs w:val="18"/>
              </w:rPr>
              <w:t>27,109</w:t>
            </w:r>
          </w:p>
        </w:tc>
        <w:tc>
          <w:tcPr>
            <w:tcW w:w="236" w:type="dxa"/>
            <w:tcBorders>
              <w:top w:val="nil"/>
              <w:left w:val="nil"/>
              <w:bottom w:val="nil"/>
              <w:right w:val="nil"/>
            </w:tcBorders>
            <w:shd w:val="clear" w:color="FFFFFF" w:fill="FFFFFF"/>
            <w:noWrap/>
            <w:vAlign w:val="bottom"/>
            <w:hideMark/>
          </w:tcPr>
          <w:p w14:paraId="21E5B210" w14:textId="77777777" w:rsidR="00520333" w:rsidRPr="006D688A" w:rsidRDefault="00520333" w:rsidP="005E5E0C">
            <w:pPr>
              <w:spacing w:after="0"/>
              <w:rPr>
                <w:rFonts w:cs="Arial"/>
                <w:sz w:val="18"/>
                <w:szCs w:val="18"/>
              </w:rPr>
            </w:pPr>
            <w:r w:rsidRPr="006D688A">
              <w:rPr>
                <w:rFonts w:cs="Arial"/>
                <w:sz w:val="18"/>
                <w:szCs w:val="18"/>
              </w:rPr>
              <w:t> </w:t>
            </w:r>
          </w:p>
        </w:tc>
        <w:tc>
          <w:tcPr>
            <w:tcW w:w="1037" w:type="dxa"/>
            <w:tcBorders>
              <w:top w:val="nil"/>
              <w:left w:val="nil"/>
              <w:bottom w:val="nil"/>
              <w:right w:val="nil"/>
            </w:tcBorders>
            <w:shd w:val="clear" w:color="FFFFFF" w:fill="FFFFFF"/>
            <w:noWrap/>
            <w:vAlign w:val="bottom"/>
            <w:hideMark/>
          </w:tcPr>
          <w:p w14:paraId="03ECE250" w14:textId="77777777" w:rsidR="00520333" w:rsidRPr="006D688A" w:rsidRDefault="00520333" w:rsidP="005E5E0C">
            <w:pPr>
              <w:spacing w:after="0"/>
              <w:jc w:val="right"/>
              <w:rPr>
                <w:rFonts w:cs="Arial"/>
                <w:sz w:val="18"/>
                <w:szCs w:val="18"/>
              </w:rPr>
            </w:pPr>
            <w:r w:rsidRPr="006D688A">
              <w:rPr>
                <w:rFonts w:cs="Arial"/>
                <w:sz w:val="18"/>
                <w:szCs w:val="18"/>
              </w:rPr>
              <w:t>79,500</w:t>
            </w:r>
          </w:p>
        </w:tc>
        <w:tc>
          <w:tcPr>
            <w:tcW w:w="236" w:type="dxa"/>
            <w:tcBorders>
              <w:top w:val="nil"/>
              <w:left w:val="nil"/>
              <w:bottom w:val="nil"/>
              <w:right w:val="nil"/>
            </w:tcBorders>
            <w:shd w:val="clear" w:color="FFFFFF" w:fill="FFFFFF"/>
            <w:noWrap/>
            <w:vAlign w:val="bottom"/>
            <w:hideMark/>
          </w:tcPr>
          <w:p w14:paraId="31B2CA04" w14:textId="77777777" w:rsidR="00520333" w:rsidRPr="006D688A" w:rsidRDefault="00520333" w:rsidP="005E5E0C">
            <w:pPr>
              <w:spacing w:after="0"/>
              <w:rPr>
                <w:rFonts w:cs="Arial"/>
                <w:sz w:val="18"/>
                <w:szCs w:val="18"/>
              </w:rPr>
            </w:pPr>
            <w:r w:rsidRPr="006D688A">
              <w:rPr>
                <w:rFonts w:cs="Arial"/>
                <w:sz w:val="18"/>
                <w:szCs w:val="18"/>
              </w:rPr>
              <w:t> </w:t>
            </w:r>
          </w:p>
        </w:tc>
      </w:tr>
      <w:tr w:rsidR="00520333" w:rsidRPr="006D688A" w14:paraId="5165A3B5" w14:textId="77777777" w:rsidTr="005E5E0C">
        <w:trPr>
          <w:trHeight w:val="250"/>
        </w:trPr>
        <w:tc>
          <w:tcPr>
            <w:tcW w:w="4488" w:type="dxa"/>
            <w:tcBorders>
              <w:top w:val="nil"/>
              <w:left w:val="nil"/>
              <w:bottom w:val="nil"/>
              <w:right w:val="nil"/>
            </w:tcBorders>
            <w:shd w:val="clear" w:color="FFFFFF" w:fill="FFFFFF"/>
            <w:vAlign w:val="bottom"/>
            <w:hideMark/>
          </w:tcPr>
          <w:p w14:paraId="25C68FFE" w14:textId="77777777" w:rsidR="00520333" w:rsidRPr="006D688A" w:rsidRDefault="00520333" w:rsidP="005E5E0C">
            <w:pPr>
              <w:spacing w:after="0"/>
              <w:rPr>
                <w:rFonts w:cs="Arial"/>
                <w:b/>
                <w:bCs/>
                <w:sz w:val="18"/>
                <w:szCs w:val="18"/>
              </w:rPr>
            </w:pPr>
            <w:r w:rsidRPr="006D688A">
              <w:rPr>
                <w:rFonts w:cs="Arial"/>
                <w:b/>
                <w:bCs/>
                <w:sz w:val="18"/>
                <w:szCs w:val="18"/>
              </w:rPr>
              <w:t>Total cash received</w:t>
            </w:r>
          </w:p>
        </w:tc>
        <w:tc>
          <w:tcPr>
            <w:tcW w:w="723" w:type="dxa"/>
            <w:tcBorders>
              <w:top w:val="nil"/>
              <w:left w:val="nil"/>
              <w:bottom w:val="nil"/>
              <w:right w:val="nil"/>
            </w:tcBorders>
            <w:shd w:val="clear" w:color="FFFFFF" w:fill="FFFFFF"/>
            <w:noWrap/>
            <w:vAlign w:val="bottom"/>
            <w:hideMark/>
          </w:tcPr>
          <w:p w14:paraId="4D8ECEE0"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67" w:type="dxa"/>
            <w:tcBorders>
              <w:top w:val="single" w:sz="4" w:space="0" w:color="auto"/>
              <w:left w:val="nil"/>
              <w:bottom w:val="single" w:sz="4" w:space="0" w:color="auto"/>
              <w:right w:val="nil"/>
            </w:tcBorders>
            <w:shd w:val="clear" w:color="FFFFFF" w:fill="FFFFFF"/>
            <w:noWrap/>
            <w:vAlign w:val="bottom"/>
            <w:hideMark/>
          </w:tcPr>
          <w:p w14:paraId="7AA34BC7" w14:textId="77777777" w:rsidR="00520333" w:rsidRPr="006D688A" w:rsidRDefault="00520333" w:rsidP="005E5E0C">
            <w:pPr>
              <w:spacing w:after="0"/>
              <w:jc w:val="right"/>
              <w:rPr>
                <w:rFonts w:cs="Arial"/>
                <w:b/>
                <w:bCs/>
                <w:sz w:val="18"/>
                <w:szCs w:val="18"/>
              </w:rPr>
            </w:pPr>
            <w:r w:rsidRPr="006D688A">
              <w:rPr>
                <w:rFonts w:cs="Arial"/>
                <w:b/>
                <w:bCs/>
                <w:sz w:val="18"/>
                <w:szCs w:val="18"/>
              </w:rPr>
              <w:t>43,939,679</w:t>
            </w:r>
          </w:p>
        </w:tc>
        <w:tc>
          <w:tcPr>
            <w:tcW w:w="236" w:type="dxa"/>
            <w:tcBorders>
              <w:top w:val="nil"/>
              <w:left w:val="nil"/>
              <w:bottom w:val="nil"/>
              <w:right w:val="nil"/>
            </w:tcBorders>
            <w:shd w:val="clear" w:color="FFFFFF" w:fill="FFFFFF"/>
            <w:noWrap/>
            <w:vAlign w:val="bottom"/>
            <w:hideMark/>
          </w:tcPr>
          <w:p w14:paraId="659EFA6A"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single" w:sz="4" w:space="0" w:color="auto"/>
              <w:left w:val="nil"/>
              <w:bottom w:val="single" w:sz="4" w:space="0" w:color="auto"/>
              <w:right w:val="nil"/>
            </w:tcBorders>
            <w:shd w:val="clear" w:color="FFFFFF" w:fill="FFFFFF"/>
            <w:noWrap/>
            <w:vAlign w:val="bottom"/>
            <w:hideMark/>
          </w:tcPr>
          <w:p w14:paraId="1EF9AEB8" w14:textId="77777777" w:rsidR="00520333" w:rsidRPr="006D688A" w:rsidRDefault="00520333" w:rsidP="005E5E0C">
            <w:pPr>
              <w:spacing w:after="0"/>
              <w:jc w:val="right"/>
              <w:rPr>
                <w:rFonts w:cs="Arial"/>
                <w:sz w:val="18"/>
                <w:szCs w:val="18"/>
              </w:rPr>
            </w:pPr>
            <w:r w:rsidRPr="006D688A">
              <w:rPr>
                <w:rFonts w:cs="Arial"/>
                <w:sz w:val="18"/>
                <w:szCs w:val="18"/>
              </w:rPr>
              <w:t>35,974,412</w:t>
            </w:r>
          </w:p>
        </w:tc>
        <w:tc>
          <w:tcPr>
            <w:tcW w:w="236" w:type="dxa"/>
            <w:tcBorders>
              <w:top w:val="nil"/>
              <w:left w:val="nil"/>
              <w:bottom w:val="nil"/>
              <w:right w:val="nil"/>
            </w:tcBorders>
            <w:shd w:val="clear" w:color="FFFFFF" w:fill="FFFFFF"/>
            <w:noWrap/>
            <w:vAlign w:val="bottom"/>
            <w:hideMark/>
          </w:tcPr>
          <w:p w14:paraId="6BB08622" w14:textId="77777777" w:rsidR="00520333" w:rsidRPr="006D688A" w:rsidRDefault="00520333" w:rsidP="005E5E0C">
            <w:pPr>
              <w:spacing w:after="0"/>
              <w:rPr>
                <w:rFonts w:cs="Arial"/>
                <w:sz w:val="18"/>
                <w:szCs w:val="18"/>
              </w:rPr>
            </w:pPr>
            <w:r w:rsidRPr="006D688A">
              <w:rPr>
                <w:rFonts w:cs="Arial"/>
                <w:sz w:val="18"/>
                <w:szCs w:val="18"/>
              </w:rPr>
              <w:t> </w:t>
            </w:r>
          </w:p>
        </w:tc>
        <w:tc>
          <w:tcPr>
            <w:tcW w:w="1037" w:type="dxa"/>
            <w:tcBorders>
              <w:top w:val="single" w:sz="4" w:space="0" w:color="auto"/>
              <w:left w:val="nil"/>
              <w:bottom w:val="single" w:sz="4" w:space="0" w:color="auto"/>
              <w:right w:val="nil"/>
            </w:tcBorders>
            <w:shd w:val="clear" w:color="FFFFFF" w:fill="FFFFFF"/>
            <w:noWrap/>
            <w:vAlign w:val="bottom"/>
            <w:hideMark/>
          </w:tcPr>
          <w:p w14:paraId="6E16B684" w14:textId="77777777" w:rsidR="00520333" w:rsidRPr="006D688A" w:rsidRDefault="00520333" w:rsidP="005E5E0C">
            <w:pPr>
              <w:spacing w:after="0"/>
              <w:jc w:val="right"/>
              <w:rPr>
                <w:rFonts w:cs="Arial"/>
                <w:sz w:val="18"/>
                <w:szCs w:val="18"/>
              </w:rPr>
            </w:pPr>
            <w:r w:rsidRPr="006D688A">
              <w:rPr>
                <w:rFonts w:cs="Arial"/>
                <w:sz w:val="18"/>
                <w:szCs w:val="18"/>
              </w:rPr>
              <w:t>42,074,703</w:t>
            </w:r>
          </w:p>
        </w:tc>
        <w:tc>
          <w:tcPr>
            <w:tcW w:w="236" w:type="dxa"/>
            <w:tcBorders>
              <w:top w:val="nil"/>
              <w:left w:val="nil"/>
              <w:bottom w:val="nil"/>
              <w:right w:val="nil"/>
            </w:tcBorders>
            <w:shd w:val="clear" w:color="FFFFFF" w:fill="FFFFFF"/>
            <w:noWrap/>
            <w:vAlign w:val="bottom"/>
            <w:hideMark/>
          </w:tcPr>
          <w:p w14:paraId="7864E301" w14:textId="77777777" w:rsidR="00520333" w:rsidRPr="006D688A" w:rsidRDefault="00520333" w:rsidP="005E5E0C">
            <w:pPr>
              <w:spacing w:after="0"/>
              <w:rPr>
                <w:rFonts w:cs="Arial"/>
                <w:sz w:val="18"/>
                <w:szCs w:val="18"/>
              </w:rPr>
            </w:pPr>
            <w:r w:rsidRPr="006D688A">
              <w:rPr>
                <w:rFonts w:cs="Arial"/>
                <w:sz w:val="18"/>
                <w:szCs w:val="18"/>
                <w:vertAlign w:val="superscript"/>
              </w:rPr>
              <w:t> </w:t>
            </w:r>
          </w:p>
        </w:tc>
      </w:tr>
      <w:tr w:rsidR="00520333" w:rsidRPr="006D688A" w14:paraId="3D9DAF51" w14:textId="77777777" w:rsidTr="005E5E0C">
        <w:trPr>
          <w:trHeight w:val="133"/>
        </w:trPr>
        <w:tc>
          <w:tcPr>
            <w:tcW w:w="4488" w:type="dxa"/>
            <w:tcBorders>
              <w:top w:val="nil"/>
              <w:left w:val="nil"/>
              <w:bottom w:val="nil"/>
              <w:right w:val="nil"/>
            </w:tcBorders>
            <w:shd w:val="clear" w:color="FFFFFF" w:fill="FFFFFF"/>
            <w:noWrap/>
            <w:vAlign w:val="bottom"/>
            <w:hideMark/>
          </w:tcPr>
          <w:p w14:paraId="43464AD1" w14:textId="77777777" w:rsidR="00520333" w:rsidRPr="006D688A" w:rsidRDefault="00520333" w:rsidP="005E5E0C">
            <w:pPr>
              <w:spacing w:after="0"/>
              <w:rPr>
                <w:rFonts w:cs="Arial"/>
                <w:sz w:val="18"/>
                <w:szCs w:val="18"/>
              </w:rPr>
            </w:pPr>
            <w:r w:rsidRPr="006D688A">
              <w:rPr>
                <w:rFonts w:cs="Arial"/>
                <w:sz w:val="18"/>
                <w:szCs w:val="18"/>
              </w:rPr>
              <w:t> </w:t>
            </w:r>
          </w:p>
        </w:tc>
        <w:tc>
          <w:tcPr>
            <w:tcW w:w="723" w:type="dxa"/>
            <w:tcBorders>
              <w:top w:val="nil"/>
              <w:left w:val="nil"/>
              <w:bottom w:val="nil"/>
              <w:right w:val="nil"/>
            </w:tcBorders>
            <w:shd w:val="clear" w:color="FFFFFF" w:fill="FFFFFF"/>
            <w:noWrap/>
            <w:vAlign w:val="bottom"/>
            <w:hideMark/>
          </w:tcPr>
          <w:p w14:paraId="7AB11BA0"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67" w:type="dxa"/>
            <w:tcBorders>
              <w:top w:val="nil"/>
              <w:left w:val="nil"/>
              <w:bottom w:val="nil"/>
              <w:right w:val="nil"/>
            </w:tcBorders>
            <w:shd w:val="clear" w:color="FFFFFF" w:fill="FFFFFF"/>
            <w:noWrap/>
            <w:vAlign w:val="bottom"/>
            <w:hideMark/>
          </w:tcPr>
          <w:p w14:paraId="777DB1F2"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2C20959D"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nil"/>
              <w:left w:val="nil"/>
              <w:bottom w:val="nil"/>
              <w:right w:val="nil"/>
            </w:tcBorders>
            <w:shd w:val="clear" w:color="FFFFFF" w:fill="FFFFFF"/>
            <w:noWrap/>
            <w:vAlign w:val="bottom"/>
            <w:hideMark/>
          </w:tcPr>
          <w:p w14:paraId="791875E2"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3A6F54BD" w14:textId="77777777" w:rsidR="00520333" w:rsidRPr="006D688A" w:rsidRDefault="00520333" w:rsidP="005E5E0C">
            <w:pPr>
              <w:spacing w:after="0"/>
              <w:rPr>
                <w:rFonts w:cs="Arial"/>
                <w:sz w:val="18"/>
                <w:szCs w:val="18"/>
              </w:rPr>
            </w:pPr>
            <w:r w:rsidRPr="006D688A">
              <w:rPr>
                <w:rFonts w:cs="Arial"/>
                <w:sz w:val="18"/>
                <w:szCs w:val="18"/>
              </w:rPr>
              <w:t> </w:t>
            </w:r>
          </w:p>
        </w:tc>
        <w:tc>
          <w:tcPr>
            <w:tcW w:w="1037" w:type="dxa"/>
            <w:tcBorders>
              <w:top w:val="nil"/>
              <w:left w:val="nil"/>
              <w:bottom w:val="nil"/>
              <w:right w:val="nil"/>
            </w:tcBorders>
            <w:shd w:val="clear" w:color="FFFFFF" w:fill="FFFFFF"/>
            <w:noWrap/>
            <w:vAlign w:val="bottom"/>
            <w:hideMark/>
          </w:tcPr>
          <w:p w14:paraId="5C12B764"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55126446" w14:textId="77777777" w:rsidR="00520333" w:rsidRPr="006D688A" w:rsidRDefault="00520333" w:rsidP="005E5E0C">
            <w:pPr>
              <w:spacing w:after="0"/>
              <w:rPr>
                <w:rFonts w:cs="Arial"/>
                <w:sz w:val="18"/>
                <w:szCs w:val="18"/>
              </w:rPr>
            </w:pPr>
            <w:r w:rsidRPr="006D688A">
              <w:rPr>
                <w:rFonts w:cs="Arial"/>
                <w:sz w:val="18"/>
                <w:szCs w:val="18"/>
              </w:rPr>
              <w:t> </w:t>
            </w:r>
          </w:p>
        </w:tc>
      </w:tr>
      <w:tr w:rsidR="00520333" w:rsidRPr="006D688A" w14:paraId="11C25553" w14:textId="77777777" w:rsidTr="005E5E0C">
        <w:trPr>
          <w:trHeight w:val="250"/>
        </w:trPr>
        <w:tc>
          <w:tcPr>
            <w:tcW w:w="4488" w:type="dxa"/>
            <w:tcBorders>
              <w:top w:val="nil"/>
              <w:left w:val="nil"/>
              <w:bottom w:val="nil"/>
              <w:right w:val="nil"/>
            </w:tcBorders>
            <w:shd w:val="clear" w:color="FFFFFF" w:fill="FFFFFF"/>
            <w:vAlign w:val="bottom"/>
            <w:hideMark/>
          </w:tcPr>
          <w:p w14:paraId="655B80C1" w14:textId="77777777" w:rsidR="00520333" w:rsidRPr="006D688A" w:rsidRDefault="00520333" w:rsidP="005E5E0C">
            <w:pPr>
              <w:spacing w:after="0"/>
              <w:rPr>
                <w:rFonts w:cs="Arial"/>
                <w:b/>
                <w:bCs/>
                <w:sz w:val="18"/>
                <w:szCs w:val="18"/>
              </w:rPr>
            </w:pPr>
            <w:r w:rsidRPr="006D688A">
              <w:rPr>
                <w:rFonts w:cs="Arial"/>
                <w:b/>
                <w:bCs/>
                <w:sz w:val="18"/>
                <w:szCs w:val="18"/>
              </w:rPr>
              <w:t>Cash used</w:t>
            </w:r>
          </w:p>
        </w:tc>
        <w:tc>
          <w:tcPr>
            <w:tcW w:w="723" w:type="dxa"/>
            <w:tcBorders>
              <w:top w:val="nil"/>
              <w:left w:val="nil"/>
              <w:bottom w:val="nil"/>
              <w:right w:val="nil"/>
            </w:tcBorders>
            <w:shd w:val="clear" w:color="FFFFFF" w:fill="FFFFFF"/>
            <w:noWrap/>
            <w:vAlign w:val="bottom"/>
            <w:hideMark/>
          </w:tcPr>
          <w:p w14:paraId="02674D26"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67" w:type="dxa"/>
            <w:tcBorders>
              <w:top w:val="nil"/>
              <w:left w:val="nil"/>
              <w:bottom w:val="nil"/>
              <w:right w:val="nil"/>
            </w:tcBorders>
            <w:shd w:val="clear" w:color="FFFFFF" w:fill="FFFFFF"/>
            <w:noWrap/>
            <w:vAlign w:val="bottom"/>
            <w:hideMark/>
          </w:tcPr>
          <w:p w14:paraId="500766E6"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470352F5"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nil"/>
              <w:left w:val="nil"/>
              <w:bottom w:val="nil"/>
              <w:right w:val="nil"/>
            </w:tcBorders>
            <w:shd w:val="clear" w:color="FFFFFF" w:fill="FFFFFF"/>
            <w:noWrap/>
            <w:vAlign w:val="bottom"/>
            <w:hideMark/>
          </w:tcPr>
          <w:p w14:paraId="659263D5"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3C0CD29F" w14:textId="77777777" w:rsidR="00520333" w:rsidRPr="006D688A" w:rsidRDefault="00520333" w:rsidP="005E5E0C">
            <w:pPr>
              <w:spacing w:after="0"/>
              <w:rPr>
                <w:rFonts w:cs="Arial"/>
                <w:sz w:val="18"/>
                <w:szCs w:val="18"/>
              </w:rPr>
            </w:pPr>
            <w:r w:rsidRPr="006D688A">
              <w:rPr>
                <w:rFonts w:cs="Arial"/>
                <w:sz w:val="18"/>
                <w:szCs w:val="18"/>
              </w:rPr>
              <w:t> </w:t>
            </w:r>
          </w:p>
        </w:tc>
        <w:tc>
          <w:tcPr>
            <w:tcW w:w="1037" w:type="dxa"/>
            <w:tcBorders>
              <w:top w:val="nil"/>
              <w:left w:val="nil"/>
              <w:bottom w:val="nil"/>
              <w:right w:val="nil"/>
            </w:tcBorders>
            <w:shd w:val="clear" w:color="FFFFFF" w:fill="FFFFFF"/>
            <w:noWrap/>
            <w:vAlign w:val="bottom"/>
            <w:hideMark/>
          </w:tcPr>
          <w:p w14:paraId="52F8FB59"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34CF5A27" w14:textId="77777777" w:rsidR="00520333" w:rsidRPr="006D688A" w:rsidRDefault="00520333" w:rsidP="005E5E0C">
            <w:pPr>
              <w:spacing w:after="0"/>
              <w:rPr>
                <w:rFonts w:cs="Arial"/>
                <w:sz w:val="18"/>
                <w:szCs w:val="18"/>
              </w:rPr>
            </w:pPr>
            <w:r w:rsidRPr="006D688A">
              <w:rPr>
                <w:rFonts w:cs="Arial"/>
                <w:sz w:val="18"/>
                <w:szCs w:val="18"/>
              </w:rPr>
              <w:t> </w:t>
            </w:r>
          </w:p>
        </w:tc>
      </w:tr>
      <w:tr w:rsidR="00520333" w:rsidRPr="006D688A" w14:paraId="17506CE1" w14:textId="77777777" w:rsidTr="005E5E0C">
        <w:trPr>
          <w:trHeight w:val="253"/>
        </w:trPr>
        <w:tc>
          <w:tcPr>
            <w:tcW w:w="4488" w:type="dxa"/>
            <w:tcBorders>
              <w:top w:val="nil"/>
              <w:left w:val="nil"/>
              <w:bottom w:val="nil"/>
              <w:right w:val="nil"/>
            </w:tcBorders>
            <w:shd w:val="clear" w:color="FFFFFF" w:fill="FFFFFF"/>
            <w:vAlign w:val="bottom"/>
            <w:hideMark/>
          </w:tcPr>
          <w:p w14:paraId="67500BBF" w14:textId="77777777" w:rsidR="00520333" w:rsidRPr="006D688A" w:rsidRDefault="00520333" w:rsidP="005E5E0C">
            <w:pPr>
              <w:spacing w:after="0"/>
              <w:ind w:firstLineChars="100" w:firstLine="180"/>
              <w:rPr>
                <w:rFonts w:cs="Arial"/>
                <w:sz w:val="18"/>
                <w:szCs w:val="18"/>
              </w:rPr>
            </w:pPr>
            <w:r w:rsidRPr="006D688A">
              <w:rPr>
                <w:rFonts w:cs="Arial"/>
                <w:sz w:val="18"/>
                <w:szCs w:val="18"/>
              </w:rPr>
              <w:t>Employee benefits</w:t>
            </w:r>
          </w:p>
        </w:tc>
        <w:tc>
          <w:tcPr>
            <w:tcW w:w="723" w:type="dxa"/>
            <w:tcBorders>
              <w:top w:val="nil"/>
              <w:left w:val="nil"/>
              <w:bottom w:val="nil"/>
              <w:right w:val="nil"/>
            </w:tcBorders>
            <w:shd w:val="clear" w:color="FFFFFF" w:fill="FFFFFF"/>
            <w:noWrap/>
            <w:vAlign w:val="bottom"/>
            <w:hideMark/>
          </w:tcPr>
          <w:p w14:paraId="04DF79E1"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67" w:type="dxa"/>
            <w:tcBorders>
              <w:top w:val="nil"/>
              <w:left w:val="nil"/>
              <w:bottom w:val="nil"/>
              <w:right w:val="nil"/>
            </w:tcBorders>
            <w:shd w:val="clear" w:color="FFFFFF" w:fill="FFFFFF"/>
            <w:noWrap/>
            <w:vAlign w:val="bottom"/>
            <w:hideMark/>
          </w:tcPr>
          <w:p w14:paraId="0C5357E7" w14:textId="77777777" w:rsidR="00520333" w:rsidRPr="006D688A" w:rsidRDefault="00520333" w:rsidP="005E5E0C">
            <w:pPr>
              <w:spacing w:after="0"/>
              <w:jc w:val="right"/>
              <w:rPr>
                <w:rFonts w:cs="Arial"/>
                <w:b/>
                <w:bCs/>
                <w:sz w:val="18"/>
                <w:szCs w:val="18"/>
              </w:rPr>
            </w:pPr>
            <w:r w:rsidRPr="006D688A">
              <w:rPr>
                <w:rFonts w:cs="Arial"/>
                <w:b/>
                <w:bCs/>
                <w:sz w:val="18"/>
                <w:szCs w:val="18"/>
              </w:rPr>
              <w:t>710,428</w:t>
            </w:r>
          </w:p>
        </w:tc>
        <w:tc>
          <w:tcPr>
            <w:tcW w:w="236" w:type="dxa"/>
            <w:tcBorders>
              <w:top w:val="nil"/>
              <w:left w:val="nil"/>
              <w:bottom w:val="nil"/>
              <w:right w:val="nil"/>
            </w:tcBorders>
            <w:shd w:val="clear" w:color="FFFFFF" w:fill="FFFFFF"/>
            <w:noWrap/>
            <w:vAlign w:val="bottom"/>
            <w:hideMark/>
          </w:tcPr>
          <w:p w14:paraId="745FDE01"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nil"/>
              <w:left w:val="nil"/>
              <w:bottom w:val="nil"/>
              <w:right w:val="nil"/>
            </w:tcBorders>
            <w:shd w:val="clear" w:color="FFFFFF" w:fill="FFFFFF"/>
            <w:noWrap/>
            <w:vAlign w:val="bottom"/>
            <w:hideMark/>
          </w:tcPr>
          <w:p w14:paraId="1CD4C932" w14:textId="77777777" w:rsidR="00520333" w:rsidRPr="006D688A" w:rsidRDefault="00520333" w:rsidP="005E5E0C">
            <w:pPr>
              <w:spacing w:after="0"/>
              <w:jc w:val="right"/>
              <w:rPr>
                <w:rFonts w:cs="Arial"/>
                <w:sz w:val="18"/>
                <w:szCs w:val="18"/>
              </w:rPr>
            </w:pPr>
            <w:r w:rsidRPr="006D688A">
              <w:rPr>
                <w:rFonts w:cs="Arial"/>
                <w:sz w:val="18"/>
                <w:szCs w:val="18"/>
              </w:rPr>
              <w:t>539,546</w:t>
            </w:r>
          </w:p>
        </w:tc>
        <w:tc>
          <w:tcPr>
            <w:tcW w:w="236" w:type="dxa"/>
            <w:tcBorders>
              <w:top w:val="nil"/>
              <w:left w:val="nil"/>
              <w:bottom w:val="nil"/>
              <w:right w:val="nil"/>
            </w:tcBorders>
            <w:shd w:val="clear" w:color="FFFFFF" w:fill="FFFFFF"/>
            <w:noWrap/>
            <w:vAlign w:val="bottom"/>
            <w:hideMark/>
          </w:tcPr>
          <w:p w14:paraId="2A374E52" w14:textId="77777777" w:rsidR="00520333" w:rsidRPr="006D688A" w:rsidRDefault="00520333" w:rsidP="005E5E0C">
            <w:pPr>
              <w:spacing w:after="0"/>
              <w:rPr>
                <w:rFonts w:cs="Arial"/>
                <w:sz w:val="18"/>
                <w:szCs w:val="18"/>
              </w:rPr>
            </w:pPr>
            <w:r w:rsidRPr="006D688A">
              <w:rPr>
                <w:rFonts w:cs="Arial"/>
                <w:sz w:val="18"/>
                <w:szCs w:val="18"/>
              </w:rPr>
              <w:t> </w:t>
            </w:r>
          </w:p>
        </w:tc>
        <w:tc>
          <w:tcPr>
            <w:tcW w:w="1037" w:type="dxa"/>
            <w:tcBorders>
              <w:top w:val="nil"/>
              <w:left w:val="nil"/>
              <w:bottom w:val="nil"/>
              <w:right w:val="nil"/>
            </w:tcBorders>
            <w:shd w:val="clear" w:color="FFFFFF" w:fill="FFFFFF"/>
            <w:noWrap/>
            <w:vAlign w:val="bottom"/>
            <w:hideMark/>
          </w:tcPr>
          <w:p w14:paraId="26C45A63" w14:textId="77777777" w:rsidR="00520333" w:rsidRPr="006D688A" w:rsidRDefault="00520333" w:rsidP="005E5E0C">
            <w:pPr>
              <w:spacing w:after="0"/>
              <w:jc w:val="right"/>
              <w:rPr>
                <w:rFonts w:cs="Arial"/>
                <w:sz w:val="18"/>
                <w:szCs w:val="18"/>
              </w:rPr>
            </w:pPr>
            <w:r w:rsidRPr="006D688A">
              <w:rPr>
                <w:rFonts w:cs="Arial"/>
                <w:sz w:val="18"/>
                <w:szCs w:val="18"/>
              </w:rPr>
              <w:t>650,913</w:t>
            </w:r>
          </w:p>
        </w:tc>
        <w:tc>
          <w:tcPr>
            <w:tcW w:w="236" w:type="dxa"/>
            <w:tcBorders>
              <w:top w:val="nil"/>
              <w:left w:val="nil"/>
              <w:bottom w:val="nil"/>
              <w:right w:val="nil"/>
            </w:tcBorders>
            <w:shd w:val="clear" w:color="FFFFFF" w:fill="FFFFFF"/>
            <w:noWrap/>
            <w:vAlign w:val="bottom"/>
            <w:hideMark/>
          </w:tcPr>
          <w:p w14:paraId="55CC3D17" w14:textId="77777777" w:rsidR="00520333" w:rsidRPr="006D688A" w:rsidRDefault="00520333" w:rsidP="005E5E0C">
            <w:pPr>
              <w:spacing w:after="0"/>
              <w:rPr>
                <w:rFonts w:cs="Arial"/>
                <w:sz w:val="18"/>
                <w:szCs w:val="18"/>
              </w:rPr>
            </w:pPr>
            <w:r w:rsidRPr="006D688A">
              <w:rPr>
                <w:rFonts w:cs="Arial"/>
                <w:sz w:val="18"/>
                <w:szCs w:val="18"/>
              </w:rPr>
              <w:t> </w:t>
            </w:r>
          </w:p>
        </w:tc>
      </w:tr>
      <w:tr w:rsidR="00520333" w:rsidRPr="006D688A" w14:paraId="36E2691A" w14:textId="77777777" w:rsidTr="005E5E0C">
        <w:trPr>
          <w:trHeight w:val="250"/>
        </w:trPr>
        <w:tc>
          <w:tcPr>
            <w:tcW w:w="4488" w:type="dxa"/>
            <w:tcBorders>
              <w:top w:val="nil"/>
              <w:left w:val="nil"/>
              <w:bottom w:val="nil"/>
              <w:right w:val="nil"/>
            </w:tcBorders>
            <w:shd w:val="clear" w:color="FFFFFF" w:fill="FFFFFF"/>
            <w:vAlign w:val="bottom"/>
            <w:hideMark/>
          </w:tcPr>
          <w:p w14:paraId="036DBF32" w14:textId="77777777" w:rsidR="00520333" w:rsidRPr="006D688A" w:rsidRDefault="00520333" w:rsidP="005E5E0C">
            <w:pPr>
              <w:spacing w:after="0"/>
              <w:ind w:firstLineChars="100" w:firstLine="180"/>
              <w:rPr>
                <w:rFonts w:cs="Arial"/>
                <w:sz w:val="18"/>
                <w:szCs w:val="18"/>
              </w:rPr>
            </w:pPr>
            <w:r w:rsidRPr="006D688A">
              <w:rPr>
                <w:rFonts w:cs="Arial"/>
                <w:sz w:val="18"/>
                <w:szCs w:val="18"/>
              </w:rPr>
              <w:t>Supplier expenses</w:t>
            </w:r>
          </w:p>
        </w:tc>
        <w:tc>
          <w:tcPr>
            <w:tcW w:w="723" w:type="dxa"/>
            <w:tcBorders>
              <w:top w:val="nil"/>
              <w:left w:val="nil"/>
              <w:bottom w:val="nil"/>
              <w:right w:val="nil"/>
            </w:tcBorders>
            <w:shd w:val="clear" w:color="FFFFFF" w:fill="FFFFFF"/>
            <w:noWrap/>
            <w:vAlign w:val="bottom"/>
            <w:hideMark/>
          </w:tcPr>
          <w:p w14:paraId="244C9145"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67" w:type="dxa"/>
            <w:tcBorders>
              <w:top w:val="nil"/>
              <w:left w:val="nil"/>
              <w:bottom w:val="nil"/>
              <w:right w:val="nil"/>
            </w:tcBorders>
            <w:shd w:val="clear" w:color="FFFFFF" w:fill="FFFFFF"/>
            <w:noWrap/>
            <w:vAlign w:val="bottom"/>
            <w:hideMark/>
          </w:tcPr>
          <w:p w14:paraId="286DCF12" w14:textId="77777777" w:rsidR="00520333" w:rsidRPr="006D688A" w:rsidRDefault="00520333" w:rsidP="005E5E0C">
            <w:pPr>
              <w:spacing w:after="0"/>
              <w:jc w:val="right"/>
              <w:rPr>
                <w:rFonts w:cs="Arial"/>
                <w:b/>
                <w:bCs/>
                <w:sz w:val="18"/>
                <w:szCs w:val="18"/>
              </w:rPr>
            </w:pPr>
            <w:r w:rsidRPr="006D688A">
              <w:rPr>
                <w:rFonts w:cs="Arial"/>
                <w:b/>
                <w:bCs/>
                <w:sz w:val="18"/>
                <w:szCs w:val="18"/>
              </w:rPr>
              <w:t>766,421</w:t>
            </w:r>
          </w:p>
        </w:tc>
        <w:tc>
          <w:tcPr>
            <w:tcW w:w="236" w:type="dxa"/>
            <w:tcBorders>
              <w:top w:val="nil"/>
              <w:left w:val="nil"/>
              <w:bottom w:val="nil"/>
              <w:right w:val="nil"/>
            </w:tcBorders>
            <w:shd w:val="clear" w:color="FFFFFF" w:fill="FFFFFF"/>
            <w:noWrap/>
            <w:vAlign w:val="bottom"/>
            <w:hideMark/>
          </w:tcPr>
          <w:p w14:paraId="17ADB890"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nil"/>
              <w:left w:val="nil"/>
              <w:bottom w:val="nil"/>
              <w:right w:val="nil"/>
            </w:tcBorders>
            <w:shd w:val="clear" w:color="FFFFFF" w:fill="FFFFFF"/>
            <w:noWrap/>
            <w:vAlign w:val="bottom"/>
            <w:hideMark/>
          </w:tcPr>
          <w:p w14:paraId="7E8E29AD" w14:textId="77777777" w:rsidR="00520333" w:rsidRPr="006D688A" w:rsidRDefault="00520333" w:rsidP="005E5E0C">
            <w:pPr>
              <w:spacing w:after="0"/>
              <w:jc w:val="right"/>
              <w:rPr>
                <w:rFonts w:cs="Arial"/>
                <w:sz w:val="18"/>
                <w:szCs w:val="18"/>
              </w:rPr>
            </w:pPr>
            <w:r w:rsidRPr="006D688A">
              <w:rPr>
                <w:rFonts w:cs="Arial"/>
                <w:sz w:val="18"/>
                <w:szCs w:val="18"/>
              </w:rPr>
              <w:t>800,260</w:t>
            </w:r>
          </w:p>
        </w:tc>
        <w:tc>
          <w:tcPr>
            <w:tcW w:w="236" w:type="dxa"/>
            <w:tcBorders>
              <w:top w:val="nil"/>
              <w:left w:val="nil"/>
              <w:bottom w:val="nil"/>
              <w:right w:val="nil"/>
            </w:tcBorders>
            <w:shd w:val="clear" w:color="FFFFFF" w:fill="FFFFFF"/>
            <w:noWrap/>
            <w:vAlign w:val="bottom"/>
            <w:hideMark/>
          </w:tcPr>
          <w:p w14:paraId="2EE1C8FC" w14:textId="77777777" w:rsidR="00520333" w:rsidRPr="006D688A" w:rsidRDefault="00520333" w:rsidP="005E5E0C">
            <w:pPr>
              <w:spacing w:after="0"/>
              <w:rPr>
                <w:rFonts w:cs="Arial"/>
                <w:sz w:val="18"/>
                <w:szCs w:val="18"/>
              </w:rPr>
            </w:pPr>
            <w:r w:rsidRPr="006D688A">
              <w:rPr>
                <w:rFonts w:cs="Arial"/>
                <w:sz w:val="18"/>
                <w:szCs w:val="18"/>
              </w:rPr>
              <w:t> </w:t>
            </w:r>
          </w:p>
        </w:tc>
        <w:tc>
          <w:tcPr>
            <w:tcW w:w="1037" w:type="dxa"/>
            <w:tcBorders>
              <w:top w:val="nil"/>
              <w:left w:val="nil"/>
              <w:bottom w:val="nil"/>
              <w:right w:val="nil"/>
            </w:tcBorders>
            <w:shd w:val="clear" w:color="FFFFFF" w:fill="FFFFFF"/>
            <w:noWrap/>
            <w:vAlign w:val="bottom"/>
            <w:hideMark/>
          </w:tcPr>
          <w:p w14:paraId="26E83E32" w14:textId="77777777" w:rsidR="00520333" w:rsidRPr="006D688A" w:rsidRDefault="00520333" w:rsidP="005E5E0C">
            <w:pPr>
              <w:spacing w:after="0"/>
              <w:jc w:val="right"/>
              <w:rPr>
                <w:rFonts w:cs="Arial"/>
                <w:sz w:val="18"/>
                <w:szCs w:val="18"/>
              </w:rPr>
            </w:pPr>
            <w:r w:rsidRPr="006D688A">
              <w:rPr>
                <w:rFonts w:cs="Arial"/>
                <w:sz w:val="18"/>
                <w:szCs w:val="18"/>
              </w:rPr>
              <w:t>1,779,736</w:t>
            </w:r>
          </w:p>
        </w:tc>
        <w:tc>
          <w:tcPr>
            <w:tcW w:w="236" w:type="dxa"/>
            <w:tcBorders>
              <w:top w:val="nil"/>
              <w:left w:val="nil"/>
              <w:bottom w:val="nil"/>
              <w:right w:val="nil"/>
            </w:tcBorders>
            <w:shd w:val="clear" w:color="FFFFFF" w:fill="FFFFFF"/>
            <w:noWrap/>
            <w:vAlign w:val="bottom"/>
            <w:hideMark/>
          </w:tcPr>
          <w:p w14:paraId="36A6C50E" w14:textId="77777777" w:rsidR="00520333" w:rsidRPr="006D688A" w:rsidRDefault="00520333" w:rsidP="005E5E0C">
            <w:pPr>
              <w:spacing w:after="0"/>
              <w:rPr>
                <w:rFonts w:cs="Arial"/>
                <w:sz w:val="18"/>
                <w:szCs w:val="18"/>
              </w:rPr>
            </w:pPr>
            <w:r w:rsidRPr="006D688A">
              <w:rPr>
                <w:rFonts w:cs="Arial"/>
                <w:sz w:val="18"/>
                <w:szCs w:val="18"/>
              </w:rPr>
              <w:t> </w:t>
            </w:r>
          </w:p>
        </w:tc>
      </w:tr>
      <w:tr w:rsidR="00520333" w:rsidRPr="006D688A" w14:paraId="70B3D071" w14:textId="77777777" w:rsidTr="005E5E0C">
        <w:trPr>
          <w:trHeight w:val="250"/>
        </w:trPr>
        <w:tc>
          <w:tcPr>
            <w:tcW w:w="4488" w:type="dxa"/>
            <w:tcBorders>
              <w:top w:val="nil"/>
              <w:left w:val="nil"/>
              <w:bottom w:val="nil"/>
              <w:right w:val="nil"/>
            </w:tcBorders>
            <w:shd w:val="clear" w:color="FFFFFF" w:fill="FFFFFF"/>
            <w:vAlign w:val="bottom"/>
            <w:hideMark/>
          </w:tcPr>
          <w:p w14:paraId="26E6DB12" w14:textId="77777777" w:rsidR="00520333" w:rsidRPr="006D688A" w:rsidRDefault="00520333" w:rsidP="005E5E0C">
            <w:pPr>
              <w:spacing w:after="0"/>
              <w:ind w:firstLineChars="100" w:firstLine="180"/>
              <w:rPr>
                <w:rFonts w:cs="Arial"/>
                <w:sz w:val="18"/>
                <w:szCs w:val="18"/>
              </w:rPr>
            </w:pPr>
            <w:r w:rsidRPr="006D688A">
              <w:rPr>
                <w:rFonts w:cs="Arial"/>
                <w:sz w:val="18"/>
                <w:szCs w:val="18"/>
              </w:rPr>
              <w:t>Interest payments on lease liabilities</w:t>
            </w:r>
          </w:p>
        </w:tc>
        <w:tc>
          <w:tcPr>
            <w:tcW w:w="723" w:type="dxa"/>
            <w:tcBorders>
              <w:top w:val="nil"/>
              <w:left w:val="nil"/>
              <w:bottom w:val="nil"/>
              <w:right w:val="nil"/>
            </w:tcBorders>
            <w:shd w:val="clear" w:color="FFFFFF" w:fill="FFFFFF"/>
            <w:noWrap/>
            <w:vAlign w:val="bottom"/>
            <w:hideMark/>
          </w:tcPr>
          <w:p w14:paraId="016F061A"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67" w:type="dxa"/>
            <w:tcBorders>
              <w:top w:val="nil"/>
              <w:left w:val="nil"/>
              <w:bottom w:val="nil"/>
              <w:right w:val="nil"/>
            </w:tcBorders>
            <w:shd w:val="clear" w:color="FFFFFF" w:fill="FFFFFF"/>
            <w:noWrap/>
            <w:vAlign w:val="bottom"/>
            <w:hideMark/>
          </w:tcPr>
          <w:p w14:paraId="1B49CEA4" w14:textId="77777777" w:rsidR="00520333" w:rsidRPr="006D688A" w:rsidRDefault="00520333" w:rsidP="005E5E0C">
            <w:pPr>
              <w:spacing w:after="0"/>
              <w:jc w:val="right"/>
              <w:rPr>
                <w:rFonts w:cs="Arial"/>
                <w:b/>
                <w:bCs/>
                <w:sz w:val="18"/>
                <w:szCs w:val="18"/>
              </w:rPr>
            </w:pPr>
            <w:r w:rsidRPr="006D688A">
              <w:rPr>
                <w:rFonts w:cs="Arial"/>
                <w:b/>
                <w:bCs/>
                <w:sz w:val="18"/>
                <w:szCs w:val="18"/>
              </w:rPr>
              <w:t>3,000</w:t>
            </w:r>
          </w:p>
        </w:tc>
        <w:tc>
          <w:tcPr>
            <w:tcW w:w="236" w:type="dxa"/>
            <w:tcBorders>
              <w:top w:val="nil"/>
              <w:left w:val="nil"/>
              <w:bottom w:val="nil"/>
              <w:right w:val="nil"/>
            </w:tcBorders>
            <w:shd w:val="clear" w:color="FFFFFF" w:fill="FFFFFF"/>
            <w:noWrap/>
            <w:vAlign w:val="bottom"/>
            <w:hideMark/>
          </w:tcPr>
          <w:p w14:paraId="79893015"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nil"/>
              <w:left w:val="nil"/>
              <w:bottom w:val="nil"/>
              <w:right w:val="nil"/>
            </w:tcBorders>
            <w:shd w:val="clear" w:color="FFFFFF" w:fill="FFFFFF"/>
            <w:noWrap/>
            <w:vAlign w:val="bottom"/>
            <w:hideMark/>
          </w:tcPr>
          <w:p w14:paraId="1F069E6A" w14:textId="77777777" w:rsidR="00520333" w:rsidRPr="006D688A" w:rsidRDefault="00520333" w:rsidP="005E5E0C">
            <w:pPr>
              <w:spacing w:after="0"/>
              <w:jc w:val="right"/>
              <w:rPr>
                <w:rFonts w:cs="Arial"/>
                <w:sz w:val="18"/>
                <w:szCs w:val="18"/>
              </w:rPr>
            </w:pPr>
            <w:r w:rsidRPr="006D688A">
              <w:rPr>
                <w:rFonts w:cs="Arial"/>
                <w:sz w:val="18"/>
                <w:szCs w:val="18"/>
              </w:rPr>
              <w:t>1,555</w:t>
            </w:r>
          </w:p>
        </w:tc>
        <w:tc>
          <w:tcPr>
            <w:tcW w:w="236" w:type="dxa"/>
            <w:tcBorders>
              <w:top w:val="nil"/>
              <w:left w:val="nil"/>
              <w:bottom w:val="nil"/>
              <w:right w:val="nil"/>
            </w:tcBorders>
            <w:shd w:val="clear" w:color="FFFFFF" w:fill="FFFFFF"/>
            <w:noWrap/>
            <w:vAlign w:val="bottom"/>
            <w:hideMark/>
          </w:tcPr>
          <w:p w14:paraId="5BF7FF47" w14:textId="77777777" w:rsidR="00520333" w:rsidRPr="006D688A" w:rsidRDefault="00520333" w:rsidP="005E5E0C">
            <w:pPr>
              <w:spacing w:after="0"/>
              <w:rPr>
                <w:rFonts w:cs="Arial"/>
                <w:sz w:val="18"/>
                <w:szCs w:val="18"/>
              </w:rPr>
            </w:pPr>
            <w:r w:rsidRPr="006D688A">
              <w:rPr>
                <w:rFonts w:cs="Arial"/>
                <w:sz w:val="18"/>
                <w:szCs w:val="18"/>
              </w:rPr>
              <w:t> </w:t>
            </w:r>
          </w:p>
        </w:tc>
        <w:tc>
          <w:tcPr>
            <w:tcW w:w="1037" w:type="dxa"/>
            <w:tcBorders>
              <w:top w:val="nil"/>
              <w:left w:val="nil"/>
              <w:bottom w:val="nil"/>
              <w:right w:val="nil"/>
            </w:tcBorders>
            <w:shd w:val="clear" w:color="FFFFFF" w:fill="FFFFFF"/>
            <w:noWrap/>
            <w:vAlign w:val="bottom"/>
            <w:hideMark/>
          </w:tcPr>
          <w:p w14:paraId="54093E87" w14:textId="77777777" w:rsidR="00520333" w:rsidRPr="006D688A" w:rsidRDefault="00520333" w:rsidP="005E5E0C">
            <w:pPr>
              <w:spacing w:after="0"/>
              <w:jc w:val="right"/>
              <w:rPr>
                <w:rFonts w:cs="Arial"/>
                <w:sz w:val="18"/>
                <w:szCs w:val="18"/>
              </w:rPr>
            </w:pPr>
            <w:r w:rsidRPr="006D688A">
              <w:rPr>
                <w:rFonts w:cs="Arial"/>
                <w:sz w:val="18"/>
                <w:szCs w:val="18"/>
              </w:rPr>
              <w:t>2,462</w:t>
            </w:r>
          </w:p>
        </w:tc>
        <w:tc>
          <w:tcPr>
            <w:tcW w:w="236" w:type="dxa"/>
            <w:tcBorders>
              <w:top w:val="nil"/>
              <w:left w:val="nil"/>
              <w:bottom w:val="nil"/>
              <w:right w:val="nil"/>
            </w:tcBorders>
            <w:shd w:val="clear" w:color="FFFFFF" w:fill="FFFFFF"/>
            <w:noWrap/>
            <w:vAlign w:val="bottom"/>
            <w:hideMark/>
          </w:tcPr>
          <w:p w14:paraId="01B0A4ED" w14:textId="77777777" w:rsidR="00520333" w:rsidRPr="006D688A" w:rsidRDefault="00520333" w:rsidP="005E5E0C">
            <w:pPr>
              <w:spacing w:after="0"/>
              <w:rPr>
                <w:rFonts w:cs="Arial"/>
                <w:sz w:val="18"/>
                <w:szCs w:val="18"/>
              </w:rPr>
            </w:pPr>
            <w:r w:rsidRPr="006D688A">
              <w:rPr>
                <w:rFonts w:cs="Arial"/>
                <w:sz w:val="18"/>
                <w:szCs w:val="18"/>
              </w:rPr>
              <w:t> </w:t>
            </w:r>
          </w:p>
        </w:tc>
      </w:tr>
      <w:tr w:rsidR="00520333" w:rsidRPr="006D688A" w14:paraId="448CEE27" w14:textId="77777777" w:rsidTr="005E5E0C">
        <w:trPr>
          <w:trHeight w:val="250"/>
        </w:trPr>
        <w:tc>
          <w:tcPr>
            <w:tcW w:w="4488" w:type="dxa"/>
            <w:tcBorders>
              <w:top w:val="nil"/>
              <w:left w:val="nil"/>
              <w:bottom w:val="nil"/>
              <w:right w:val="nil"/>
            </w:tcBorders>
            <w:shd w:val="clear" w:color="FFFFFF" w:fill="FFFFFF"/>
            <w:vAlign w:val="bottom"/>
            <w:hideMark/>
          </w:tcPr>
          <w:p w14:paraId="3D506FAC" w14:textId="77777777" w:rsidR="00520333" w:rsidRPr="006D688A" w:rsidRDefault="00520333" w:rsidP="005E5E0C">
            <w:pPr>
              <w:spacing w:after="0"/>
              <w:ind w:firstLineChars="100" w:firstLine="180"/>
              <w:rPr>
                <w:rFonts w:cs="Arial"/>
                <w:sz w:val="18"/>
                <w:szCs w:val="18"/>
              </w:rPr>
            </w:pPr>
            <w:r w:rsidRPr="006D688A">
              <w:rPr>
                <w:rFonts w:cs="Arial"/>
                <w:sz w:val="18"/>
                <w:szCs w:val="18"/>
              </w:rPr>
              <w:t>Community partnership costs</w:t>
            </w:r>
          </w:p>
        </w:tc>
        <w:tc>
          <w:tcPr>
            <w:tcW w:w="723" w:type="dxa"/>
            <w:tcBorders>
              <w:top w:val="nil"/>
              <w:left w:val="nil"/>
              <w:bottom w:val="nil"/>
              <w:right w:val="nil"/>
            </w:tcBorders>
            <w:shd w:val="clear" w:color="FFFFFF" w:fill="FFFFFF"/>
            <w:noWrap/>
            <w:vAlign w:val="bottom"/>
            <w:hideMark/>
          </w:tcPr>
          <w:p w14:paraId="51D8E430"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67" w:type="dxa"/>
            <w:tcBorders>
              <w:top w:val="nil"/>
              <w:left w:val="nil"/>
              <w:bottom w:val="nil"/>
              <w:right w:val="nil"/>
            </w:tcBorders>
            <w:shd w:val="clear" w:color="FFFFFF" w:fill="FFFFFF"/>
            <w:noWrap/>
            <w:vAlign w:val="bottom"/>
            <w:hideMark/>
          </w:tcPr>
          <w:p w14:paraId="08B6E2F4" w14:textId="77777777" w:rsidR="00520333" w:rsidRPr="006D688A" w:rsidRDefault="00520333" w:rsidP="005E5E0C">
            <w:pPr>
              <w:spacing w:after="0"/>
              <w:jc w:val="right"/>
              <w:rPr>
                <w:rFonts w:cs="Arial"/>
                <w:b/>
                <w:bCs/>
                <w:sz w:val="18"/>
                <w:szCs w:val="18"/>
              </w:rPr>
            </w:pPr>
            <w:r w:rsidRPr="006D688A">
              <w:rPr>
                <w:rFonts w:cs="Arial"/>
                <w:b/>
                <w:bCs/>
                <w:sz w:val="18"/>
                <w:szCs w:val="18"/>
              </w:rPr>
              <w:t>606,488</w:t>
            </w:r>
          </w:p>
        </w:tc>
        <w:tc>
          <w:tcPr>
            <w:tcW w:w="236" w:type="dxa"/>
            <w:tcBorders>
              <w:top w:val="nil"/>
              <w:left w:val="nil"/>
              <w:bottom w:val="nil"/>
              <w:right w:val="nil"/>
            </w:tcBorders>
            <w:shd w:val="clear" w:color="FFFFFF" w:fill="FFFFFF"/>
            <w:noWrap/>
            <w:vAlign w:val="bottom"/>
            <w:hideMark/>
          </w:tcPr>
          <w:p w14:paraId="6B2D5220"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nil"/>
              <w:left w:val="nil"/>
              <w:bottom w:val="nil"/>
              <w:right w:val="nil"/>
            </w:tcBorders>
            <w:shd w:val="clear" w:color="FFFFFF" w:fill="FFFFFF"/>
            <w:noWrap/>
            <w:vAlign w:val="bottom"/>
            <w:hideMark/>
          </w:tcPr>
          <w:p w14:paraId="44B48B43" w14:textId="77777777" w:rsidR="00520333" w:rsidRPr="006D688A" w:rsidRDefault="00520333" w:rsidP="005E5E0C">
            <w:pPr>
              <w:spacing w:after="0"/>
              <w:jc w:val="right"/>
              <w:rPr>
                <w:rFonts w:cs="Arial"/>
                <w:sz w:val="18"/>
                <w:szCs w:val="18"/>
              </w:rPr>
            </w:pPr>
            <w:r w:rsidRPr="006D688A">
              <w:rPr>
                <w:rFonts w:cs="Arial"/>
                <w:sz w:val="18"/>
                <w:szCs w:val="18"/>
              </w:rPr>
              <w:t>608,767</w:t>
            </w:r>
          </w:p>
        </w:tc>
        <w:tc>
          <w:tcPr>
            <w:tcW w:w="236" w:type="dxa"/>
            <w:tcBorders>
              <w:top w:val="nil"/>
              <w:left w:val="nil"/>
              <w:bottom w:val="nil"/>
              <w:right w:val="nil"/>
            </w:tcBorders>
            <w:shd w:val="clear" w:color="FFFFFF" w:fill="FFFFFF"/>
            <w:noWrap/>
            <w:vAlign w:val="bottom"/>
            <w:hideMark/>
          </w:tcPr>
          <w:p w14:paraId="5D4F6A12" w14:textId="77777777" w:rsidR="00520333" w:rsidRPr="006D688A" w:rsidRDefault="00520333" w:rsidP="005E5E0C">
            <w:pPr>
              <w:spacing w:after="0"/>
              <w:rPr>
                <w:rFonts w:cs="Arial"/>
                <w:sz w:val="18"/>
                <w:szCs w:val="18"/>
              </w:rPr>
            </w:pPr>
            <w:r w:rsidRPr="006D688A">
              <w:rPr>
                <w:rFonts w:cs="Arial"/>
                <w:sz w:val="18"/>
                <w:szCs w:val="18"/>
              </w:rPr>
              <w:t> </w:t>
            </w:r>
          </w:p>
        </w:tc>
        <w:tc>
          <w:tcPr>
            <w:tcW w:w="1037" w:type="dxa"/>
            <w:tcBorders>
              <w:top w:val="nil"/>
              <w:left w:val="nil"/>
              <w:bottom w:val="nil"/>
              <w:right w:val="nil"/>
            </w:tcBorders>
            <w:shd w:val="clear" w:color="FFFFFF" w:fill="FFFFFF"/>
            <w:noWrap/>
            <w:vAlign w:val="bottom"/>
            <w:hideMark/>
          </w:tcPr>
          <w:p w14:paraId="4AA5217C" w14:textId="77777777" w:rsidR="00520333" w:rsidRPr="006D688A" w:rsidRDefault="00520333" w:rsidP="005E5E0C">
            <w:pPr>
              <w:spacing w:after="0"/>
              <w:jc w:val="right"/>
              <w:rPr>
                <w:rFonts w:cs="Arial"/>
                <w:sz w:val="18"/>
                <w:szCs w:val="18"/>
              </w:rPr>
            </w:pPr>
            <w:r w:rsidRPr="006D688A">
              <w:rPr>
                <w:rFonts w:cs="Arial"/>
                <w:sz w:val="18"/>
                <w:szCs w:val="18"/>
              </w:rPr>
              <w:t xml:space="preserve"> -</w:t>
            </w:r>
          </w:p>
        </w:tc>
        <w:tc>
          <w:tcPr>
            <w:tcW w:w="236" w:type="dxa"/>
            <w:tcBorders>
              <w:top w:val="nil"/>
              <w:left w:val="nil"/>
              <w:bottom w:val="nil"/>
              <w:right w:val="nil"/>
            </w:tcBorders>
            <w:shd w:val="clear" w:color="FFFFFF" w:fill="FFFFFF"/>
            <w:noWrap/>
            <w:vAlign w:val="bottom"/>
            <w:hideMark/>
          </w:tcPr>
          <w:p w14:paraId="3C026FEF" w14:textId="77777777" w:rsidR="00520333" w:rsidRPr="006D688A" w:rsidRDefault="00520333" w:rsidP="005E5E0C">
            <w:pPr>
              <w:spacing w:after="0"/>
              <w:rPr>
                <w:rFonts w:cs="Arial"/>
                <w:sz w:val="18"/>
                <w:szCs w:val="18"/>
              </w:rPr>
            </w:pPr>
            <w:r w:rsidRPr="006D688A">
              <w:rPr>
                <w:rFonts w:cs="Arial"/>
                <w:sz w:val="18"/>
                <w:szCs w:val="18"/>
              </w:rPr>
              <w:t> </w:t>
            </w:r>
          </w:p>
        </w:tc>
      </w:tr>
      <w:tr w:rsidR="00520333" w:rsidRPr="006D688A" w14:paraId="581C9AC9" w14:textId="77777777" w:rsidTr="005E5E0C">
        <w:trPr>
          <w:trHeight w:val="250"/>
        </w:trPr>
        <w:tc>
          <w:tcPr>
            <w:tcW w:w="4488" w:type="dxa"/>
            <w:tcBorders>
              <w:top w:val="nil"/>
              <w:left w:val="nil"/>
              <w:bottom w:val="nil"/>
              <w:right w:val="nil"/>
            </w:tcBorders>
            <w:shd w:val="clear" w:color="FFFFFF" w:fill="FFFFFF"/>
            <w:vAlign w:val="bottom"/>
            <w:hideMark/>
          </w:tcPr>
          <w:p w14:paraId="6D992F33" w14:textId="77777777" w:rsidR="00520333" w:rsidRPr="006D688A" w:rsidRDefault="00520333" w:rsidP="005E5E0C">
            <w:pPr>
              <w:spacing w:after="0"/>
              <w:ind w:firstLineChars="100" w:firstLine="180"/>
              <w:rPr>
                <w:rFonts w:cs="Arial"/>
                <w:sz w:val="18"/>
                <w:szCs w:val="18"/>
              </w:rPr>
            </w:pPr>
            <w:r w:rsidRPr="006D688A">
              <w:rPr>
                <w:rFonts w:cs="Arial"/>
                <w:sz w:val="18"/>
                <w:szCs w:val="18"/>
              </w:rPr>
              <w:t>Participant plan expenses</w:t>
            </w:r>
          </w:p>
        </w:tc>
        <w:tc>
          <w:tcPr>
            <w:tcW w:w="723" w:type="dxa"/>
            <w:tcBorders>
              <w:top w:val="nil"/>
              <w:left w:val="nil"/>
              <w:bottom w:val="nil"/>
              <w:right w:val="nil"/>
            </w:tcBorders>
            <w:shd w:val="clear" w:color="FFFFFF" w:fill="FFFFFF"/>
            <w:noWrap/>
            <w:vAlign w:val="bottom"/>
            <w:hideMark/>
          </w:tcPr>
          <w:p w14:paraId="28B499FC"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67" w:type="dxa"/>
            <w:tcBorders>
              <w:top w:val="nil"/>
              <w:left w:val="nil"/>
              <w:bottom w:val="nil"/>
              <w:right w:val="nil"/>
            </w:tcBorders>
            <w:shd w:val="clear" w:color="FFFFFF" w:fill="FFFFFF"/>
            <w:noWrap/>
            <w:vAlign w:val="bottom"/>
            <w:hideMark/>
          </w:tcPr>
          <w:p w14:paraId="33842619" w14:textId="77777777" w:rsidR="00520333" w:rsidRPr="006D688A" w:rsidRDefault="00520333" w:rsidP="005E5E0C">
            <w:pPr>
              <w:spacing w:after="0"/>
              <w:jc w:val="right"/>
              <w:rPr>
                <w:rFonts w:cs="Arial"/>
                <w:b/>
                <w:bCs/>
                <w:sz w:val="18"/>
                <w:szCs w:val="18"/>
              </w:rPr>
            </w:pPr>
            <w:r w:rsidRPr="006D688A">
              <w:rPr>
                <w:rFonts w:cs="Arial"/>
                <w:b/>
                <w:bCs/>
                <w:sz w:val="18"/>
                <w:szCs w:val="18"/>
              </w:rPr>
              <w:t>40,365,869</w:t>
            </w:r>
          </w:p>
        </w:tc>
        <w:tc>
          <w:tcPr>
            <w:tcW w:w="236" w:type="dxa"/>
            <w:tcBorders>
              <w:top w:val="nil"/>
              <w:left w:val="nil"/>
              <w:bottom w:val="nil"/>
              <w:right w:val="nil"/>
            </w:tcBorders>
            <w:shd w:val="clear" w:color="FFFFFF" w:fill="FFFFFF"/>
            <w:noWrap/>
            <w:vAlign w:val="bottom"/>
            <w:hideMark/>
          </w:tcPr>
          <w:p w14:paraId="6FB666D8"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nil"/>
              <w:left w:val="nil"/>
              <w:bottom w:val="nil"/>
              <w:right w:val="nil"/>
            </w:tcBorders>
            <w:shd w:val="clear" w:color="FFFFFF" w:fill="FFFFFF"/>
            <w:noWrap/>
            <w:vAlign w:val="bottom"/>
            <w:hideMark/>
          </w:tcPr>
          <w:p w14:paraId="43945D89" w14:textId="77777777" w:rsidR="00520333" w:rsidRPr="006D688A" w:rsidRDefault="00520333" w:rsidP="005E5E0C">
            <w:pPr>
              <w:spacing w:after="0"/>
              <w:jc w:val="right"/>
              <w:rPr>
                <w:rFonts w:cs="Arial"/>
                <w:sz w:val="18"/>
                <w:szCs w:val="18"/>
              </w:rPr>
            </w:pPr>
            <w:r w:rsidRPr="006D688A">
              <w:rPr>
                <w:rFonts w:cs="Arial"/>
                <w:sz w:val="18"/>
                <w:szCs w:val="18"/>
              </w:rPr>
              <w:t>34,109,901</w:t>
            </w:r>
          </w:p>
        </w:tc>
        <w:tc>
          <w:tcPr>
            <w:tcW w:w="236" w:type="dxa"/>
            <w:tcBorders>
              <w:top w:val="nil"/>
              <w:left w:val="nil"/>
              <w:bottom w:val="nil"/>
              <w:right w:val="nil"/>
            </w:tcBorders>
            <w:shd w:val="clear" w:color="FFFFFF" w:fill="FFFFFF"/>
            <w:noWrap/>
            <w:vAlign w:val="bottom"/>
            <w:hideMark/>
          </w:tcPr>
          <w:p w14:paraId="2DD52E5B" w14:textId="77777777" w:rsidR="00520333" w:rsidRPr="006D688A" w:rsidRDefault="00520333" w:rsidP="005E5E0C">
            <w:pPr>
              <w:spacing w:after="0"/>
              <w:rPr>
                <w:rFonts w:cs="Arial"/>
                <w:sz w:val="18"/>
                <w:szCs w:val="18"/>
              </w:rPr>
            </w:pPr>
            <w:r w:rsidRPr="006D688A">
              <w:rPr>
                <w:rFonts w:cs="Arial"/>
                <w:sz w:val="18"/>
                <w:szCs w:val="18"/>
              </w:rPr>
              <w:t> </w:t>
            </w:r>
          </w:p>
        </w:tc>
        <w:tc>
          <w:tcPr>
            <w:tcW w:w="1037" w:type="dxa"/>
            <w:tcBorders>
              <w:top w:val="nil"/>
              <w:left w:val="nil"/>
              <w:bottom w:val="nil"/>
              <w:right w:val="nil"/>
            </w:tcBorders>
            <w:shd w:val="clear" w:color="FFFFFF" w:fill="FFFFFF"/>
            <w:noWrap/>
            <w:vAlign w:val="bottom"/>
            <w:hideMark/>
          </w:tcPr>
          <w:p w14:paraId="66602DE0" w14:textId="77777777" w:rsidR="00520333" w:rsidRPr="006D688A" w:rsidRDefault="00520333" w:rsidP="005E5E0C">
            <w:pPr>
              <w:spacing w:after="0"/>
              <w:jc w:val="right"/>
              <w:rPr>
                <w:rFonts w:cs="Arial"/>
                <w:sz w:val="18"/>
                <w:szCs w:val="18"/>
              </w:rPr>
            </w:pPr>
            <w:r w:rsidRPr="006D688A">
              <w:rPr>
                <w:rFonts w:cs="Arial"/>
                <w:sz w:val="18"/>
                <w:szCs w:val="18"/>
              </w:rPr>
              <w:t>38,733,838</w:t>
            </w:r>
          </w:p>
        </w:tc>
        <w:tc>
          <w:tcPr>
            <w:tcW w:w="236" w:type="dxa"/>
            <w:tcBorders>
              <w:top w:val="nil"/>
              <w:left w:val="nil"/>
              <w:bottom w:val="nil"/>
              <w:right w:val="nil"/>
            </w:tcBorders>
            <w:shd w:val="clear" w:color="FFFFFF" w:fill="FFFFFF"/>
            <w:noWrap/>
            <w:vAlign w:val="bottom"/>
            <w:hideMark/>
          </w:tcPr>
          <w:p w14:paraId="12CCDBE5" w14:textId="77777777" w:rsidR="00520333" w:rsidRPr="006D688A" w:rsidRDefault="00520333" w:rsidP="005E5E0C">
            <w:pPr>
              <w:spacing w:after="0"/>
              <w:rPr>
                <w:rFonts w:cs="Arial"/>
                <w:sz w:val="18"/>
                <w:szCs w:val="18"/>
              </w:rPr>
            </w:pPr>
            <w:r w:rsidRPr="006D688A">
              <w:rPr>
                <w:rFonts w:cs="Arial"/>
                <w:sz w:val="18"/>
                <w:szCs w:val="18"/>
              </w:rPr>
              <w:t> </w:t>
            </w:r>
          </w:p>
        </w:tc>
      </w:tr>
      <w:tr w:rsidR="00520333" w:rsidRPr="006D688A" w14:paraId="25E9D87D" w14:textId="77777777" w:rsidTr="005E5E0C">
        <w:trPr>
          <w:trHeight w:val="250"/>
        </w:trPr>
        <w:tc>
          <w:tcPr>
            <w:tcW w:w="4488" w:type="dxa"/>
            <w:tcBorders>
              <w:top w:val="nil"/>
              <w:left w:val="nil"/>
              <w:bottom w:val="nil"/>
              <w:right w:val="nil"/>
            </w:tcBorders>
            <w:shd w:val="clear" w:color="FFFFFF" w:fill="FFFFFF"/>
            <w:vAlign w:val="bottom"/>
            <w:hideMark/>
          </w:tcPr>
          <w:p w14:paraId="5C6AEC81" w14:textId="77777777" w:rsidR="00520333" w:rsidRPr="006D688A" w:rsidRDefault="00520333" w:rsidP="005E5E0C">
            <w:pPr>
              <w:spacing w:after="0"/>
              <w:ind w:firstLineChars="100" w:firstLine="180"/>
              <w:rPr>
                <w:rFonts w:cs="Arial"/>
                <w:sz w:val="18"/>
                <w:szCs w:val="18"/>
              </w:rPr>
            </w:pPr>
            <w:r w:rsidRPr="006D688A">
              <w:rPr>
                <w:rFonts w:cs="Arial"/>
                <w:sz w:val="18"/>
                <w:szCs w:val="18"/>
              </w:rPr>
              <w:t>GST paid</w:t>
            </w:r>
          </w:p>
        </w:tc>
        <w:tc>
          <w:tcPr>
            <w:tcW w:w="723" w:type="dxa"/>
            <w:tcBorders>
              <w:top w:val="nil"/>
              <w:left w:val="nil"/>
              <w:bottom w:val="nil"/>
              <w:right w:val="nil"/>
            </w:tcBorders>
            <w:shd w:val="clear" w:color="FFFFFF" w:fill="FFFFFF"/>
            <w:noWrap/>
            <w:vAlign w:val="bottom"/>
            <w:hideMark/>
          </w:tcPr>
          <w:p w14:paraId="0D0008C1"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67" w:type="dxa"/>
            <w:tcBorders>
              <w:top w:val="nil"/>
              <w:left w:val="nil"/>
              <w:bottom w:val="nil"/>
              <w:right w:val="nil"/>
            </w:tcBorders>
            <w:shd w:val="clear" w:color="FFFFFF" w:fill="FFFFFF"/>
            <w:noWrap/>
            <w:vAlign w:val="bottom"/>
            <w:hideMark/>
          </w:tcPr>
          <w:p w14:paraId="555C7934" w14:textId="77777777" w:rsidR="00520333" w:rsidRPr="006D688A" w:rsidRDefault="00520333" w:rsidP="005E5E0C">
            <w:pPr>
              <w:spacing w:after="0"/>
              <w:jc w:val="right"/>
              <w:rPr>
                <w:rFonts w:cs="Arial"/>
                <w:b/>
                <w:bCs/>
                <w:sz w:val="18"/>
                <w:szCs w:val="18"/>
              </w:rPr>
            </w:pPr>
            <w:r w:rsidRPr="006D688A">
              <w:rPr>
                <w:rFonts w:cs="Arial"/>
                <w:b/>
                <w:bCs/>
                <w:sz w:val="18"/>
                <w:szCs w:val="18"/>
              </w:rPr>
              <w:t>-</w:t>
            </w:r>
          </w:p>
        </w:tc>
        <w:tc>
          <w:tcPr>
            <w:tcW w:w="236" w:type="dxa"/>
            <w:tcBorders>
              <w:top w:val="nil"/>
              <w:left w:val="nil"/>
              <w:bottom w:val="nil"/>
              <w:right w:val="nil"/>
            </w:tcBorders>
            <w:shd w:val="clear" w:color="FFFFFF" w:fill="FFFFFF"/>
            <w:noWrap/>
            <w:vAlign w:val="bottom"/>
            <w:hideMark/>
          </w:tcPr>
          <w:p w14:paraId="57A2965B"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nil"/>
              <w:left w:val="nil"/>
              <w:bottom w:val="nil"/>
              <w:right w:val="nil"/>
            </w:tcBorders>
            <w:shd w:val="clear" w:color="FFFFFF" w:fill="FFFFFF"/>
            <w:noWrap/>
            <w:vAlign w:val="bottom"/>
            <w:hideMark/>
          </w:tcPr>
          <w:p w14:paraId="136F126E" w14:textId="77777777" w:rsidR="00520333" w:rsidRPr="006D688A" w:rsidRDefault="00520333" w:rsidP="005E5E0C">
            <w:pPr>
              <w:spacing w:after="0"/>
              <w:jc w:val="right"/>
              <w:rPr>
                <w:rFonts w:cs="Arial"/>
                <w:sz w:val="18"/>
                <w:szCs w:val="18"/>
              </w:rPr>
            </w:pPr>
            <w:r w:rsidRPr="006D688A">
              <w:rPr>
                <w:rFonts w:cs="Arial"/>
                <w:sz w:val="18"/>
                <w:szCs w:val="18"/>
              </w:rPr>
              <w:t xml:space="preserve"> -</w:t>
            </w:r>
          </w:p>
        </w:tc>
        <w:tc>
          <w:tcPr>
            <w:tcW w:w="236" w:type="dxa"/>
            <w:tcBorders>
              <w:top w:val="nil"/>
              <w:left w:val="nil"/>
              <w:bottom w:val="nil"/>
              <w:right w:val="nil"/>
            </w:tcBorders>
            <w:shd w:val="clear" w:color="FFFFFF" w:fill="FFFFFF"/>
            <w:noWrap/>
            <w:vAlign w:val="bottom"/>
            <w:hideMark/>
          </w:tcPr>
          <w:p w14:paraId="2722B29F" w14:textId="77777777" w:rsidR="00520333" w:rsidRPr="006D688A" w:rsidRDefault="00520333" w:rsidP="005E5E0C">
            <w:pPr>
              <w:spacing w:after="0"/>
              <w:rPr>
                <w:rFonts w:cs="Arial"/>
                <w:sz w:val="18"/>
                <w:szCs w:val="18"/>
              </w:rPr>
            </w:pPr>
            <w:r w:rsidRPr="006D688A">
              <w:rPr>
                <w:rFonts w:cs="Arial"/>
                <w:sz w:val="18"/>
                <w:szCs w:val="18"/>
              </w:rPr>
              <w:t> </w:t>
            </w:r>
          </w:p>
        </w:tc>
        <w:tc>
          <w:tcPr>
            <w:tcW w:w="1037" w:type="dxa"/>
            <w:tcBorders>
              <w:top w:val="nil"/>
              <w:left w:val="nil"/>
              <w:bottom w:val="nil"/>
              <w:right w:val="nil"/>
            </w:tcBorders>
            <w:shd w:val="clear" w:color="FFFFFF" w:fill="FFFFFF"/>
            <w:noWrap/>
            <w:vAlign w:val="bottom"/>
            <w:hideMark/>
          </w:tcPr>
          <w:p w14:paraId="792B3B20" w14:textId="77777777" w:rsidR="00520333" w:rsidRPr="006D688A" w:rsidRDefault="00520333" w:rsidP="005E5E0C">
            <w:pPr>
              <w:spacing w:after="0"/>
              <w:jc w:val="right"/>
              <w:rPr>
                <w:rFonts w:cs="Arial"/>
                <w:sz w:val="18"/>
                <w:szCs w:val="18"/>
              </w:rPr>
            </w:pPr>
            <w:r w:rsidRPr="006D688A">
              <w:rPr>
                <w:rFonts w:cs="Arial"/>
                <w:sz w:val="18"/>
                <w:szCs w:val="18"/>
              </w:rPr>
              <w:t>86,558</w:t>
            </w:r>
          </w:p>
        </w:tc>
        <w:tc>
          <w:tcPr>
            <w:tcW w:w="236" w:type="dxa"/>
            <w:tcBorders>
              <w:top w:val="nil"/>
              <w:left w:val="nil"/>
              <w:bottom w:val="nil"/>
              <w:right w:val="nil"/>
            </w:tcBorders>
            <w:shd w:val="clear" w:color="FFFFFF" w:fill="FFFFFF"/>
            <w:noWrap/>
            <w:vAlign w:val="bottom"/>
            <w:hideMark/>
          </w:tcPr>
          <w:p w14:paraId="0A8831C4" w14:textId="77777777" w:rsidR="00520333" w:rsidRPr="006D688A" w:rsidRDefault="00520333" w:rsidP="005E5E0C">
            <w:pPr>
              <w:spacing w:after="0"/>
              <w:rPr>
                <w:rFonts w:cs="Arial"/>
                <w:sz w:val="18"/>
                <w:szCs w:val="18"/>
              </w:rPr>
            </w:pPr>
            <w:r w:rsidRPr="006D688A">
              <w:rPr>
                <w:rFonts w:cs="Arial"/>
                <w:sz w:val="18"/>
                <w:szCs w:val="18"/>
              </w:rPr>
              <w:t> </w:t>
            </w:r>
          </w:p>
        </w:tc>
      </w:tr>
      <w:tr w:rsidR="00520333" w:rsidRPr="006D688A" w14:paraId="38AD2F00" w14:textId="77777777" w:rsidTr="005E5E0C">
        <w:trPr>
          <w:trHeight w:val="250"/>
        </w:trPr>
        <w:tc>
          <w:tcPr>
            <w:tcW w:w="4488" w:type="dxa"/>
            <w:tcBorders>
              <w:top w:val="nil"/>
              <w:left w:val="nil"/>
              <w:bottom w:val="nil"/>
              <w:right w:val="nil"/>
            </w:tcBorders>
            <w:shd w:val="clear" w:color="FFFFFF" w:fill="FFFFFF"/>
            <w:vAlign w:val="bottom"/>
            <w:hideMark/>
          </w:tcPr>
          <w:p w14:paraId="1722F44D" w14:textId="77777777" w:rsidR="00520333" w:rsidRPr="006D688A" w:rsidRDefault="00520333" w:rsidP="005E5E0C">
            <w:pPr>
              <w:spacing w:after="0"/>
              <w:ind w:firstLineChars="100" w:firstLine="180"/>
              <w:rPr>
                <w:rFonts w:cs="Arial"/>
                <w:sz w:val="18"/>
                <w:szCs w:val="18"/>
              </w:rPr>
            </w:pPr>
            <w:r w:rsidRPr="006D688A">
              <w:rPr>
                <w:rFonts w:cs="Arial"/>
                <w:sz w:val="18"/>
                <w:szCs w:val="18"/>
              </w:rPr>
              <w:t>Grant payments</w:t>
            </w:r>
          </w:p>
        </w:tc>
        <w:tc>
          <w:tcPr>
            <w:tcW w:w="723" w:type="dxa"/>
            <w:tcBorders>
              <w:top w:val="nil"/>
              <w:left w:val="nil"/>
              <w:bottom w:val="nil"/>
              <w:right w:val="nil"/>
            </w:tcBorders>
            <w:shd w:val="clear" w:color="FFFFFF" w:fill="FFFFFF"/>
            <w:noWrap/>
            <w:vAlign w:val="bottom"/>
            <w:hideMark/>
          </w:tcPr>
          <w:p w14:paraId="3302ECFD"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67" w:type="dxa"/>
            <w:tcBorders>
              <w:top w:val="nil"/>
              <w:left w:val="nil"/>
              <w:bottom w:val="nil"/>
              <w:right w:val="nil"/>
            </w:tcBorders>
            <w:shd w:val="clear" w:color="FFFFFF" w:fill="FFFFFF"/>
            <w:noWrap/>
            <w:vAlign w:val="bottom"/>
            <w:hideMark/>
          </w:tcPr>
          <w:p w14:paraId="124A7689" w14:textId="77777777" w:rsidR="00520333" w:rsidRPr="006D688A" w:rsidRDefault="00520333" w:rsidP="005E5E0C">
            <w:pPr>
              <w:spacing w:after="0"/>
              <w:jc w:val="right"/>
              <w:rPr>
                <w:rFonts w:cs="Arial"/>
                <w:b/>
                <w:bCs/>
                <w:sz w:val="18"/>
                <w:szCs w:val="18"/>
              </w:rPr>
            </w:pPr>
            <w:r w:rsidRPr="006D688A">
              <w:rPr>
                <w:rFonts w:cs="Arial"/>
                <w:b/>
                <w:bCs/>
                <w:sz w:val="18"/>
                <w:szCs w:val="18"/>
              </w:rPr>
              <w:t>5,237</w:t>
            </w:r>
          </w:p>
        </w:tc>
        <w:tc>
          <w:tcPr>
            <w:tcW w:w="236" w:type="dxa"/>
            <w:tcBorders>
              <w:top w:val="nil"/>
              <w:left w:val="nil"/>
              <w:bottom w:val="nil"/>
              <w:right w:val="nil"/>
            </w:tcBorders>
            <w:shd w:val="clear" w:color="FFFFFF" w:fill="FFFFFF"/>
            <w:noWrap/>
            <w:vAlign w:val="bottom"/>
            <w:hideMark/>
          </w:tcPr>
          <w:p w14:paraId="4DB22A54"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nil"/>
              <w:left w:val="nil"/>
              <w:bottom w:val="nil"/>
              <w:right w:val="nil"/>
            </w:tcBorders>
            <w:shd w:val="clear" w:color="FFFFFF" w:fill="FFFFFF"/>
            <w:noWrap/>
            <w:vAlign w:val="bottom"/>
            <w:hideMark/>
          </w:tcPr>
          <w:p w14:paraId="470EBA12" w14:textId="77777777" w:rsidR="00520333" w:rsidRPr="006D688A" w:rsidRDefault="00520333" w:rsidP="005E5E0C">
            <w:pPr>
              <w:spacing w:after="0"/>
              <w:jc w:val="right"/>
              <w:rPr>
                <w:rFonts w:cs="Arial"/>
                <w:sz w:val="18"/>
                <w:szCs w:val="18"/>
              </w:rPr>
            </w:pPr>
            <w:r w:rsidRPr="006D688A">
              <w:rPr>
                <w:rFonts w:cs="Arial"/>
                <w:sz w:val="18"/>
                <w:szCs w:val="18"/>
              </w:rPr>
              <w:t>523</w:t>
            </w:r>
          </w:p>
        </w:tc>
        <w:tc>
          <w:tcPr>
            <w:tcW w:w="236" w:type="dxa"/>
            <w:tcBorders>
              <w:top w:val="nil"/>
              <w:left w:val="nil"/>
              <w:bottom w:val="nil"/>
              <w:right w:val="nil"/>
            </w:tcBorders>
            <w:shd w:val="clear" w:color="FFFFFF" w:fill="FFFFFF"/>
            <w:noWrap/>
            <w:vAlign w:val="bottom"/>
            <w:hideMark/>
          </w:tcPr>
          <w:p w14:paraId="1B05316A" w14:textId="77777777" w:rsidR="00520333" w:rsidRPr="006D688A" w:rsidRDefault="00520333" w:rsidP="005E5E0C">
            <w:pPr>
              <w:spacing w:after="0"/>
              <w:rPr>
                <w:rFonts w:cs="Arial"/>
                <w:sz w:val="18"/>
                <w:szCs w:val="18"/>
              </w:rPr>
            </w:pPr>
            <w:r w:rsidRPr="006D688A">
              <w:rPr>
                <w:rFonts w:cs="Arial"/>
                <w:sz w:val="18"/>
                <w:szCs w:val="18"/>
              </w:rPr>
              <w:t> </w:t>
            </w:r>
          </w:p>
        </w:tc>
        <w:tc>
          <w:tcPr>
            <w:tcW w:w="1037" w:type="dxa"/>
            <w:tcBorders>
              <w:top w:val="nil"/>
              <w:left w:val="nil"/>
              <w:bottom w:val="nil"/>
              <w:right w:val="nil"/>
            </w:tcBorders>
            <w:shd w:val="clear" w:color="FFFFFF" w:fill="FFFFFF"/>
            <w:noWrap/>
            <w:vAlign w:val="bottom"/>
            <w:hideMark/>
          </w:tcPr>
          <w:p w14:paraId="31456010" w14:textId="77777777" w:rsidR="00520333" w:rsidRPr="006D688A" w:rsidRDefault="00520333" w:rsidP="005E5E0C">
            <w:pPr>
              <w:spacing w:after="0"/>
              <w:jc w:val="right"/>
              <w:rPr>
                <w:rFonts w:cs="Arial"/>
                <w:sz w:val="18"/>
                <w:szCs w:val="18"/>
              </w:rPr>
            </w:pPr>
            <w:r w:rsidRPr="006D688A">
              <w:rPr>
                <w:rFonts w:cs="Arial"/>
                <w:sz w:val="18"/>
                <w:szCs w:val="18"/>
              </w:rPr>
              <w:t xml:space="preserve"> -</w:t>
            </w:r>
          </w:p>
        </w:tc>
        <w:tc>
          <w:tcPr>
            <w:tcW w:w="236" w:type="dxa"/>
            <w:tcBorders>
              <w:top w:val="nil"/>
              <w:left w:val="nil"/>
              <w:bottom w:val="nil"/>
              <w:right w:val="nil"/>
            </w:tcBorders>
            <w:shd w:val="clear" w:color="FFFFFF" w:fill="FFFFFF"/>
            <w:noWrap/>
            <w:vAlign w:val="bottom"/>
            <w:hideMark/>
          </w:tcPr>
          <w:p w14:paraId="4D831443" w14:textId="77777777" w:rsidR="00520333" w:rsidRPr="006D688A" w:rsidRDefault="00520333" w:rsidP="005E5E0C">
            <w:pPr>
              <w:spacing w:after="0"/>
              <w:rPr>
                <w:rFonts w:cs="Arial"/>
                <w:sz w:val="18"/>
                <w:szCs w:val="18"/>
              </w:rPr>
            </w:pPr>
            <w:r w:rsidRPr="006D688A">
              <w:rPr>
                <w:rFonts w:cs="Arial"/>
                <w:sz w:val="18"/>
                <w:szCs w:val="18"/>
              </w:rPr>
              <w:t> </w:t>
            </w:r>
          </w:p>
        </w:tc>
      </w:tr>
      <w:tr w:rsidR="00520333" w:rsidRPr="006D688A" w14:paraId="0421F267" w14:textId="77777777" w:rsidTr="005E5E0C">
        <w:trPr>
          <w:trHeight w:val="250"/>
        </w:trPr>
        <w:tc>
          <w:tcPr>
            <w:tcW w:w="4488" w:type="dxa"/>
            <w:tcBorders>
              <w:top w:val="nil"/>
              <w:left w:val="nil"/>
              <w:bottom w:val="nil"/>
              <w:right w:val="nil"/>
            </w:tcBorders>
            <w:shd w:val="clear" w:color="FFFFFF" w:fill="FFFFFF"/>
            <w:vAlign w:val="bottom"/>
            <w:hideMark/>
          </w:tcPr>
          <w:p w14:paraId="66F0D29D" w14:textId="77777777" w:rsidR="00520333" w:rsidRPr="006D688A" w:rsidRDefault="00520333" w:rsidP="005E5E0C">
            <w:pPr>
              <w:spacing w:after="0"/>
              <w:rPr>
                <w:rFonts w:cs="Arial"/>
                <w:b/>
                <w:bCs/>
                <w:sz w:val="18"/>
                <w:szCs w:val="18"/>
              </w:rPr>
            </w:pPr>
            <w:r w:rsidRPr="006D688A">
              <w:rPr>
                <w:rFonts w:cs="Arial"/>
                <w:b/>
                <w:bCs/>
                <w:sz w:val="18"/>
                <w:szCs w:val="18"/>
              </w:rPr>
              <w:t>Total cash used</w:t>
            </w:r>
          </w:p>
        </w:tc>
        <w:tc>
          <w:tcPr>
            <w:tcW w:w="723" w:type="dxa"/>
            <w:tcBorders>
              <w:top w:val="nil"/>
              <w:left w:val="nil"/>
              <w:bottom w:val="nil"/>
              <w:right w:val="nil"/>
            </w:tcBorders>
            <w:shd w:val="clear" w:color="FFFFFF" w:fill="FFFFFF"/>
            <w:noWrap/>
            <w:vAlign w:val="bottom"/>
            <w:hideMark/>
          </w:tcPr>
          <w:p w14:paraId="3FCCB30B"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67" w:type="dxa"/>
            <w:tcBorders>
              <w:top w:val="single" w:sz="4" w:space="0" w:color="auto"/>
              <w:left w:val="nil"/>
              <w:bottom w:val="single" w:sz="4" w:space="0" w:color="auto"/>
              <w:right w:val="nil"/>
            </w:tcBorders>
            <w:shd w:val="clear" w:color="FFFFFF" w:fill="FFFFFF"/>
            <w:noWrap/>
            <w:vAlign w:val="bottom"/>
            <w:hideMark/>
          </w:tcPr>
          <w:p w14:paraId="2AFD76F4" w14:textId="77777777" w:rsidR="00520333" w:rsidRPr="006D688A" w:rsidRDefault="00520333" w:rsidP="005E5E0C">
            <w:pPr>
              <w:spacing w:after="0"/>
              <w:jc w:val="right"/>
              <w:rPr>
                <w:rFonts w:cs="Arial"/>
                <w:b/>
                <w:bCs/>
                <w:sz w:val="18"/>
                <w:szCs w:val="18"/>
              </w:rPr>
            </w:pPr>
            <w:r w:rsidRPr="006D688A">
              <w:rPr>
                <w:rFonts w:cs="Arial"/>
                <w:b/>
                <w:bCs/>
                <w:sz w:val="18"/>
                <w:szCs w:val="18"/>
              </w:rPr>
              <w:t>42,457,443</w:t>
            </w:r>
          </w:p>
        </w:tc>
        <w:tc>
          <w:tcPr>
            <w:tcW w:w="236" w:type="dxa"/>
            <w:tcBorders>
              <w:top w:val="nil"/>
              <w:left w:val="nil"/>
              <w:bottom w:val="nil"/>
              <w:right w:val="nil"/>
            </w:tcBorders>
            <w:shd w:val="clear" w:color="FFFFFF" w:fill="FFFFFF"/>
            <w:noWrap/>
            <w:vAlign w:val="bottom"/>
            <w:hideMark/>
          </w:tcPr>
          <w:p w14:paraId="58C92CD4"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single" w:sz="4" w:space="0" w:color="auto"/>
              <w:left w:val="nil"/>
              <w:bottom w:val="single" w:sz="4" w:space="0" w:color="auto"/>
              <w:right w:val="nil"/>
            </w:tcBorders>
            <w:shd w:val="clear" w:color="FFFFFF" w:fill="FFFFFF"/>
            <w:noWrap/>
            <w:vAlign w:val="bottom"/>
            <w:hideMark/>
          </w:tcPr>
          <w:p w14:paraId="38C9B814" w14:textId="77777777" w:rsidR="00520333" w:rsidRPr="006D688A" w:rsidRDefault="00520333" w:rsidP="005E5E0C">
            <w:pPr>
              <w:spacing w:after="0"/>
              <w:jc w:val="right"/>
              <w:rPr>
                <w:rFonts w:cs="Arial"/>
                <w:sz w:val="18"/>
                <w:szCs w:val="18"/>
              </w:rPr>
            </w:pPr>
            <w:r w:rsidRPr="006D688A">
              <w:rPr>
                <w:rFonts w:cs="Arial"/>
                <w:sz w:val="18"/>
                <w:szCs w:val="18"/>
              </w:rPr>
              <w:t>36,060,552</w:t>
            </w:r>
          </w:p>
        </w:tc>
        <w:tc>
          <w:tcPr>
            <w:tcW w:w="236" w:type="dxa"/>
            <w:tcBorders>
              <w:top w:val="nil"/>
              <w:left w:val="nil"/>
              <w:bottom w:val="nil"/>
              <w:right w:val="nil"/>
            </w:tcBorders>
            <w:shd w:val="clear" w:color="FFFFFF" w:fill="FFFFFF"/>
            <w:noWrap/>
            <w:vAlign w:val="bottom"/>
            <w:hideMark/>
          </w:tcPr>
          <w:p w14:paraId="2DA7A2CB" w14:textId="77777777" w:rsidR="00520333" w:rsidRPr="006D688A" w:rsidRDefault="00520333" w:rsidP="005E5E0C">
            <w:pPr>
              <w:spacing w:after="0"/>
              <w:rPr>
                <w:rFonts w:cs="Arial"/>
                <w:sz w:val="18"/>
                <w:szCs w:val="18"/>
              </w:rPr>
            </w:pPr>
            <w:r w:rsidRPr="006D688A">
              <w:rPr>
                <w:rFonts w:cs="Arial"/>
                <w:sz w:val="18"/>
                <w:szCs w:val="18"/>
              </w:rPr>
              <w:t> </w:t>
            </w:r>
          </w:p>
        </w:tc>
        <w:tc>
          <w:tcPr>
            <w:tcW w:w="1037" w:type="dxa"/>
            <w:tcBorders>
              <w:top w:val="single" w:sz="4" w:space="0" w:color="auto"/>
              <w:left w:val="nil"/>
              <w:bottom w:val="single" w:sz="4" w:space="0" w:color="auto"/>
              <w:right w:val="nil"/>
            </w:tcBorders>
            <w:shd w:val="clear" w:color="FFFFFF" w:fill="FFFFFF"/>
            <w:noWrap/>
            <w:vAlign w:val="bottom"/>
            <w:hideMark/>
          </w:tcPr>
          <w:p w14:paraId="131D232F" w14:textId="77777777" w:rsidR="00520333" w:rsidRPr="006D688A" w:rsidRDefault="00520333" w:rsidP="005E5E0C">
            <w:pPr>
              <w:spacing w:after="0"/>
              <w:jc w:val="right"/>
              <w:rPr>
                <w:rFonts w:cs="Arial"/>
                <w:sz w:val="18"/>
                <w:szCs w:val="18"/>
              </w:rPr>
            </w:pPr>
            <w:r w:rsidRPr="006D688A">
              <w:rPr>
                <w:rFonts w:cs="Arial"/>
                <w:sz w:val="18"/>
                <w:szCs w:val="18"/>
              </w:rPr>
              <w:t>41,253,507</w:t>
            </w:r>
          </w:p>
        </w:tc>
        <w:tc>
          <w:tcPr>
            <w:tcW w:w="236" w:type="dxa"/>
            <w:tcBorders>
              <w:top w:val="nil"/>
              <w:left w:val="nil"/>
              <w:bottom w:val="nil"/>
              <w:right w:val="nil"/>
            </w:tcBorders>
            <w:shd w:val="clear" w:color="FFFFFF" w:fill="FFFFFF"/>
            <w:noWrap/>
            <w:vAlign w:val="bottom"/>
            <w:hideMark/>
          </w:tcPr>
          <w:p w14:paraId="5FDB88F4" w14:textId="77777777" w:rsidR="00520333" w:rsidRPr="006D688A" w:rsidRDefault="00520333" w:rsidP="005E5E0C">
            <w:pPr>
              <w:spacing w:after="0"/>
              <w:rPr>
                <w:rFonts w:cs="Arial"/>
                <w:sz w:val="18"/>
                <w:szCs w:val="18"/>
              </w:rPr>
            </w:pPr>
            <w:r w:rsidRPr="006D688A">
              <w:rPr>
                <w:rFonts w:cs="Arial"/>
                <w:sz w:val="18"/>
                <w:szCs w:val="18"/>
                <w:vertAlign w:val="superscript"/>
              </w:rPr>
              <w:t> </w:t>
            </w:r>
          </w:p>
        </w:tc>
      </w:tr>
      <w:tr w:rsidR="00520333" w:rsidRPr="006D688A" w14:paraId="4EB2EB26" w14:textId="77777777" w:rsidTr="005E5E0C">
        <w:trPr>
          <w:trHeight w:val="270"/>
        </w:trPr>
        <w:tc>
          <w:tcPr>
            <w:tcW w:w="4488" w:type="dxa"/>
            <w:tcBorders>
              <w:top w:val="nil"/>
              <w:left w:val="nil"/>
              <w:bottom w:val="nil"/>
              <w:right w:val="nil"/>
            </w:tcBorders>
            <w:shd w:val="clear" w:color="FFFFFF" w:fill="FFFFFF"/>
            <w:vAlign w:val="bottom"/>
            <w:hideMark/>
          </w:tcPr>
          <w:p w14:paraId="255D1344" w14:textId="77777777" w:rsidR="00520333" w:rsidRPr="006D688A" w:rsidRDefault="00520333" w:rsidP="005E5E0C">
            <w:pPr>
              <w:spacing w:after="0"/>
              <w:rPr>
                <w:rFonts w:cs="Arial"/>
                <w:b/>
                <w:bCs/>
                <w:sz w:val="18"/>
                <w:szCs w:val="18"/>
              </w:rPr>
            </w:pPr>
            <w:r w:rsidRPr="006D688A">
              <w:rPr>
                <w:rFonts w:cs="Arial"/>
                <w:b/>
                <w:bCs/>
                <w:sz w:val="18"/>
                <w:szCs w:val="18"/>
              </w:rPr>
              <w:t>Net cash from / (used by) operating activities</w:t>
            </w:r>
          </w:p>
        </w:tc>
        <w:tc>
          <w:tcPr>
            <w:tcW w:w="723" w:type="dxa"/>
            <w:tcBorders>
              <w:top w:val="nil"/>
              <w:left w:val="nil"/>
              <w:bottom w:val="nil"/>
              <w:right w:val="nil"/>
            </w:tcBorders>
            <w:shd w:val="clear" w:color="FFFFFF" w:fill="FFFFFF"/>
            <w:noWrap/>
            <w:vAlign w:val="bottom"/>
            <w:hideMark/>
          </w:tcPr>
          <w:p w14:paraId="7EB8D3DE"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67" w:type="dxa"/>
            <w:tcBorders>
              <w:top w:val="nil"/>
              <w:left w:val="nil"/>
              <w:bottom w:val="single" w:sz="4" w:space="0" w:color="auto"/>
              <w:right w:val="nil"/>
            </w:tcBorders>
            <w:shd w:val="clear" w:color="FFFFFF" w:fill="FFFFFF"/>
            <w:noWrap/>
            <w:vAlign w:val="bottom"/>
            <w:hideMark/>
          </w:tcPr>
          <w:p w14:paraId="13A4E662" w14:textId="77777777" w:rsidR="00520333" w:rsidRPr="006D688A" w:rsidRDefault="00520333" w:rsidP="005E5E0C">
            <w:pPr>
              <w:spacing w:after="0"/>
              <w:jc w:val="right"/>
              <w:rPr>
                <w:rFonts w:cs="Arial"/>
                <w:b/>
                <w:bCs/>
                <w:sz w:val="18"/>
                <w:szCs w:val="18"/>
              </w:rPr>
            </w:pPr>
            <w:r w:rsidRPr="006D688A">
              <w:rPr>
                <w:rFonts w:cs="Arial"/>
                <w:b/>
                <w:bCs/>
                <w:sz w:val="18"/>
                <w:szCs w:val="18"/>
              </w:rPr>
              <w:t>1,482,236</w:t>
            </w:r>
          </w:p>
        </w:tc>
        <w:tc>
          <w:tcPr>
            <w:tcW w:w="236" w:type="dxa"/>
            <w:tcBorders>
              <w:top w:val="nil"/>
              <w:left w:val="nil"/>
              <w:bottom w:val="nil"/>
              <w:right w:val="nil"/>
            </w:tcBorders>
            <w:shd w:val="clear" w:color="FFFFFF" w:fill="FFFFFF"/>
            <w:noWrap/>
            <w:vAlign w:val="bottom"/>
            <w:hideMark/>
          </w:tcPr>
          <w:p w14:paraId="38270575"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nil"/>
              <w:left w:val="nil"/>
              <w:bottom w:val="single" w:sz="4" w:space="0" w:color="auto"/>
              <w:right w:val="nil"/>
            </w:tcBorders>
            <w:shd w:val="clear" w:color="FFFFFF" w:fill="FFFFFF"/>
            <w:noWrap/>
            <w:vAlign w:val="bottom"/>
            <w:hideMark/>
          </w:tcPr>
          <w:p w14:paraId="4C093AC3" w14:textId="77777777" w:rsidR="00520333" w:rsidRPr="006D688A" w:rsidRDefault="00520333" w:rsidP="005E5E0C">
            <w:pPr>
              <w:spacing w:after="0"/>
              <w:jc w:val="right"/>
              <w:rPr>
                <w:rFonts w:cs="Arial"/>
                <w:sz w:val="18"/>
                <w:szCs w:val="18"/>
              </w:rPr>
            </w:pPr>
            <w:r w:rsidRPr="006D688A">
              <w:rPr>
                <w:rFonts w:cs="Arial"/>
                <w:sz w:val="18"/>
                <w:szCs w:val="18"/>
              </w:rPr>
              <w:t>(86,140)</w:t>
            </w:r>
          </w:p>
        </w:tc>
        <w:tc>
          <w:tcPr>
            <w:tcW w:w="236" w:type="dxa"/>
            <w:tcBorders>
              <w:top w:val="nil"/>
              <w:left w:val="nil"/>
              <w:bottom w:val="nil"/>
              <w:right w:val="nil"/>
            </w:tcBorders>
            <w:shd w:val="clear" w:color="FFFFFF" w:fill="FFFFFF"/>
            <w:noWrap/>
            <w:vAlign w:val="bottom"/>
            <w:hideMark/>
          </w:tcPr>
          <w:p w14:paraId="19201BD7" w14:textId="77777777" w:rsidR="00520333" w:rsidRPr="006D688A" w:rsidRDefault="00520333" w:rsidP="005E5E0C">
            <w:pPr>
              <w:spacing w:after="0"/>
              <w:rPr>
                <w:rFonts w:cs="Arial"/>
                <w:sz w:val="18"/>
                <w:szCs w:val="18"/>
              </w:rPr>
            </w:pPr>
            <w:r w:rsidRPr="006D688A">
              <w:rPr>
                <w:rFonts w:cs="Arial"/>
                <w:sz w:val="18"/>
                <w:szCs w:val="18"/>
              </w:rPr>
              <w:t> </w:t>
            </w:r>
          </w:p>
        </w:tc>
        <w:tc>
          <w:tcPr>
            <w:tcW w:w="1037" w:type="dxa"/>
            <w:tcBorders>
              <w:top w:val="nil"/>
              <w:left w:val="nil"/>
              <w:bottom w:val="single" w:sz="4" w:space="0" w:color="auto"/>
              <w:right w:val="nil"/>
            </w:tcBorders>
            <w:shd w:val="clear" w:color="FFFFFF" w:fill="FFFFFF"/>
            <w:noWrap/>
            <w:vAlign w:val="bottom"/>
            <w:hideMark/>
          </w:tcPr>
          <w:p w14:paraId="7FD8C824" w14:textId="77777777" w:rsidR="00520333" w:rsidRPr="006D688A" w:rsidRDefault="00520333" w:rsidP="005E5E0C">
            <w:pPr>
              <w:spacing w:after="0"/>
              <w:jc w:val="right"/>
              <w:rPr>
                <w:rFonts w:cs="Arial"/>
                <w:sz w:val="18"/>
                <w:szCs w:val="18"/>
              </w:rPr>
            </w:pPr>
            <w:r w:rsidRPr="006D688A">
              <w:rPr>
                <w:rFonts w:cs="Arial"/>
                <w:sz w:val="18"/>
                <w:szCs w:val="18"/>
              </w:rPr>
              <w:t>821,196</w:t>
            </w:r>
          </w:p>
        </w:tc>
        <w:tc>
          <w:tcPr>
            <w:tcW w:w="236" w:type="dxa"/>
            <w:tcBorders>
              <w:top w:val="nil"/>
              <w:left w:val="nil"/>
              <w:bottom w:val="nil"/>
              <w:right w:val="nil"/>
            </w:tcBorders>
            <w:shd w:val="clear" w:color="FFFFFF" w:fill="FFFFFF"/>
            <w:noWrap/>
            <w:vAlign w:val="bottom"/>
            <w:hideMark/>
          </w:tcPr>
          <w:p w14:paraId="3A830065" w14:textId="77777777" w:rsidR="00520333" w:rsidRPr="006D688A" w:rsidRDefault="00520333" w:rsidP="005E5E0C">
            <w:pPr>
              <w:spacing w:after="0"/>
              <w:rPr>
                <w:rFonts w:cs="Arial"/>
                <w:sz w:val="18"/>
                <w:szCs w:val="18"/>
              </w:rPr>
            </w:pPr>
            <w:r w:rsidRPr="006D688A">
              <w:rPr>
                <w:rFonts w:cs="Arial"/>
                <w:sz w:val="18"/>
                <w:szCs w:val="18"/>
                <w:vertAlign w:val="superscript"/>
              </w:rPr>
              <w:t> </w:t>
            </w:r>
          </w:p>
        </w:tc>
      </w:tr>
      <w:tr w:rsidR="00520333" w:rsidRPr="006D688A" w14:paraId="70B3B531" w14:textId="77777777" w:rsidTr="005E5E0C">
        <w:trPr>
          <w:trHeight w:val="238"/>
        </w:trPr>
        <w:tc>
          <w:tcPr>
            <w:tcW w:w="4488" w:type="dxa"/>
            <w:tcBorders>
              <w:top w:val="nil"/>
              <w:left w:val="nil"/>
              <w:bottom w:val="nil"/>
              <w:right w:val="nil"/>
            </w:tcBorders>
            <w:shd w:val="clear" w:color="FFFFFF" w:fill="FFFFFF"/>
            <w:noWrap/>
            <w:vAlign w:val="bottom"/>
            <w:hideMark/>
          </w:tcPr>
          <w:p w14:paraId="40F3DD15" w14:textId="77777777" w:rsidR="00520333" w:rsidRPr="006D688A" w:rsidRDefault="00520333" w:rsidP="005E5E0C">
            <w:pPr>
              <w:spacing w:after="0"/>
              <w:rPr>
                <w:rFonts w:cs="Arial"/>
                <w:sz w:val="18"/>
                <w:szCs w:val="18"/>
              </w:rPr>
            </w:pPr>
            <w:r w:rsidRPr="006D688A">
              <w:rPr>
                <w:rFonts w:cs="Arial"/>
                <w:sz w:val="18"/>
                <w:szCs w:val="18"/>
              </w:rPr>
              <w:t> </w:t>
            </w:r>
          </w:p>
        </w:tc>
        <w:tc>
          <w:tcPr>
            <w:tcW w:w="723" w:type="dxa"/>
            <w:tcBorders>
              <w:top w:val="nil"/>
              <w:left w:val="nil"/>
              <w:bottom w:val="nil"/>
              <w:right w:val="nil"/>
            </w:tcBorders>
            <w:shd w:val="clear" w:color="FFFFFF" w:fill="FFFFFF"/>
            <w:noWrap/>
            <w:vAlign w:val="bottom"/>
            <w:hideMark/>
          </w:tcPr>
          <w:p w14:paraId="66754505"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67" w:type="dxa"/>
            <w:tcBorders>
              <w:top w:val="nil"/>
              <w:left w:val="nil"/>
              <w:bottom w:val="nil"/>
              <w:right w:val="nil"/>
            </w:tcBorders>
            <w:shd w:val="clear" w:color="FFFFFF" w:fill="FFFFFF"/>
            <w:noWrap/>
            <w:vAlign w:val="bottom"/>
            <w:hideMark/>
          </w:tcPr>
          <w:p w14:paraId="3BE5BB37"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774C041E"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nil"/>
              <w:left w:val="nil"/>
              <w:bottom w:val="nil"/>
              <w:right w:val="nil"/>
            </w:tcBorders>
            <w:shd w:val="clear" w:color="FFFFFF" w:fill="FFFFFF"/>
            <w:noWrap/>
            <w:vAlign w:val="bottom"/>
            <w:hideMark/>
          </w:tcPr>
          <w:p w14:paraId="3A46FC9E"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50560DD8" w14:textId="77777777" w:rsidR="00520333" w:rsidRPr="006D688A" w:rsidRDefault="00520333" w:rsidP="005E5E0C">
            <w:pPr>
              <w:spacing w:after="0"/>
              <w:rPr>
                <w:rFonts w:cs="Arial"/>
                <w:sz w:val="18"/>
                <w:szCs w:val="18"/>
              </w:rPr>
            </w:pPr>
            <w:r w:rsidRPr="006D688A">
              <w:rPr>
                <w:rFonts w:cs="Arial"/>
                <w:sz w:val="18"/>
                <w:szCs w:val="18"/>
              </w:rPr>
              <w:t> </w:t>
            </w:r>
          </w:p>
        </w:tc>
        <w:tc>
          <w:tcPr>
            <w:tcW w:w="1037" w:type="dxa"/>
            <w:tcBorders>
              <w:top w:val="nil"/>
              <w:left w:val="nil"/>
              <w:bottom w:val="nil"/>
              <w:right w:val="nil"/>
            </w:tcBorders>
            <w:shd w:val="clear" w:color="FFFFFF" w:fill="FFFFFF"/>
            <w:noWrap/>
            <w:vAlign w:val="bottom"/>
            <w:hideMark/>
          </w:tcPr>
          <w:p w14:paraId="105DE626"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7D52E8A3" w14:textId="77777777" w:rsidR="00520333" w:rsidRPr="006D688A" w:rsidRDefault="00520333" w:rsidP="005E5E0C">
            <w:pPr>
              <w:spacing w:after="0"/>
              <w:rPr>
                <w:rFonts w:cs="Arial"/>
                <w:sz w:val="18"/>
                <w:szCs w:val="18"/>
              </w:rPr>
            </w:pPr>
            <w:r w:rsidRPr="006D688A">
              <w:rPr>
                <w:rFonts w:cs="Arial"/>
                <w:sz w:val="18"/>
                <w:szCs w:val="18"/>
              </w:rPr>
              <w:t> </w:t>
            </w:r>
          </w:p>
        </w:tc>
      </w:tr>
      <w:tr w:rsidR="00520333" w:rsidRPr="006D688A" w14:paraId="7E8B90C9" w14:textId="77777777" w:rsidTr="005E5E0C">
        <w:trPr>
          <w:trHeight w:val="250"/>
        </w:trPr>
        <w:tc>
          <w:tcPr>
            <w:tcW w:w="4488" w:type="dxa"/>
            <w:tcBorders>
              <w:top w:val="nil"/>
              <w:left w:val="nil"/>
              <w:bottom w:val="nil"/>
              <w:right w:val="nil"/>
            </w:tcBorders>
            <w:shd w:val="clear" w:color="FFFFFF" w:fill="FFFFFF"/>
            <w:vAlign w:val="bottom"/>
            <w:hideMark/>
          </w:tcPr>
          <w:p w14:paraId="393AFBEF" w14:textId="77777777" w:rsidR="00520333" w:rsidRPr="006D688A" w:rsidRDefault="00520333" w:rsidP="005E5E0C">
            <w:pPr>
              <w:spacing w:after="0"/>
              <w:rPr>
                <w:rFonts w:cs="Arial"/>
                <w:b/>
                <w:bCs/>
                <w:sz w:val="18"/>
                <w:szCs w:val="18"/>
              </w:rPr>
            </w:pPr>
            <w:r w:rsidRPr="006D688A">
              <w:rPr>
                <w:rFonts w:cs="Arial"/>
                <w:b/>
                <w:bCs/>
                <w:sz w:val="18"/>
                <w:szCs w:val="18"/>
              </w:rPr>
              <w:t>INVESTING ACTIVITIES</w:t>
            </w:r>
          </w:p>
        </w:tc>
        <w:tc>
          <w:tcPr>
            <w:tcW w:w="723" w:type="dxa"/>
            <w:tcBorders>
              <w:top w:val="nil"/>
              <w:left w:val="nil"/>
              <w:bottom w:val="nil"/>
              <w:right w:val="nil"/>
            </w:tcBorders>
            <w:shd w:val="clear" w:color="FFFFFF" w:fill="FFFFFF"/>
            <w:noWrap/>
            <w:vAlign w:val="bottom"/>
            <w:hideMark/>
          </w:tcPr>
          <w:p w14:paraId="26DFBF4A"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67" w:type="dxa"/>
            <w:tcBorders>
              <w:top w:val="nil"/>
              <w:left w:val="nil"/>
              <w:bottom w:val="nil"/>
              <w:right w:val="nil"/>
            </w:tcBorders>
            <w:shd w:val="clear" w:color="FFFFFF" w:fill="FFFFFF"/>
            <w:noWrap/>
            <w:vAlign w:val="bottom"/>
            <w:hideMark/>
          </w:tcPr>
          <w:p w14:paraId="70BA4DF3"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364D5BD6"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nil"/>
              <w:left w:val="nil"/>
              <w:bottom w:val="nil"/>
              <w:right w:val="nil"/>
            </w:tcBorders>
            <w:shd w:val="clear" w:color="FFFFFF" w:fill="FFFFFF"/>
            <w:noWrap/>
            <w:vAlign w:val="bottom"/>
            <w:hideMark/>
          </w:tcPr>
          <w:p w14:paraId="50C9049F"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4AC32679" w14:textId="77777777" w:rsidR="00520333" w:rsidRPr="006D688A" w:rsidRDefault="00520333" w:rsidP="005E5E0C">
            <w:pPr>
              <w:spacing w:after="0"/>
              <w:rPr>
                <w:rFonts w:cs="Arial"/>
                <w:sz w:val="18"/>
                <w:szCs w:val="18"/>
              </w:rPr>
            </w:pPr>
            <w:r w:rsidRPr="006D688A">
              <w:rPr>
                <w:rFonts w:cs="Arial"/>
                <w:sz w:val="18"/>
                <w:szCs w:val="18"/>
              </w:rPr>
              <w:t> </w:t>
            </w:r>
          </w:p>
        </w:tc>
        <w:tc>
          <w:tcPr>
            <w:tcW w:w="1037" w:type="dxa"/>
            <w:tcBorders>
              <w:top w:val="nil"/>
              <w:left w:val="nil"/>
              <w:bottom w:val="nil"/>
              <w:right w:val="nil"/>
            </w:tcBorders>
            <w:shd w:val="clear" w:color="FFFFFF" w:fill="FFFFFF"/>
            <w:noWrap/>
            <w:vAlign w:val="bottom"/>
            <w:hideMark/>
          </w:tcPr>
          <w:p w14:paraId="3BA7BA36"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2C9F83AF" w14:textId="77777777" w:rsidR="00520333" w:rsidRPr="006D688A" w:rsidRDefault="00520333" w:rsidP="005E5E0C">
            <w:pPr>
              <w:spacing w:after="0"/>
              <w:rPr>
                <w:rFonts w:cs="Arial"/>
                <w:sz w:val="18"/>
                <w:szCs w:val="18"/>
              </w:rPr>
            </w:pPr>
            <w:r w:rsidRPr="006D688A">
              <w:rPr>
                <w:rFonts w:cs="Arial"/>
                <w:sz w:val="18"/>
                <w:szCs w:val="18"/>
              </w:rPr>
              <w:t> </w:t>
            </w:r>
          </w:p>
        </w:tc>
      </w:tr>
      <w:tr w:rsidR="00520333" w:rsidRPr="006D688A" w14:paraId="408B2736" w14:textId="77777777" w:rsidTr="005E5E0C">
        <w:trPr>
          <w:trHeight w:val="250"/>
        </w:trPr>
        <w:tc>
          <w:tcPr>
            <w:tcW w:w="4488" w:type="dxa"/>
            <w:tcBorders>
              <w:top w:val="nil"/>
              <w:left w:val="nil"/>
              <w:bottom w:val="nil"/>
              <w:right w:val="nil"/>
            </w:tcBorders>
            <w:shd w:val="clear" w:color="FFFFFF" w:fill="FFFFFF"/>
            <w:vAlign w:val="bottom"/>
            <w:hideMark/>
          </w:tcPr>
          <w:p w14:paraId="4B3E6269" w14:textId="77777777" w:rsidR="00520333" w:rsidRPr="006D688A" w:rsidRDefault="00520333" w:rsidP="005E5E0C">
            <w:pPr>
              <w:spacing w:after="0"/>
              <w:rPr>
                <w:rFonts w:cs="Arial"/>
                <w:b/>
                <w:bCs/>
                <w:sz w:val="18"/>
                <w:szCs w:val="18"/>
              </w:rPr>
            </w:pPr>
            <w:r w:rsidRPr="006D688A">
              <w:rPr>
                <w:rFonts w:cs="Arial"/>
                <w:b/>
                <w:bCs/>
                <w:sz w:val="18"/>
                <w:szCs w:val="18"/>
              </w:rPr>
              <w:t>Cash received</w:t>
            </w:r>
          </w:p>
        </w:tc>
        <w:tc>
          <w:tcPr>
            <w:tcW w:w="723" w:type="dxa"/>
            <w:tcBorders>
              <w:top w:val="nil"/>
              <w:left w:val="nil"/>
              <w:bottom w:val="nil"/>
              <w:right w:val="nil"/>
            </w:tcBorders>
            <w:shd w:val="clear" w:color="FFFFFF" w:fill="FFFFFF"/>
            <w:noWrap/>
            <w:vAlign w:val="bottom"/>
            <w:hideMark/>
          </w:tcPr>
          <w:p w14:paraId="3352257F"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67" w:type="dxa"/>
            <w:tcBorders>
              <w:top w:val="nil"/>
              <w:left w:val="nil"/>
              <w:bottom w:val="nil"/>
              <w:right w:val="nil"/>
            </w:tcBorders>
            <w:shd w:val="clear" w:color="FFFFFF" w:fill="FFFFFF"/>
            <w:noWrap/>
            <w:vAlign w:val="bottom"/>
            <w:hideMark/>
          </w:tcPr>
          <w:p w14:paraId="71753A52"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394B5D0B"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nil"/>
              <w:left w:val="nil"/>
              <w:bottom w:val="nil"/>
              <w:right w:val="nil"/>
            </w:tcBorders>
            <w:shd w:val="clear" w:color="FFFFFF" w:fill="FFFFFF"/>
            <w:noWrap/>
            <w:vAlign w:val="bottom"/>
            <w:hideMark/>
          </w:tcPr>
          <w:p w14:paraId="1B3D2F36"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1548F7A5" w14:textId="77777777" w:rsidR="00520333" w:rsidRPr="006D688A" w:rsidRDefault="00520333" w:rsidP="005E5E0C">
            <w:pPr>
              <w:spacing w:after="0"/>
              <w:rPr>
                <w:rFonts w:cs="Arial"/>
                <w:sz w:val="18"/>
                <w:szCs w:val="18"/>
              </w:rPr>
            </w:pPr>
            <w:r w:rsidRPr="006D688A">
              <w:rPr>
                <w:rFonts w:cs="Arial"/>
                <w:sz w:val="18"/>
                <w:szCs w:val="18"/>
              </w:rPr>
              <w:t> </w:t>
            </w:r>
          </w:p>
        </w:tc>
        <w:tc>
          <w:tcPr>
            <w:tcW w:w="1037" w:type="dxa"/>
            <w:tcBorders>
              <w:top w:val="nil"/>
              <w:left w:val="nil"/>
              <w:bottom w:val="nil"/>
              <w:right w:val="nil"/>
            </w:tcBorders>
            <w:shd w:val="clear" w:color="FFFFFF" w:fill="FFFFFF"/>
            <w:noWrap/>
            <w:vAlign w:val="bottom"/>
            <w:hideMark/>
          </w:tcPr>
          <w:p w14:paraId="2B51444B"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67B5B26E" w14:textId="77777777" w:rsidR="00520333" w:rsidRPr="006D688A" w:rsidRDefault="00520333" w:rsidP="005E5E0C">
            <w:pPr>
              <w:spacing w:after="0"/>
              <w:rPr>
                <w:rFonts w:cs="Arial"/>
                <w:sz w:val="18"/>
                <w:szCs w:val="18"/>
              </w:rPr>
            </w:pPr>
            <w:r w:rsidRPr="006D688A">
              <w:rPr>
                <w:rFonts w:cs="Arial"/>
                <w:sz w:val="18"/>
                <w:szCs w:val="18"/>
              </w:rPr>
              <w:t> </w:t>
            </w:r>
          </w:p>
        </w:tc>
      </w:tr>
      <w:tr w:rsidR="00520333" w:rsidRPr="006D688A" w14:paraId="640C15EA" w14:textId="77777777" w:rsidTr="005E5E0C">
        <w:trPr>
          <w:trHeight w:val="460"/>
        </w:trPr>
        <w:tc>
          <w:tcPr>
            <w:tcW w:w="4488" w:type="dxa"/>
            <w:tcBorders>
              <w:top w:val="nil"/>
              <w:left w:val="nil"/>
              <w:bottom w:val="nil"/>
              <w:right w:val="nil"/>
            </w:tcBorders>
            <w:shd w:val="clear" w:color="FFFFFF" w:fill="FFFFFF"/>
            <w:vAlign w:val="bottom"/>
            <w:hideMark/>
          </w:tcPr>
          <w:p w14:paraId="356C291F" w14:textId="77777777" w:rsidR="00520333" w:rsidRPr="006D688A" w:rsidRDefault="00520333" w:rsidP="005E5E0C">
            <w:pPr>
              <w:spacing w:after="0"/>
              <w:ind w:firstLineChars="100" w:firstLine="180"/>
              <w:rPr>
                <w:rFonts w:cs="Arial"/>
                <w:sz w:val="18"/>
                <w:szCs w:val="18"/>
              </w:rPr>
            </w:pPr>
            <w:r w:rsidRPr="006D688A">
              <w:rPr>
                <w:rFonts w:cs="Arial"/>
                <w:sz w:val="18"/>
                <w:szCs w:val="18"/>
              </w:rPr>
              <w:t xml:space="preserve">Proceeds from sales of property, plant and </w:t>
            </w:r>
            <w:r w:rsidRPr="006D688A">
              <w:rPr>
                <w:rFonts w:cs="Arial"/>
                <w:sz w:val="18"/>
                <w:szCs w:val="18"/>
              </w:rPr>
              <w:br/>
              <w:t xml:space="preserve">    equipment</w:t>
            </w:r>
          </w:p>
        </w:tc>
        <w:tc>
          <w:tcPr>
            <w:tcW w:w="723" w:type="dxa"/>
            <w:tcBorders>
              <w:top w:val="nil"/>
              <w:left w:val="nil"/>
              <w:bottom w:val="nil"/>
              <w:right w:val="nil"/>
            </w:tcBorders>
            <w:shd w:val="clear" w:color="FFFFFF" w:fill="FFFFFF"/>
            <w:noWrap/>
            <w:vAlign w:val="bottom"/>
            <w:hideMark/>
          </w:tcPr>
          <w:p w14:paraId="11725053"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67" w:type="dxa"/>
            <w:tcBorders>
              <w:top w:val="nil"/>
              <w:left w:val="nil"/>
              <w:bottom w:val="nil"/>
              <w:right w:val="nil"/>
            </w:tcBorders>
            <w:shd w:val="clear" w:color="FFFFFF" w:fill="FFFFFF"/>
            <w:noWrap/>
            <w:vAlign w:val="bottom"/>
            <w:hideMark/>
          </w:tcPr>
          <w:p w14:paraId="69802D42" w14:textId="77777777" w:rsidR="00520333" w:rsidRPr="006D688A" w:rsidRDefault="00520333" w:rsidP="005E5E0C">
            <w:pPr>
              <w:spacing w:after="0"/>
              <w:jc w:val="right"/>
              <w:rPr>
                <w:rFonts w:cs="Arial"/>
                <w:b/>
                <w:bCs/>
                <w:sz w:val="18"/>
                <w:szCs w:val="18"/>
              </w:rPr>
            </w:pPr>
            <w:r w:rsidRPr="006D688A">
              <w:rPr>
                <w:rFonts w:cs="Arial"/>
                <w:b/>
                <w:bCs/>
                <w:sz w:val="18"/>
                <w:szCs w:val="18"/>
              </w:rPr>
              <w:t>6</w:t>
            </w:r>
          </w:p>
        </w:tc>
        <w:tc>
          <w:tcPr>
            <w:tcW w:w="236" w:type="dxa"/>
            <w:tcBorders>
              <w:top w:val="nil"/>
              <w:left w:val="nil"/>
              <w:bottom w:val="nil"/>
              <w:right w:val="nil"/>
            </w:tcBorders>
            <w:shd w:val="clear" w:color="FFFFFF" w:fill="FFFFFF"/>
            <w:noWrap/>
            <w:vAlign w:val="bottom"/>
            <w:hideMark/>
          </w:tcPr>
          <w:p w14:paraId="75552426"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nil"/>
              <w:left w:val="nil"/>
              <w:bottom w:val="nil"/>
              <w:right w:val="nil"/>
            </w:tcBorders>
            <w:shd w:val="clear" w:color="FFFFFF" w:fill="FFFFFF"/>
            <w:noWrap/>
            <w:vAlign w:val="bottom"/>
            <w:hideMark/>
          </w:tcPr>
          <w:p w14:paraId="5E58CA93" w14:textId="77777777" w:rsidR="00520333" w:rsidRPr="006D688A" w:rsidRDefault="00520333" w:rsidP="005E5E0C">
            <w:pPr>
              <w:spacing w:after="0"/>
              <w:jc w:val="right"/>
              <w:rPr>
                <w:rFonts w:cs="Arial"/>
                <w:sz w:val="18"/>
                <w:szCs w:val="18"/>
              </w:rPr>
            </w:pPr>
            <w:r w:rsidRPr="006D688A">
              <w:rPr>
                <w:rFonts w:cs="Arial"/>
                <w:sz w:val="18"/>
                <w:szCs w:val="18"/>
              </w:rPr>
              <w:t>1,202</w:t>
            </w:r>
          </w:p>
        </w:tc>
        <w:tc>
          <w:tcPr>
            <w:tcW w:w="236" w:type="dxa"/>
            <w:tcBorders>
              <w:top w:val="nil"/>
              <w:left w:val="nil"/>
              <w:bottom w:val="nil"/>
              <w:right w:val="nil"/>
            </w:tcBorders>
            <w:shd w:val="clear" w:color="FFFFFF" w:fill="FFFFFF"/>
            <w:noWrap/>
            <w:vAlign w:val="bottom"/>
            <w:hideMark/>
          </w:tcPr>
          <w:p w14:paraId="0F606483" w14:textId="77777777" w:rsidR="00520333" w:rsidRPr="006D688A" w:rsidRDefault="00520333" w:rsidP="005E5E0C">
            <w:pPr>
              <w:spacing w:after="0"/>
              <w:rPr>
                <w:rFonts w:cs="Arial"/>
                <w:sz w:val="18"/>
                <w:szCs w:val="18"/>
              </w:rPr>
            </w:pPr>
            <w:r w:rsidRPr="006D688A">
              <w:rPr>
                <w:rFonts w:cs="Arial"/>
                <w:sz w:val="18"/>
                <w:szCs w:val="18"/>
              </w:rPr>
              <w:t> </w:t>
            </w:r>
          </w:p>
        </w:tc>
        <w:tc>
          <w:tcPr>
            <w:tcW w:w="1037" w:type="dxa"/>
            <w:tcBorders>
              <w:top w:val="nil"/>
              <w:left w:val="nil"/>
              <w:bottom w:val="nil"/>
              <w:right w:val="nil"/>
            </w:tcBorders>
            <w:shd w:val="clear" w:color="FFFFFF" w:fill="FFFFFF"/>
            <w:noWrap/>
            <w:vAlign w:val="bottom"/>
            <w:hideMark/>
          </w:tcPr>
          <w:p w14:paraId="7FFCB9C5" w14:textId="77777777" w:rsidR="00520333" w:rsidRPr="006D688A" w:rsidRDefault="00520333" w:rsidP="005E5E0C">
            <w:pPr>
              <w:spacing w:after="0"/>
              <w:jc w:val="right"/>
              <w:rPr>
                <w:rFonts w:cs="Arial"/>
                <w:sz w:val="18"/>
                <w:szCs w:val="18"/>
              </w:rPr>
            </w:pPr>
            <w:r w:rsidRPr="006D688A">
              <w:rPr>
                <w:rFonts w:cs="Arial"/>
                <w:sz w:val="18"/>
                <w:szCs w:val="18"/>
              </w:rPr>
              <w:t xml:space="preserve"> -</w:t>
            </w:r>
          </w:p>
        </w:tc>
        <w:tc>
          <w:tcPr>
            <w:tcW w:w="236" w:type="dxa"/>
            <w:tcBorders>
              <w:top w:val="nil"/>
              <w:left w:val="nil"/>
              <w:bottom w:val="nil"/>
              <w:right w:val="nil"/>
            </w:tcBorders>
            <w:shd w:val="clear" w:color="FFFFFF" w:fill="FFFFFF"/>
            <w:noWrap/>
            <w:vAlign w:val="bottom"/>
            <w:hideMark/>
          </w:tcPr>
          <w:p w14:paraId="1D6FC603" w14:textId="77777777" w:rsidR="00520333" w:rsidRPr="006D688A" w:rsidRDefault="00520333" w:rsidP="005E5E0C">
            <w:pPr>
              <w:spacing w:after="0"/>
              <w:rPr>
                <w:rFonts w:cs="Arial"/>
                <w:sz w:val="18"/>
                <w:szCs w:val="18"/>
              </w:rPr>
            </w:pPr>
            <w:r w:rsidRPr="006D688A">
              <w:rPr>
                <w:rFonts w:cs="Arial"/>
                <w:sz w:val="18"/>
                <w:szCs w:val="18"/>
              </w:rPr>
              <w:t> </w:t>
            </w:r>
          </w:p>
        </w:tc>
      </w:tr>
      <w:tr w:rsidR="00520333" w:rsidRPr="006D688A" w14:paraId="51A9D809" w14:textId="77777777" w:rsidTr="005E5E0C">
        <w:trPr>
          <w:trHeight w:val="250"/>
        </w:trPr>
        <w:tc>
          <w:tcPr>
            <w:tcW w:w="4488" w:type="dxa"/>
            <w:tcBorders>
              <w:top w:val="nil"/>
              <w:left w:val="nil"/>
              <w:bottom w:val="nil"/>
              <w:right w:val="nil"/>
            </w:tcBorders>
            <w:shd w:val="clear" w:color="FFFFFF" w:fill="FFFFFF"/>
            <w:vAlign w:val="bottom"/>
            <w:hideMark/>
          </w:tcPr>
          <w:p w14:paraId="3EB18E05" w14:textId="77777777" w:rsidR="00520333" w:rsidRPr="006D688A" w:rsidRDefault="00520333" w:rsidP="005E5E0C">
            <w:pPr>
              <w:spacing w:after="0"/>
              <w:ind w:firstLineChars="100" w:firstLine="180"/>
              <w:rPr>
                <w:rFonts w:cs="Arial"/>
                <w:sz w:val="18"/>
                <w:szCs w:val="18"/>
              </w:rPr>
            </w:pPr>
            <w:r w:rsidRPr="006D688A">
              <w:rPr>
                <w:rFonts w:cs="Arial"/>
                <w:sz w:val="18"/>
                <w:szCs w:val="18"/>
              </w:rPr>
              <w:t>Proceeds from sales of financial instruments</w:t>
            </w:r>
          </w:p>
        </w:tc>
        <w:tc>
          <w:tcPr>
            <w:tcW w:w="723" w:type="dxa"/>
            <w:tcBorders>
              <w:top w:val="nil"/>
              <w:left w:val="nil"/>
              <w:bottom w:val="nil"/>
              <w:right w:val="nil"/>
            </w:tcBorders>
            <w:shd w:val="clear" w:color="FFFFFF" w:fill="FFFFFF"/>
            <w:noWrap/>
            <w:vAlign w:val="bottom"/>
            <w:hideMark/>
          </w:tcPr>
          <w:p w14:paraId="3CA231C1"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67" w:type="dxa"/>
            <w:tcBorders>
              <w:top w:val="nil"/>
              <w:left w:val="nil"/>
              <w:bottom w:val="nil"/>
              <w:right w:val="nil"/>
            </w:tcBorders>
            <w:shd w:val="clear" w:color="FFFFFF" w:fill="FFFFFF"/>
            <w:noWrap/>
            <w:vAlign w:val="bottom"/>
            <w:hideMark/>
          </w:tcPr>
          <w:p w14:paraId="355B8E15" w14:textId="77777777" w:rsidR="00520333" w:rsidRPr="006D688A" w:rsidRDefault="00520333" w:rsidP="005E5E0C">
            <w:pPr>
              <w:spacing w:after="0"/>
              <w:jc w:val="right"/>
              <w:rPr>
                <w:rFonts w:cs="Arial"/>
                <w:b/>
                <w:bCs/>
                <w:sz w:val="18"/>
                <w:szCs w:val="18"/>
              </w:rPr>
            </w:pPr>
            <w:r w:rsidRPr="006D688A">
              <w:rPr>
                <w:rFonts w:cs="Arial"/>
                <w:b/>
                <w:bCs/>
                <w:sz w:val="18"/>
                <w:szCs w:val="18"/>
              </w:rPr>
              <w:t>1,500,000</w:t>
            </w:r>
          </w:p>
        </w:tc>
        <w:tc>
          <w:tcPr>
            <w:tcW w:w="236" w:type="dxa"/>
            <w:tcBorders>
              <w:top w:val="nil"/>
              <w:left w:val="nil"/>
              <w:bottom w:val="nil"/>
              <w:right w:val="nil"/>
            </w:tcBorders>
            <w:shd w:val="clear" w:color="FFFFFF" w:fill="FFFFFF"/>
            <w:noWrap/>
            <w:vAlign w:val="bottom"/>
            <w:hideMark/>
          </w:tcPr>
          <w:p w14:paraId="146694B9"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nil"/>
              <w:left w:val="nil"/>
              <w:bottom w:val="nil"/>
              <w:right w:val="nil"/>
            </w:tcBorders>
            <w:shd w:val="clear" w:color="FFFFFF" w:fill="FFFFFF"/>
            <w:noWrap/>
            <w:vAlign w:val="bottom"/>
            <w:hideMark/>
          </w:tcPr>
          <w:p w14:paraId="3E642F8F" w14:textId="77777777" w:rsidR="00520333" w:rsidRPr="006D688A" w:rsidRDefault="00520333" w:rsidP="005E5E0C">
            <w:pPr>
              <w:spacing w:after="0"/>
              <w:jc w:val="right"/>
              <w:rPr>
                <w:rFonts w:cs="Arial"/>
                <w:sz w:val="18"/>
                <w:szCs w:val="18"/>
              </w:rPr>
            </w:pPr>
            <w:r w:rsidRPr="006D688A">
              <w:rPr>
                <w:rFonts w:cs="Arial"/>
                <w:sz w:val="18"/>
                <w:szCs w:val="18"/>
              </w:rPr>
              <w:t>7,985,000</w:t>
            </w:r>
          </w:p>
        </w:tc>
        <w:tc>
          <w:tcPr>
            <w:tcW w:w="236" w:type="dxa"/>
            <w:tcBorders>
              <w:top w:val="nil"/>
              <w:left w:val="nil"/>
              <w:bottom w:val="nil"/>
              <w:right w:val="nil"/>
            </w:tcBorders>
            <w:shd w:val="clear" w:color="FFFFFF" w:fill="FFFFFF"/>
            <w:noWrap/>
            <w:vAlign w:val="bottom"/>
            <w:hideMark/>
          </w:tcPr>
          <w:p w14:paraId="24815D30" w14:textId="77777777" w:rsidR="00520333" w:rsidRPr="006D688A" w:rsidRDefault="00520333" w:rsidP="005E5E0C">
            <w:pPr>
              <w:spacing w:after="0"/>
              <w:rPr>
                <w:rFonts w:cs="Arial"/>
                <w:sz w:val="18"/>
                <w:szCs w:val="18"/>
              </w:rPr>
            </w:pPr>
            <w:r w:rsidRPr="006D688A">
              <w:rPr>
                <w:rFonts w:cs="Arial"/>
                <w:sz w:val="18"/>
                <w:szCs w:val="18"/>
              </w:rPr>
              <w:t> </w:t>
            </w:r>
          </w:p>
        </w:tc>
        <w:tc>
          <w:tcPr>
            <w:tcW w:w="1037" w:type="dxa"/>
            <w:tcBorders>
              <w:top w:val="nil"/>
              <w:left w:val="nil"/>
              <w:bottom w:val="nil"/>
              <w:right w:val="nil"/>
            </w:tcBorders>
            <w:shd w:val="clear" w:color="FFFFFF" w:fill="FFFFFF"/>
            <w:noWrap/>
            <w:vAlign w:val="bottom"/>
            <w:hideMark/>
          </w:tcPr>
          <w:p w14:paraId="11E0C4EB" w14:textId="77777777" w:rsidR="00520333" w:rsidRPr="006D688A" w:rsidRDefault="00520333" w:rsidP="005E5E0C">
            <w:pPr>
              <w:spacing w:after="0"/>
              <w:jc w:val="right"/>
              <w:rPr>
                <w:rFonts w:cs="Arial"/>
                <w:sz w:val="18"/>
                <w:szCs w:val="18"/>
              </w:rPr>
            </w:pPr>
            <w:r w:rsidRPr="006D688A">
              <w:rPr>
                <w:rFonts w:cs="Arial"/>
                <w:sz w:val="18"/>
                <w:szCs w:val="18"/>
              </w:rPr>
              <w:t xml:space="preserve"> -</w:t>
            </w:r>
          </w:p>
        </w:tc>
        <w:tc>
          <w:tcPr>
            <w:tcW w:w="236" w:type="dxa"/>
            <w:tcBorders>
              <w:top w:val="nil"/>
              <w:left w:val="nil"/>
              <w:bottom w:val="nil"/>
              <w:right w:val="nil"/>
            </w:tcBorders>
            <w:shd w:val="clear" w:color="FFFFFF" w:fill="FFFFFF"/>
            <w:noWrap/>
            <w:vAlign w:val="bottom"/>
            <w:hideMark/>
          </w:tcPr>
          <w:p w14:paraId="76EF33F9" w14:textId="77777777" w:rsidR="00520333" w:rsidRPr="006D688A" w:rsidRDefault="00520333" w:rsidP="005E5E0C">
            <w:pPr>
              <w:spacing w:after="0"/>
              <w:rPr>
                <w:rFonts w:cs="Arial"/>
                <w:sz w:val="18"/>
                <w:szCs w:val="18"/>
              </w:rPr>
            </w:pPr>
            <w:r w:rsidRPr="006D688A">
              <w:rPr>
                <w:rFonts w:cs="Arial"/>
                <w:sz w:val="18"/>
                <w:szCs w:val="18"/>
              </w:rPr>
              <w:t> </w:t>
            </w:r>
          </w:p>
        </w:tc>
      </w:tr>
      <w:tr w:rsidR="00520333" w:rsidRPr="006D688A" w14:paraId="339078E2" w14:textId="77777777" w:rsidTr="005E5E0C">
        <w:trPr>
          <w:trHeight w:val="250"/>
        </w:trPr>
        <w:tc>
          <w:tcPr>
            <w:tcW w:w="4488" w:type="dxa"/>
            <w:tcBorders>
              <w:top w:val="nil"/>
              <w:left w:val="nil"/>
              <w:bottom w:val="nil"/>
              <w:right w:val="nil"/>
            </w:tcBorders>
            <w:shd w:val="clear" w:color="FFFFFF" w:fill="FFFFFF"/>
            <w:vAlign w:val="bottom"/>
            <w:hideMark/>
          </w:tcPr>
          <w:p w14:paraId="7BD19F6B" w14:textId="77777777" w:rsidR="00520333" w:rsidRPr="006D688A" w:rsidRDefault="00520333" w:rsidP="005E5E0C">
            <w:pPr>
              <w:spacing w:after="0"/>
              <w:rPr>
                <w:rFonts w:cs="Arial"/>
                <w:b/>
                <w:bCs/>
                <w:sz w:val="18"/>
                <w:szCs w:val="18"/>
              </w:rPr>
            </w:pPr>
            <w:r w:rsidRPr="006D688A">
              <w:rPr>
                <w:rFonts w:cs="Arial"/>
                <w:b/>
                <w:bCs/>
                <w:sz w:val="18"/>
                <w:szCs w:val="18"/>
              </w:rPr>
              <w:t>Total cash received</w:t>
            </w:r>
          </w:p>
        </w:tc>
        <w:tc>
          <w:tcPr>
            <w:tcW w:w="723" w:type="dxa"/>
            <w:tcBorders>
              <w:top w:val="nil"/>
              <w:left w:val="nil"/>
              <w:bottom w:val="nil"/>
              <w:right w:val="nil"/>
            </w:tcBorders>
            <w:shd w:val="clear" w:color="FFFFFF" w:fill="FFFFFF"/>
            <w:noWrap/>
            <w:vAlign w:val="bottom"/>
            <w:hideMark/>
          </w:tcPr>
          <w:p w14:paraId="33DDB705"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67" w:type="dxa"/>
            <w:tcBorders>
              <w:top w:val="single" w:sz="4" w:space="0" w:color="auto"/>
              <w:left w:val="nil"/>
              <w:bottom w:val="single" w:sz="4" w:space="0" w:color="auto"/>
              <w:right w:val="nil"/>
            </w:tcBorders>
            <w:shd w:val="clear" w:color="FFFFFF" w:fill="FFFFFF"/>
            <w:noWrap/>
            <w:vAlign w:val="bottom"/>
            <w:hideMark/>
          </w:tcPr>
          <w:p w14:paraId="5BC30B10" w14:textId="77777777" w:rsidR="00520333" w:rsidRPr="006D688A" w:rsidRDefault="00520333" w:rsidP="005E5E0C">
            <w:pPr>
              <w:spacing w:after="0"/>
              <w:jc w:val="right"/>
              <w:rPr>
                <w:rFonts w:cs="Arial"/>
                <w:b/>
                <w:bCs/>
                <w:sz w:val="18"/>
                <w:szCs w:val="18"/>
              </w:rPr>
            </w:pPr>
            <w:r w:rsidRPr="006D688A">
              <w:rPr>
                <w:rFonts w:cs="Arial"/>
                <w:b/>
                <w:bCs/>
                <w:sz w:val="18"/>
                <w:szCs w:val="18"/>
              </w:rPr>
              <w:t>1,500,006</w:t>
            </w:r>
          </w:p>
        </w:tc>
        <w:tc>
          <w:tcPr>
            <w:tcW w:w="236" w:type="dxa"/>
            <w:tcBorders>
              <w:top w:val="nil"/>
              <w:left w:val="nil"/>
              <w:bottom w:val="nil"/>
              <w:right w:val="nil"/>
            </w:tcBorders>
            <w:shd w:val="clear" w:color="FFFFFF" w:fill="FFFFFF"/>
            <w:noWrap/>
            <w:vAlign w:val="bottom"/>
            <w:hideMark/>
          </w:tcPr>
          <w:p w14:paraId="648C5341"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single" w:sz="4" w:space="0" w:color="auto"/>
              <w:left w:val="nil"/>
              <w:bottom w:val="single" w:sz="4" w:space="0" w:color="auto"/>
              <w:right w:val="nil"/>
            </w:tcBorders>
            <w:shd w:val="clear" w:color="FFFFFF" w:fill="FFFFFF"/>
            <w:noWrap/>
            <w:vAlign w:val="bottom"/>
            <w:hideMark/>
          </w:tcPr>
          <w:p w14:paraId="7662DAC6" w14:textId="77777777" w:rsidR="00520333" w:rsidRPr="006D688A" w:rsidRDefault="00520333" w:rsidP="005E5E0C">
            <w:pPr>
              <w:spacing w:after="0"/>
              <w:jc w:val="right"/>
              <w:rPr>
                <w:rFonts w:cs="Arial"/>
                <w:sz w:val="18"/>
                <w:szCs w:val="18"/>
              </w:rPr>
            </w:pPr>
            <w:r w:rsidRPr="006D688A">
              <w:rPr>
                <w:rFonts w:cs="Arial"/>
                <w:sz w:val="18"/>
                <w:szCs w:val="18"/>
              </w:rPr>
              <w:t>7,986,202</w:t>
            </w:r>
          </w:p>
        </w:tc>
        <w:tc>
          <w:tcPr>
            <w:tcW w:w="236" w:type="dxa"/>
            <w:tcBorders>
              <w:top w:val="nil"/>
              <w:left w:val="nil"/>
              <w:bottom w:val="nil"/>
              <w:right w:val="nil"/>
            </w:tcBorders>
            <w:shd w:val="clear" w:color="FFFFFF" w:fill="FFFFFF"/>
            <w:noWrap/>
            <w:vAlign w:val="bottom"/>
            <w:hideMark/>
          </w:tcPr>
          <w:p w14:paraId="496FC8ED" w14:textId="77777777" w:rsidR="00520333" w:rsidRPr="006D688A" w:rsidRDefault="00520333" w:rsidP="005E5E0C">
            <w:pPr>
              <w:spacing w:after="0"/>
              <w:rPr>
                <w:rFonts w:cs="Arial"/>
                <w:sz w:val="18"/>
                <w:szCs w:val="18"/>
              </w:rPr>
            </w:pPr>
            <w:r w:rsidRPr="006D688A">
              <w:rPr>
                <w:rFonts w:cs="Arial"/>
                <w:sz w:val="18"/>
                <w:szCs w:val="18"/>
              </w:rPr>
              <w:t> </w:t>
            </w:r>
          </w:p>
        </w:tc>
        <w:tc>
          <w:tcPr>
            <w:tcW w:w="1037" w:type="dxa"/>
            <w:tcBorders>
              <w:top w:val="single" w:sz="4" w:space="0" w:color="auto"/>
              <w:left w:val="nil"/>
              <w:bottom w:val="single" w:sz="4" w:space="0" w:color="auto"/>
              <w:right w:val="nil"/>
            </w:tcBorders>
            <w:shd w:val="clear" w:color="FFFFFF" w:fill="FFFFFF"/>
            <w:noWrap/>
            <w:vAlign w:val="bottom"/>
            <w:hideMark/>
          </w:tcPr>
          <w:p w14:paraId="607C149F" w14:textId="77777777" w:rsidR="00520333" w:rsidRPr="006D688A" w:rsidRDefault="00520333" w:rsidP="005E5E0C">
            <w:pPr>
              <w:spacing w:after="0"/>
              <w:jc w:val="right"/>
              <w:rPr>
                <w:rFonts w:cs="Arial"/>
                <w:sz w:val="18"/>
                <w:szCs w:val="18"/>
              </w:rPr>
            </w:pPr>
            <w:r w:rsidRPr="006D688A">
              <w:rPr>
                <w:rFonts w:cs="Arial"/>
                <w:sz w:val="18"/>
                <w:szCs w:val="18"/>
              </w:rPr>
              <w:t>-</w:t>
            </w:r>
          </w:p>
        </w:tc>
        <w:tc>
          <w:tcPr>
            <w:tcW w:w="236" w:type="dxa"/>
            <w:tcBorders>
              <w:top w:val="nil"/>
              <w:left w:val="nil"/>
              <w:bottom w:val="nil"/>
              <w:right w:val="nil"/>
            </w:tcBorders>
            <w:shd w:val="clear" w:color="FFFFFF" w:fill="FFFFFF"/>
            <w:noWrap/>
            <w:vAlign w:val="bottom"/>
            <w:hideMark/>
          </w:tcPr>
          <w:p w14:paraId="13300084" w14:textId="77777777" w:rsidR="00520333" w:rsidRPr="006D688A" w:rsidRDefault="00520333" w:rsidP="005E5E0C">
            <w:pPr>
              <w:spacing w:after="0"/>
              <w:rPr>
                <w:rFonts w:cs="Arial"/>
                <w:sz w:val="18"/>
                <w:szCs w:val="18"/>
              </w:rPr>
            </w:pPr>
            <w:r w:rsidRPr="006D688A">
              <w:rPr>
                <w:rFonts w:cs="Arial"/>
                <w:sz w:val="18"/>
                <w:szCs w:val="18"/>
              </w:rPr>
              <w:t> </w:t>
            </w:r>
          </w:p>
        </w:tc>
      </w:tr>
      <w:tr w:rsidR="00520333" w:rsidRPr="006D688A" w14:paraId="3FFCC139" w14:textId="77777777" w:rsidTr="005E5E0C">
        <w:trPr>
          <w:trHeight w:val="250"/>
        </w:trPr>
        <w:tc>
          <w:tcPr>
            <w:tcW w:w="4488" w:type="dxa"/>
            <w:tcBorders>
              <w:top w:val="nil"/>
              <w:left w:val="nil"/>
              <w:bottom w:val="nil"/>
              <w:right w:val="nil"/>
            </w:tcBorders>
            <w:shd w:val="clear" w:color="FFFFFF" w:fill="FFFFFF"/>
            <w:vAlign w:val="bottom"/>
            <w:hideMark/>
          </w:tcPr>
          <w:p w14:paraId="487A4108" w14:textId="77777777" w:rsidR="00520333" w:rsidRPr="006D688A" w:rsidRDefault="00520333" w:rsidP="005E5E0C">
            <w:pPr>
              <w:spacing w:after="0"/>
              <w:rPr>
                <w:rFonts w:cs="Arial"/>
                <w:b/>
                <w:bCs/>
                <w:sz w:val="18"/>
                <w:szCs w:val="18"/>
              </w:rPr>
            </w:pPr>
            <w:r w:rsidRPr="006D688A">
              <w:rPr>
                <w:rFonts w:cs="Arial"/>
                <w:b/>
                <w:bCs/>
                <w:sz w:val="18"/>
                <w:szCs w:val="18"/>
              </w:rPr>
              <w:t> </w:t>
            </w:r>
          </w:p>
        </w:tc>
        <w:tc>
          <w:tcPr>
            <w:tcW w:w="723" w:type="dxa"/>
            <w:tcBorders>
              <w:top w:val="nil"/>
              <w:left w:val="nil"/>
              <w:bottom w:val="nil"/>
              <w:right w:val="nil"/>
            </w:tcBorders>
            <w:shd w:val="clear" w:color="FFFFFF" w:fill="FFFFFF"/>
            <w:noWrap/>
            <w:vAlign w:val="bottom"/>
            <w:hideMark/>
          </w:tcPr>
          <w:p w14:paraId="151D9BF6"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67" w:type="dxa"/>
            <w:tcBorders>
              <w:top w:val="nil"/>
              <w:left w:val="nil"/>
              <w:bottom w:val="nil"/>
              <w:right w:val="nil"/>
            </w:tcBorders>
            <w:shd w:val="clear" w:color="FFFFFF" w:fill="FFFFFF"/>
            <w:noWrap/>
            <w:vAlign w:val="bottom"/>
            <w:hideMark/>
          </w:tcPr>
          <w:p w14:paraId="2BF4EDDB" w14:textId="77777777" w:rsidR="00520333" w:rsidRPr="006D688A" w:rsidRDefault="00520333" w:rsidP="005E5E0C">
            <w:pPr>
              <w:spacing w:after="0"/>
              <w:jc w:val="right"/>
              <w:rPr>
                <w:rFonts w:cs="Arial"/>
                <w:b/>
                <w:bCs/>
                <w:sz w:val="18"/>
                <w:szCs w:val="18"/>
              </w:rPr>
            </w:pPr>
            <w:r w:rsidRPr="006D688A">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6E55BAF4"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nil"/>
              <w:left w:val="nil"/>
              <w:bottom w:val="nil"/>
              <w:right w:val="nil"/>
            </w:tcBorders>
            <w:shd w:val="clear" w:color="FFFFFF" w:fill="FFFFFF"/>
            <w:noWrap/>
            <w:vAlign w:val="bottom"/>
            <w:hideMark/>
          </w:tcPr>
          <w:p w14:paraId="69F21F05" w14:textId="77777777" w:rsidR="00520333" w:rsidRPr="006D688A" w:rsidRDefault="00520333" w:rsidP="005E5E0C">
            <w:pPr>
              <w:spacing w:after="0"/>
              <w:jc w:val="right"/>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089CF0BD" w14:textId="77777777" w:rsidR="00520333" w:rsidRPr="006D688A" w:rsidRDefault="00520333" w:rsidP="005E5E0C">
            <w:pPr>
              <w:spacing w:after="0"/>
              <w:rPr>
                <w:rFonts w:cs="Arial"/>
                <w:sz w:val="18"/>
                <w:szCs w:val="18"/>
              </w:rPr>
            </w:pPr>
            <w:r w:rsidRPr="006D688A">
              <w:rPr>
                <w:rFonts w:cs="Arial"/>
                <w:sz w:val="18"/>
                <w:szCs w:val="18"/>
              </w:rPr>
              <w:t> </w:t>
            </w:r>
          </w:p>
        </w:tc>
        <w:tc>
          <w:tcPr>
            <w:tcW w:w="1037" w:type="dxa"/>
            <w:tcBorders>
              <w:top w:val="nil"/>
              <w:left w:val="nil"/>
              <w:bottom w:val="nil"/>
              <w:right w:val="nil"/>
            </w:tcBorders>
            <w:shd w:val="clear" w:color="FFFFFF" w:fill="FFFFFF"/>
            <w:noWrap/>
            <w:vAlign w:val="bottom"/>
            <w:hideMark/>
          </w:tcPr>
          <w:p w14:paraId="07CC480C" w14:textId="77777777" w:rsidR="00520333" w:rsidRPr="006D688A" w:rsidRDefault="00520333" w:rsidP="005E5E0C">
            <w:pPr>
              <w:spacing w:after="0"/>
              <w:jc w:val="right"/>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42F4AF7A" w14:textId="77777777" w:rsidR="00520333" w:rsidRPr="006D688A" w:rsidRDefault="00520333" w:rsidP="005E5E0C">
            <w:pPr>
              <w:spacing w:after="0"/>
              <w:rPr>
                <w:rFonts w:cs="Arial"/>
                <w:sz w:val="18"/>
                <w:szCs w:val="18"/>
              </w:rPr>
            </w:pPr>
            <w:r w:rsidRPr="006D688A">
              <w:rPr>
                <w:rFonts w:cs="Arial"/>
                <w:sz w:val="18"/>
                <w:szCs w:val="18"/>
              </w:rPr>
              <w:t> </w:t>
            </w:r>
          </w:p>
        </w:tc>
      </w:tr>
      <w:tr w:rsidR="00520333" w:rsidRPr="006D688A" w14:paraId="1637FD38" w14:textId="77777777" w:rsidTr="005E5E0C">
        <w:trPr>
          <w:trHeight w:val="250"/>
        </w:trPr>
        <w:tc>
          <w:tcPr>
            <w:tcW w:w="4488" w:type="dxa"/>
            <w:tcBorders>
              <w:top w:val="nil"/>
              <w:left w:val="nil"/>
              <w:bottom w:val="nil"/>
              <w:right w:val="nil"/>
            </w:tcBorders>
            <w:shd w:val="clear" w:color="FFFFFF" w:fill="FFFFFF"/>
            <w:vAlign w:val="bottom"/>
            <w:hideMark/>
          </w:tcPr>
          <w:p w14:paraId="5E8D82BE" w14:textId="77777777" w:rsidR="00520333" w:rsidRPr="006D688A" w:rsidRDefault="00520333" w:rsidP="005E5E0C">
            <w:pPr>
              <w:spacing w:after="0"/>
              <w:rPr>
                <w:rFonts w:cs="Arial"/>
                <w:b/>
                <w:bCs/>
                <w:sz w:val="18"/>
                <w:szCs w:val="18"/>
              </w:rPr>
            </w:pPr>
            <w:r w:rsidRPr="006D688A">
              <w:rPr>
                <w:rFonts w:cs="Arial"/>
                <w:b/>
                <w:bCs/>
                <w:sz w:val="18"/>
                <w:szCs w:val="18"/>
              </w:rPr>
              <w:t>Cash used</w:t>
            </w:r>
          </w:p>
        </w:tc>
        <w:tc>
          <w:tcPr>
            <w:tcW w:w="723" w:type="dxa"/>
            <w:tcBorders>
              <w:top w:val="nil"/>
              <w:left w:val="nil"/>
              <w:bottom w:val="nil"/>
              <w:right w:val="nil"/>
            </w:tcBorders>
            <w:shd w:val="clear" w:color="FFFFFF" w:fill="FFFFFF"/>
            <w:noWrap/>
            <w:vAlign w:val="bottom"/>
            <w:hideMark/>
          </w:tcPr>
          <w:p w14:paraId="75DDA776"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67" w:type="dxa"/>
            <w:tcBorders>
              <w:top w:val="nil"/>
              <w:left w:val="nil"/>
              <w:bottom w:val="nil"/>
              <w:right w:val="nil"/>
            </w:tcBorders>
            <w:shd w:val="clear" w:color="FFFFFF" w:fill="FFFFFF"/>
            <w:noWrap/>
            <w:vAlign w:val="bottom"/>
            <w:hideMark/>
          </w:tcPr>
          <w:p w14:paraId="536E3E0C"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474F26A7"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nil"/>
              <w:left w:val="nil"/>
              <w:bottom w:val="nil"/>
              <w:right w:val="nil"/>
            </w:tcBorders>
            <w:shd w:val="clear" w:color="FFFFFF" w:fill="FFFFFF"/>
            <w:noWrap/>
            <w:vAlign w:val="bottom"/>
            <w:hideMark/>
          </w:tcPr>
          <w:p w14:paraId="428ABBC5"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5F524C02" w14:textId="77777777" w:rsidR="00520333" w:rsidRPr="006D688A" w:rsidRDefault="00520333" w:rsidP="005E5E0C">
            <w:pPr>
              <w:spacing w:after="0"/>
              <w:rPr>
                <w:rFonts w:cs="Arial"/>
                <w:sz w:val="18"/>
                <w:szCs w:val="18"/>
              </w:rPr>
            </w:pPr>
            <w:r w:rsidRPr="006D688A">
              <w:rPr>
                <w:rFonts w:cs="Arial"/>
                <w:sz w:val="18"/>
                <w:szCs w:val="18"/>
              </w:rPr>
              <w:t> </w:t>
            </w:r>
          </w:p>
        </w:tc>
        <w:tc>
          <w:tcPr>
            <w:tcW w:w="1037" w:type="dxa"/>
            <w:tcBorders>
              <w:top w:val="nil"/>
              <w:left w:val="nil"/>
              <w:bottom w:val="nil"/>
              <w:right w:val="nil"/>
            </w:tcBorders>
            <w:shd w:val="clear" w:color="FFFFFF" w:fill="FFFFFF"/>
            <w:noWrap/>
            <w:vAlign w:val="bottom"/>
            <w:hideMark/>
          </w:tcPr>
          <w:p w14:paraId="733AC197"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3021A808" w14:textId="77777777" w:rsidR="00520333" w:rsidRPr="006D688A" w:rsidRDefault="00520333" w:rsidP="005E5E0C">
            <w:pPr>
              <w:spacing w:after="0"/>
              <w:rPr>
                <w:rFonts w:cs="Arial"/>
                <w:sz w:val="18"/>
                <w:szCs w:val="18"/>
              </w:rPr>
            </w:pPr>
            <w:r w:rsidRPr="006D688A">
              <w:rPr>
                <w:rFonts w:cs="Arial"/>
                <w:sz w:val="18"/>
                <w:szCs w:val="18"/>
              </w:rPr>
              <w:t> </w:t>
            </w:r>
          </w:p>
        </w:tc>
      </w:tr>
      <w:tr w:rsidR="00520333" w:rsidRPr="006D688A" w14:paraId="4DC5B0AF" w14:textId="77777777" w:rsidTr="005E5E0C">
        <w:trPr>
          <w:trHeight w:val="260"/>
        </w:trPr>
        <w:tc>
          <w:tcPr>
            <w:tcW w:w="4488" w:type="dxa"/>
            <w:tcBorders>
              <w:top w:val="nil"/>
              <w:left w:val="nil"/>
              <w:bottom w:val="nil"/>
              <w:right w:val="nil"/>
            </w:tcBorders>
            <w:shd w:val="clear" w:color="FFFFFF" w:fill="FFFFFF"/>
            <w:vAlign w:val="bottom"/>
            <w:hideMark/>
          </w:tcPr>
          <w:p w14:paraId="7CFA1DAA" w14:textId="77777777" w:rsidR="00520333" w:rsidRPr="006D688A" w:rsidRDefault="00520333" w:rsidP="005E5E0C">
            <w:pPr>
              <w:spacing w:after="0"/>
              <w:ind w:firstLineChars="100" w:firstLine="180"/>
              <w:rPr>
                <w:rFonts w:cs="Arial"/>
                <w:sz w:val="18"/>
                <w:szCs w:val="18"/>
              </w:rPr>
            </w:pPr>
            <w:r w:rsidRPr="006D688A">
              <w:rPr>
                <w:rFonts w:cs="Arial"/>
                <w:sz w:val="18"/>
                <w:szCs w:val="18"/>
              </w:rPr>
              <w:t>Purchase of property, plant &amp; equipment</w:t>
            </w:r>
          </w:p>
        </w:tc>
        <w:tc>
          <w:tcPr>
            <w:tcW w:w="723" w:type="dxa"/>
            <w:tcBorders>
              <w:top w:val="nil"/>
              <w:left w:val="nil"/>
              <w:bottom w:val="nil"/>
              <w:right w:val="nil"/>
            </w:tcBorders>
            <w:shd w:val="clear" w:color="FFFFFF" w:fill="FFFFFF"/>
            <w:noWrap/>
            <w:vAlign w:val="bottom"/>
            <w:hideMark/>
          </w:tcPr>
          <w:p w14:paraId="2250F82C"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67" w:type="dxa"/>
            <w:tcBorders>
              <w:top w:val="nil"/>
              <w:left w:val="nil"/>
              <w:bottom w:val="nil"/>
              <w:right w:val="nil"/>
            </w:tcBorders>
            <w:shd w:val="clear" w:color="FFFFFF" w:fill="FFFFFF"/>
            <w:noWrap/>
            <w:vAlign w:val="bottom"/>
            <w:hideMark/>
          </w:tcPr>
          <w:p w14:paraId="174D7BBD" w14:textId="77777777" w:rsidR="00520333" w:rsidRPr="006D688A" w:rsidRDefault="00520333" w:rsidP="005E5E0C">
            <w:pPr>
              <w:spacing w:after="0"/>
              <w:jc w:val="right"/>
              <w:rPr>
                <w:rFonts w:cs="Arial"/>
                <w:b/>
                <w:bCs/>
                <w:sz w:val="18"/>
                <w:szCs w:val="18"/>
              </w:rPr>
            </w:pPr>
            <w:r w:rsidRPr="006D688A">
              <w:rPr>
                <w:rFonts w:cs="Arial"/>
                <w:b/>
                <w:bCs/>
                <w:sz w:val="18"/>
                <w:szCs w:val="18"/>
              </w:rPr>
              <w:t>25,779</w:t>
            </w:r>
          </w:p>
        </w:tc>
        <w:tc>
          <w:tcPr>
            <w:tcW w:w="236" w:type="dxa"/>
            <w:tcBorders>
              <w:top w:val="nil"/>
              <w:left w:val="nil"/>
              <w:bottom w:val="nil"/>
              <w:right w:val="nil"/>
            </w:tcBorders>
            <w:shd w:val="clear" w:color="FFFFFF" w:fill="FFFFFF"/>
            <w:noWrap/>
            <w:vAlign w:val="bottom"/>
            <w:hideMark/>
          </w:tcPr>
          <w:p w14:paraId="1290CDA4"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nil"/>
              <w:left w:val="nil"/>
              <w:bottom w:val="nil"/>
              <w:right w:val="nil"/>
            </w:tcBorders>
            <w:shd w:val="clear" w:color="FFFFFF" w:fill="FFFFFF"/>
            <w:noWrap/>
            <w:vAlign w:val="bottom"/>
            <w:hideMark/>
          </w:tcPr>
          <w:p w14:paraId="582DC719" w14:textId="77777777" w:rsidR="00520333" w:rsidRPr="006D688A" w:rsidRDefault="00520333" w:rsidP="005E5E0C">
            <w:pPr>
              <w:spacing w:after="0"/>
              <w:jc w:val="right"/>
              <w:rPr>
                <w:rFonts w:cs="Arial"/>
                <w:sz w:val="18"/>
                <w:szCs w:val="18"/>
              </w:rPr>
            </w:pPr>
            <w:r w:rsidRPr="006D688A">
              <w:rPr>
                <w:rFonts w:cs="Arial"/>
                <w:sz w:val="18"/>
                <w:szCs w:val="18"/>
              </w:rPr>
              <w:t>30,495</w:t>
            </w:r>
          </w:p>
        </w:tc>
        <w:tc>
          <w:tcPr>
            <w:tcW w:w="236" w:type="dxa"/>
            <w:tcBorders>
              <w:top w:val="nil"/>
              <w:left w:val="nil"/>
              <w:bottom w:val="nil"/>
              <w:right w:val="nil"/>
            </w:tcBorders>
            <w:shd w:val="clear" w:color="FFFFFF" w:fill="FFFFFF"/>
            <w:noWrap/>
            <w:vAlign w:val="bottom"/>
            <w:hideMark/>
          </w:tcPr>
          <w:p w14:paraId="6F3BDE99" w14:textId="77777777" w:rsidR="00520333" w:rsidRPr="006D688A" w:rsidRDefault="00520333" w:rsidP="005E5E0C">
            <w:pPr>
              <w:spacing w:after="0"/>
              <w:rPr>
                <w:rFonts w:cs="Arial"/>
                <w:sz w:val="18"/>
                <w:szCs w:val="18"/>
              </w:rPr>
            </w:pPr>
            <w:r w:rsidRPr="006D688A">
              <w:rPr>
                <w:rFonts w:cs="Arial"/>
                <w:sz w:val="18"/>
                <w:szCs w:val="18"/>
              </w:rPr>
              <w:t> </w:t>
            </w:r>
          </w:p>
        </w:tc>
        <w:tc>
          <w:tcPr>
            <w:tcW w:w="1037" w:type="dxa"/>
            <w:tcBorders>
              <w:top w:val="nil"/>
              <w:left w:val="nil"/>
              <w:bottom w:val="nil"/>
              <w:right w:val="nil"/>
            </w:tcBorders>
            <w:shd w:val="clear" w:color="FFFFFF" w:fill="FFFFFF"/>
            <w:noWrap/>
            <w:vAlign w:val="bottom"/>
            <w:hideMark/>
          </w:tcPr>
          <w:p w14:paraId="66D78F96" w14:textId="77777777" w:rsidR="00520333" w:rsidRPr="006D688A" w:rsidRDefault="00520333" w:rsidP="005E5E0C">
            <w:pPr>
              <w:spacing w:after="0"/>
              <w:jc w:val="right"/>
              <w:rPr>
                <w:rFonts w:cs="Arial"/>
                <w:sz w:val="18"/>
                <w:szCs w:val="18"/>
              </w:rPr>
            </w:pPr>
            <w:r w:rsidRPr="006D688A">
              <w:rPr>
                <w:rFonts w:cs="Arial"/>
                <w:sz w:val="18"/>
                <w:szCs w:val="18"/>
              </w:rPr>
              <w:t>24,093</w:t>
            </w:r>
          </w:p>
        </w:tc>
        <w:tc>
          <w:tcPr>
            <w:tcW w:w="236" w:type="dxa"/>
            <w:tcBorders>
              <w:top w:val="nil"/>
              <w:left w:val="nil"/>
              <w:bottom w:val="nil"/>
              <w:right w:val="nil"/>
            </w:tcBorders>
            <w:shd w:val="clear" w:color="FFFFFF" w:fill="FFFFFF"/>
            <w:noWrap/>
            <w:vAlign w:val="bottom"/>
            <w:hideMark/>
          </w:tcPr>
          <w:p w14:paraId="76AC5F01" w14:textId="77777777" w:rsidR="00520333" w:rsidRPr="006D688A" w:rsidRDefault="00520333" w:rsidP="005E5E0C">
            <w:pPr>
              <w:spacing w:after="0"/>
              <w:rPr>
                <w:rFonts w:cs="Arial"/>
                <w:sz w:val="18"/>
                <w:szCs w:val="18"/>
              </w:rPr>
            </w:pPr>
            <w:r w:rsidRPr="006D688A">
              <w:rPr>
                <w:rFonts w:cs="Arial"/>
                <w:sz w:val="18"/>
                <w:szCs w:val="18"/>
              </w:rPr>
              <w:t> </w:t>
            </w:r>
          </w:p>
        </w:tc>
      </w:tr>
      <w:tr w:rsidR="00520333" w:rsidRPr="006D688A" w14:paraId="46085D88" w14:textId="77777777" w:rsidTr="005E5E0C">
        <w:trPr>
          <w:trHeight w:val="250"/>
        </w:trPr>
        <w:tc>
          <w:tcPr>
            <w:tcW w:w="4488" w:type="dxa"/>
            <w:tcBorders>
              <w:top w:val="nil"/>
              <w:left w:val="nil"/>
              <w:bottom w:val="nil"/>
              <w:right w:val="nil"/>
            </w:tcBorders>
            <w:shd w:val="clear" w:color="FFFFFF" w:fill="FFFFFF"/>
            <w:vAlign w:val="bottom"/>
            <w:hideMark/>
          </w:tcPr>
          <w:p w14:paraId="34180536" w14:textId="77777777" w:rsidR="00520333" w:rsidRPr="006D688A" w:rsidRDefault="00520333" w:rsidP="005E5E0C">
            <w:pPr>
              <w:spacing w:after="0"/>
              <w:ind w:firstLineChars="100" w:firstLine="180"/>
              <w:rPr>
                <w:rFonts w:cs="Arial"/>
                <w:sz w:val="18"/>
                <w:szCs w:val="18"/>
              </w:rPr>
            </w:pPr>
            <w:r w:rsidRPr="006D688A">
              <w:rPr>
                <w:rFonts w:cs="Arial"/>
                <w:sz w:val="18"/>
                <w:szCs w:val="18"/>
              </w:rPr>
              <w:t>Purchase of financial instruments</w:t>
            </w:r>
          </w:p>
        </w:tc>
        <w:tc>
          <w:tcPr>
            <w:tcW w:w="723" w:type="dxa"/>
            <w:tcBorders>
              <w:top w:val="nil"/>
              <w:left w:val="nil"/>
              <w:bottom w:val="nil"/>
              <w:right w:val="nil"/>
            </w:tcBorders>
            <w:shd w:val="clear" w:color="FFFFFF" w:fill="FFFFFF"/>
            <w:noWrap/>
            <w:vAlign w:val="bottom"/>
            <w:hideMark/>
          </w:tcPr>
          <w:p w14:paraId="188CC814"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67" w:type="dxa"/>
            <w:tcBorders>
              <w:top w:val="nil"/>
              <w:left w:val="nil"/>
              <w:bottom w:val="nil"/>
              <w:right w:val="nil"/>
            </w:tcBorders>
            <w:shd w:val="clear" w:color="FFFFFF" w:fill="FFFFFF"/>
            <w:noWrap/>
            <w:vAlign w:val="bottom"/>
            <w:hideMark/>
          </w:tcPr>
          <w:p w14:paraId="6BE46A79" w14:textId="77777777" w:rsidR="00520333" w:rsidRPr="006D688A" w:rsidRDefault="00520333" w:rsidP="005E5E0C">
            <w:pPr>
              <w:spacing w:after="0"/>
              <w:jc w:val="right"/>
              <w:rPr>
                <w:rFonts w:cs="Arial"/>
                <w:b/>
                <w:bCs/>
                <w:sz w:val="18"/>
                <w:szCs w:val="18"/>
              </w:rPr>
            </w:pPr>
            <w:r w:rsidRPr="006D688A">
              <w:rPr>
                <w:rFonts w:cs="Arial"/>
                <w:b/>
                <w:bCs/>
                <w:sz w:val="18"/>
                <w:szCs w:val="18"/>
              </w:rPr>
              <w:t>-</w:t>
            </w:r>
          </w:p>
        </w:tc>
        <w:tc>
          <w:tcPr>
            <w:tcW w:w="236" w:type="dxa"/>
            <w:tcBorders>
              <w:top w:val="nil"/>
              <w:left w:val="nil"/>
              <w:bottom w:val="nil"/>
              <w:right w:val="nil"/>
            </w:tcBorders>
            <w:shd w:val="clear" w:color="FFFFFF" w:fill="FFFFFF"/>
            <w:noWrap/>
            <w:vAlign w:val="bottom"/>
            <w:hideMark/>
          </w:tcPr>
          <w:p w14:paraId="34D5A18A"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nil"/>
              <w:left w:val="nil"/>
              <w:bottom w:val="nil"/>
              <w:right w:val="nil"/>
            </w:tcBorders>
            <w:shd w:val="clear" w:color="FFFFFF" w:fill="FFFFFF"/>
            <w:noWrap/>
            <w:vAlign w:val="bottom"/>
            <w:hideMark/>
          </w:tcPr>
          <w:p w14:paraId="02A2EF19" w14:textId="77777777" w:rsidR="00520333" w:rsidRPr="006D688A" w:rsidRDefault="00520333" w:rsidP="005E5E0C">
            <w:pPr>
              <w:spacing w:after="0"/>
              <w:jc w:val="right"/>
              <w:rPr>
                <w:rFonts w:cs="Arial"/>
                <w:sz w:val="18"/>
                <w:szCs w:val="18"/>
              </w:rPr>
            </w:pPr>
            <w:r w:rsidRPr="006D688A">
              <w:rPr>
                <w:rFonts w:cs="Arial"/>
                <w:sz w:val="18"/>
                <w:szCs w:val="18"/>
              </w:rPr>
              <w:t>7,020,000</w:t>
            </w:r>
          </w:p>
        </w:tc>
        <w:tc>
          <w:tcPr>
            <w:tcW w:w="236" w:type="dxa"/>
            <w:tcBorders>
              <w:top w:val="nil"/>
              <w:left w:val="nil"/>
              <w:bottom w:val="nil"/>
              <w:right w:val="nil"/>
            </w:tcBorders>
            <w:shd w:val="clear" w:color="FFFFFF" w:fill="FFFFFF"/>
            <w:noWrap/>
            <w:vAlign w:val="bottom"/>
            <w:hideMark/>
          </w:tcPr>
          <w:p w14:paraId="3FBB3BE4" w14:textId="77777777" w:rsidR="00520333" w:rsidRPr="006D688A" w:rsidRDefault="00520333" w:rsidP="005E5E0C">
            <w:pPr>
              <w:spacing w:after="0"/>
              <w:rPr>
                <w:rFonts w:cs="Arial"/>
                <w:sz w:val="18"/>
                <w:szCs w:val="18"/>
              </w:rPr>
            </w:pPr>
            <w:r w:rsidRPr="006D688A">
              <w:rPr>
                <w:rFonts w:cs="Arial"/>
                <w:sz w:val="18"/>
                <w:szCs w:val="18"/>
              </w:rPr>
              <w:t> </w:t>
            </w:r>
          </w:p>
        </w:tc>
        <w:tc>
          <w:tcPr>
            <w:tcW w:w="1037" w:type="dxa"/>
            <w:tcBorders>
              <w:top w:val="nil"/>
              <w:left w:val="nil"/>
              <w:bottom w:val="nil"/>
              <w:right w:val="nil"/>
            </w:tcBorders>
            <w:shd w:val="clear" w:color="FFFFFF" w:fill="FFFFFF"/>
            <w:noWrap/>
            <w:vAlign w:val="bottom"/>
            <w:hideMark/>
          </w:tcPr>
          <w:p w14:paraId="0CF5814F" w14:textId="77777777" w:rsidR="00520333" w:rsidRPr="006D688A" w:rsidRDefault="00520333" w:rsidP="005E5E0C">
            <w:pPr>
              <w:spacing w:after="0"/>
              <w:jc w:val="right"/>
              <w:rPr>
                <w:rFonts w:cs="Arial"/>
                <w:sz w:val="18"/>
                <w:szCs w:val="18"/>
              </w:rPr>
            </w:pPr>
            <w:r w:rsidRPr="006D688A">
              <w:rPr>
                <w:rFonts w:cs="Arial"/>
                <w:sz w:val="18"/>
                <w:szCs w:val="18"/>
              </w:rPr>
              <w:t>754,442</w:t>
            </w:r>
          </w:p>
        </w:tc>
        <w:tc>
          <w:tcPr>
            <w:tcW w:w="236" w:type="dxa"/>
            <w:tcBorders>
              <w:top w:val="nil"/>
              <w:left w:val="nil"/>
              <w:bottom w:val="nil"/>
              <w:right w:val="nil"/>
            </w:tcBorders>
            <w:shd w:val="clear" w:color="FFFFFF" w:fill="FFFFFF"/>
            <w:noWrap/>
            <w:vAlign w:val="bottom"/>
            <w:hideMark/>
          </w:tcPr>
          <w:p w14:paraId="416E7842" w14:textId="77777777" w:rsidR="00520333" w:rsidRPr="006D688A" w:rsidRDefault="00520333" w:rsidP="005E5E0C">
            <w:pPr>
              <w:spacing w:after="0"/>
              <w:rPr>
                <w:rFonts w:cs="Arial"/>
                <w:sz w:val="18"/>
                <w:szCs w:val="18"/>
              </w:rPr>
            </w:pPr>
            <w:r w:rsidRPr="006D688A">
              <w:rPr>
                <w:rFonts w:cs="Arial"/>
                <w:sz w:val="18"/>
                <w:szCs w:val="18"/>
              </w:rPr>
              <w:t> </w:t>
            </w:r>
          </w:p>
        </w:tc>
      </w:tr>
      <w:tr w:rsidR="00520333" w:rsidRPr="006D688A" w14:paraId="1EB4DB9A" w14:textId="77777777" w:rsidTr="005E5E0C">
        <w:trPr>
          <w:trHeight w:val="250"/>
        </w:trPr>
        <w:tc>
          <w:tcPr>
            <w:tcW w:w="4488" w:type="dxa"/>
            <w:tcBorders>
              <w:top w:val="nil"/>
              <w:left w:val="nil"/>
              <w:bottom w:val="nil"/>
              <w:right w:val="nil"/>
            </w:tcBorders>
            <w:shd w:val="clear" w:color="FFFFFF" w:fill="FFFFFF"/>
            <w:vAlign w:val="bottom"/>
            <w:hideMark/>
          </w:tcPr>
          <w:p w14:paraId="49F91747" w14:textId="77777777" w:rsidR="00520333" w:rsidRPr="006D688A" w:rsidRDefault="00520333" w:rsidP="005E5E0C">
            <w:pPr>
              <w:spacing w:after="0"/>
              <w:rPr>
                <w:rFonts w:cs="Arial"/>
                <w:b/>
                <w:bCs/>
                <w:sz w:val="18"/>
                <w:szCs w:val="18"/>
              </w:rPr>
            </w:pPr>
            <w:r w:rsidRPr="006D688A">
              <w:rPr>
                <w:rFonts w:cs="Arial"/>
                <w:b/>
                <w:bCs/>
                <w:sz w:val="18"/>
                <w:szCs w:val="18"/>
              </w:rPr>
              <w:t>Total cash used</w:t>
            </w:r>
          </w:p>
        </w:tc>
        <w:tc>
          <w:tcPr>
            <w:tcW w:w="723" w:type="dxa"/>
            <w:tcBorders>
              <w:top w:val="nil"/>
              <w:left w:val="nil"/>
              <w:bottom w:val="nil"/>
              <w:right w:val="nil"/>
            </w:tcBorders>
            <w:shd w:val="clear" w:color="FFFFFF" w:fill="FFFFFF"/>
            <w:noWrap/>
            <w:vAlign w:val="bottom"/>
            <w:hideMark/>
          </w:tcPr>
          <w:p w14:paraId="73FED5B5"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67" w:type="dxa"/>
            <w:tcBorders>
              <w:top w:val="single" w:sz="4" w:space="0" w:color="auto"/>
              <w:left w:val="nil"/>
              <w:bottom w:val="single" w:sz="4" w:space="0" w:color="auto"/>
              <w:right w:val="nil"/>
            </w:tcBorders>
            <w:shd w:val="clear" w:color="FFFFFF" w:fill="FFFFFF"/>
            <w:noWrap/>
            <w:vAlign w:val="bottom"/>
            <w:hideMark/>
          </w:tcPr>
          <w:p w14:paraId="12597592" w14:textId="77777777" w:rsidR="00520333" w:rsidRPr="006D688A" w:rsidRDefault="00520333" w:rsidP="005E5E0C">
            <w:pPr>
              <w:spacing w:after="0"/>
              <w:jc w:val="right"/>
              <w:rPr>
                <w:rFonts w:cs="Arial"/>
                <w:b/>
                <w:bCs/>
                <w:sz w:val="18"/>
                <w:szCs w:val="18"/>
              </w:rPr>
            </w:pPr>
            <w:r w:rsidRPr="006D688A">
              <w:rPr>
                <w:rFonts w:cs="Arial"/>
                <w:b/>
                <w:bCs/>
                <w:sz w:val="18"/>
                <w:szCs w:val="18"/>
              </w:rPr>
              <w:t>25,779</w:t>
            </w:r>
          </w:p>
        </w:tc>
        <w:tc>
          <w:tcPr>
            <w:tcW w:w="236" w:type="dxa"/>
            <w:tcBorders>
              <w:top w:val="nil"/>
              <w:left w:val="nil"/>
              <w:bottom w:val="nil"/>
              <w:right w:val="nil"/>
            </w:tcBorders>
            <w:shd w:val="clear" w:color="FFFFFF" w:fill="FFFFFF"/>
            <w:noWrap/>
            <w:vAlign w:val="bottom"/>
            <w:hideMark/>
          </w:tcPr>
          <w:p w14:paraId="0D001C69"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single" w:sz="4" w:space="0" w:color="auto"/>
              <w:left w:val="nil"/>
              <w:bottom w:val="single" w:sz="4" w:space="0" w:color="auto"/>
              <w:right w:val="nil"/>
            </w:tcBorders>
            <w:shd w:val="clear" w:color="FFFFFF" w:fill="FFFFFF"/>
            <w:noWrap/>
            <w:vAlign w:val="bottom"/>
            <w:hideMark/>
          </w:tcPr>
          <w:p w14:paraId="584EAEBA" w14:textId="77777777" w:rsidR="00520333" w:rsidRPr="006D688A" w:rsidRDefault="00520333" w:rsidP="005E5E0C">
            <w:pPr>
              <w:spacing w:after="0"/>
              <w:jc w:val="right"/>
              <w:rPr>
                <w:rFonts w:cs="Arial"/>
                <w:sz w:val="18"/>
                <w:szCs w:val="18"/>
              </w:rPr>
            </w:pPr>
            <w:r w:rsidRPr="006D688A">
              <w:rPr>
                <w:rFonts w:cs="Arial"/>
                <w:sz w:val="18"/>
                <w:szCs w:val="18"/>
              </w:rPr>
              <w:t>7,050,495</w:t>
            </w:r>
          </w:p>
        </w:tc>
        <w:tc>
          <w:tcPr>
            <w:tcW w:w="236" w:type="dxa"/>
            <w:tcBorders>
              <w:top w:val="nil"/>
              <w:left w:val="nil"/>
              <w:bottom w:val="nil"/>
              <w:right w:val="nil"/>
            </w:tcBorders>
            <w:shd w:val="clear" w:color="FFFFFF" w:fill="FFFFFF"/>
            <w:noWrap/>
            <w:vAlign w:val="bottom"/>
            <w:hideMark/>
          </w:tcPr>
          <w:p w14:paraId="5D91F374" w14:textId="77777777" w:rsidR="00520333" w:rsidRPr="006D688A" w:rsidRDefault="00520333" w:rsidP="005E5E0C">
            <w:pPr>
              <w:spacing w:after="0"/>
              <w:rPr>
                <w:rFonts w:cs="Arial"/>
                <w:sz w:val="18"/>
                <w:szCs w:val="18"/>
              </w:rPr>
            </w:pPr>
            <w:r w:rsidRPr="006D688A">
              <w:rPr>
                <w:rFonts w:cs="Arial"/>
                <w:sz w:val="18"/>
                <w:szCs w:val="18"/>
              </w:rPr>
              <w:t> </w:t>
            </w:r>
          </w:p>
        </w:tc>
        <w:tc>
          <w:tcPr>
            <w:tcW w:w="1037" w:type="dxa"/>
            <w:tcBorders>
              <w:top w:val="single" w:sz="4" w:space="0" w:color="auto"/>
              <w:left w:val="nil"/>
              <w:bottom w:val="single" w:sz="4" w:space="0" w:color="auto"/>
              <w:right w:val="nil"/>
            </w:tcBorders>
            <w:shd w:val="clear" w:color="FFFFFF" w:fill="FFFFFF"/>
            <w:noWrap/>
            <w:vAlign w:val="bottom"/>
            <w:hideMark/>
          </w:tcPr>
          <w:p w14:paraId="433599D5" w14:textId="77777777" w:rsidR="00520333" w:rsidRPr="006D688A" w:rsidRDefault="00520333" w:rsidP="005E5E0C">
            <w:pPr>
              <w:spacing w:after="0"/>
              <w:jc w:val="right"/>
              <w:rPr>
                <w:rFonts w:cs="Arial"/>
                <w:sz w:val="18"/>
                <w:szCs w:val="18"/>
              </w:rPr>
            </w:pPr>
            <w:r w:rsidRPr="006D688A">
              <w:rPr>
                <w:rFonts w:cs="Arial"/>
                <w:sz w:val="18"/>
                <w:szCs w:val="18"/>
              </w:rPr>
              <w:t>778,535</w:t>
            </w:r>
          </w:p>
        </w:tc>
        <w:tc>
          <w:tcPr>
            <w:tcW w:w="236" w:type="dxa"/>
            <w:tcBorders>
              <w:top w:val="nil"/>
              <w:left w:val="nil"/>
              <w:bottom w:val="nil"/>
              <w:right w:val="nil"/>
            </w:tcBorders>
            <w:shd w:val="clear" w:color="FFFFFF" w:fill="FFFFFF"/>
            <w:noWrap/>
            <w:vAlign w:val="bottom"/>
            <w:hideMark/>
          </w:tcPr>
          <w:p w14:paraId="7A5B6168" w14:textId="77777777" w:rsidR="00520333" w:rsidRPr="006D688A" w:rsidRDefault="00520333" w:rsidP="005E5E0C">
            <w:pPr>
              <w:spacing w:after="0"/>
              <w:rPr>
                <w:rFonts w:cs="Arial"/>
                <w:sz w:val="18"/>
                <w:szCs w:val="18"/>
              </w:rPr>
            </w:pPr>
            <w:r w:rsidRPr="006D688A">
              <w:rPr>
                <w:rFonts w:cs="Arial"/>
                <w:sz w:val="18"/>
                <w:szCs w:val="18"/>
                <w:vertAlign w:val="superscript"/>
              </w:rPr>
              <w:t> </w:t>
            </w:r>
          </w:p>
        </w:tc>
      </w:tr>
      <w:tr w:rsidR="00520333" w:rsidRPr="006D688A" w14:paraId="4345F032" w14:textId="77777777" w:rsidTr="005E5E0C">
        <w:trPr>
          <w:trHeight w:val="250"/>
        </w:trPr>
        <w:tc>
          <w:tcPr>
            <w:tcW w:w="4488" w:type="dxa"/>
            <w:tcBorders>
              <w:top w:val="nil"/>
              <w:left w:val="nil"/>
              <w:bottom w:val="nil"/>
              <w:right w:val="nil"/>
            </w:tcBorders>
            <w:shd w:val="clear" w:color="FFFFFF" w:fill="FFFFFF"/>
            <w:vAlign w:val="bottom"/>
            <w:hideMark/>
          </w:tcPr>
          <w:p w14:paraId="1B597080" w14:textId="77777777" w:rsidR="00520333" w:rsidRPr="006D688A" w:rsidRDefault="00520333" w:rsidP="005E5E0C">
            <w:pPr>
              <w:spacing w:after="0"/>
              <w:rPr>
                <w:rFonts w:cs="Arial"/>
                <w:b/>
                <w:bCs/>
                <w:sz w:val="18"/>
                <w:szCs w:val="18"/>
              </w:rPr>
            </w:pPr>
            <w:r w:rsidRPr="006D688A">
              <w:rPr>
                <w:rFonts w:cs="Arial"/>
                <w:b/>
                <w:bCs/>
                <w:sz w:val="18"/>
                <w:szCs w:val="18"/>
              </w:rPr>
              <w:t>Net cash from / (used by) investing activities</w:t>
            </w:r>
          </w:p>
        </w:tc>
        <w:tc>
          <w:tcPr>
            <w:tcW w:w="723" w:type="dxa"/>
            <w:tcBorders>
              <w:top w:val="nil"/>
              <w:left w:val="nil"/>
              <w:bottom w:val="nil"/>
              <w:right w:val="nil"/>
            </w:tcBorders>
            <w:shd w:val="clear" w:color="FFFFFF" w:fill="FFFFFF"/>
            <w:noWrap/>
            <w:vAlign w:val="bottom"/>
            <w:hideMark/>
          </w:tcPr>
          <w:p w14:paraId="513D91E6"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67" w:type="dxa"/>
            <w:tcBorders>
              <w:top w:val="nil"/>
              <w:left w:val="nil"/>
              <w:bottom w:val="single" w:sz="4" w:space="0" w:color="auto"/>
              <w:right w:val="nil"/>
            </w:tcBorders>
            <w:shd w:val="clear" w:color="FFFFFF" w:fill="FFFFFF"/>
            <w:noWrap/>
            <w:vAlign w:val="bottom"/>
            <w:hideMark/>
          </w:tcPr>
          <w:p w14:paraId="4213159F" w14:textId="77777777" w:rsidR="00520333" w:rsidRPr="006D688A" w:rsidRDefault="00520333" w:rsidP="005E5E0C">
            <w:pPr>
              <w:spacing w:after="0"/>
              <w:jc w:val="right"/>
              <w:rPr>
                <w:rFonts w:cs="Arial"/>
                <w:b/>
                <w:bCs/>
                <w:sz w:val="18"/>
                <w:szCs w:val="18"/>
              </w:rPr>
            </w:pPr>
            <w:r w:rsidRPr="006D688A">
              <w:rPr>
                <w:rFonts w:cs="Arial"/>
                <w:b/>
                <w:bCs/>
                <w:sz w:val="18"/>
                <w:szCs w:val="18"/>
              </w:rPr>
              <w:t>1,474,227</w:t>
            </w:r>
          </w:p>
        </w:tc>
        <w:tc>
          <w:tcPr>
            <w:tcW w:w="236" w:type="dxa"/>
            <w:tcBorders>
              <w:top w:val="nil"/>
              <w:left w:val="nil"/>
              <w:bottom w:val="nil"/>
              <w:right w:val="nil"/>
            </w:tcBorders>
            <w:shd w:val="clear" w:color="FFFFFF" w:fill="FFFFFF"/>
            <w:noWrap/>
            <w:vAlign w:val="bottom"/>
            <w:hideMark/>
          </w:tcPr>
          <w:p w14:paraId="71315245"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nil"/>
              <w:left w:val="nil"/>
              <w:bottom w:val="single" w:sz="4" w:space="0" w:color="auto"/>
              <w:right w:val="nil"/>
            </w:tcBorders>
            <w:shd w:val="clear" w:color="FFFFFF" w:fill="FFFFFF"/>
            <w:noWrap/>
            <w:vAlign w:val="bottom"/>
            <w:hideMark/>
          </w:tcPr>
          <w:p w14:paraId="0C2E1549" w14:textId="77777777" w:rsidR="00520333" w:rsidRPr="006D688A" w:rsidRDefault="00520333" w:rsidP="005E5E0C">
            <w:pPr>
              <w:spacing w:after="0"/>
              <w:jc w:val="right"/>
              <w:rPr>
                <w:rFonts w:cs="Arial"/>
                <w:sz w:val="18"/>
                <w:szCs w:val="18"/>
              </w:rPr>
            </w:pPr>
            <w:r w:rsidRPr="006D688A">
              <w:rPr>
                <w:rFonts w:cs="Arial"/>
                <w:sz w:val="18"/>
                <w:szCs w:val="18"/>
              </w:rPr>
              <w:t>935,707</w:t>
            </w:r>
          </w:p>
        </w:tc>
        <w:tc>
          <w:tcPr>
            <w:tcW w:w="236" w:type="dxa"/>
            <w:tcBorders>
              <w:top w:val="nil"/>
              <w:left w:val="nil"/>
              <w:bottom w:val="nil"/>
              <w:right w:val="nil"/>
            </w:tcBorders>
            <w:shd w:val="clear" w:color="FFFFFF" w:fill="FFFFFF"/>
            <w:noWrap/>
            <w:vAlign w:val="bottom"/>
            <w:hideMark/>
          </w:tcPr>
          <w:p w14:paraId="5EF33A81" w14:textId="77777777" w:rsidR="00520333" w:rsidRPr="006D688A" w:rsidRDefault="00520333" w:rsidP="005E5E0C">
            <w:pPr>
              <w:spacing w:after="0"/>
              <w:rPr>
                <w:rFonts w:cs="Arial"/>
                <w:sz w:val="18"/>
                <w:szCs w:val="18"/>
              </w:rPr>
            </w:pPr>
            <w:r w:rsidRPr="006D688A">
              <w:rPr>
                <w:rFonts w:cs="Arial"/>
                <w:sz w:val="18"/>
                <w:szCs w:val="18"/>
              </w:rPr>
              <w:t> </w:t>
            </w:r>
          </w:p>
        </w:tc>
        <w:tc>
          <w:tcPr>
            <w:tcW w:w="1037" w:type="dxa"/>
            <w:tcBorders>
              <w:top w:val="nil"/>
              <w:left w:val="nil"/>
              <w:bottom w:val="single" w:sz="4" w:space="0" w:color="auto"/>
              <w:right w:val="nil"/>
            </w:tcBorders>
            <w:shd w:val="clear" w:color="FFFFFF" w:fill="FFFFFF"/>
            <w:noWrap/>
            <w:vAlign w:val="bottom"/>
            <w:hideMark/>
          </w:tcPr>
          <w:p w14:paraId="34184E6A" w14:textId="77777777" w:rsidR="00520333" w:rsidRPr="006D688A" w:rsidRDefault="00520333" w:rsidP="005E5E0C">
            <w:pPr>
              <w:spacing w:after="0"/>
              <w:jc w:val="right"/>
              <w:rPr>
                <w:rFonts w:cs="Arial"/>
                <w:sz w:val="18"/>
                <w:szCs w:val="18"/>
              </w:rPr>
            </w:pPr>
            <w:r w:rsidRPr="006D688A">
              <w:rPr>
                <w:rFonts w:cs="Arial"/>
                <w:sz w:val="18"/>
                <w:szCs w:val="18"/>
              </w:rPr>
              <w:t>(778,535)</w:t>
            </w:r>
          </w:p>
        </w:tc>
        <w:tc>
          <w:tcPr>
            <w:tcW w:w="236" w:type="dxa"/>
            <w:tcBorders>
              <w:top w:val="nil"/>
              <w:left w:val="nil"/>
              <w:bottom w:val="nil"/>
              <w:right w:val="nil"/>
            </w:tcBorders>
            <w:shd w:val="clear" w:color="FFFFFF" w:fill="FFFFFF"/>
            <w:noWrap/>
            <w:vAlign w:val="bottom"/>
            <w:hideMark/>
          </w:tcPr>
          <w:p w14:paraId="23851366" w14:textId="77777777" w:rsidR="00520333" w:rsidRPr="006D688A" w:rsidRDefault="00520333" w:rsidP="005E5E0C">
            <w:pPr>
              <w:spacing w:after="0"/>
              <w:rPr>
                <w:rFonts w:cs="Arial"/>
                <w:sz w:val="18"/>
                <w:szCs w:val="18"/>
              </w:rPr>
            </w:pPr>
            <w:r w:rsidRPr="006D688A">
              <w:rPr>
                <w:rFonts w:cs="Arial"/>
                <w:sz w:val="18"/>
                <w:szCs w:val="18"/>
                <w:vertAlign w:val="superscript"/>
              </w:rPr>
              <w:t> </w:t>
            </w:r>
          </w:p>
        </w:tc>
      </w:tr>
      <w:tr w:rsidR="00520333" w:rsidRPr="006D688A" w14:paraId="5AA858A6" w14:textId="77777777" w:rsidTr="005E5E0C">
        <w:trPr>
          <w:trHeight w:val="133"/>
        </w:trPr>
        <w:tc>
          <w:tcPr>
            <w:tcW w:w="4488" w:type="dxa"/>
            <w:tcBorders>
              <w:top w:val="nil"/>
              <w:left w:val="nil"/>
              <w:bottom w:val="nil"/>
              <w:right w:val="nil"/>
            </w:tcBorders>
            <w:shd w:val="clear" w:color="FFFFFF" w:fill="FFFFFF"/>
            <w:noWrap/>
            <w:vAlign w:val="bottom"/>
            <w:hideMark/>
          </w:tcPr>
          <w:p w14:paraId="6D1C7438" w14:textId="77777777" w:rsidR="00520333" w:rsidRPr="006D688A" w:rsidRDefault="00520333" w:rsidP="005E5E0C">
            <w:pPr>
              <w:spacing w:after="0"/>
              <w:rPr>
                <w:rFonts w:cs="Arial"/>
                <w:sz w:val="18"/>
                <w:szCs w:val="18"/>
              </w:rPr>
            </w:pPr>
            <w:r w:rsidRPr="006D688A">
              <w:rPr>
                <w:rFonts w:cs="Arial"/>
                <w:sz w:val="18"/>
                <w:szCs w:val="18"/>
              </w:rPr>
              <w:t> </w:t>
            </w:r>
          </w:p>
        </w:tc>
        <w:tc>
          <w:tcPr>
            <w:tcW w:w="723" w:type="dxa"/>
            <w:tcBorders>
              <w:top w:val="nil"/>
              <w:left w:val="nil"/>
              <w:bottom w:val="nil"/>
              <w:right w:val="nil"/>
            </w:tcBorders>
            <w:shd w:val="clear" w:color="FFFFFF" w:fill="FFFFFF"/>
            <w:noWrap/>
            <w:vAlign w:val="bottom"/>
            <w:hideMark/>
          </w:tcPr>
          <w:p w14:paraId="77A3822D"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67" w:type="dxa"/>
            <w:tcBorders>
              <w:top w:val="nil"/>
              <w:left w:val="nil"/>
              <w:bottom w:val="nil"/>
              <w:right w:val="nil"/>
            </w:tcBorders>
            <w:shd w:val="clear" w:color="FFFFFF" w:fill="FFFFFF"/>
            <w:noWrap/>
            <w:vAlign w:val="bottom"/>
            <w:hideMark/>
          </w:tcPr>
          <w:p w14:paraId="56C5DFAC"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0022B5E9"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nil"/>
              <w:left w:val="nil"/>
              <w:bottom w:val="nil"/>
              <w:right w:val="nil"/>
            </w:tcBorders>
            <w:shd w:val="clear" w:color="FFFFFF" w:fill="FFFFFF"/>
            <w:noWrap/>
            <w:vAlign w:val="bottom"/>
            <w:hideMark/>
          </w:tcPr>
          <w:p w14:paraId="4EA958C0"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51BEA4ED" w14:textId="77777777" w:rsidR="00520333" w:rsidRPr="006D688A" w:rsidRDefault="00520333" w:rsidP="005E5E0C">
            <w:pPr>
              <w:spacing w:after="0"/>
              <w:rPr>
                <w:rFonts w:cs="Arial"/>
                <w:sz w:val="18"/>
                <w:szCs w:val="18"/>
              </w:rPr>
            </w:pPr>
            <w:r w:rsidRPr="006D688A">
              <w:rPr>
                <w:rFonts w:cs="Arial"/>
                <w:sz w:val="18"/>
                <w:szCs w:val="18"/>
              </w:rPr>
              <w:t> </w:t>
            </w:r>
          </w:p>
        </w:tc>
        <w:tc>
          <w:tcPr>
            <w:tcW w:w="1037" w:type="dxa"/>
            <w:tcBorders>
              <w:top w:val="nil"/>
              <w:left w:val="nil"/>
              <w:bottom w:val="nil"/>
              <w:right w:val="nil"/>
            </w:tcBorders>
            <w:shd w:val="clear" w:color="FFFFFF" w:fill="FFFFFF"/>
            <w:noWrap/>
            <w:vAlign w:val="bottom"/>
            <w:hideMark/>
          </w:tcPr>
          <w:p w14:paraId="19CA04E5"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762A9523" w14:textId="77777777" w:rsidR="00520333" w:rsidRPr="006D688A" w:rsidRDefault="00520333" w:rsidP="005E5E0C">
            <w:pPr>
              <w:spacing w:after="0"/>
              <w:rPr>
                <w:rFonts w:cs="Arial"/>
                <w:sz w:val="18"/>
                <w:szCs w:val="18"/>
              </w:rPr>
            </w:pPr>
            <w:r w:rsidRPr="006D688A">
              <w:rPr>
                <w:rFonts w:cs="Arial"/>
                <w:sz w:val="18"/>
                <w:szCs w:val="18"/>
              </w:rPr>
              <w:t> </w:t>
            </w:r>
          </w:p>
        </w:tc>
      </w:tr>
      <w:tr w:rsidR="00520333" w:rsidRPr="006D688A" w14:paraId="449FD7AF" w14:textId="77777777" w:rsidTr="005E5E0C">
        <w:trPr>
          <w:trHeight w:val="250"/>
        </w:trPr>
        <w:tc>
          <w:tcPr>
            <w:tcW w:w="4488" w:type="dxa"/>
            <w:tcBorders>
              <w:top w:val="nil"/>
              <w:left w:val="nil"/>
              <w:bottom w:val="nil"/>
              <w:right w:val="nil"/>
            </w:tcBorders>
            <w:shd w:val="clear" w:color="FFFFFF" w:fill="FFFFFF"/>
            <w:vAlign w:val="bottom"/>
            <w:hideMark/>
          </w:tcPr>
          <w:p w14:paraId="075DB8BE" w14:textId="77777777" w:rsidR="00520333" w:rsidRPr="006D688A" w:rsidRDefault="00520333" w:rsidP="005E5E0C">
            <w:pPr>
              <w:spacing w:after="0"/>
              <w:rPr>
                <w:rFonts w:cs="Arial"/>
                <w:b/>
                <w:bCs/>
                <w:sz w:val="18"/>
                <w:szCs w:val="18"/>
              </w:rPr>
            </w:pPr>
            <w:r w:rsidRPr="006D688A">
              <w:rPr>
                <w:rFonts w:cs="Arial"/>
                <w:b/>
                <w:bCs/>
                <w:sz w:val="18"/>
                <w:szCs w:val="18"/>
              </w:rPr>
              <w:t>FINANCING ACTIVITIES</w:t>
            </w:r>
          </w:p>
        </w:tc>
        <w:tc>
          <w:tcPr>
            <w:tcW w:w="723" w:type="dxa"/>
            <w:tcBorders>
              <w:top w:val="nil"/>
              <w:left w:val="nil"/>
              <w:bottom w:val="nil"/>
              <w:right w:val="nil"/>
            </w:tcBorders>
            <w:shd w:val="clear" w:color="FFFFFF" w:fill="FFFFFF"/>
            <w:noWrap/>
            <w:vAlign w:val="bottom"/>
            <w:hideMark/>
          </w:tcPr>
          <w:p w14:paraId="3184FBBC"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67" w:type="dxa"/>
            <w:tcBorders>
              <w:top w:val="nil"/>
              <w:left w:val="nil"/>
              <w:bottom w:val="nil"/>
              <w:right w:val="nil"/>
            </w:tcBorders>
            <w:shd w:val="clear" w:color="FFFFFF" w:fill="FFFFFF"/>
            <w:noWrap/>
            <w:vAlign w:val="bottom"/>
            <w:hideMark/>
          </w:tcPr>
          <w:p w14:paraId="55BA234D"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60E9302A"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nil"/>
              <w:left w:val="nil"/>
              <w:bottom w:val="nil"/>
              <w:right w:val="nil"/>
            </w:tcBorders>
            <w:shd w:val="clear" w:color="FFFFFF" w:fill="FFFFFF"/>
            <w:noWrap/>
            <w:vAlign w:val="bottom"/>
            <w:hideMark/>
          </w:tcPr>
          <w:p w14:paraId="6CE9AA60"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5B3A0D06" w14:textId="77777777" w:rsidR="00520333" w:rsidRPr="006D688A" w:rsidRDefault="00520333" w:rsidP="005E5E0C">
            <w:pPr>
              <w:spacing w:after="0"/>
              <w:rPr>
                <w:rFonts w:cs="Arial"/>
                <w:sz w:val="18"/>
                <w:szCs w:val="18"/>
              </w:rPr>
            </w:pPr>
            <w:r w:rsidRPr="006D688A">
              <w:rPr>
                <w:rFonts w:cs="Arial"/>
                <w:sz w:val="18"/>
                <w:szCs w:val="18"/>
              </w:rPr>
              <w:t> </w:t>
            </w:r>
          </w:p>
        </w:tc>
        <w:tc>
          <w:tcPr>
            <w:tcW w:w="1037" w:type="dxa"/>
            <w:tcBorders>
              <w:top w:val="nil"/>
              <w:left w:val="nil"/>
              <w:bottom w:val="nil"/>
              <w:right w:val="nil"/>
            </w:tcBorders>
            <w:shd w:val="clear" w:color="FFFFFF" w:fill="FFFFFF"/>
            <w:noWrap/>
            <w:vAlign w:val="bottom"/>
            <w:hideMark/>
          </w:tcPr>
          <w:p w14:paraId="5D128B99"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2B82666B" w14:textId="77777777" w:rsidR="00520333" w:rsidRPr="006D688A" w:rsidRDefault="00520333" w:rsidP="005E5E0C">
            <w:pPr>
              <w:spacing w:after="0"/>
              <w:rPr>
                <w:rFonts w:cs="Arial"/>
                <w:sz w:val="18"/>
                <w:szCs w:val="18"/>
              </w:rPr>
            </w:pPr>
            <w:r w:rsidRPr="006D688A">
              <w:rPr>
                <w:rFonts w:cs="Arial"/>
                <w:sz w:val="18"/>
                <w:szCs w:val="18"/>
              </w:rPr>
              <w:t> </w:t>
            </w:r>
          </w:p>
        </w:tc>
      </w:tr>
      <w:tr w:rsidR="00520333" w:rsidRPr="006D688A" w14:paraId="44B026C2" w14:textId="77777777" w:rsidTr="005E5E0C">
        <w:trPr>
          <w:trHeight w:val="250"/>
        </w:trPr>
        <w:tc>
          <w:tcPr>
            <w:tcW w:w="4488" w:type="dxa"/>
            <w:tcBorders>
              <w:top w:val="nil"/>
              <w:left w:val="nil"/>
              <w:bottom w:val="nil"/>
              <w:right w:val="nil"/>
            </w:tcBorders>
            <w:shd w:val="clear" w:color="FFFFFF" w:fill="FFFFFF"/>
            <w:vAlign w:val="bottom"/>
            <w:hideMark/>
          </w:tcPr>
          <w:p w14:paraId="432232FC" w14:textId="77777777" w:rsidR="00520333" w:rsidRPr="006D688A" w:rsidRDefault="00520333" w:rsidP="005E5E0C">
            <w:pPr>
              <w:spacing w:after="0"/>
              <w:rPr>
                <w:rFonts w:cs="Arial"/>
                <w:b/>
                <w:bCs/>
                <w:sz w:val="18"/>
                <w:szCs w:val="18"/>
              </w:rPr>
            </w:pPr>
            <w:r w:rsidRPr="006D688A">
              <w:rPr>
                <w:rFonts w:cs="Arial"/>
                <w:b/>
                <w:bCs/>
                <w:sz w:val="18"/>
                <w:szCs w:val="18"/>
              </w:rPr>
              <w:t>Cash used</w:t>
            </w:r>
          </w:p>
        </w:tc>
        <w:tc>
          <w:tcPr>
            <w:tcW w:w="723" w:type="dxa"/>
            <w:tcBorders>
              <w:top w:val="nil"/>
              <w:left w:val="nil"/>
              <w:bottom w:val="nil"/>
              <w:right w:val="nil"/>
            </w:tcBorders>
            <w:shd w:val="clear" w:color="FFFFFF" w:fill="FFFFFF"/>
            <w:noWrap/>
            <w:vAlign w:val="bottom"/>
            <w:hideMark/>
          </w:tcPr>
          <w:p w14:paraId="120AC24B"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67" w:type="dxa"/>
            <w:tcBorders>
              <w:top w:val="nil"/>
              <w:left w:val="nil"/>
              <w:bottom w:val="nil"/>
              <w:right w:val="nil"/>
            </w:tcBorders>
            <w:shd w:val="clear" w:color="FFFFFF" w:fill="FFFFFF"/>
            <w:noWrap/>
            <w:vAlign w:val="bottom"/>
            <w:hideMark/>
          </w:tcPr>
          <w:p w14:paraId="41CC7B6E"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5CA8100A"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nil"/>
              <w:left w:val="nil"/>
              <w:bottom w:val="nil"/>
              <w:right w:val="nil"/>
            </w:tcBorders>
            <w:shd w:val="clear" w:color="FFFFFF" w:fill="FFFFFF"/>
            <w:noWrap/>
            <w:vAlign w:val="bottom"/>
            <w:hideMark/>
          </w:tcPr>
          <w:p w14:paraId="367C2ABF"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5480B66E" w14:textId="77777777" w:rsidR="00520333" w:rsidRPr="006D688A" w:rsidRDefault="00520333" w:rsidP="005E5E0C">
            <w:pPr>
              <w:spacing w:after="0"/>
              <w:rPr>
                <w:rFonts w:cs="Arial"/>
                <w:sz w:val="18"/>
                <w:szCs w:val="18"/>
              </w:rPr>
            </w:pPr>
            <w:r w:rsidRPr="006D688A">
              <w:rPr>
                <w:rFonts w:cs="Arial"/>
                <w:sz w:val="18"/>
                <w:szCs w:val="18"/>
              </w:rPr>
              <w:t> </w:t>
            </w:r>
          </w:p>
        </w:tc>
        <w:tc>
          <w:tcPr>
            <w:tcW w:w="1037" w:type="dxa"/>
            <w:tcBorders>
              <w:top w:val="nil"/>
              <w:left w:val="nil"/>
              <w:bottom w:val="nil"/>
              <w:right w:val="nil"/>
            </w:tcBorders>
            <w:shd w:val="clear" w:color="FFFFFF" w:fill="FFFFFF"/>
            <w:noWrap/>
            <w:vAlign w:val="bottom"/>
            <w:hideMark/>
          </w:tcPr>
          <w:p w14:paraId="68E37A04"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79CCE668" w14:textId="77777777" w:rsidR="00520333" w:rsidRPr="006D688A" w:rsidRDefault="00520333" w:rsidP="005E5E0C">
            <w:pPr>
              <w:spacing w:after="0"/>
              <w:rPr>
                <w:rFonts w:cs="Arial"/>
                <w:sz w:val="18"/>
                <w:szCs w:val="18"/>
              </w:rPr>
            </w:pPr>
            <w:r w:rsidRPr="006D688A">
              <w:rPr>
                <w:rFonts w:cs="Arial"/>
                <w:sz w:val="18"/>
                <w:szCs w:val="18"/>
              </w:rPr>
              <w:t> </w:t>
            </w:r>
          </w:p>
        </w:tc>
      </w:tr>
      <w:tr w:rsidR="00520333" w:rsidRPr="006D688A" w14:paraId="21161451" w14:textId="77777777" w:rsidTr="005E5E0C">
        <w:trPr>
          <w:trHeight w:val="250"/>
        </w:trPr>
        <w:tc>
          <w:tcPr>
            <w:tcW w:w="4488" w:type="dxa"/>
            <w:tcBorders>
              <w:top w:val="nil"/>
              <w:left w:val="nil"/>
              <w:bottom w:val="nil"/>
              <w:right w:val="nil"/>
            </w:tcBorders>
            <w:shd w:val="clear" w:color="FFFFFF" w:fill="FFFFFF"/>
            <w:vAlign w:val="bottom"/>
            <w:hideMark/>
          </w:tcPr>
          <w:p w14:paraId="34CBA76F" w14:textId="77777777" w:rsidR="00520333" w:rsidRPr="006D688A" w:rsidRDefault="00520333" w:rsidP="005E5E0C">
            <w:pPr>
              <w:spacing w:after="0"/>
              <w:ind w:firstLineChars="100" w:firstLine="180"/>
              <w:rPr>
                <w:rFonts w:cs="Arial"/>
                <w:sz w:val="18"/>
                <w:szCs w:val="18"/>
              </w:rPr>
            </w:pPr>
            <w:r w:rsidRPr="006D688A">
              <w:rPr>
                <w:rFonts w:cs="Arial"/>
                <w:sz w:val="18"/>
                <w:szCs w:val="18"/>
              </w:rPr>
              <w:t>Principal payments of lease liabilities</w:t>
            </w:r>
          </w:p>
        </w:tc>
        <w:tc>
          <w:tcPr>
            <w:tcW w:w="723" w:type="dxa"/>
            <w:tcBorders>
              <w:top w:val="nil"/>
              <w:left w:val="nil"/>
              <w:bottom w:val="nil"/>
              <w:right w:val="nil"/>
            </w:tcBorders>
            <w:shd w:val="clear" w:color="FFFFFF" w:fill="FFFFFF"/>
            <w:noWrap/>
            <w:vAlign w:val="bottom"/>
            <w:hideMark/>
          </w:tcPr>
          <w:p w14:paraId="03E327B1"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67" w:type="dxa"/>
            <w:tcBorders>
              <w:top w:val="nil"/>
              <w:left w:val="nil"/>
              <w:bottom w:val="nil"/>
              <w:right w:val="nil"/>
            </w:tcBorders>
            <w:shd w:val="clear" w:color="FFFFFF" w:fill="FFFFFF"/>
            <w:noWrap/>
            <w:vAlign w:val="bottom"/>
            <w:hideMark/>
          </w:tcPr>
          <w:p w14:paraId="3C766706" w14:textId="77777777" w:rsidR="00520333" w:rsidRPr="006D688A" w:rsidRDefault="00520333" w:rsidP="005E5E0C">
            <w:pPr>
              <w:spacing w:after="0"/>
              <w:jc w:val="right"/>
              <w:rPr>
                <w:rFonts w:cs="Arial"/>
                <w:b/>
                <w:bCs/>
                <w:sz w:val="18"/>
                <w:szCs w:val="18"/>
              </w:rPr>
            </w:pPr>
            <w:r w:rsidRPr="006D688A">
              <w:rPr>
                <w:rFonts w:cs="Arial"/>
                <w:b/>
                <w:bCs/>
                <w:sz w:val="18"/>
                <w:szCs w:val="18"/>
              </w:rPr>
              <w:t>26,694</w:t>
            </w:r>
          </w:p>
        </w:tc>
        <w:tc>
          <w:tcPr>
            <w:tcW w:w="236" w:type="dxa"/>
            <w:tcBorders>
              <w:top w:val="nil"/>
              <w:left w:val="nil"/>
              <w:bottom w:val="nil"/>
              <w:right w:val="nil"/>
            </w:tcBorders>
            <w:shd w:val="clear" w:color="FFFFFF" w:fill="FFFFFF"/>
            <w:noWrap/>
            <w:vAlign w:val="bottom"/>
            <w:hideMark/>
          </w:tcPr>
          <w:p w14:paraId="255B3416"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nil"/>
              <w:left w:val="nil"/>
              <w:bottom w:val="nil"/>
              <w:right w:val="nil"/>
            </w:tcBorders>
            <w:shd w:val="clear" w:color="FFFFFF" w:fill="FFFFFF"/>
            <w:noWrap/>
            <w:vAlign w:val="bottom"/>
            <w:hideMark/>
          </w:tcPr>
          <w:p w14:paraId="36EA00D7" w14:textId="77777777" w:rsidR="00520333" w:rsidRPr="006D688A" w:rsidRDefault="00520333" w:rsidP="005E5E0C">
            <w:pPr>
              <w:spacing w:after="0"/>
              <w:jc w:val="right"/>
              <w:rPr>
                <w:rFonts w:cs="Arial"/>
                <w:sz w:val="18"/>
                <w:szCs w:val="18"/>
              </w:rPr>
            </w:pPr>
            <w:r w:rsidRPr="006D688A">
              <w:rPr>
                <w:rFonts w:cs="Arial"/>
                <w:sz w:val="18"/>
                <w:szCs w:val="18"/>
              </w:rPr>
              <w:t>38,744</w:t>
            </w:r>
          </w:p>
        </w:tc>
        <w:tc>
          <w:tcPr>
            <w:tcW w:w="236" w:type="dxa"/>
            <w:tcBorders>
              <w:top w:val="nil"/>
              <w:left w:val="nil"/>
              <w:bottom w:val="nil"/>
              <w:right w:val="nil"/>
            </w:tcBorders>
            <w:shd w:val="clear" w:color="FFFFFF" w:fill="FFFFFF"/>
            <w:noWrap/>
            <w:vAlign w:val="bottom"/>
            <w:hideMark/>
          </w:tcPr>
          <w:p w14:paraId="4A2F1192" w14:textId="77777777" w:rsidR="00520333" w:rsidRPr="006D688A" w:rsidRDefault="00520333" w:rsidP="005E5E0C">
            <w:pPr>
              <w:spacing w:after="0"/>
              <w:rPr>
                <w:rFonts w:cs="Arial"/>
                <w:sz w:val="18"/>
                <w:szCs w:val="18"/>
              </w:rPr>
            </w:pPr>
            <w:r w:rsidRPr="006D688A">
              <w:rPr>
                <w:rFonts w:cs="Arial"/>
                <w:sz w:val="18"/>
                <w:szCs w:val="18"/>
              </w:rPr>
              <w:t> </w:t>
            </w:r>
          </w:p>
        </w:tc>
        <w:tc>
          <w:tcPr>
            <w:tcW w:w="1037" w:type="dxa"/>
            <w:tcBorders>
              <w:top w:val="nil"/>
              <w:left w:val="nil"/>
              <w:bottom w:val="nil"/>
              <w:right w:val="nil"/>
            </w:tcBorders>
            <w:shd w:val="clear" w:color="FFFFFF" w:fill="FFFFFF"/>
            <w:noWrap/>
            <w:vAlign w:val="bottom"/>
            <w:hideMark/>
          </w:tcPr>
          <w:p w14:paraId="0AC1E33C" w14:textId="77777777" w:rsidR="00520333" w:rsidRPr="006D688A" w:rsidRDefault="00520333" w:rsidP="005E5E0C">
            <w:pPr>
              <w:spacing w:after="0"/>
              <w:jc w:val="right"/>
              <w:rPr>
                <w:rFonts w:cs="Arial"/>
                <w:sz w:val="18"/>
                <w:szCs w:val="18"/>
              </w:rPr>
            </w:pPr>
            <w:r w:rsidRPr="006D688A">
              <w:rPr>
                <w:rFonts w:cs="Arial"/>
                <w:sz w:val="18"/>
                <w:szCs w:val="18"/>
              </w:rPr>
              <w:t>42,661</w:t>
            </w:r>
          </w:p>
        </w:tc>
        <w:tc>
          <w:tcPr>
            <w:tcW w:w="236" w:type="dxa"/>
            <w:tcBorders>
              <w:top w:val="nil"/>
              <w:left w:val="nil"/>
              <w:bottom w:val="nil"/>
              <w:right w:val="nil"/>
            </w:tcBorders>
            <w:shd w:val="clear" w:color="FFFFFF" w:fill="FFFFFF"/>
            <w:noWrap/>
            <w:vAlign w:val="bottom"/>
            <w:hideMark/>
          </w:tcPr>
          <w:p w14:paraId="4B373C6E" w14:textId="77777777" w:rsidR="00520333" w:rsidRPr="006D688A" w:rsidRDefault="00520333" w:rsidP="005E5E0C">
            <w:pPr>
              <w:spacing w:after="0"/>
              <w:rPr>
                <w:rFonts w:cs="Arial"/>
                <w:sz w:val="18"/>
                <w:szCs w:val="18"/>
              </w:rPr>
            </w:pPr>
            <w:r w:rsidRPr="006D688A">
              <w:rPr>
                <w:rFonts w:cs="Arial"/>
                <w:sz w:val="18"/>
                <w:szCs w:val="18"/>
              </w:rPr>
              <w:t> </w:t>
            </w:r>
          </w:p>
        </w:tc>
      </w:tr>
      <w:tr w:rsidR="00520333" w:rsidRPr="006D688A" w14:paraId="3CA29F92" w14:textId="77777777" w:rsidTr="005E5E0C">
        <w:trPr>
          <w:trHeight w:val="250"/>
        </w:trPr>
        <w:tc>
          <w:tcPr>
            <w:tcW w:w="4488" w:type="dxa"/>
            <w:tcBorders>
              <w:top w:val="nil"/>
              <w:left w:val="nil"/>
              <w:bottom w:val="nil"/>
              <w:right w:val="nil"/>
            </w:tcBorders>
            <w:shd w:val="clear" w:color="FFFFFF" w:fill="FFFFFF"/>
            <w:vAlign w:val="bottom"/>
            <w:hideMark/>
          </w:tcPr>
          <w:p w14:paraId="67161E6C" w14:textId="77777777" w:rsidR="00520333" w:rsidRPr="006D688A" w:rsidRDefault="00520333" w:rsidP="005E5E0C">
            <w:pPr>
              <w:spacing w:after="0"/>
              <w:rPr>
                <w:rFonts w:cs="Arial"/>
                <w:b/>
                <w:bCs/>
                <w:sz w:val="18"/>
                <w:szCs w:val="18"/>
              </w:rPr>
            </w:pPr>
            <w:r w:rsidRPr="006D688A">
              <w:rPr>
                <w:rFonts w:cs="Arial"/>
                <w:b/>
                <w:bCs/>
                <w:sz w:val="18"/>
                <w:szCs w:val="18"/>
              </w:rPr>
              <w:t>Total cash used</w:t>
            </w:r>
          </w:p>
        </w:tc>
        <w:tc>
          <w:tcPr>
            <w:tcW w:w="723" w:type="dxa"/>
            <w:tcBorders>
              <w:top w:val="nil"/>
              <w:left w:val="nil"/>
              <w:bottom w:val="nil"/>
              <w:right w:val="nil"/>
            </w:tcBorders>
            <w:shd w:val="clear" w:color="FFFFFF" w:fill="FFFFFF"/>
            <w:noWrap/>
            <w:vAlign w:val="bottom"/>
            <w:hideMark/>
          </w:tcPr>
          <w:p w14:paraId="5699FB83"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67" w:type="dxa"/>
            <w:tcBorders>
              <w:top w:val="single" w:sz="4" w:space="0" w:color="auto"/>
              <w:left w:val="nil"/>
              <w:bottom w:val="single" w:sz="4" w:space="0" w:color="auto"/>
              <w:right w:val="nil"/>
            </w:tcBorders>
            <w:shd w:val="clear" w:color="FFFFFF" w:fill="FFFFFF"/>
            <w:noWrap/>
            <w:vAlign w:val="bottom"/>
            <w:hideMark/>
          </w:tcPr>
          <w:p w14:paraId="6C52A81B" w14:textId="77777777" w:rsidR="00520333" w:rsidRPr="006D688A" w:rsidRDefault="00520333" w:rsidP="005E5E0C">
            <w:pPr>
              <w:spacing w:after="0"/>
              <w:jc w:val="right"/>
              <w:rPr>
                <w:rFonts w:cs="Arial"/>
                <w:b/>
                <w:bCs/>
                <w:sz w:val="18"/>
                <w:szCs w:val="18"/>
              </w:rPr>
            </w:pPr>
            <w:r w:rsidRPr="006D688A">
              <w:rPr>
                <w:rFonts w:cs="Arial"/>
                <w:b/>
                <w:bCs/>
                <w:sz w:val="18"/>
                <w:szCs w:val="18"/>
              </w:rPr>
              <w:t>26,694</w:t>
            </w:r>
          </w:p>
        </w:tc>
        <w:tc>
          <w:tcPr>
            <w:tcW w:w="236" w:type="dxa"/>
            <w:tcBorders>
              <w:top w:val="nil"/>
              <w:left w:val="nil"/>
              <w:bottom w:val="nil"/>
              <w:right w:val="nil"/>
            </w:tcBorders>
            <w:shd w:val="clear" w:color="FFFFFF" w:fill="FFFFFF"/>
            <w:noWrap/>
            <w:vAlign w:val="bottom"/>
            <w:hideMark/>
          </w:tcPr>
          <w:p w14:paraId="3A07F3A4"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single" w:sz="4" w:space="0" w:color="auto"/>
              <w:left w:val="nil"/>
              <w:bottom w:val="single" w:sz="4" w:space="0" w:color="auto"/>
              <w:right w:val="nil"/>
            </w:tcBorders>
            <w:shd w:val="clear" w:color="FFFFFF" w:fill="FFFFFF"/>
            <w:noWrap/>
            <w:vAlign w:val="bottom"/>
            <w:hideMark/>
          </w:tcPr>
          <w:p w14:paraId="5E1AC0B4" w14:textId="77777777" w:rsidR="00520333" w:rsidRPr="006D688A" w:rsidRDefault="00520333" w:rsidP="005E5E0C">
            <w:pPr>
              <w:spacing w:after="0"/>
              <w:jc w:val="right"/>
              <w:rPr>
                <w:rFonts w:cs="Arial"/>
                <w:sz w:val="18"/>
                <w:szCs w:val="18"/>
              </w:rPr>
            </w:pPr>
            <w:r w:rsidRPr="006D688A">
              <w:rPr>
                <w:rFonts w:cs="Arial"/>
                <w:sz w:val="18"/>
                <w:szCs w:val="18"/>
              </w:rPr>
              <w:t>38,744</w:t>
            </w:r>
          </w:p>
        </w:tc>
        <w:tc>
          <w:tcPr>
            <w:tcW w:w="236" w:type="dxa"/>
            <w:tcBorders>
              <w:top w:val="nil"/>
              <w:left w:val="nil"/>
              <w:bottom w:val="nil"/>
              <w:right w:val="nil"/>
            </w:tcBorders>
            <w:shd w:val="clear" w:color="FFFFFF" w:fill="FFFFFF"/>
            <w:noWrap/>
            <w:vAlign w:val="bottom"/>
            <w:hideMark/>
          </w:tcPr>
          <w:p w14:paraId="435FA955" w14:textId="77777777" w:rsidR="00520333" w:rsidRPr="006D688A" w:rsidRDefault="00520333" w:rsidP="005E5E0C">
            <w:pPr>
              <w:spacing w:after="0"/>
              <w:rPr>
                <w:rFonts w:cs="Arial"/>
                <w:sz w:val="18"/>
                <w:szCs w:val="18"/>
              </w:rPr>
            </w:pPr>
            <w:r w:rsidRPr="006D688A">
              <w:rPr>
                <w:rFonts w:cs="Arial"/>
                <w:sz w:val="18"/>
                <w:szCs w:val="18"/>
              </w:rPr>
              <w:t> </w:t>
            </w:r>
          </w:p>
        </w:tc>
        <w:tc>
          <w:tcPr>
            <w:tcW w:w="1037" w:type="dxa"/>
            <w:tcBorders>
              <w:top w:val="single" w:sz="4" w:space="0" w:color="auto"/>
              <w:left w:val="nil"/>
              <w:bottom w:val="single" w:sz="4" w:space="0" w:color="auto"/>
              <w:right w:val="nil"/>
            </w:tcBorders>
            <w:shd w:val="clear" w:color="FFFFFF" w:fill="FFFFFF"/>
            <w:noWrap/>
            <w:vAlign w:val="bottom"/>
            <w:hideMark/>
          </w:tcPr>
          <w:p w14:paraId="47F009F4" w14:textId="77777777" w:rsidR="00520333" w:rsidRPr="006D688A" w:rsidRDefault="00520333" w:rsidP="005E5E0C">
            <w:pPr>
              <w:spacing w:after="0"/>
              <w:jc w:val="right"/>
              <w:rPr>
                <w:rFonts w:cs="Arial"/>
                <w:sz w:val="18"/>
                <w:szCs w:val="18"/>
              </w:rPr>
            </w:pPr>
            <w:r w:rsidRPr="006D688A">
              <w:rPr>
                <w:rFonts w:cs="Arial"/>
                <w:sz w:val="18"/>
                <w:szCs w:val="18"/>
              </w:rPr>
              <w:t>42,661</w:t>
            </w:r>
          </w:p>
        </w:tc>
        <w:tc>
          <w:tcPr>
            <w:tcW w:w="236" w:type="dxa"/>
            <w:tcBorders>
              <w:top w:val="nil"/>
              <w:left w:val="nil"/>
              <w:bottom w:val="nil"/>
              <w:right w:val="nil"/>
            </w:tcBorders>
            <w:shd w:val="clear" w:color="FFFFFF" w:fill="FFFFFF"/>
            <w:noWrap/>
            <w:vAlign w:val="bottom"/>
            <w:hideMark/>
          </w:tcPr>
          <w:p w14:paraId="5EBABAF1" w14:textId="77777777" w:rsidR="00520333" w:rsidRPr="006D688A" w:rsidRDefault="00520333" w:rsidP="005E5E0C">
            <w:pPr>
              <w:spacing w:after="0"/>
              <w:rPr>
                <w:rFonts w:cs="Arial"/>
                <w:sz w:val="18"/>
                <w:szCs w:val="18"/>
              </w:rPr>
            </w:pPr>
            <w:r w:rsidRPr="006D688A">
              <w:rPr>
                <w:rFonts w:cs="Arial"/>
                <w:sz w:val="18"/>
                <w:szCs w:val="18"/>
              </w:rPr>
              <w:t> </w:t>
            </w:r>
          </w:p>
        </w:tc>
      </w:tr>
      <w:tr w:rsidR="00520333" w:rsidRPr="006D688A" w14:paraId="7E17D7B4" w14:textId="77777777" w:rsidTr="005E5E0C">
        <w:trPr>
          <w:trHeight w:val="270"/>
        </w:trPr>
        <w:tc>
          <w:tcPr>
            <w:tcW w:w="4488" w:type="dxa"/>
            <w:tcBorders>
              <w:top w:val="nil"/>
              <w:left w:val="nil"/>
              <w:bottom w:val="nil"/>
              <w:right w:val="nil"/>
            </w:tcBorders>
            <w:shd w:val="clear" w:color="FFFFFF" w:fill="FFFFFF"/>
            <w:vAlign w:val="bottom"/>
            <w:hideMark/>
          </w:tcPr>
          <w:p w14:paraId="45D06CB8" w14:textId="77777777" w:rsidR="00520333" w:rsidRPr="006D688A" w:rsidRDefault="00520333" w:rsidP="005E5E0C">
            <w:pPr>
              <w:spacing w:after="0"/>
              <w:rPr>
                <w:rFonts w:cs="Arial"/>
                <w:b/>
                <w:bCs/>
                <w:sz w:val="18"/>
                <w:szCs w:val="18"/>
              </w:rPr>
            </w:pPr>
            <w:r w:rsidRPr="006D688A">
              <w:rPr>
                <w:rFonts w:cs="Arial"/>
                <w:b/>
                <w:bCs/>
                <w:sz w:val="18"/>
                <w:szCs w:val="18"/>
              </w:rPr>
              <w:t>Net cash from / (used by) financing activities</w:t>
            </w:r>
          </w:p>
        </w:tc>
        <w:tc>
          <w:tcPr>
            <w:tcW w:w="723" w:type="dxa"/>
            <w:tcBorders>
              <w:top w:val="nil"/>
              <w:left w:val="nil"/>
              <w:bottom w:val="nil"/>
              <w:right w:val="nil"/>
            </w:tcBorders>
            <w:shd w:val="clear" w:color="FFFFFF" w:fill="FFFFFF"/>
            <w:noWrap/>
            <w:vAlign w:val="bottom"/>
            <w:hideMark/>
          </w:tcPr>
          <w:p w14:paraId="67E7B006"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67" w:type="dxa"/>
            <w:tcBorders>
              <w:top w:val="nil"/>
              <w:left w:val="nil"/>
              <w:bottom w:val="single" w:sz="4" w:space="0" w:color="auto"/>
              <w:right w:val="nil"/>
            </w:tcBorders>
            <w:shd w:val="clear" w:color="FFFFFF" w:fill="FFFFFF"/>
            <w:noWrap/>
            <w:vAlign w:val="bottom"/>
            <w:hideMark/>
          </w:tcPr>
          <w:p w14:paraId="3E58C693" w14:textId="77777777" w:rsidR="00520333" w:rsidRPr="006D688A" w:rsidRDefault="00520333" w:rsidP="005E5E0C">
            <w:pPr>
              <w:spacing w:after="0"/>
              <w:jc w:val="right"/>
              <w:rPr>
                <w:rFonts w:cs="Arial"/>
                <w:b/>
                <w:bCs/>
                <w:sz w:val="18"/>
                <w:szCs w:val="18"/>
              </w:rPr>
            </w:pPr>
            <w:r w:rsidRPr="006D688A">
              <w:rPr>
                <w:rFonts w:cs="Arial"/>
                <w:b/>
                <w:bCs/>
                <w:sz w:val="18"/>
                <w:szCs w:val="18"/>
              </w:rPr>
              <w:t>(26,694)</w:t>
            </w:r>
          </w:p>
        </w:tc>
        <w:tc>
          <w:tcPr>
            <w:tcW w:w="236" w:type="dxa"/>
            <w:tcBorders>
              <w:top w:val="nil"/>
              <w:left w:val="nil"/>
              <w:bottom w:val="nil"/>
              <w:right w:val="nil"/>
            </w:tcBorders>
            <w:shd w:val="clear" w:color="FFFFFF" w:fill="FFFFFF"/>
            <w:noWrap/>
            <w:vAlign w:val="bottom"/>
            <w:hideMark/>
          </w:tcPr>
          <w:p w14:paraId="6EC6BA8F"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nil"/>
              <w:left w:val="nil"/>
              <w:bottom w:val="single" w:sz="4" w:space="0" w:color="auto"/>
              <w:right w:val="nil"/>
            </w:tcBorders>
            <w:shd w:val="clear" w:color="FFFFFF" w:fill="FFFFFF"/>
            <w:noWrap/>
            <w:vAlign w:val="bottom"/>
            <w:hideMark/>
          </w:tcPr>
          <w:p w14:paraId="58EFF2E3" w14:textId="77777777" w:rsidR="00520333" w:rsidRPr="006D688A" w:rsidRDefault="00520333" w:rsidP="005E5E0C">
            <w:pPr>
              <w:spacing w:after="0"/>
              <w:jc w:val="right"/>
              <w:rPr>
                <w:rFonts w:cs="Arial"/>
                <w:sz w:val="18"/>
                <w:szCs w:val="18"/>
              </w:rPr>
            </w:pPr>
            <w:r w:rsidRPr="006D688A">
              <w:rPr>
                <w:rFonts w:cs="Arial"/>
                <w:sz w:val="18"/>
                <w:szCs w:val="18"/>
              </w:rPr>
              <w:t>(38,744)</w:t>
            </w:r>
          </w:p>
        </w:tc>
        <w:tc>
          <w:tcPr>
            <w:tcW w:w="236" w:type="dxa"/>
            <w:tcBorders>
              <w:top w:val="nil"/>
              <w:left w:val="nil"/>
              <w:bottom w:val="nil"/>
              <w:right w:val="nil"/>
            </w:tcBorders>
            <w:shd w:val="clear" w:color="FFFFFF" w:fill="FFFFFF"/>
            <w:noWrap/>
            <w:vAlign w:val="bottom"/>
            <w:hideMark/>
          </w:tcPr>
          <w:p w14:paraId="0845E0E2" w14:textId="77777777" w:rsidR="00520333" w:rsidRPr="006D688A" w:rsidRDefault="00520333" w:rsidP="005E5E0C">
            <w:pPr>
              <w:spacing w:after="0"/>
              <w:rPr>
                <w:rFonts w:cs="Arial"/>
                <w:sz w:val="18"/>
                <w:szCs w:val="18"/>
              </w:rPr>
            </w:pPr>
            <w:r w:rsidRPr="006D688A">
              <w:rPr>
                <w:rFonts w:cs="Arial"/>
                <w:sz w:val="18"/>
                <w:szCs w:val="18"/>
              </w:rPr>
              <w:t> </w:t>
            </w:r>
          </w:p>
        </w:tc>
        <w:tc>
          <w:tcPr>
            <w:tcW w:w="1037" w:type="dxa"/>
            <w:tcBorders>
              <w:top w:val="nil"/>
              <w:left w:val="nil"/>
              <w:bottom w:val="single" w:sz="4" w:space="0" w:color="auto"/>
              <w:right w:val="nil"/>
            </w:tcBorders>
            <w:shd w:val="clear" w:color="FFFFFF" w:fill="FFFFFF"/>
            <w:noWrap/>
            <w:vAlign w:val="bottom"/>
            <w:hideMark/>
          </w:tcPr>
          <w:p w14:paraId="7BD0FF96" w14:textId="77777777" w:rsidR="00520333" w:rsidRPr="006D688A" w:rsidRDefault="00520333" w:rsidP="005E5E0C">
            <w:pPr>
              <w:spacing w:after="0"/>
              <w:jc w:val="right"/>
              <w:rPr>
                <w:rFonts w:cs="Arial"/>
                <w:sz w:val="18"/>
                <w:szCs w:val="18"/>
              </w:rPr>
            </w:pPr>
            <w:r w:rsidRPr="006D688A">
              <w:rPr>
                <w:rFonts w:cs="Arial"/>
                <w:sz w:val="18"/>
                <w:szCs w:val="18"/>
              </w:rPr>
              <w:t>(42,661)</w:t>
            </w:r>
          </w:p>
        </w:tc>
        <w:tc>
          <w:tcPr>
            <w:tcW w:w="236" w:type="dxa"/>
            <w:tcBorders>
              <w:top w:val="nil"/>
              <w:left w:val="nil"/>
              <w:bottom w:val="nil"/>
              <w:right w:val="nil"/>
            </w:tcBorders>
            <w:shd w:val="clear" w:color="FFFFFF" w:fill="FFFFFF"/>
            <w:noWrap/>
            <w:vAlign w:val="bottom"/>
            <w:hideMark/>
          </w:tcPr>
          <w:p w14:paraId="1BEA1442" w14:textId="77777777" w:rsidR="00520333" w:rsidRPr="006D688A" w:rsidRDefault="00520333" w:rsidP="005E5E0C">
            <w:pPr>
              <w:spacing w:after="0"/>
              <w:rPr>
                <w:rFonts w:cs="Arial"/>
                <w:sz w:val="18"/>
                <w:szCs w:val="18"/>
              </w:rPr>
            </w:pPr>
            <w:r w:rsidRPr="006D688A">
              <w:rPr>
                <w:rFonts w:cs="Arial"/>
                <w:sz w:val="18"/>
                <w:szCs w:val="18"/>
                <w:vertAlign w:val="superscript"/>
              </w:rPr>
              <w:t> </w:t>
            </w:r>
          </w:p>
        </w:tc>
      </w:tr>
      <w:tr w:rsidR="00520333" w:rsidRPr="006D688A" w14:paraId="3D342CB3" w14:textId="77777777" w:rsidTr="005E5E0C">
        <w:trPr>
          <w:trHeight w:val="133"/>
        </w:trPr>
        <w:tc>
          <w:tcPr>
            <w:tcW w:w="4488" w:type="dxa"/>
            <w:tcBorders>
              <w:top w:val="nil"/>
              <w:left w:val="nil"/>
              <w:bottom w:val="nil"/>
              <w:right w:val="nil"/>
            </w:tcBorders>
            <w:shd w:val="clear" w:color="FFFFFF" w:fill="FFFFFF"/>
            <w:noWrap/>
            <w:vAlign w:val="bottom"/>
            <w:hideMark/>
          </w:tcPr>
          <w:p w14:paraId="73BB0947" w14:textId="77777777" w:rsidR="00520333" w:rsidRPr="006D688A" w:rsidRDefault="00520333" w:rsidP="005E5E0C">
            <w:pPr>
              <w:spacing w:after="0"/>
              <w:rPr>
                <w:rFonts w:cs="Arial"/>
                <w:sz w:val="18"/>
                <w:szCs w:val="18"/>
              </w:rPr>
            </w:pPr>
            <w:r w:rsidRPr="006D688A">
              <w:rPr>
                <w:rFonts w:cs="Arial"/>
                <w:sz w:val="18"/>
                <w:szCs w:val="18"/>
              </w:rPr>
              <w:t> </w:t>
            </w:r>
          </w:p>
        </w:tc>
        <w:tc>
          <w:tcPr>
            <w:tcW w:w="723" w:type="dxa"/>
            <w:tcBorders>
              <w:top w:val="nil"/>
              <w:left w:val="nil"/>
              <w:bottom w:val="nil"/>
              <w:right w:val="nil"/>
            </w:tcBorders>
            <w:shd w:val="clear" w:color="FFFFFF" w:fill="FFFFFF"/>
            <w:noWrap/>
            <w:vAlign w:val="bottom"/>
            <w:hideMark/>
          </w:tcPr>
          <w:p w14:paraId="695FD06B"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67" w:type="dxa"/>
            <w:tcBorders>
              <w:top w:val="nil"/>
              <w:left w:val="nil"/>
              <w:bottom w:val="nil"/>
              <w:right w:val="nil"/>
            </w:tcBorders>
            <w:shd w:val="clear" w:color="FFFFFF" w:fill="FFFFFF"/>
            <w:noWrap/>
            <w:vAlign w:val="bottom"/>
            <w:hideMark/>
          </w:tcPr>
          <w:p w14:paraId="1BCB7ACE"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6832F3D2"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nil"/>
              <w:left w:val="nil"/>
              <w:bottom w:val="nil"/>
              <w:right w:val="nil"/>
            </w:tcBorders>
            <w:shd w:val="clear" w:color="FFFFFF" w:fill="FFFFFF"/>
            <w:noWrap/>
            <w:vAlign w:val="bottom"/>
            <w:hideMark/>
          </w:tcPr>
          <w:p w14:paraId="05C0A7F8"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4AF87F0E" w14:textId="77777777" w:rsidR="00520333" w:rsidRPr="006D688A" w:rsidRDefault="00520333" w:rsidP="005E5E0C">
            <w:pPr>
              <w:spacing w:after="0"/>
              <w:rPr>
                <w:rFonts w:cs="Arial"/>
                <w:sz w:val="18"/>
                <w:szCs w:val="18"/>
              </w:rPr>
            </w:pPr>
            <w:r w:rsidRPr="006D688A">
              <w:rPr>
                <w:rFonts w:cs="Arial"/>
                <w:sz w:val="18"/>
                <w:szCs w:val="18"/>
              </w:rPr>
              <w:t> </w:t>
            </w:r>
          </w:p>
        </w:tc>
        <w:tc>
          <w:tcPr>
            <w:tcW w:w="1037" w:type="dxa"/>
            <w:tcBorders>
              <w:top w:val="nil"/>
              <w:left w:val="nil"/>
              <w:bottom w:val="nil"/>
              <w:right w:val="nil"/>
            </w:tcBorders>
            <w:shd w:val="clear" w:color="FFFFFF" w:fill="FFFFFF"/>
            <w:noWrap/>
            <w:vAlign w:val="bottom"/>
            <w:hideMark/>
          </w:tcPr>
          <w:p w14:paraId="3A2F0B23" w14:textId="77777777" w:rsidR="00520333" w:rsidRPr="006D688A" w:rsidRDefault="00520333" w:rsidP="005E5E0C">
            <w:pPr>
              <w:spacing w:after="0"/>
              <w:rPr>
                <w:rFonts w:cs="Arial"/>
                <w:sz w:val="18"/>
                <w:szCs w:val="18"/>
              </w:rPr>
            </w:pPr>
            <w:r w:rsidRPr="006D688A">
              <w:rPr>
                <w:rFonts w:cs="Arial"/>
                <w:sz w:val="18"/>
                <w:szCs w:val="18"/>
              </w:rPr>
              <w:t> </w:t>
            </w:r>
          </w:p>
        </w:tc>
        <w:tc>
          <w:tcPr>
            <w:tcW w:w="236" w:type="dxa"/>
            <w:tcBorders>
              <w:top w:val="nil"/>
              <w:left w:val="nil"/>
              <w:bottom w:val="nil"/>
              <w:right w:val="nil"/>
            </w:tcBorders>
            <w:shd w:val="clear" w:color="FFFFFF" w:fill="FFFFFF"/>
            <w:noWrap/>
            <w:vAlign w:val="bottom"/>
            <w:hideMark/>
          </w:tcPr>
          <w:p w14:paraId="39CB0965" w14:textId="77777777" w:rsidR="00520333" w:rsidRPr="006D688A" w:rsidRDefault="00520333" w:rsidP="005E5E0C">
            <w:pPr>
              <w:spacing w:after="0"/>
              <w:rPr>
                <w:rFonts w:cs="Arial"/>
                <w:sz w:val="18"/>
                <w:szCs w:val="18"/>
              </w:rPr>
            </w:pPr>
            <w:r w:rsidRPr="006D688A">
              <w:rPr>
                <w:rFonts w:cs="Arial"/>
                <w:sz w:val="18"/>
                <w:szCs w:val="18"/>
              </w:rPr>
              <w:t> </w:t>
            </w:r>
          </w:p>
        </w:tc>
      </w:tr>
      <w:tr w:rsidR="00520333" w:rsidRPr="006D688A" w14:paraId="65B307EA" w14:textId="77777777" w:rsidTr="005E5E0C">
        <w:trPr>
          <w:trHeight w:val="250"/>
        </w:trPr>
        <w:tc>
          <w:tcPr>
            <w:tcW w:w="4488" w:type="dxa"/>
            <w:tcBorders>
              <w:top w:val="nil"/>
              <w:left w:val="nil"/>
              <w:bottom w:val="nil"/>
              <w:right w:val="nil"/>
            </w:tcBorders>
            <w:shd w:val="clear" w:color="FFFFFF" w:fill="FFFFFF"/>
            <w:vAlign w:val="bottom"/>
            <w:hideMark/>
          </w:tcPr>
          <w:p w14:paraId="15A3B409" w14:textId="77777777" w:rsidR="00520333" w:rsidRPr="006D688A" w:rsidRDefault="00520333" w:rsidP="005E5E0C">
            <w:pPr>
              <w:spacing w:after="0"/>
              <w:rPr>
                <w:rFonts w:cs="Arial"/>
                <w:b/>
                <w:bCs/>
                <w:sz w:val="18"/>
                <w:szCs w:val="18"/>
              </w:rPr>
            </w:pPr>
            <w:r w:rsidRPr="006D688A">
              <w:rPr>
                <w:rFonts w:cs="Arial"/>
                <w:b/>
                <w:bCs/>
                <w:sz w:val="18"/>
                <w:szCs w:val="18"/>
              </w:rPr>
              <w:t>Net increase / (decrease) in cash held</w:t>
            </w:r>
          </w:p>
        </w:tc>
        <w:tc>
          <w:tcPr>
            <w:tcW w:w="723" w:type="dxa"/>
            <w:tcBorders>
              <w:top w:val="nil"/>
              <w:left w:val="nil"/>
              <w:bottom w:val="nil"/>
              <w:right w:val="nil"/>
            </w:tcBorders>
            <w:shd w:val="clear" w:color="FFFFFF" w:fill="FFFFFF"/>
            <w:noWrap/>
            <w:vAlign w:val="bottom"/>
            <w:hideMark/>
          </w:tcPr>
          <w:p w14:paraId="443E6B0D"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67" w:type="dxa"/>
            <w:tcBorders>
              <w:top w:val="single" w:sz="4" w:space="0" w:color="auto"/>
              <w:left w:val="nil"/>
              <w:bottom w:val="single" w:sz="4" w:space="0" w:color="auto"/>
              <w:right w:val="nil"/>
            </w:tcBorders>
            <w:shd w:val="clear" w:color="FFFFFF" w:fill="FFFFFF"/>
            <w:noWrap/>
            <w:vAlign w:val="bottom"/>
            <w:hideMark/>
          </w:tcPr>
          <w:p w14:paraId="299DAAE4" w14:textId="77777777" w:rsidR="00520333" w:rsidRPr="006D688A" w:rsidRDefault="00520333" w:rsidP="005E5E0C">
            <w:pPr>
              <w:spacing w:after="0"/>
              <w:jc w:val="right"/>
              <w:rPr>
                <w:rFonts w:cs="Arial"/>
                <w:b/>
                <w:bCs/>
                <w:sz w:val="18"/>
                <w:szCs w:val="18"/>
              </w:rPr>
            </w:pPr>
            <w:r w:rsidRPr="006D688A">
              <w:rPr>
                <w:rFonts w:cs="Arial"/>
                <w:b/>
                <w:bCs/>
                <w:sz w:val="18"/>
                <w:szCs w:val="18"/>
              </w:rPr>
              <w:t>2,929,769</w:t>
            </w:r>
          </w:p>
        </w:tc>
        <w:tc>
          <w:tcPr>
            <w:tcW w:w="236" w:type="dxa"/>
            <w:tcBorders>
              <w:top w:val="nil"/>
              <w:left w:val="nil"/>
              <w:bottom w:val="nil"/>
              <w:right w:val="nil"/>
            </w:tcBorders>
            <w:shd w:val="clear" w:color="FFFFFF" w:fill="FFFFFF"/>
            <w:noWrap/>
            <w:vAlign w:val="bottom"/>
            <w:hideMark/>
          </w:tcPr>
          <w:p w14:paraId="20B1A627"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single" w:sz="4" w:space="0" w:color="auto"/>
              <w:left w:val="nil"/>
              <w:bottom w:val="single" w:sz="4" w:space="0" w:color="auto"/>
              <w:right w:val="nil"/>
            </w:tcBorders>
            <w:shd w:val="clear" w:color="FFFFFF" w:fill="FFFFFF"/>
            <w:noWrap/>
            <w:vAlign w:val="bottom"/>
            <w:hideMark/>
          </w:tcPr>
          <w:p w14:paraId="5A3FD7EB" w14:textId="77777777" w:rsidR="00520333" w:rsidRPr="006D688A" w:rsidRDefault="00520333" w:rsidP="005E5E0C">
            <w:pPr>
              <w:spacing w:after="0"/>
              <w:jc w:val="right"/>
              <w:rPr>
                <w:rFonts w:cs="Arial"/>
                <w:sz w:val="18"/>
                <w:szCs w:val="18"/>
              </w:rPr>
            </w:pPr>
            <w:r w:rsidRPr="006D688A">
              <w:rPr>
                <w:rFonts w:cs="Arial"/>
                <w:sz w:val="18"/>
                <w:szCs w:val="18"/>
              </w:rPr>
              <w:t>810,823</w:t>
            </w:r>
          </w:p>
        </w:tc>
        <w:tc>
          <w:tcPr>
            <w:tcW w:w="236" w:type="dxa"/>
            <w:tcBorders>
              <w:top w:val="nil"/>
              <w:left w:val="nil"/>
              <w:bottom w:val="nil"/>
              <w:right w:val="nil"/>
            </w:tcBorders>
            <w:shd w:val="clear" w:color="FFFFFF" w:fill="FFFFFF"/>
            <w:noWrap/>
            <w:vAlign w:val="bottom"/>
            <w:hideMark/>
          </w:tcPr>
          <w:p w14:paraId="5E4B4396" w14:textId="77777777" w:rsidR="00520333" w:rsidRPr="006D688A" w:rsidRDefault="00520333" w:rsidP="005E5E0C">
            <w:pPr>
              <w:spacing w:after="0"/>
              <w:rPr>
                <w:rFonts w:cs="Arial"/>
                <w:sz w:val="18"/>
                <w:szCs w:val="18"/>
              </w:rPr>
            </w:pPr>
            <w:r w:rsidRPr="006D688A">
              <w:rPr>
                <w:rFonts w:cs="Arial"/>
                <w:sz w:val="18"/>
                <w:szCs w:val="18"/>
              </w:rPr>
              <w:t> </w:t>
            </w:r>
          </w:p>
        </w:tc>
        <w:tc>
          <w:tcPr>
            <w:tcW w:w="1037" w:type="dxa"/>
            <w:tcBorders>
              <w:top w:val="single" w:sz="4" w:space="0" w:color="auto"/>
              <w:left w:val="nil"/>
              <w:bottom w:val="single" w:sz="4" w:space="0" w:color="auto"/>
              <w:right w:val="nil"/>
            </w:tcBorders>
            <w:shd w:val="clear" w:color="FFFFFF" w:fill="FFFFFF"/>
            <w:noWrap/>
            <w:vAlign w:val="bottom"/>
            <w:hideMark/>
          </w:tcPr>
          <w:p w14:paraId="086CBCF1" w14:textId="77777777" w:rsidR="00520333" w:rsidRPr="006D688A" w:rsidRDefault="00520333" w:rsidP="005E5E0C">
            <w:pPr>
              <w:spacing w:after="0"/>
              <w:jc w:val="right"/>
              <w:rPr>
                <w:rFonts w:cs="Arial"/>
                <w:sz w:val="18"/>
                <w:szCs w:val="18"/>
              </w:rPr>
            </w:pPr>
            <w:r w:rsidRPr="006D688A">
              <w:rPr>
                <w:rFonts w:cs="Arial"/>
                <w:sz w:val="18"/>
                <w:szCs w:val="18"/>
              </w:rPr>
              <w:t>-</w:t>
            </w:r>
          </w:p>
        </w:tc>
        <w:tc>
          <w:tcPr>
            <w:tcW w:w="236" w:type="dxa"/>
            <w:tcBorders>
              <w:top w:val="nil"/>
              <w:left w:val="nil"/>
              <w:bottom w:val="nil"/>
              <w:right w:val="nil"/>
            </w:tcBorders>
            <w:shd w:val="clear" w:color="FFFFFF" w:fill="FFFFFF"/>
            <w:noWrap/>
            <w:vAlign w:val="bottom"/>
            <w:hideMark/>
          </w:tcPr>
          <w:p w14:paraId="4E992F29" w14:textId="77777777" w:rsidR="00520333" w:rsidRPr="006D688A" w:rsidRDefault="00520333" w:rsidP="005E5E0C">
            <w:pPr>
              <w:spacing w:after="0"/>
              <w:rPr>
                <w:rFonts w:cs="Arial"/>
                <w:sz w:val="18"/>
                <w:szCs w:val="18"/>
              </w:rPr>
            </w:pPr>
            <w:r w:rsidRPr="006D688A">
              <w:rPr>
                <w:rFonts w:cs="Arial"/>
                <w:sz w:val="18"/>
                <w:szCs w:val="18"/>
              </w:rPr>
              <w:t> </w:t>
            </w:r>
          </w:p>
        </w:tc>
      </w:tr>
      <w:tr w:rsidR="00520333" w:rsidRPr="006D688A" w14:paraId="3BAFFB32" w14:textId="77777777" w:rsidTr="005E5E0C">
        <w:trPr>
          <w:trHeight w:val="450"/>
        </w:trPr>
        <w:tc>
          <w:tcPr>
            <w:tcW w:w="4488" w:type="dxa"/>
            <w:tcBorders>
              <w:top w:val="nil"/>
              <w:left w:val="nil"/>
              <w:bottom w:val="nil"/>
              <w:right w:val="nil"/>
            </w:tcBorders>
            <w:shd w:val="clear" w:color="FFFFFF" w:fill="FFFFFF"/>
            <w:vAlign w:val="bottom"/>
            <w:hideMark/>
          </w:tcPr>
          <w:p w14:paraId="20439BEA" w14:textId="77777777" w:rsidR="00520333" w:rsidRPr="006D688A" w:rsidRDefault="00520333" w:rsidP="005E5E0C">
            <w:pPr>
              <w:spacing w:after="0"/>
              <w:ind w:firstLineChars="100" w:firstLine="180"/>
              <w:rPr>
                <w:rFonts w:cs="Arial"/>
                <w:sz w:val="18"/>
                <w:szCs w:val="18"/>
              </w:rPr>
            </w:pPr>
            <w:r w:rsidRPr="006D688A">
              <w:rPr>
                <w:rFonts w:cs="Arial"/>
                <w:sz w:val="18"/>
                <w:szCs w:val="18"/>
              </w:rPr>
              <w:t xml:space="preserve">Cash and cash equivalents at the beginning of the </w:t>
            </w:r>
            <w:r w:rsidRPr="006D688A">
              <w:rPr>
                <w:rFonts w:cs="Arial"/>
                <w:sz w:val="18"/>
                <w:szCs w:val="18"/>
              </w:rPr>
              <w:br/>
              <w:t xml:space="preserve">    reporting period</w:t>
            </w:r>
          </w:p>
        </w:tc>
        <w:tc>
          <w:tcPr>
            <w:tcW w:w="723" w:type="dxa"/>
            <w:tcBorders>
              <w:top w:val="nil"/>
              <w:left w:val="nil"/>
              <w:bottom w:val="nil"/>
              <w:right w:val="nil"/>
            </w:tcBorders>
            <w:shd w:val="clear" w:color="FFFFFF" w:fill="FFFFFF"/>
            <w:noWrap/>
            <w:vAlign w:val="bottom"/>
            <w:hideMark/>
          </w:tcPr>
          <w:p w14:paraId="5CC115CE" w14:textId="77777777" w:rsidR="00520333" w:rsidRPr="006D688A" w:rsidRDefault="00520333" w:rsidP="005E5E0C">
            <w:pPr>
              <w:spacing w:after="0"/>
              <w:jc w:val="center"/>
              <w:rPr>
                <w:rFonts w:cs="Arial"/>
                <w:sz w:val="18"/>
                <w:szCs w:val="18"/>
              </w:rPr>
            </w:pPr>
            <w:r w:rsidRPr="006D688A">
              <w:rPr>
                <w:rFonts w:cs="Arial"/>
                <w:sz w:val="18"/>
                <w:szCs w:val="18"/>
              </w:rPr>
              <w:t> </w:t>
            </w:r>
          </w:p>
        </w:tc>
        <w:tc>
          <w:tcPr>
            <w:tcW w:w="1067" w:type="dxa"/>
            <w:tcBorders>
              <w:top w:val="nil"/>
              <w:left w:val="nil"/>
              <w:bottom w:val="nil"/>
              <w:right w:val="nil"/>
            </w:tcBorders>
            <w:shd w:val="clear" w:color="FFFFFF" w:fill="FFFFFF"/>
            <w:noWrap/>
            <w:vAlign w:val="bottom"/>
            <w:hideMark/>
          </w:tcPr>
          <w:p w14:paraId="766E69B5" w14:textId="77777777" w:rsidR="00520333" w:rsidRPr="006D688A" w:rsidRDefault="00520333" w:rsidP="005E5E0C">
            <w:pPr>
              <w:spacing w:after="0"/>
              <w:jc w:val="right"/>
              <w:rPr>
                <w:rFonts w:cs="Arial"/>
                <w:b/>
                <w:bCs/>
                <w:sz w:val="18"/>
                <w:szCs w:val="18"/>
              </w:rPr>
            </w:pPr>
            <w:r w:rsidRPr="006D688A">
              <w:rPr>
                <w:rFonts w:cs="Arial"/>
                <w:b/>
                <w:bCs/>
                <w:sz w:val="18"/>
                <w:szCs w:val="18"/>
              </w:rPr>
              <w:t>2,729,779</w:t>
            </w:r>
          </w:p>
        </w:tc>
        <w:tc>
          <w:tcPr>
            <w:tcW w:w="236" w:type="dxa"/>
            <w:tcBorders>
              <w:top w:val="nil"/>
              <w:left w:val="nil"/>
              <w:bottom w:val="nil"/>
              <w:right w:val="nil"/>
            </w:tcBorders>
            <w:shd w:val="clear" w:color="FFFFFF" w:fill="FFFFFF"/>
            <w:noWrap/>
            <w:vAlign w:val="bottom"/>
            <w:hideMark/>
          </w:tcPr>
          <w:p w14:paraId="04DA37D9"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nil"/>
              <w:left w:val="nil"/>
              <w:bottom w:val="nil"/>
              <w:right w:val="nil"/>
            </w:tcBorders>
            <w:shd w:val="clear" w:color="FFFFFF" w:fill="FFFFFF"/>
            <w:noWrap/>
            <w:vAlign w:val="bottom"/>
            <w:hideMark/>
          </w:tcPr>
          <w:p w14:paraId="429D334F" w14:textId="77777777" w:rsidR="00520333" w:rsidRPr="006D688A" w:rsidRDefault="00520333" w:rsidP="005E5E0C">
            <w:pPr>
              <w:spacing w:after="0"/>
              <w:jc w:val="right"/>
              <w:rPr>
                <w:rFonts w:cs="Arial"/>
                <w:sz w:val="18"/>
                <w:szCs w:val="18"/>
              </w:rPr>
            </w:pPr>
            <w:r w:rsidRPr="006D688A">
              <w:rPr>
                <w:rFonts w:cs="Arial"/>
                <w:sz w:val="18"/>
                <w:szCs w:val="18"/>
              </w:rPr>
              <w:t>1,918,956</w:t>
            </w:r>
          </w:p>
        </w:tc>
        <w:tc>
          <w:tcPr>
            <w:tcW w:w="236" w:type="dxa"/>
            <w:tcBorders>
              <w:top w:val="nil"/>
              <w:left w:val="nil"/>
              <w:bottom w:val="nil"/>
              <w:right w:val="nil"/>
            </w:tcBorders>
            <w:shd w:val="clear" w:color="FFFFFF" w:fill="FFFFFF"/>
            <w:noWrap/>
            <w:vAlign w:val="bottom"/>
            <w:hideMark/>
          </w:tcPr>
          <w:p w14:paraId="23C62F60" w14:textId="77777777" w:rsidR="00520333" w:rsidRPr="006D688A" w:rsidRDefault="00520333" w:rsidP="005E5E0C">
            <w:pPr>
              <w:spacing w:after="0"/>
              <w:rPr>
                <w:rFonts w:cs="Arial"/>
                <w:sz w:val="18"/>
                <w:szCs w:val="18"/>
              </w:rPr>
            </w:pPr>
            <w:r w:rsidRPr="006D688A">
              <w:rPr>
                <w:rFonts w:cs="Arial"/>
                <w:sz w:val="18"/>
                <w:szCs w:val="18"/>
              </w:rPr>
              <w:t> </w:t>
            </w:r>
          </w:p>
        </w:tc>
        <w:tc>
          <w:tcPr>
            <w:tcW w:w="1037" w:type="dxa"/>
            <w:tcBorders>
              <w:top w:val="nil"/>
              <w:left w:val="nil"/>
              <w:bottom w:val="nil"/>
              <w:right w:val="nil"/>
            </w:tcBorders>
            <w:shd w:val="clear" w:color="FFFFFF" w:fill="FFFFFF"/>
            <w:noWrap/>
            <w:vAlign w:val="bottom"/>
            <w:hideMark/>
          </w:tcPr>
          <w:p w14:paraId="051428E8" w14:textId="77777777" w:rsidR="00520333" w:rsidRPr="006D688A" w:rsidRDefault="00520333" w:rsidP="005E5E0C">
            <w:pPr>
              <w:spacing w:after="0"/>
              <w:jc w:val="right"/>
              <w:rPr>
                <w:rFonts w:cs="Arial"/>
                <w:sz w:val="18"/>
                <w:szCs w:val="18"/>
              </w:rPr>
            </w:pPr>
            <w:r w:rsidRPr="006D688A">
              <w:rPr>
                <w:rFonts w:cs="Arial"/>
                <w:sz w:val="18"/>
                <w:szCs w:val="18"/>
              </w:rPr>
              <w:t>850,000</w:t>
            </w:r>
          </w:p>
        </w:tc>
        <w:tc>
          <w:tcPr>
            <w:tcW w:w="236" w:type="dxa"/>
            <w:tcBorders>
              <w:top w:val="nil"/>
              <w:left w:val="nil"/>
              <w:bottom w:val="nil"/>
              <w:right w:val="nil"/>
            </w:tcBorders>
            <w:shd w:val="clear" w:color="FFFFFF" w:fill="FFFFFF"/>
            <w:noWrap/>
            <w:vAlign w:val="bottom"/>
            <w:hideMark/>
          </w:tcPr>
          <w:p w14:paraId="7171F424" w14:textId="77777777" w:rsidR="00520333" w:rsidRPr="006D688A" w:rsidRDefault="00520333" w:rsidP="005E5E0C">
            <w:pPr>
              <w:spacing w:after="0"/>
              <w:rPr>
                <w:rFonts w:cs="Arial"/>
                <w:sz w:val="18"/>
                <w:szCs w:val="18"/>
              </w:rPr>
            </w:pPr>
            <w:r w:rsidRPr="006D688A">
              <w:rPr>
                <w:rFonts w:cs="Arial"/>
                <w:sz w:val="18"/>
                <w:szCs w:val="18"/>
              </w:rPr>
              <w:t> </w:t>
            </w:r>
          </w:p>
        </w:tc>
      </w:tr>
      <w:tr w:rsidR="00520333" w:rsidRPr="006D688A" w14:paraId="72829F88" w14:textId="77777777" w:rsidTr="005E5E0C">
        <w:trPr>
          <w:trHeight w:val="250"/>
        </w:trPr>
        <w:tc>
          <w:tcPr>
            <w:tcW w:w="4488" w:type="dxa"/>
            <w:tcBorders>
              <w:top w:val="nil"/>
              <w:left w:val="nil"/>
              <w:bottom w:val="nil"/>
              <w:right w:val="nil"/>
            </w:tcBorders>
            <w:shd w:val="clear" w:color="FFFFFF" w:fill="FFFFFF"/>
            <w:vAlign w:val="bottom"/>
            <w:hideMark/>
          </w:tcPr>
          <w:p w14:paraId="69447937" w14:textId="77777777" w:rsidR="00520333" w:rsidRPr="006D688A" w:rsidRDefault="00520333" w:rsidP="005E5E0C">
            <w:pPr>
              <w:spacing w:after="0"/>
              <w:rPr>
                <w:rFonts w:cs="Arial"/>
                <w:b/>
                <w:bCs/>
                <w:sz w:val="18"/>
                <w:szCs w:val="18"/>
              </w:rPr>
            </w:pPr>
            <w:r w:rsidRPr="006D688A">
              <w:rPr>
                <w:rFonts w:cs="Arial"/>
                <w:b/>
                <w:bCs/>
                <w:sz w:val="18"/>
                <w:szCs w:val="18"/>
              </w:rPr>
              <w:t>Cash and cash equivalents at the end of the reporting period</w:t>
            </w:r>
          </w:p>
        </w:tc>
        <w:tc>
          <w:tcPr>
            <w:tcW w:w="723" w:type="dxa"/>
            <w:tcBorders>
              <w:top w:val="nil"/>
              <w:left w:val="nil"/>
              <w:bottom w:val="nil"/>
              <w:right w:val="nil"/>
            </w:tcBorders>
            <w:shd w:val="clear" w:color="FFFFFF" w:fill="FFFFFF"/>
            <w:noWrap/>
            <w:vAlign w:val="bottom"/>
            <w:hideMark/>
          </w:tcPr>
          <w:p w14:paraId="02EB1AD6" w14:textId="77777777" w:rsidR="00520333" w:rsidRPr="006D688A" w:rsidRDefault="00520333" w:rsidP="005E5E0C">
            <w:pPr>
              <w:spacing w:after="0"/>
              <w:jc w:val="center"/>
              <w:rPr>
                <w:rFonts w:cs="Arial"/>
                <w:sz w:val="18"/>
                <w:szCs w:val="18"/>
              </w:rPr>
            </w:pPr>
            <w:r w:rsidRPr="006D688A">
              <w:rPr>
                <w:rFonts w:cs="Arial"/>
                <w:sz w:val="18"/>
                <w:szCs w:val="18"/>
              </w:rPr>
              <w:t>2.1A</w:t>
            </w:r>
          </w:p>
        </w:tc>
        <w:tc>
          <w:tcPr>
            <w:tcW w:w="1067" w:type="dxa"/>
            <w:tcBorders>
              <w:top w:val="single" w:sz="4" w:space="0" w:color="auto"/>
              <w:left w:val="nil"/>
              <w:bottom w:val="single" w:sz="4" w:space="0" w:color="auto"/>
              <w:right w:val="nil"/>
            </w:tcBorders>
            <w:shd w:val="clear" w:color="FFFFFF" w:fill="FFFFFF"/>
            <w:noWrap/>
            <w:vAlign w:val="bottom"/>
            <w:hideMark/>
          </w:tcPr>
          <w:p w14:paraId="10712DC8" w14:textId="77777777" w:rsidR="00520333" w:rsidRPr="006D688A" w:rsidRDefault="00520333" w:rsidP="005E5E0C">
            <w:pPr>
              <w:spacing w:after="0"/>
              <w:jc w:val="right"/>
              <w:rPr>
                <w:rFonts w:cs="Arial"/>
                <w:b/>
                <w:bCs/>
                <w:sz w:val="18"/>
                <w:szCs w:val="18"/>
              </w:rPr>
            </w:pPr>
            <w:r w:rsidRPr="006D688A">
              <w:rPr>
                <w:rFonts w:cs="Arial"/>
                <w:b/>
                <w:bCs/>
                <w:sz w:val="18"/>
                <w:szCs w:val="18"/>
              </w:rPr>
              <w:t>5,659,548</w:t>
            </w:r>
          </w:p>
        </w:tc>
        <w:tc>
          <w:tcPr>
            <w:tcW w:w="236" w:type="dxa"/>
            <w:tcBorders>
              <w:top w:val="nil"/>
              <w:left w:val="nil"/>
              <w:bottom w:val="nil"/>
              <w:right w:val="nil"/>
            </w:tcBorders>
            <w:shd w:val="clear" w:color="FFFFFF" w:fill="FFFFFF"/>
            <w:noWrap/>
            <w:vAlign w:val="bottom"/>
            <w:hideMark/>
          </w:tcPr>
          <w:p w14:paraId="60F60150" w14:textId="77777777" w:rsidR="00520333" w:rsidRPr="006D688A" w:rsidRDefault="00520333" w:rsidP="005E5E0C">
            <w:pPr>
              <w:spacing w:after="0"/>
              <w:rPr>
                <w:rFonts w:cs="Arial"/>
                <w:sz w:val="18"/>
                <w:szCs w:val="18"/>
              </w:rPr>
            </w:pPr>
            <w:r w:rsidRPr="006D688A">
              <w:rPr>
                <w:rFonts w:cs="Arial"/>
                <w:sz w:val="18"/>
                <w:szCs w:val="18"/>
              </w:rPr>
              <w:t> </w:t>
            </w:r>
          </w:p>
        </w:tc>
        <w:tc>
          <w:tcPr>
            <w:tcW w:w="1064" w:type="dxa"/>
            <w:tcBorders>
              <w:top w:val="single" w:sz="4" w:space="0" w:color="auto"/>
              <w:left w:val="nil"/>
              <w:bottom w:val="single" w:sz="4" w:space="0" w:color="auto"/>
              <w:right w:val="nil"/>
            </w:tcBorders>
            <w:shd w:val="clear" w:color="FFFFFF" w:fill="FFFFFF"/>
            <w:noWrap/>
            <w:vAlign w:val="bottom"/>
            <w:hideMark/>
          </w:tcPr>
          <w:p w14:paraId="589D389F" w14:textId="77777777" w:rsidR="00520333" w:rsidRPr="006D688A" w:rsidRDefault="00520333" w:rsidP="005E5E0C">
            <w:pPr>
              <w:spacing w:after="0"/>
              <w:jc w:val="right"/>
              <w:rPr>
                <w:rFonts w:cs="Arial"/>
                <w:sz w:val="18"/>
                <w:szCs w:val="18"/>
              </w:rPr>
            </w:pPr>
            <w:r w:rsidRPr="006D688A">
              <w:rPr>
                <w:rFonts w:cs="Arial"/>
                <w:sz w:val="18"/>
                <w:szCs w:val="18"/>
              </w:rPr>
              <w:t>2,729,779</w:t>
            </w:r>
          </w:p>
        </w:tc>
        <w:tc>
          <w:tcPr>
            <w:tcW w:w="236" w:type="dxa"/>
            <w:tcBorders>
              <w:top w:val="nil"/>
              <w:left w:val="nil"/>
              <w:bottom w:val="nil"/>
              <w:right w:val="nil"/>
            </w:tcBorders>
            <w:shd w:val="clear" w:color="FFFFFF" w:fill="FFFFFF"/>
            <w:noWrap/>
            <w:vAlign w:val="bottom"/>
            <w:hideMark/>
          </w:tcPr>
          <w:p w14:paraId="22920E72" w14:textId="77777777" w:rsidR="00520333" w:rsidRPr="006D688A" w:rsidRDefault="00520333" w:rsidP="005E5E0C">
            <w:pPr>
              <w:spacing w:after="0"/>
              <w:rPr>
                <w:rFonts w:cs="Arial"/>
                <w:sz w:val="18"/>
                <w:szCs w:val="18"/>
              </w:rPr>
            </w:pPr>
            <w:r w:rsidRPr="006D688A">
              <w:rPr>
                <w:rFonts w:cs="Arial"/>
                <w:sz w:val="18"/>
                <w:szCs w:val="18"/>
              </w:rPr>
              <w:t> </w:t>
            </w:r>
          </w:p>
        </w:tc>
        <w:tc>
          <w:tcPr>
            <w:tcW w:w="1037" w:type="dxa"/>
            <w:tcBorders>
              <w:top w:val="single" w:sz="4" w:space="0" w:color="auto"/>
              <w:left w:val="nil"/>
              <w:bottom w:val="single" w:sz="4" w:space="0" w:color="auto"/>
              <w:right w:val="nil"/>
            </w:tcBorders>
            <w:shd w:val="clear" w:color="FFFFFF" w:fill="FFFFFF"/>
            <w:noWrap/>
            <w:vAlign w:val="bottom"/>
            <w:hideMark/>
          </w:tcPr>
          <w:p w14:paraId="5840E75B" w14:textId="77777777" w:rsidR="00520333" w:rsidRPr="006D688A" w:rsidRDefault="00520333" w:rsidP="005E5E0C">
            <w:pPr>
              <w:spacing w:after="0"/>
              <w:jc w:val="right"/>
              <w:rPr>
                <w:rFonts w:cs="Arial"/>
                <w:sz w:val="18"/>
                <w:szCs w:val="18"/>
              </w:rPr>
            </w:pPr>
            <w:r w:rsidRPr="006D688A">
              <w:rPr>
                <w:rFonts w:cs="Arial"/>
                <w:sz w:val="18"/>
                <w:szCs w:val="18"/>
              </w:rPr>
              <w:t>850,000</w:t>
            </w:r>
          </w:p>
        </w:tc>
        <w:tc>
          <w:tcPr>
            <w:tcW w:w="236" w:type="dxa"/>
            <w:tcBorders>
              <w:top w:val="nil"/>
              <w:left w:val="nil"/>
              <w:bottom w:val="nil"/>
              <w:right w:val="nil"/>
            </w:tcBorders>
            <w:shd w:val="clear" w:color="FFFFFF" w:fill="FFFFFF"/>
            <w:noWrap/>
            <w:vAlign w:val="bottom"/>
            <w:hideMark/>
          </w:tcPr>
          <w:p w14:paraId="4CF873E3" w14:textId="77777777" w:rsidR="00520333" w:rsidRPr="006D688A" w:rsidRDefault="00520333" w:rsidP="005E5E0C">
            <w:pPr>
              <w:spacing w:after="0"/>
              <w:rPr>
                <w:rFonts w:cs="Arial"/>
                <w:sz w:val="18"/>
                <w:szCs w:val="18"/>
              </w:rPr>
            </w:pPr>
            <w:r w:rsidRPr="006D688A">
              <w:rPr>
                <w:rFonts w:cs="Arial"/>
                <w:sz w:val="18"/>
                <w:szCs w:val="18"/>
              </w:rPr>
              <w:t> </w:t>
            </w:r>
          </w:p>
        </w:tc>
      </w:tr>
    </w:tbl>
    <w:p w14:paraId="6277139C" w14:textId="77777777" w:rsidR="00520333" w:rsidRPr="006D688A" w:rsidRDefault="00520333" w:rsidP="003203A1">
      <w:pPr>
        <w:pStyle w:val="ReferenceText"/>
      </w:pPr>
      <w:bookmarkStart w:id="116" w:name="OLE_LINK1"/>
      <w:bookmarkStart w:id="117" w:name="OLE_LINK4"/>
      <w:bookmarkStart w:id="118" w:name="OLE_LINK5"/>
      <w:bookmarkStart w:id="119" w:name="OLE_LINK6"/>
      <w:r w:rsidRPr="006D688A">
        <w:t>The above statement should be read in conjunction with the accompanying notes.</w:t>
      </w:r>
    </w:p>
    <w:bookmarkEnd w:id="116"/>
    <w:bookmarkEnd w:id="117"/>
    <w:bookmarkEnd w:id="118"/>
    <w:bookmarkEnd w:id="119"/>
    <w:p w14:paraId="4F103919" w14:textId="7702A305" w:rsidR="00133885" w:rsidRDefault="00520333" w:rsidP="003203A1">
      <w:pPr>
        <w:pStyle w:val="ReferenceText"/>
        <w:rPr>
          <w:b/>
          <w:bCs/>
          <w:lang w:eastAsia="en-US"/>
        </w:rPr>
      </w:pPr>
      <w:r w:rsidRPr="006D688A">
        <w:rPr>
          <w:vertAlign w:val="superscript"/>
        </w:rPr>
        <w:t>1</w:t>
      </w:r>
      <w:r w:rsidRPr="006D688A">
        <w:t>Original Budget refers to the figures published in the 2023-24 Portfolio Budget Statements.</w:t>
      </w:r>
      <w:r w:rsidR="00133885">
        <w:br w:type="page"/>
      </w:r>
    </w:p>
    <w:p w14:paraId="279FBE3C" w14:textId="77777777" w:rsidR="006D688A" w:rsidRDefault="006D688A" w:rsidP="006D688A">
      <w:pPr>
        <w:pStyle w:val="StatementHeading"/>
        <w:rPr>
          <w:rFonts w:cs="Arial"/>
          <w:szCs w:val="24"/>
        </w:rPr>
      </w:pPr>
      <w:r>
        <w:rPr>
          <w:rFonts w:cs="Arial"/>
          <w:szCs w:val="24"/>
        </w:rPr>
        <w:lastRenderedPageBreak/>
        <w:fldChar w:fldCharType="begin"/>
      </w:r>
      <w:r>
        <w:rPr>
          <w:rFonts w:cs="Arial"/>
          <w:szCs w:val="24"/>
        </w:rPr>
        <w:instrText xml:space="preserve"> DOCPROPERTY  longName  \* MERGEFORMAT </w:instrText>
      </w:r>
      <w:r>
        <w:rPr>
          <w:rFonts w:cs="Arial"/>
          <w:szCs w:val="24"/>
        </w:rPr>
        <w:fldChar w:fldCharType="separate"/>
      </w:r>
      <w:r>
        <w:rPr>
          <w:rFonts w:cs="Arial"/>
          <w:szCs w:val="24"/>
        </w:rPr>
        <w:t>National Disability Insurance</w:t>
      </w:r>
      <w:r w:rsidRPr="0076409E">
        <w:t xml:space="preserve"> Agency</w:t>
      </w:r>
      <w:r>
        <w:fldChar w:fldCharType="end"/>
      </w:r>
    </w:p>
    <w:p w14:paraId="3651C848" w14:textId="77777777" w:rsidR="006D688A" w:rsidRDefault="006D688A" w:rsidP="006D688A">
      <w:pPr>
        <w:pStyle w:val="StatementHeading"/>
        <w:rPr>
          <w:rFonts w:cs="Arial"/>
          <w:szCs w:val="24"/>
        </w:rPr>
      </w:pPr>
      <w:r>
        <w:rPr>
          <w:szCs w:val="24"/>
        </w:rPr>
        <w:t>CASH FLOW STATEMENT</w:t>
      </w:r>
    </w:p>
    <w:p w14:paraId="7A7D4CBE" w14:textId="77777777" w:rsidR="006D688A" w:rsidRPr="00C821EB" w:rsidRDefault="006D688A" w:rsidP="00C821EB">
      <w:pPr>
        <w:pBdr>
          <w:bottom w:val="single" w:sz="8" w:space="1" w:color="auto"/>
        </w:pBdr>
        <w:spacing w:line="240" w:lineRule="auto"/>
        <w:rPr>
          <w:i/>
          <w:iCs/>
        </w:rPr>
      </w:pPr>
      <w:r w:rsidRPr="00C821EB">
        <w:rPr>
          <w:i/>
          <w:iCs/>
        </w:rPr>
        <w:t xml:space="preserve">for the year ended </w:t>
      </w:r>
      <w:r w:rsidRPr="00C821EB">
        <w:rPr>
          <w:i/>
          <w:iCs/>
        </w:rPr>
        <w:fldChar w:fldCharType="begin"/>
      </w:r>
      <w:r w:rsidRPr="00C821EB">
        <w:rPr>
          <w:i/>
          <w:iCs/>
        </w:rPr>
        <w:instrText>DOCPROPERTY  pEnd  \* MERGEFORMAT</w:instrText>
      </w:r>
      <w:r w:rsidRPr="00C821EB">
        <w:rPr>
          <w:i/>
          <w:iCs/>
        </w:rPr>
        <w:fldChar w:fldCharType="separate"/>
      </w:r>
      <w:r w:rsidRPr="00C821EB">
        <w:rPr>
          <w:i/>
          <w:iCs/>
        </w:rPr>
        <w:t>30 June</w:t>
      </w:r>
      <w:r w:rsidRPr="00C821EB">
        <w:rPr>
          <w:i/>
          <w:iCs/>
        </w:rPr>
        <w:fldChar w:fldCharType="end"/>
      </w:r>
      <w:r w:rsidRPr="00C821EB">
        <w:rPr>
          <w:i/>
          <w:iCs/>
        </w:rPr>
        <w:t xml:space="preserve"> </w:t>
      </w:r>
      <w:r w:rsidRPr="00C821EB">
        <w:rPr>
          <w:i/>
          <w:iCs/>
        </w:rPr>
        <w:fldChar w:fldCharType="begin"/>
      </w:r>
      <w:r w:rsidRPr="00C821EB">
        <w:rPr>
          <w:i/>
          <w:iCs/>
        </w:rPr>
        <w:instrText xml:space="preserve"> DOCPROPERTY  crYear  \* MERGEFORMAT </w:instrText>
      </w:r>
      <w:r w:rsidRPr="00C821EB">
        <w:rPr>
          <w:i/>
          <w:iCs/>
        </w:rPr>
        <w:fldChar w:fldCharType="separate"/>
      </w:r>
      <w:r w:rsidRPr="00C821EB">
        <w:rPr>
          <w:i/>
          <w:iCs/>
        </w:rPr>
        <w:t>2024</w:t>
      </w:r>
      <w:r w:rsidRPr="00C821EB">
        <w:rPr>
          <w:i/>
          <w:iCs/>
        </w:rPr>
        <w:fldChar w:fldCharType="end"/>
      </w:r>
    </w:p>
    <w:p w14:paraId="374276A0" w14:textId="739FA880" w:rsidR="00520333" w:rsidRPr="00D61499" w:rsidRDefault="00520333" w:rsidP="00520333">
      <w:pPr>
        <w:pStyle w:val="PolicyheadingDept"/>
        <w:pBdr>
          <w:top w:val="none" w:sz="0" w:space="0" w:color="auto"/>
          <w:left w:val="none" w:sz="0" w:space="0" w:color="auto"/>
          <w:bottom w:val="none" w:sz="0" w:space="0" w:color="auto"/>
          <w:right w:val="none" w:sz="0" w:space="0" w:color="auto"/>
        </w:pBdr>
      </w:pPr>
      <w:r w:rsidRPr="00D61499">
        <w:t xml:space="preserve">Budget Variances Commentary </w:t>
      </w:r>
    </w:p>
    <w:p w14:paraId="0BCD9858" w14:textId="77777777" w:rsidR="00520333" w:rsidRPr="008016CA" w:rsidRDefault="00520333" w:rsidP="00520333">
      <w:pPr>
        <w:pStyle w:val="PolicyheadingDept"/>
        <w:pBdr>
          <w:top w:val="none" w:sz="0" w:space="0" w:color="auto"/>
          <w:left w:val="none" w:sz="0" w:space="0" w:color="auto"/>
          <w:bottom w:val="none" w:sz="0" w:space="0" w:color="auto"/>
          <w:right w:val="none" w:sz="0" w:space="0" w:color="auto"/>
        </w:pBdr>
      </w:pPr>
      <w:r w:rsidRPr="008016CA">
        <w:t>Cash Flow Statement</w:t>
      </w:r>
    </w:p>
    <w:p w14:paraId="695A0EA1" w14:textId="77777777" w:rsidR="00520333" w:rsidRPr="008016CA" w:rsidRDefault="00520333" w:rsidP="00520333">
      <w:pPr>
        <w:spacing w:before="100" w:beforeAutospacing="1" w:after="0" w:line="240" w:lineRule="auto"/>
        <w:rPr>
          <w:rFonts w:cs="Arial"/>
          <w:sz w:val="18"/>
          <w:szCs w:val="18"/>
          <w:lang w:eastAsia="en-AU"/>
        </w:rPr>
      </w:pPr>
      <w:r w:rsidRPr="008016CA">
        <w:rPr>
          <w:rFonts w:cs="Arial"/>
          <w:sz w:val="18"/>
          <w:szCs w:val="18"/>
          <w:lang w:eastAsia="en-AU"/>
        </w:rPr>
        <w:t>The following major variance explanations between the Original Budget as presented in the 2023-24 Portfolio Budget Statements and the 2023–24 financial statements are presented in accordance with Australian Accounting Standards. The 2023–24 Portfolio Budget Statements contain the original financial statements’ budget estimates presented to Parliament in respect of the 2022–23 financial year. The information presented below should be read in the context of the following:</w:t>
      </w:r>
    </w:p>
    <w:p w14:paraId="3EF02C33" w14:textId="77777777" w:rsidR="00520333" w:rsidRPr="008016CA" w:rsidRDefault="00520333" w:rsidP="00520333">
      <w:pPr>
        <w:spacing w:before="100" w:beforeAutospacing="1" w:after="0" w:line="240" w:lineRule="auto"/>
        <w:rPr>
          <w:rFonts w:cs="Arial"/>
          <w:sz w:val="18"/>
          <w:szCs w:val="18"/>
          <w:lang w:eastAsia="en-AU"/>
        </w:rPr>
      </w:pPr>
      <w:r w:rsidRPr="008016CA">
        <w:rPr>
          <w:rFonts w:cs="Arial"/>
          <w:sz w:val="18"/>
          <w:szCs w:val="18"/>
          <w:lang w:eastAsia="en-AU"/>
        </w:rPr>
        <w:t>· major variances are determined in accordance with Department of Finance guidelines;</w:t>
      </w:r>
    </w:p>
    <w:p w14:paraId="1EDC8815" w14:textId="77777777" w:rsidR="00520333" w:rsidRPr="008016CA" w:rsidRDefault="00520333" w:rsidP="00520333">
      <w:pPr>
        <w:spacing w:before="100" w:beforeAutospacing="1" w:after="0" w:line="240" w:lineRule="auto"/>
        <w:rPr>
          <w:rFonts w:cs="Arial"/>
          <w:sz w:val="18"/>
          <w:szCs w:val="18"/>
          <w:lang w:eastAsia="en-AU"/>
        </w:rPr>
      </w:pPr>
      <w:r w:rsidRPr="008016CA">
        <w:rPr>
          <w:rFonts w:cs="Arial"/>
          <w:sz w:val="18"/>
          <w:szCs w:val="18"/>
          <w:lang w:eastAsia="en-AU"/>
        </w:rPr>
        <w:t>· variances relating to cash flows are a result of the factors explained for net cost of services, assets or liabilities variations. Unless otherwise individually significant, no additional commentary has been included; and</w:t>
      </w:r>
    </w:p>
    <w:p w14:paraId="0D5D4228" w14:textId="77777777" w:rsidR="00520333" w:rsidRDefault="00520333" w:rsidP="00C821EB">
      <w:pPr>
        <w:spacing w:before="100" w:beforeAutospacing="1" w:line="240" w:lineRule="auto"/>
        <w:rPr>
          <w:rFonts w:eastAsia="Calibri" w:cs="Arial"/>
          <w:sz w:val="18"/>
          <w:szCs w:val="18"/>
        </w:rPr>
      </w:pPr>
      <w:r w:rsidRPr="008016CA">
        <w:rPr>
          <w:rFonts w:cs="Arial"/>
          <w:sz w:val="18"/>
          <w:szCs w:val="18"/>
          <w:lang w:eastAsia="en-AU"/>
        </w:rPr>
        <w:t>· the Budget is not audited.</w:t>
      </w:r>
    </w:p>
    <w:tbl>
      <w:tblPr>
        <w:tblW w:w="9077" w:type="dxa"/>
        <w:tblInd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273"/>
        <w:gridCol w:w="6804"/>
      </w:tblGrid>
      <w:tr w:rsidR="00520333" w:rsidRPr="00BC5D6B" w14:paraId="0F49FBF8" w14:textId="77777777">
        <w:trPr>
          <w:cantSplit/>
          <w:trHeight w:val="255"/>
          <w:tblHeader/>
        </w:trPr>
        <w:tc>
          <w:tcPr>
            <w:tcW w:w="2273" w:type="dxa"/>
            <w:shd w:val="clear" w:color="FFFFFF" w:fill="FFFFFF"/>
            <w:noWrap/>
            <w:vAlign w:val="center"/>
          </w:tcPr>
          <w:p w14:paraId="4DBFB8AB" w14:textId="77777777" w:rsidR="00520333" w:rsidRPr="008016CA" w:rsidRDefault="00520333" w:rsidP="005E5E0C">
            <w:pPr>
              <w:spacing w:after="0"/>
              <w:rPr>
                <w:b/>
                <w:sz w:val="18"/>
              </w:rPr>
            </w:pPr>
            <w:r w:rsidRPr="008016CA">
              <w:rPr>
                <w:b/>
                <w:sz w:val="18"/>
              </w:rPr>
              <w:t>Affected line items</w:t>
            </w:r>
          </w:p>
        </w:tc>
        <w:tc>
          <w:tcPr>
            <w:tcW w:w="6804" w:type="dxa"/>
            <w:shd w:val="clear" w:color="FFFFFF" w:fill="FFFFFF"/>
            <w:vAlign w:val="center"/>
          </w:tcPr>
          <w:p w14:paraId="4F1C648B" w14:textId="77777777" w:rsidR="00520333" w:rsidRPr="00BC5D6B" w:rsidRDefault="00520333" w:rsidP="005E5E0C">
            <w:pPr>
              <w:spacing w:after="0"/>
              <w:rPr>
                <w:b/>
                <w:sz w:val="18"/>
                <w:highlight w:val="yellow"/>
              </w:rPr>
            </w:pPr>
            <w:r w:rsidRPr="00597542">
              <w:rPr>
                <w:rFonts w:cs="Arial"/>
                <w:b/>
                <w:bCs/>
                <w:color w:val="000000"/>
                <w:sz w:val="18"/>
                <w:szCs w:val="18"/>
                <w:lang w:eastAsia="en-AU"/>
              </w:rPr>
              <w:t>Explanations of major variances</w:t>
            </w:r>
          </w:p>
        </w:tc>
      </w:tr>
      <w:tr w:rsidR="00520333" w:rsidRPr="00283706" w14:paraId="35094E8C" w14:textId="77777777">
        <w:trPr>
          <w:cantSplit/>
          <w:trHeight w:val="255"/>
        </w:trPr>
        <w:tc>
          <w:tcPr>
            <w:tcW w:w="2273" w:type="dxa"/>
            <w:shd w:val="clear" w:color="auto" w:fill="auto"/>
            <w:noWrap/>
          </w:tcPr>
          <w:p w14:paraId="245419E9" w14:textId="77777777" w:rsidR="00520333" w:rsidRDefault="00520333" w:rsidP="005E5E0C">
            <w:pPr>
              <w:spacing w:after="0"/>
              <w:rPr>
                <w:sz w:val="18"/>
              </w:rPr>
            </w:pPr>
            <w:r w:rsidRPr="00206440">
              <w:rPr>
                <w:sz w:val="18"/>
              </w:rPr>
              <w:t>Financing Activities</w:t>
            </w:r>
          </w:p>
          <w:p w14:paraId="4972B7B1" w14:textId="77777777" w:rsidR="00520333" w:rsidRPr="00283706" w:rsidRDefault="00520333" w:rsidP="005E5E0C">
            <w:pPr>
              <w:spacing w:after="0"/>
              <w:rPr>
                <w:i/>
                <w:sz w:val="18"/>
              </w:rPr>
            </w:pPr>
            <w:r w:rsidRPr="00206440">
              <w:rPr>
                <w:i/>
                <w:sz w:val="18"/>
              </w:rPr>
              <w:t>Principal payments of lease liabilities</w:t>
            </w:r>
          </w:p>
        </w:tc>
        <w:tc>
          <w:tcPr>
            <w:tcW w:w="6804" w:type="dxa"/>
            <w:shd w:val="clear" w:color="auto" w:fill="auto"/>
            <w:noWrap/>
          </w:tcPr>
          <w:p w14:paraId="50FDD60B" w14:textId="77777777" w:rsidR="00520333" w:rsidRPr="00283706" w:rsidRDefault="00520333" w:rsidP="005E5E0C">
            <w:pPr>
              <w:spacing w:after="0"/>
              <w:jc w:val="both"/>
              <w:rPr>
                <w:rFonts w:cs="Arial"/>
                <w:color w:val="000000"/>
                <w:sz w:val="18"/>
                <w:szCs w:val="18"/>
              </w:rPr>
            </w:pPr>
            <w:r w:rsidRPr="00206440">
              <w:rPr>
                <w:rFonts w:cs="Arial"/>
                <w:color w:val="000000"/>
                <w:sz w:val="18"/>
                <w:szCs w:val="18"/>
              </w:rPr>
              <w:t>The Original Budget did not anticipate lease incentives received in 2023-24 which contributed to the reduction in principal repayments.</w:t>
            </w:r>
          </w:p>
        </w:tc>
      </w:tr>
    </w:tbl>
    <w:p w14:paraId="41170F93" w14:textId="77777777" w:rsidR="00520333" w:rsidRPr="005E5430" w:rsidRDefault="00520333" w:rsidP="00520333">
      <w:pPr>
        <w:rPr>
          <w:rFonts w:eastAsia="Calibri" w:cs="Arial"/>
          <w:sz w:val="18"/>
          <w:szCs w:val="18"/>
        </w:rPr>
        <w:sectPr w:rsidR="00520333" w:rsidRPr="005E5430" w:rsidSect="007D1B8F">
          <w:headerReference w:type="even" r:id="rId52"/>
          <w:headerReference w:type="default" r:id="rId53"/>
          <w:footerReference w:type="default" r:id="rId54"/>
          <w:headerReference w:type="first" r:id="rId55"/>
          <w:pgSz w:w="11906" w:h="16838" w:code="9"/>
          <w:pgMar w:top="1361" w:right="1361" w:bottom="1361" w:left="1361" w:header="561" w:footer="374" w:gutter="0"/>
          <w:cols w:space="708"/>
          <w:docGrid w:linePitch="360"/>
        </w:sectPr>
      </w:pPr>
    </w:p>
    <w:p w14:paraId="4D9307DF" w14:textId="56D0131E" w:rsidR="006D688A" w:rsidRPr="00C821EB" w:rsidRDefault="006D688A" w:rsidP="00C821EB">
      <w:pPr>
        <w:spacing w:after="0" w:line="240" w:lineRule="auto"/>
        <w:rPr>
          <w:b/>
          <w:bCs/>
        </w:rPr>
      </w:pPr>
      <w:bookmarkStart w:id="120" w:name="_Hlk181021994"/>
      <w:r w:rsidRPr="00C821EB">
        <w:rPr>
          <w:b/>
          <w:bCs/>
        </w:rPr>
        <w:lastRenderedPageBreak/>
        <w:t>National Disability Insurance Agency</w:t>
      </w:r>
    </w:p>
    <w:p w14:paraId="1CA1DEB0" w14:textId="77777777" w:rsidR="006D688A" w:rsidRPr="00C821EB" w:rsidRDefault="006D688A" w:rsidP="00C821EB">
      <w:pPr>
        <w:pBdr>
          <w:bottom w:val="single" w:sz="8" w:space="1" w:color="auto"/>
        </w:pBdr>
        <w:rPr>
          <w:b/>
          <w:bCs/>
        </w:rPr>
      </w:pPr>
      <w:r w:rsidRPr="00C821EB">
        <w:rPr>
          <w:b/>
          <w:bCs/>
        </w:rPr>
        <w:t>NOTES TO AND FORMING PART OF THE FINANCIAL STATEMENTS</w:t>
      </w:r>
    </w:p>
    <w:p w14:paraId="3BA1AD2E" w14:textId="77777777" w:rsidR="00C821EB" w:rsidRPr="00C821EB" w:rsidRDefault="00C821EB" w:rsidP="00C821EB">
      <w:pPr>
        <w:tabs>
          <w:tab w:val="left" w:pos="9214"/>
        </w:tabs>
        <w:spacing w:before="240" w:line="240" w:lineRule="auto"/>
        <w:rPr>
          <w:b/>
          <w:bCs/>
          <w:sz w:val="18"/>
          <w:szCs w:val="18"/>
          <w:u w:val="single"/>
        </w:rPr>
      </w:pPr>
      <w:r w:rsidRPr="00C821EB">
        <w:rPr>
          <w:b/>
          <w:bCs/>
          <w:sz w:val="18"/>
          <w:szCs w:val="18"/>
          <w:u w:val="single"/>
        </w:rPr>
        <w:t>Table of Contents</w:t>
      </w:r>
    </w:p>
    <w:p w14:paraId="40F9C9F1" w14:textId="77777777" w:rsidR="00BC1253" w:rsidRPr="00BC1253" w:rsidRDefault="00BC1253" w:rsidP="00BC1253">
      <w:pPr>
        <w:tabs>
          <w:tab w:val="left" w:pos="709"/>
          <w:tab w:val="left" w:pos="1276"/>
          <w:tab w:val="right" w:pos="9356"/>
        </w:tabs>
        <w:spacing w:line="240" w:lineRule="auto"/>
        <w:rPr>
          <w:b/>
          <w:bCs/>
          <w:sz w:val="18"/>
          <w:szCs w:val="18"/>
        </w:rPr>
      </w:pPr>
      <w:bookmarkStart w:id="121" w:name="_Hlk181024432"/>
      <w:r w:rsidRPr="00BC1253">
        <w:rPr>
          <w:b/>
          <w:bCs/>
          <w:sz w:val="18"/>
          <w:szCs w:val="18"/>
        </w:rPr>
        <w:t>Overview</w:t>
      </w:r>
      <w:r w:rsidRPr="00BC1253">
        <w:rPr>
          <w:b/>
          <w:bCs/>
          <w:sz w:val="18"/>
          <w:szCs w:val="18"/>
        </w:rPr>
        <w:tab/>
      </w:r>
      <w:r w:rsidRPr="00BC1253">
        <w:rPr>
          <w:b/>
          <w:bCs/>
          <w:sz w:val="18"/>
          <w:szCs w:val="18"/>
        </w:rPr>
        <w:tab/>
        <w:t>49</w:t>
      </w:r>
    </w:p>
    <w:p w14:paraId="49C4ECCE" w14:textId="77777777" w:rsidR="00BC1253" w:rsidRPr="00BC1253" w:rsidRDefault="00BC1253" w:rsidP="00BC1253">
      <w:pPr>
        <w:tabs>
          <w:tab w:val="left" w:pos="709"/>
          <w:tab w:val="left" w:pos="1276"/>
          <w:tab w:val="right" w:pos="9356"/>
        </w:tabs>
        <w:spacing w:line="240" w:lineRule="auto"/>
        <w:rPr>
          <w:b/>
          <w:bCs/>
          <w:sz w:val="18"/>
          <w:szCs w:val="18"/>
        </w:rPr>
      </w:pPr>
      <w:r w:rsidRPr="00BC1253">
        <w:rPr>
          <w:b/>
          <w:bCs/>
          <w:sz w:val="18"/>
          <w:szCs w:val="18"/>
        </w:rPr>
        <w:t>1.</w:t>
      </w:r>
      <w:r w:rsidRPr="00BC1253">
        <w:rPr>
          <w:b/>
          <w:bCs/>
          <w:sz w:val="18"/>
          <w:szCs w:val="18"/>
        </w:rPr>
        <w:tab/>
        <w:t>Financial Performance</w:t>
      </w:r>
      <w:r w:rsidRPr="00BC1253">
        <w:rPr>
          <w:b/>
          <w:bCs/>
          <w:sz w:val="18"/>
          <w:szCs w:val="18"/>
        </w:rPr>
        <w:tab/>
        <w:t>50</w:t>
      </w:r>
    </w:p>
    <w:p w14:paraId="22BD74E7" w14:textId="77777777" w:rsidR="00BC1253" w:rsidRPr="00BC1253" w:rsidRDefault="00BC1253" w:rsidP="00BC1253">
      <w:pPr>
        <w:tabs>
          <w:tab w:val="left" w:pos="1418"/>
          <w:tab w:val="right" w:pos="9356"/>
        </w:tabs>
        <w:spacing w:line="240" w:lineRule="auto"/>
        <w:ind w:left="709"/>
        <w:rPr>
          <w:sz w:val="18"/>
          <w:szCs w:val="18"/>
        </w:rPr>
      </w:pPr>
      <w:r w:rsidRPr="00BC1253">
        <w:rPr>
          <w:sz w:val="18"/>
          <w:szCs w:val="18"/>
        </w:rPr>
        <w:t>1.1.</w:t>
      </w:r>
      <w:r w:rsidRPr="00BC1253">
        <w:rPr>
          <w:sz w:val="18"/>
          <w:szCs w:val="18"/>
        </w:rPr>
        <w:tab/>
        <w:t xml:space="preserve">Expenses </w:t>
      </w:r>
      <w:r w:rsidRPr="00BC1253">
        <w:rPr>
          <w:sz w:val="18"/>
          <w:szCs w:val="18"/>
        </w:rPr>
        <w:tab/>
        <w:t>50</w:t>
      </w:r>
    </w:p>
    <w:p w14:paraId="593A8221" w14:textId="77777777" w:rsidR="00BC1253" w:rsidRPr="00BC1253" w:rsidRDefault="00BC1253" w:rsidP="00BC1253">
      <w:pPr>
        <w:tabs>
          <w:tab w:val="left" w:pos="1418"/>
          <w:tab w:val="right" w:pos="9356"/>
        </w:tabs>
        <w:spacing w:line="240" w:lineRule="auto"/>
        <w:ind w:left="709"/>
        <w:rPr>
          <w:sz w:val="18"/>
          <w:szCs w:val="18"/>
        </w:rPr>
      </w:pPr>
      <w:r w:rsidRPr="00BC1253">
        <w:rPr>
          <w:sz w:val="18"/>
          <w:szCs w:val="18"/>
        </w:rPr>
        <w:t>1.2.</w:t>
      </w:r>
      <w:r w:rsidRPr="00BC1253">
        <w:rPr>
          <w:sz w:val="18"/>
          <w:szCs w:val="18"/>
        </w:rPr>
        <w:tab/>
        <w:t xml:space="preserve">Own-Source Revenue and Gains </w:t>
      </w:r>
      <w:r w:rsidRPr="00BC1253">
        <w:rPr>
          <w:sz w:val="18"/>
          <w:szCs w:val="18"/>
        </w:rPr>
        <w:tab/>
        <w:t>53</w:t>
      </w:r>
    </w:p>
    <w:p w14:paraId="349F1F61" w14:textId="77777777" w:rsidR="00BC1253" w:rsidRPr="00BC1253" w:rsidRDefault="00BC1253" w:rsidP="00BC1253">
      <w:pPr>
        <w:tabs>
          <w:tab w:val="left" w:pos="709"/>
          <w:tab w:val="left" w:pos="1276"/>
          <w:tab w:val="right" w:pos="9356"/>
        </w:tabs>
        <w:spacing w:line="240" w:lineRule="auto"/>
        <w:rPr>
          <w:b/>
          <w:bCs/>
          <w:sz w:val="18"/>
          <w:szCs w:val="18"/>
        </w:rPr>
      </w:pPr>
      <w:r w:rsidRPr="00BC1253">
        <w:rPr>
          <w:b/>
          <w:bCs/>
          <w:sz w:val="18"/>
          <w:szCs w:val="18"/>
        </w:rPr>
        <w:t>2.</w:t>
      </w:r>
      <w:r w:rsidRPr="00BC1253">
        <w:rPr>
          <w:b/>
          <w:bCs/>
          <w:sz w:val="18"/>
          <w:szCs w:val="18"/>
        </w:rPr>
        <w:tab/>
        <w:t xml:space="preserve">Financial Position </w:t>
      </w:r>
      <w:r w:rsidRPr="00BC1253">
        <w:rPr>
          <w:b/>
          <w:bCs/>
          <w:sz w:val="18"/>
          <w:szCs w:val="18"/>
        </w:rPr>
        <w:tab/>
        <w:t>56</w:t>
      </w:r>
    </w:p>
    <w:p w14:paraId="57839B96" w14:textId="77777777" w:rsidR="00BC1253" w:rsidRPr="00BC1253" w:rsidRDefault="00BC1253" w:rsidP="00BC1253">
      <w:pPr>
        <w:tabs>
          <w:tab w:val="left" w:pos="1418"/>
          <w:tab w:val="right" w:pos="9356"/>
        </w:tabs>
        <w:spacing w:line="240" w:lineRule="auto"/>
        <w:ind w:left="709"/>
        <w:rPr>
          <w:sz w:val="18"/>
          <w:szCs w:val="18"/>
        </w:rPr>
      </w:pPr>
      <w:r w:rsidRPr="00BC1253">
        <w:rPr>
          <w:sz w:val="18"/>
          <w:szCs w:val="18"/>
        </w:rPr>
        <w:t>2.1.</w:t>
      </w:r>
      <w:r w:rsidRPr="00BC1253">
        <w:rPr>
          <w:sz w:val="18"/>
          <w:szCs w:val="18"/>
        </w:rPr>
        <w:tab/>
        <w:t xml:space="preserve">Financial Assets </w:t>
      </w:r>
      <w:r w:rsidRPr="00BC1253">
        <w:rPr>
          <w:sz w:val="18"/>
          <w:szCs w:val="18"/>
        </w:rPr>
        <w:tab/>
        <w:t>56</w:t>
      </w:r>
    </w:p>
    <w:p w14:paraId="6EF4B10A" w14:textId="77777777" w:rsidR="00BC1253" w:rsidRPr="00BC1253" w:rsidRDefault="00BC1253" w:rsidP="00BC1253">
      <w:pPr>
        <w:tabs>
          <w:tab w:val="left" w:pos="1418"/>
          <w:tab w:val="right" w:pos="9356"/>
        </w:tabs>
        <w:spacing w:line="240" w:lineRule="auto"/>
        <w:ind w:left="709"/>
        <w:rPr>
          <w:sz w:val="18"/>
          <w:szCs w:val="18"/>
        </w:rPr>
      </w:pPr>
      <w:r w:rsidRPr="00BC1253">
        <w:rPr>
          <w:sz w:val="18"/>
          <w:szCs w:val="18"/>
        </w:rPr>
        <w:t>2.2.</w:t>
      </w:r>
      <w:r w:rsidRPr="00BC1253">
        <w:rPr>
          <w:sz w:val="18"/>
          <w:szCs w:val="18"/>
        </w:rPr>
        <w:tab/>
        <w:t xml:space="preserve">Non-Financial Assets </w:t>
      </w:r>
      <w:r w:rsidRPr="00BC1253">
        <w:rPr>
          <w:sz w:val="18"/>
          <w:szCs w:val="18"/>
        </w:rPr>
        <w:tab/>
        <w:t>58</w:t>
      </w:r>
    </w:p>
    <w:p w14:paraId="3C38CDE2" w14:textId="77777777" w:rsidR="00BC1253" w:rsidRPr="00BC1253" w:rsidRDefault="00BC1253" w:rsidP="00BC1253">
      <w:pPr>
        <w:tabs>
          <w:tab w:val="left" w:pos="1418"/>
          <w:tab w:val="right" w:pos="9356"/>
        </w:tabs>
        <w:spacing w:line="240" w:lineRule="auto"/>
        <w:ind w:left="709"/>
        <w:rPr>
          <w:sz w:val="18"/>
          <w:szCs w:val="18"/>
        </w:rPr>
      </w:pPr>
      <w:r w:rsidRPr="00BC1253">
        <w:rPr>
          <w:sz w:val="18"/>
          <w:szCs w:val="18"/>
        </w:rPr>
        <w:t>2.3.</w:t>
      </w:r>
      <w:r w:rsidRPr="00BC1253">
        <w:rPr>
          <w:sz w:val="18"/>
          <w:szCs w:val="18"/>
        </w:rPr>
        <w:tab/>
        <w:t xml:space="preserve">Payables </w:t>
      </w:r>
      <w:r w:rsidRPr="00BC1253">
        <w:rPr>
          <w:sz w:val="18"/>
          <w:szCs w:val="18"/>
        </w:rPr>
        <w:tab/>
        <w:t>61</w:t>
      </w:r>
    </w:p>
    <w:p w14:paraId="6A3F3DAD" w14:textId="77777777" w:rsidR="00BC1253" w:rsidRPr="00BC1253" w:rsidRDefault="00BC1253" w:rsidP="00BC1253">
      <w:pPr>
        <w:tabs>
          <w:tab w:val="left" w:pos="1418"/>
          <w:tab w:val="right" w:pos="9356"/>
        </w:tabs>
        <w:spacing w:line="240" w:lineRule="auto"/>
        <w:ind w:left="709"/>
        <w:rPr>
          <w:sz w:val="18"/>
          <w:szCs w:val="18"/>
        </w:rPr>
      </w:pPr>
      <w:r w:rsidRPr="00BC1253">
        <w:rPr>
          <w:sz w:val="18"/>
          <w:szCs w:val="18"/>
        </w:rPr>
        <w:t>2.4.</w:t>
      </w:r>
      <w:r w:rsidRPr="00BC1253">
        <w:rPr>
          <w:sz w:val="18"/>
          <w:szCs w:val="18"/>
        </w:rPr>
        <w:tab/>
        <w:t xml:space="preserve">Unearned Income </w:t>
      </w:r>
      <w:r w:rsidRPr="00BC1253">
        <w:rPr>
          <w:sz w:val="18"/>
          <w:szCs w:val="18"/>
        </w:rPr>
        <w:tab/>
        <w:t>61</w:t>
      </w:r>
    </w:p>
    <w:p w14:paraId="172E093D" w14:textId="77777777" w:rsidR="00BC1253" w:rsidRPr="00BC1253" w:rsidRDefault="00BC1253" w:rsidP="00BC1253">
      <w:pPr>
        <w:tabs>
          <w:tab w:val="left" w:pos="1418"/>
          <w:tab w:val="right" w:pos="9356"/>
        </w:tabs>
        <w:spacing w:line="240" w:lineRule="auto"/>
        <w:ind w:left="709"/>
        <w:rPr>
          <w:sz w:val="18"/>
          <w:szCs w:val="18"/>
        </w:rPr>
      </w:pPr>
      <w:r w:rsidRPr="00BC1253">
        <w:rPr>
          <w:sz w:val="18"/>
          <w:szCs w:val="18"/>
        </w:rPr>
        <w:t>2.5.</w:t>
      </w:r>
      <w:r w:rsidRPr="00BC1253">
        <w:rPr>
          <w:sz w:val="18"/>
          <w:szCs w:val="18"/>
        </w:rPr>
        <w:tab/>
        <w:t xml:space="preserve">Interest Bearing Liabilities </w:t>
      </w:r>
      <w:r w:rsidRPr="00BC1253">
        <w:rPr>
          <w:sz w:val="18"/>
          <w:szCs w:val="18"/>
        </w:rPr>
        <w:tab/>
        <w:t>61</w:t>
      </w:r>
    </w:p>
    <w:p w14:paraId="5C253882" w14:textId="77777777" w:rsidR="00BC1253" w:rsidRPr="00BC1253" w:rsidRDefault="00BC1253" w:rsidP="00BC1253">
      <w:pPr>
        <w:tabs>
          <w:tab w:val="left" w:pos="1418"/>
          <w:tab w:val="right" w:pos="9356"/>
        </w:tabs>
        <w:spacing w:line="240" w:lineRule="auto"/>
        <w:ind w:left="709"/>
        <w:rPr>
          <w:sz w:val="18"/>
          <w:szCs w:val="18"/>
        </w:rPr>
      </w:pPr>
      <w:r w:rsidRPr="00BC1253">
        <w:rPr>
          <w:sz w:val="18"/>
          <w:szCs w:val="18"/>
        </w:rPr>
        <w:t>2.6.</w:t>
      </w:r>
      <w:r w:rsidRPr="00BC1253">
        <w:rPr>
          <w:sz w:val="18"/>
          <w:szCs w:val="18"/>
        </w:rPr>
        <w:tab/>
        <w:t xml:space="preserve">Provisions </w:t>
      </w:r>
      <w:r w:rsidRPr="00BC1253">
        <w:rPr>
          <w:sz w:val="18"/>
          <w:szCs w:val="18"/>
        </w:rPr>
        <w:tab/>
        <w:t>62</w:t>
      </w:r>
    </w:p>
    <w:p w14:paraId="1AF5BAC8" w14:textId="77777777" w:rsidR="00BC1253" w:rsidRPr="00BC1253" w:rsidRDefault="00BC1253" w:rsidP="00BC1253">
      <w:pPr>
        <w:tabs>
          <w:tab w:val="left" w:pos="709"/>
          <w:tab w:val="left" w:pos="1276"/>
          <w:tab w:val="right" w:pos="9356"/>
        </w:tabs>
        <w:spacing w:line="240" w:lineRule="auto"/>
        <w:rPr>
          <w:b/>
          <w:bCs/>
          <w:sz w:val="18"/>
          <w:szCs w:val="18"/>
        </w:rPr>
      </w:pPr>
      <w:r w:rsidRPr="00BC1253">
        <w:rPr>
          <w:b/>
          <w:bCs/>
          <w:sz w:val="18"/>
          <w:szCs w:val="18"/>
        </w:rPr>
        <w:t>3.</w:t>
      </w:r>
      <w:r w:rsidRPr="00BC1253">
        <w:rPr>
          <w:b/>
          <w:bCs/>
          <w:sz w:val="18"/>
          <w:szCs w:val="18"/>
        </w:rPr>
        <w:tab/>
        <w:t xml:space="preserve">People and Relationships </w:t>
      </w:r>
      <w:r w:rsidRPr="00BC1253">
        <w:rPr>
          <w:b/>
          <w:bCs/>
          <w:sz w:val="18"/>
          <w:szCs w:val="18"/>
        </w:rPr>
        <w:tab/>
        <w:t>64</w:t>
      </w:r>
    </w:p>
    <w:p w14:paraId="600B3F2E" w14:textId="77777777" w:rsidR="00BC1253" w:rsidRPr="00BC1253" w:rsidRDefault="00BC1253" w:rsidP="00BC1253">
      <w:pPr>
        <w:tabs>
          <w:tab w:val="left" w:pos="1418"/>
          <w:tab w:val="right" w:pos="9356"/>
        </w:tabs>
        <w:spacing w:line="240" w:lineRule="auto"/>
        <w:ind w:left="709"/>
        <w:rPr>
          <w:sz w:val="18"/>
          <w:szCs w:val="18"/>
        </w:rPr>
      </w:pPr>
      <w:r w:rsidRPr="00BC1253">
        <w:rPr>
          <w:sz w:val="18"/>
          <w:szCs w:val="18"/>
        </w:rPr>
        <w:t>3.1.</w:t>
      </w:r>
      <w:r w:rsidRPr="00BC1253">
        <w:rPr>
          <w:sz w:val="18"/>
          <w:szCs w:val="18"/>
        </w:rPr>
        <w:tab/>
        <w:t xml:space="preserve">Key Management Personnel Remuneration </w:t>
      </w:r>
      <w:r w:rsidRPr="00BC1253">
        <w:rPr>
          <w:sz w:val="18"/>
          <w:szCs w:val="18"/>
        </w:rPr>
        <w:tab/>
        <w:t>65</w:t>
      </w:r>
    </w:p>
    <w:p w14:paraId="2A83AE37" w14:textId="77777777" w:rsidR="00BC1253" w:rsidRPr="00BC1253" w:rsidRDefault="00BC1253" w:rsidP="00BC1253">
      <w:pPr>
        <w:tabs>
          <w:tab w:val="left" w:pos="1418"/>
          <w:tab w:val="right" w:pos="9356"/>
        </w:tabs>
        <w:spacing w:line="240" w:lineRule="auto"/>
        <w:ind w:left="709"/>
        <w:rPr>
          <w:sz w:val="18"/>
          <w:szCs w:val="18"/>
        </w:rPr>
      </w:pPr>
      <w:r w:rsidRPr="00BC1253">
        <w:rPr>
          <w:sz w:val="18"/>
          <w:szCs w:val="18"/>
        </w:rPr>
        <w:t>3.2.</w:t>
      </w:r>
      <w:r w:rsidRPr="00BC1253">
        <w:rPr>
          <w:sz w:val="18"/>
          <w:szCs w:val="18"/>
        </w:rPr>
        <w:tab/>
        <w:t xml:space="preserve">Related Party Disclosures </w:t>
      </w:r>
      <w:r w:rsidRPr="00BC1253">
        <w:rPr>
          <w:sz w:val="18"/>
          <w:szCs w:val="18"/>
        </w:rPr>
        <w:tab/>
        <w:t>65</w:t>
      </w:r>
    </w:p>
    <w:p w14:paraId="18BF3A0B" w14:textId="77777777" w:rsidR="00BC1253" w:rsidRPr="00BC1253" w:rsidRDefault="00BC1253" w:rsidP="00BC1253">
      <w:pPr>
        <w:tabs>
          <w:tab w:val="left" w:pos="709"/>
          <w:tab w:val="left" w:pos="1276"/>
          <w:tab w:val="right" w:pos="9356"/>
        </w:tabs>
        <w:spacing w:line="240" w:lineRule="auto"/>
        <w:rPr>
          <w:b/>
          <w:bCs/>
          <w:sz w:val="18"/>
          <w:szCs w:val="18"/>
        </w:rPr>
      </w:pPr>
      <w:r w:rsidRPr="00BC1253">
        <w:rPr>
          <w:b/>
          <w:bCs/>
          <w:sz w:val="18"/>
          <w:szCs w:val="18"/>
        </w:rPr>
        <w:t>4.</w:t>
      </w:r>
      <w:r w:rsidRPr="00BC1253">
        <w:rPr>
          <w:b/>
          <w:bCs/>
          <w:sz w:val="18"/>
          <w:szCs w:val="18"/>
        </w:rPr>
        <w:tab/>
        <w:t xml:space="preserve">Managing Uncertainties </w:t>
      </w:r>
      <w:r w:rsidRPr="00BC1253">
        <w:rPr>
          <w:b/>
          <w:bCs/>
          <w:sz w:val="18"/>
          <w:szCs w:val="18"/>
        </w:rPr>
        <w:tab/>
        <w:t>67</w:t>
      </w:r>
    </w:p>
    <w:p w14:paraId="7B22651A" w14:textId="77777777" w:rsidR="00BC1253" w:rsidRPr="00BC1253" w:rsidRDefault="00BC1253" w:rsidP="00BC1253">
      <w:pPr>
        <w:tabs>
          <w:tab w:val="left" w:pos="1418"/>
          <w:tab w:val="right" w:pos="9356"/>
        </w:tabs>
        <w:spacing w:line="240" w:lineRule="auto"/>
        <w:ind w:left="709"/>
        <w:rPr>
          <w:sz w:val="18"/>
          <w:szCs w:val="18"/>
        </w:rPr>
      </w:pPr>
      <w:r w:rsidRPr="00BC1253">
        <w:rPr>
          <w:sz w:val="18"/>
          <w:szCs w:val="18"/>
        </w:rPr>
        <w:t>4.1.</w:t>
      </w:r>
      <w:r w:rsidRPr="00BC1253">
        <w:rPr>
          <w:sz w:val="18"/>
          <w:szCs w:val="18"/>
        </w:rPr>
        <w:tab/>
        <w:t xml:space="preserve">Contingent Assets and Liabilities </w:t>
      </w:r>
      <w:r w:rsidRPr="00BC1253">
        <w:rPr>
          <w:sz w:val="18"/>
          <w:szCs w:val="18"/>
        </w:rPr>
        <w:tab/>
        <w:t>67</w:t>
      </w:r>
    </w:p>
    <w:p w14:paraId="718D7D9E" w14:textId="77777777" w:rsidR="00BC1253" w:rsidRPr="00BC1253" w:rsidRDefault="00BC1253" w:rsidP="00BC1253">
      <w:pPr>
        <w:tabs>
          <w:tab w:val="left" w:pos="1418"/>
          <w:tab w:val="right" w:pos="9356"/>
        </w:tabs>
        <w:spacing w:line="240" w:lineRule="auto"/>
        <w:ind w:left="709"/>
        <w:rPr>
          <w:sz w:val="18"/>
          <w:szCs w:val="18"/>
        </w:rPr>
      </w:pPr>
      <w:r w:rsidRPr="00BC1253">
        <w:rPr>
          <w:sz w:val="18"/>
          <w:szCs w:val="18"/>
        </w:rPr>
        <w:t>4.2.</w:t>
      </w:r>
      <w:r w:rsidRPr="00BC1253">
        <w:rPr>
          <w:sz w:val="18"/>
          <w:szCs w:val="18"/>
        </w:rPr>
        <w:tab/>
        <w:t xml:space="preserve">Financial Instruments </w:t>
      </w:r>
      <w:r w:rsidRPr="00BC1253">
        <w:rPr>
          <w:sz w:val="18"/>
          <w:szCs w:val="18"/>
        </w:rPr>
        <w:tab/>
        <w:t>68</w:t>
      </w:r>
    </w:p>
    <w:p w14:paraId="5C191B3F" w14:textId="77777777" w:rsidR="00BC1253" w:rsidRPr="00BC1253" w:rsidRDefault="00BC1253" w:rsidP="00BC1253">
      <w:pPr>
        <w:tabs>
          <w:tab w:val="left" w:pos="709"/>
          <w:tab w:val="left" w:pos="1276"/>
          <w:tab w:val="right" w:pos="9356"/>
        </w:tabs>
        <w:spacing w:line="240" w:lineRule="auto"/>
        <w:rPr>
          <w:b/>
          <w:bCs/>
          <w:sz w:val="18"/>
          <w:szCs w:val="18"/>
        </w:rPr>
      </w:pPr>
      <w:r w:rsidRPr="00BC1253">
        <w:rPr>
          <w:b/>
          <w:bCs/>
          <w:sz w:val="18"/>
          <w:szCs w:val="18"/>
        </w:rPr>
        <w:t>5.</w:t>
      </w:r>
      <w:r w:rsidRPr="00BC1253">
        <w:rPr>
          <w:b/>
          <w:bCs/>
          <w:sz w:val="18"/>
          <w:szCs w:val="18"/>
        </w:rPr>
        <w:tab/>
        <w:t xml:space="preserve">Other Information </w:t>
      </w:r>
      <w:r w:rsidRPr="00BC1253">
        <w:rPr>
          <w:b/>
          <w:bCs/>
          <w:sz w:val="18"/>
          <w:szCs w:val="18"/>
        </w:rPr>
        <w:tab/>
        <w:t>70</w:t>
      </w:r>
    </w:p>
    <w:p w14:paraId="4A371BAC" w14:textId="77777777" w:rsidR="00BC1253" w:rsidRPr="00BC1253" w:rsidRDefault="00BC1253" w:rsidP="00BC1253">
      <w:pPr>
        <w:tabs>
          <w:tab w:val="left" w:pos="1418"/>
          <w:tab w:val="right" w:pos="9356"/>
        </w:tabs>
        <w:spacing w:line="240" w:lineRule="auto"/>
        <w:ind w:left="709"/>
        <w:rPr>
          <w:sz w:val="18"/>
          <w:szCs w:val="18"/>
        </w:rPr>
      </w:pPr>
      <w:r w:rsidRPr="00BC1253">
        <w:rPr>
          <w:sz w:val="18"/>
          <w:szCs w:val="18"/>
        </w:rPr>
        <w:t>5.1</w:t>
      </w:r>
      <w:r w:rsidRPr="00BC1253">
        <w:rPr>
          <w:sz w:val="18"/>
          <w:szCs w:val="18"/>
        </w:rPr>
        <w:tab/>
        <w:t xml:space="preserve">Current/Non-current Distinction for Assets and Liabilities </w:t>
      </w:r>
      <w:r w:rsidRPr="00BC1253">
        <w:rPr>
          <w:sz w:val="18"/>
          <w:szCs w:val="18"/>
        </w:rPr>
        <w:tab/>
        <w:t>70</w:t>
      </w:r>
    </w:p>
    <w:bookmarkEnd w:id="121"/>
    <w:p w14:paraId="1AF87027" w14:textId="32AA0E77" w:rsidR="00520333" w:rsidRPr="00C821EB" w:rsidRDefault="00520333" w:rsidP="00C821EB">
      <w:pPr>
        <w:tabs>
          <w:tab w:val="left" w:pos="1418"/>
          <w:tab w:val="right" w:pos="9356"/>
        </w:tabs>
        <w:spacing w:line="240" w:lineRule="auto"/>
        <w:ind w:left="709"/>
        <w:rPr>
          <w:sz w:val="18"/>
          <w:szCs w:val="18"/>
        </w:rPr>
      </w:pPr>
    </w:p>
    <w:p w14:paraId="0562B4A0" w14:textId="235A7A73" w:rsidR="006D688A" w:rsidRPr="00C821EB" w:rsidRDefault="006D688A" w:rsidP="00C821EB">
      <w:pPr>
        <w:tabs>
          <w:tab w:val="left" w:pos="1418"/>
          <w:tab w:val="right" w:pos="9356"/>
        </w:tabs>
        <w:spacing w:line="240" w:lineRule="auto"/>
        <w:ind w:left="709"/>
        <w:rPr>
          <w:sz w:val="18"/>
          <w:szCs w:val="18"/>
        </w:rPr>
        <w:sectPr w:rsidR="006D688A" w:rsidRPr="00C821EB" w:rsidSect="007D1B8F">
          <w:headerReference w:type="even" r:id="rId56"/>
          <w:headerReference w:type="default" r:id="rId57"/>
          <w:headerReference w:type="first" r:id="rId58"/>
          <w:pgSz w:w="11906" w:h="16838" w:code="9"/>
          <w:pgMar w:top="1361" w:right="1361" w:bottom="1361" w:left="1361" w:header="561" w:footer="374" w:gutter="0"/>
          <w:cols w:space="708"/>
          <w:docGrid w:linePitch="360"/>
        </w:sectPr>
      </w:pPr>
    </w:p>
    <w:p w14:paraId="21A258A5" w14:textId="77777777" w:rsidR="00C821EB" w:rsidRPr="00C821EB" w:rsidRDefault="00C821EB" w:rsidP="00C821EB">
      <w:pPr>
        <w:spacing w:after="0" w:line="240" w:lineRule="auto"/>
        <w:rPr>
          <w:b/>
          <w:bCs/>
        </w:rPr>
      </w:pPr>
      <w:bookmarkStart w:id="122" w:name="_Toc443469521"/>
      <w:bookmarkStart w:id="123" w:name="_Toc444065769"/>
      <w:bookmarkStart w:id="124" w:name="_Toc444077331"/>
      <w:bookmarkStart w:id="125" w:name="_Toc447030534"/>
      <w:bookmarkStart w:id="126" w:name="_Toc447030686"/>
      <w:bookmarkStart w:id="127" w:name="_Toc447030779"/>
      <w:bookmarkStart w:id="128" w:name="_Toc65742842"/>
      <w:bookmarkStart w:id="129" w:name="_Toc173417289"/>
      <w:bookmarkStart w:id="130" w:name="_Toc393360771"/>
      <w:bookmarkStart w:id="131" w:name="_Toc393784905"/>
      <w:bookmarkEnd w:id="120"/>
      <w:r w:rsidRPr="00C821EB">
        <w:rPr>
          <w:b/>
          <w:bCs/>
        </w:rPr>
        <w:lastRenderedPageBreak/>
        <w:t>National Disability Insurance Agency</w:t>
      </w:r>
    </w:p>
    <w:p w14:paraId="6C2F79A5" w14:textId="77777777" w:rsidR="00C821EB" w:rsidRPr="00C821EB" w:rsidRDefault="00C821EB" w:rsidP="00C821EB">
      <w:pPr>
        <w:pBdr>
          <w:bottom w:val="single" w:sz="8" w:space="1" w:color="auto"/>
        </w:pBdr>
        <w:rPr>
          <w:b/>
          <w:bCs/>
        </w:rPr>
      </w:pPr>
      <w:r w:rsidRPr="00C821EB">
        <w:rPr>
          <w:b/>
          <w:bCs/>
        </w:rPr>
        <w:t>NOTES TO AND FORMING PART OF THE FINANCIAL STATEMENTS</w:t>
      </w:r>
    </w:p>
    <w:p w14:paraId="4C0CCF33" w14:textId="77777777" w:rsidR="00520333" w:rsidRPr="00737116" w:rsidRDefault="00520333" w:rsidP="00520333">
      <w:pPr>
        <w:pStyle w:val="SectionHeading-NoNumber"/>
      </w:pPr>
      <w:r w:rsidRPr="00DD52F3">
        <w:t>Overview</w:t>
      </w:r>
      <w:bookmarkEnd w:id="122"/>
      <w:bookmarkEnd w:id="123"/>
      <w:bookmarkEnd w:id="124"/>
      <w:bookmarkEnd w:id="125"/>
      <w:bookmarkEnd w:id="126"/>
      <w:bookmarkEnd w:id="127"/>
      <w:bookmarkEnd w:id="128"/>
      <w:bookmarkEnd w:id="129"/>
      <w:r>
        <w:rPr>
          <w:highlight w:val="darkMagenta"/>
        </w:rPr>
        <w:tab/>
      </w:r>
    </w:p>
    <w:p w14:paraId="2275A6F4" w14:textId="77777777" w:rsidR="00520333" w:rsidRPr="00737116" w:rsidRDefault="00520333" w:rsidP="00520333">
      <w:pPr>
        <w:spacing w:after="120" w:line="120" w:lineRule="atLeast"/>
        <w:rPr>
          <w:b/>
          <w:bCs/>
          <w:sz w:val="4"/>
          <w:szCs w:val="4"/>
        </w:rPr>
      </w:pPr>
    </w:p>
    <w:p w14:paraId="1692A6CD" w14:textId="77777777" w:rsidR="00520333" w:rsidRPr="005E5E0C" w:rsidRDefault="00520333" w:rsidP="00520333">
      <w:pPr>
        <w:spacing w:line="240" w:lineRule="auto"/>
        <w:jc w:val="both"/>
        <w:rPr>
          <w:rFonts w:cs="Arial"/>
          <w:b/>
          <w:bCs/>
          <w:color w:val="800080"/>
          <w:sz w:val="18"/>
          <w:szCs w:val="18"/>
          <w:lang w:eastAsia="en-AU"/>
        </w:rPr>
      </w:pPr>
      <w:r w:rsidRPr="003216A4">
        <w:rPr>
          <w:rFonts w:cs="Arial"/>
          <w:b/>
          <w:bCs/>
          <w:color w:val="800080"/>
          <w:sz w:val="18"/>
          <w:szCs w:val="18"/>
          <w:lang w:eastAsia="en-AU"/>
        </w:rPr>
        <w:t>General information</w:t>
      </w:r>
    </w:p>
    <w:p w14:paraId="1315B6E1" w14:textId="77777777" w:rsidR="00520333" w:rsidRPr="003216A4" w:rsidRDefault="00520333" w:rsidP="00520333">
      <w:pPr>
        <w:tabs>
          <w:tab w:val="left" w:pos="9504"/>
        </w:tabs>
        <w:spacing w:after="120" w:line="240" w:lineRule="auto"/>
        <w:jc w:val="both"/>
        <w:rPr>
          <w:rFonts w:cs="Arial"/>
          <w:sz w:val="18"/>
          <w:szCs w:val="18"/>
          <w:lang w:eastAsia="en-AU"/>
        </w:rPr>
      </w:pPr>
      <w:r w:rsidRPr="003216A4">
        <w:rPr>
          <w:rFonts w:cs="Arial"/>
          <w:sz w:val="18"/>
          <w:szCs w:val="18"/>
          <w:lang w:eastAsia="en-AU"/>
        </w:rPr>
        <w:t xml:space="preserve">The </w:t>
      </w:r>
      <w:r>
        <w:rPr>
          <w:rFonts w:cs="Arial"/>
          <w:sz w:val="18"/>
          <w:szCs w:val="18"/>
          <w:lang w:eastAsia="en-AU"/>
        </w:rPr>
        <w:t>National Disability Insurance Agency</w:t>
      </w:r>
      <w:r w:rsidRPr="003216A4">
        <w:rPr>
          <w:rFonts w:cs="Arial"/>
          <w:sz w:val="18"/>
          <w:szCs w:val="18"/>
          <w:lang w:eastAsia="en-AU"/>
        </w:rPr>
        <w:t xml:space="preserve"> (‘the Agency’) was established on 29 March 2013 by the </w:t>
      </w:r>
      <w:r w:rsidRPr="003216A4">
        <w:rPr>
          <w:rFonts w:cs="Arial"/>
          <w:i/>
          <w:sz w:val="18"/>
          <w:szCs w:val="18"/>
          <w:lang w:eastAsia="en-AU"/>
        </w:rPr>
        <w:t>National Disability Insurance Scheme Act 2013</w:t>
      </w:r>
      <w:r w:rsidRPr="003216A4">
        <w:rPr>
          <w:rFonts w:cs="Arial"/>
          <w:sz w:val="18"/>
          <w:szCs w:val="18"/>
          <w:lang w:eastAsia="en-AU"/>
        </w:rPr>
        <w:t xml:space="preserve"> (‘the Act’). The Agency is an Australian Government controlled not-for-profit entity.</w:t>
      </w:r>
    </w:p>
    <w:p w14:paraId="43159640" w14:textId="77777777" w:rsidR="00520333" w:rsidRPr="003216A4" w:rsidRDefault="00520333" w:rsidP="00520333">
      <w:pPr>
        <w:tabs>
          <w:tab w:val="left" w:pos="7230"/>
          <w:tab w:val="left" w:pos="9504"/>
        </w:tabs>
        <w:spacing w:after="120" w:line="240" w:lineRule="auto"/>
        <w:jc w:val="both"/>
        <w:rPr>
          <w:rFonts w:cs="Arial"/>
          <w:sz w:val="18"/>
          <w:szCs w:val="18"/>
          <w:lang w:eastAsia="en-AU"/>
        </w:rPr>
      </w:pPr>
      <w:r w:rsidRPr="003216A4">
        <w:rPr>
          <w:rFonts w:cs="Arial"/>
          <w:sz w:val="18"/>
          <w:szCs w:val="18"/>
          <w:lang w:eastAsia="en-AU"/>
        </w:rPr>
        <w:t>The Scheme has operations in all states and territories of Australia</w:t>
      </w:r>
      <w:r>
        <w:rPr>
          <w:rFonts w:cs="Arial"/>
          <w:sz w:val="18"/>
          <w:szCs w:val="18"/>
          <w:lang w:eastAsia="en-AU"/>
        </w:rPr>
        <w:t xml:space="preserve">, </w:t>
      </w:r>
      <w:r w:rsidRPr="00F27D71">
        <w:rPr>
          <w:rFonts w:cs="Arial"/>
          <w:sz w:val="18"/>
          <w:szCs w:val="18"/>
          <w:lang w:eastAsia="en-AU"/>
        </w:rPr>
        <w:t xml:space="preserve">with its national office at </w:t>
      </w:r>
      <w:r>
        <w:rPr>
          <w:rFonts w:cs="Arial"/>
          <w:sz w:val="18"/>
          <w:szCs w:val="18"/>
          <w:lang w:eastAsia="en-AU"/>
        </w:rPr>
        <w:t>1</w:t>
      </w:r>
      <w:r w:rsidRPr="00F27D71">
        <w:rPr>
          <w:rFonts w:cs="Arial"/>
          <w:sz w:val="18"/>
          <w:szCs w:val="18"/>
          <w:lang w:eastAsia="en-AU"/>
        </w:rPr>
        <w:t>3</w:t>
      </w:r>
      <w:r>
        <w:rPr>
          <w:rFonts w:cs="Arial"/>
          <w:sz w:val="18"/>
          <w:szCs w:val="18"/>
          <w:lang w:eastAsia="en-AU"/>
        </w:rPr>
        <w:t xml:space="preserve"> – </w:t>
      </w:r>
      <w:r w:rsidRPr="00F27D71">
        <w:rPr>
          <w:rFonts w:cs="Arial"/>
          <w:sz w:val="18"/>
          <w:szCs w:val="18"/>
          <w:lang w:eastAsia="en-AU"/>
        </w:rPr>
        <w:t>19 Malop Street, Geelong, Victoria, 3220.</w:t>
      </w:r>
      <w:r w:rsidRPr="003216A4">
        <w:rPr>
          <w:rFonts w:cs="Arial"/>
          <w:sz w:val="18"/>
          <w:szCs w:val="18"/>
          <w:lang w:eastAsia="en-AU"/>
        </w:rPr>
        <w:tab/>
      </w:r>
    </w:p>
    <w:p w14:paraId="2E31FE27" w14:textId="77777777" w:rsidR="00520333" w:rsidRPr="005E5E0C" w:rsidRDefault="00520333" w:rsidP="00520333">
      <w:pPr>
        <w:spacing w:line="240" w:lineRule="auto"/>
        <w:jc w:val="both"/>
        <w:rPr>
          <w:rFonts w:cs="Arial"/>
          <w:b/>
          <w:bCs/>
          <w:color w:val="800080"/>
          <w:sz w:val="18"/>
          <w:szCs w:val="18"/>
          <w:lang w:eastAsia="en-AU"/>
        </w:rPr>
      </w:pPr>
      <w:r w:rsidRPr="003216A4">
        <w:rPr>
          <w:rFonts w:cs="Arial"/>
          <w:b/>
          <w:bCs/>
          <w:color w:val="800080"/>
          <w:sz w:val="18"/>
          <w:szCs w:val="18"/>
          <w:lang w:eastAsia="en-AU"/>
        </w:rPr>
        <w:t>Objectives of the Agency</w:t>
      </w:r>
    </w:p>
    <w:p w14:paraId="4EEFDD08" w14:textId="77777777" w:rsidR="00520333" w:rsidRPr="005E5E0C" w:rsidRDefault="00520333" w:rsidP="00520333">
      <w:pPr>
        <w:spacing w:after="120" w:line="240" w:lineRule="auto"/>
        <w:jc w:val="both"/>
        <w:rPr>
          <w:rFonts w:cs="Arial"/>
          <w:sz w:val="18"/>
          <w:szCs w:val="18"/>
          <w:highlight w:val="cyan"/>
          <w:lang w:eastAsia="en-AU"/>
        </w:rPr>
      </w:pPr>
      <w:r w:rsidRPr="003216A4">
        <w:rPr>
          <w:rFonts w:cs="Arial"/>
          <w:sz w:val="18"/>
          <w:szCs w:val="18"/>
          <w:lang w:eastAsia="en-AU"/>
        </w:rPr>
        <w:t>The objective of the Agency is to operate under the Act, and in conjunction with other legislation, to give effect to Australia’s obligations under the Convention on the Rights of Persons with Disabilities. In doing so, the Agency supports the independence, social and economic participation of people with a disabilit</w:t>
      </w:r>
      <w:r w:rsidRPr="00641052">
        <w:rPr>
          <w:rFonts w:cs="Arial"/>
          <w:sz w:val="18"/>
          <w:szCs w:val="18"/>
          <w:lang w:eastAsia="en-AU"/>
        </w:rPr>
        <w:t xml:space="preserve">y. </w:t>
      </w:r>
    </w:p>
    <w:p w14:paraId="62FF64F4" w14:textId="77777777" w:rsidR="00520333" w:rsidRPr="00F45CC2" w:rsidRDefault="00520333" w:rsidP="00520333">
      <w:pPr>
        <w:spacing w:after="120" w:line="240" w:lineRule="auto"/>
        <w:jc w:val="both"/>
        <w:rPr>
          <w:rFonts w:cs="Arial"/>
          <w:sz w:val="18"/>
          <w:szCs w:val="18"/>
          <w:lang w:eastAsia="en-AU"/>
        </w:rPr>
      </w:pPr>
      <w:r w:rsidRPr="00F45CC2">
        <w:rPr>
          <w:rFonts w:cs="Arial"/>
          <w:sz w:val="18"/>
          <w:szCs w:val="18"/>
          <w:lang w:eastAsia="en-AU"/>
        </w:rPr>
        <w:t>The Agency is structured to meet the following outcome:</w:t>
      </w:r>
    </w:p>
    <w:p w14:paraId="7AD0D7CD" w14:textId="77777777" w:rsidR="00520333" w:rsidRPr="005E5E0C" w:rsidRDefault="00520333" w:rsidP="00520333">
      <w:pPr>
        <w:spacing w:after="120" w:line="240" w:lineRule="auto"/>
        <w:jc w:val="both"/>
        <w:rPr>
          <w:rFonts w:cs="Arial"/>
          <w:i/>
          <w:sz w:val="18"/>
          <w:szCs w:val="18"/>
          <w:lang w:eastAsia="en-AU"/>
        </w:rPr>
      </w:pPr>
      <w:r w:rsidRPr="00F45CC2">
        <w:rPr>
          <w:rFonts w:cs="Arial"/>
          <w:i/>
          <w:sz w:val="18"/>
          <w:szCs w:val="18"/>
          <w:lang w:eastAsia="en-AU"/>
        </w:rPr>
        <w:t>To implement a National Disability Insurance Scheme that provides individual control and choice in the delivery of reasonable and necessary supports to improve the independence, social and economic participation of eligible people with disability, their families and carers, and associated referral services and activities.</w:t>
      </w:r>
    </w:p>
    <w:p w14:paraId="38F3DAA5" w14:textId="77777777" w:rsidR="00520333" w:rsidRDefault="00520333" w:rsidP="00520333">
      <w:pPr>
        <w:spacing w:after="120" w:line="240" w:lineRule="auto"/>
        <w:jc w:val="both"/>
        <w:rPr>
          <w:rFonts w:cs="Arial"/>
          <w:sz w:val="18"/>
          <w:szCs w:val="18"/>
          <w:lang w:eastAsia="en-AU"/>
        </w:rPr>
      </w:pPr>
      <w:r w:rsidRPr="00F45CC2">
        <w:rPr>
          <w:rFonts w:cs="Arial"/>
          <w:sz w:val="18"/>
          <w:szCs w:val="18"/>
          <w:lang w:eastAsia="en-AU"/>
        </w:rPr>
        <w:t>The continued existence</w:t>
      </w:r>
      <w:r w:rsidRPr="00C20DDF">
        <w:rPr>
          <w:rFonts w:cs="Arial"/>
          <w:sz w:val="18"/>
          <w:szCs w:val="18"/>
          <w:lang w:eastAsia="en-AU"/>
        </w:rPr>
        <w:t xml:space="preserve"> of the Agency in its present form and with its present programs is dependent on Commonwealth Government policy, continuing funding by Parliament for the Agency’s administration and programs and agreement with state and territory governments.</w:t>
      </w:r>
      <w:r>
        <w:rPr>
          <w:rFonts w:cs="Arial"/>
          <w:sz w:val="18"/>
          <w:szCs w:val="18"/>
          <w:lang w:eastAsia="en-AU"/>
        </w:rPr>
        <w:t xml:space="preserve"> </w:t>
      </w:r>
      <w:r w:rsidRPr="00973618">
        <w:rPr>
          <w:rFonts w:cs="Arial"/>
          <w:sz w:val="18"/>
          <w:szCs w:val="18"/>
          <w:lang w:eastAsia="en-AU"/>
        </w:rPr>
        <w:t>States an</w:t>
      </w:r>
      <w:r>
        <w:rPr>
          <w:rFonts w:cs="Arial"/>
          <w:sz w:val="18"/>
          <w:szCs w:val="18"/>
          <w:lang w:eastAsia="en-AU"/>
        </w:rPr>
        <w:t>d</w:t>
      </w:r>
      <w:r w:rsidRPr="00973618">
        <w:rPr>
          <w:rFonts w:cs="Arial"/>
          <w:sz w:val="18"/>
          <w:szCs w:val="18"/>
          <w:lang w:eastAsia="en-AU"/>
        </w:rPr>
        <w:t xml:space="preserve"> territories have continued to provide funding as set out in the bilateral agreements between </w:t>
      </w:r>
      <w:r>
        <w:rPr>
          <w:rFonts w:cs="Arial"/>
          <w:sz w:val="18"/>
          <w:szCs w:val="18"/>
          <w:lang w:eastAsia="en-AU"/>
        </w:rPr>
        <w:t xml:space="preserve">each </w:t>
      </w:r>
      <w:r w:rsidRPr="00973618">
        <w:rPr>
          <w:rFonts w:cs="Arial"/>
          <w:sz w:val="18"/>
          <w:szCs w:val="18"/>
          <w:lang w:eastAsia="en-AU"/>
        </w:rPr>
        <w:t>state and territor</w:t>
      </w:r>
      <w:r>
        <w:rPr>
          <w:rFonts w:cs="Arial"/>
          <w:sz w:val="18"/>
          <w:szCs w:val="18"/>
          <w:lang w:eastAsia="en-AU"/>
        </w:rPr>
        <w:t>y</w:t>
      </w:r>
      <w:r w:rsidRPr="00973618">
        <w:rPr>
          <w:rFonts w:cs="Arial"/>
          <w:sz w:val="18"/>
          <w:szCs w:val="18"/>
          <w:lang w:eastAsia="en-AU"/>
        </w:rPr>
        <w:t xml:space="preserve"> and the Commonwealth</w:t>
      </w:r>
      <w:r>
        <w:rPr>
          <w:rFonts w:cs="Arial"/>
          <w:sz w:val="18"/>
          <w:szCs w:val="18"/>
          <w:lang w:eastAsia="en-AU"/>
        </w:rPr>
        <w:t>.</w:t>
      </w:r>
    </w:p>
    <w:p w14:paraId="7E17B97D" w14:textId="77777777" w:rsidR="00520333" w:rsidRPr="005E5E0C" w:rsidRDefault="00520333" w:rsidP="00520333">
      <w:pPr>
        <w:spacing w:line="240" w:lineRule="auto"/>
        <w:jc w:val="both"/>
        <w:rPr>
          <w:rFonts w:cs="Arial"/>
          <w:b/>
          <w:bCs/>
          <w:color w:val="800080"/>
          <w:sz w:val="18"/>
          <w:szCs w:val="18"/>
          <w:lang w:eastAsia="en-AU"/>
        </w:rPr>
      </w:pPr>
      <w:r w:rsidRPr="009F02DB">
        <w:rPr>
          <w:rFonts w:cs="Arial"/>
          <w:b/>
          <w:bCs/>
          <w:color w:val="800080"/>
          <w:sz w:val="18"/>
          <w:szCs w:val="18"/>
          <w:lang w:eastAsia="en-AU"/>
        </w:rPr>
        <w:t>The Basis of Preparation</w:t>
      </w:r>
    </w:p>
    <w:p w14:paraId="6F33F089" w14:textId="77777777" w:rsidR="00520333" w:rsidRPr="00147A65" w:rsidRDefault="00520333" w:rsidP="00520333">
      <w:pPr>
        <w:spacing w:after="120" w:line="240" w:lineRule="auto"/>
        <w:jc w:val="both"/>
        <w:rPr>
          <w:rFonts w:cs="Arial"/>
          <w:bCs/>
          <w:sz w:val="18"/>
          <w:szCs w:val="18"/>
          <w:lang w:eastAsia="en-AU"/>
        </w:rPr>
      </w:pPr>
      <w:r w:rsidRPr="00BB6CF4">
        <w:rPr>
          <w:rFonts w:cs="Arial"/>
          <w:bCs/>
          <w:sz w:val="18"/>
          <w:szCs w:val="18"/>
          <w:lang w:eastAsia="en-AU"/>
        </w:rPr>
        <w:t xml:space="preserve">The financial statements </w:t>
      </w:r>
      <w:r>
        <w:rPr>
          <w:rFonts w:cs="Arial"/>
          <w:bCs/>
          <w:sz w:val="18"/>
          <w:szCs w:val="18"/>
          <w:lang w:eastAsia="en-AU"/>
        </w:rPr>
        <w:t xml:space="preserve">are </w:t>
      </w:r>
      <w:r w:rsidRPr="00BB6CF4">
        <w:rPr>
          <w:rFonts w:cs="Arial"/>
          <w:bCs/>
          <w:sz w:val="18"/>
          <w:szCs w:val="18"/>
          <w:lang w:eastAsia="en-AU"/>
        </w:rPr>
        <w:t xml:space="preserve">required by section 42 of the </w:t>
      </w:r>
      <w:r w:rsidRPr="00BB6CF4">
        <w:rPr>
          <w:rFonts w:cs="Arial"/>
          <w:bCs/>
          <w:i/>
          <w:sz w:val="18"/>
          <w:szCs w:val="18"/>
          <w:lang w:eastAsia="en-AU"/>
        </w:rPr>
        <w:t>Public Governance, Performance and Accountability Act 2013</w:t>
      </w:r>
      <w:r w:rsidRPr="00BB6CF4">
        <w:rPr>
          <w:rFonts w:cs="Arial"/>
          <w:bCs/>
          <w:sz w:val="18"/>
          <w:szCs w:val="18"/>
          <w:lang w:eastAsia="en-AU"/>
        </w:rPr>
        <w:t>.</w:t>
      </w:r>
    </w:p>
    <w:p w14:paraId="369FA8FD" w14:textId="77777777" w:rsidR="00520333" w:rsidRPr="00BB6CF4" w:rsidRDefault="00520333" w:rsidP="00520333">
      <w:pPr>
        <w:spacing w:after="120" w:line="240" w:lineRule="auto"/>
        <w:jc w:val="both"/>
        <w:rPr>
          <w:rFonts w:cs="Arial"/>
          <w:sz w:val="18"/>
          <w:szCs w:val="18"/>
          <w:lang w:eastAsia="en-AU"/>
        </w:rPr>
      </w:pPr>
      <w:r w:rsidRPr="00BB6CF4">
        <w:rPr>
          <w:rFonts w:cs="Arial"/>
          <w:sz w:val="18"/>
          <w:szCs w:val="18"/>
          <w:lang w:eastAsia="en-AU"/>
        </w:rPr>
        <w:t>The financial statements have been prepared in accordance with:</w:t>
      </w:r>
    </w:p>
    <w:p w14:paraId="2622B712" w14:textId="77777777" w:rsidR="00520333" w:rsidRPr="00BB6CF4" w:rsidRDefault="00520333" w:rsidP="00520333">
      <w:pPr>
        <w:numPr>
          <w:ilvl w:val="0"/>
          <w:numId w:val="28"/>
        </w:numPr>
        <w:spacing w:after="0" w:line="240" w:lineRule="auto"/>
        <w:contextualSpacing/>
        <w:jc w:val="both"/>
        <w:rPr>
          <w:rFonts w:cs="Arial"/>
          <w:sz w:val="18"/>
          <w:szCs w:val="18"/>
          <w:lang w:eastAsia="en-AU"/>
        </w:rPr>
      </w:pPr>
      <w:r w:rsidRPr="00FD020F">
        <w:rPr>
          <w:rFonts w:cs="Arial"/>
          <w:i/>
          <w:sz w:val="18"/>
          <w:szCs w:val="18"/>
          <w:lang w:eastAsia="en-AU"/>
        </w:rPr>
        <w:t>Public Governance, Performance and Accountability (Financial Reporting) Rule 2015</w:t>
      </w:r>
      <w:r w:rsidRPr="00BB6CF4">
        <w:rPr>
          <w:rFonts w:cs="Arial"/>
          <w:sz w:val="18"/>
          <w:szCs w:val="18"/>
          <w:lang w:eastAsia="en-AU"/>
        </w:rPr>
        <w:t xml:space="preserve"> (FRR</w:t>
      </w:r>
      <w:r>
        <w:rPr>
          <w:rFonts w:cs="Arial"/>
          <w:sz w:val="18"/>
          <w:szCs w:val="18"/>
          <w:lang w:eastAsia="en-AU"/>
        </w:rPr>
        <w:t>)</w:t>
      </w:r>
      <w:r w:rsidRPr="00FD020F">
        <w:rPr>
          <w:rFonts w:cs="Arial"/>
          <w:sz w:val="18"/>
          <w:szCs w:val="18"/>
          <w:lang w:eastAsia="en-AU"/>
        </w:rPr>
        <w:t>;</w:t>
      </w:r>
      <w:r w:rsidRPr="00BB6CF4">
        <w:rPr>
          <w:rFonts w:cs="Arial"/>
          <w:sz w:val="18"/>
          <w:szCs w:val="18"/>
          <w:lang w:eastAsia="en-AU"/>
        </w:rPr>
        <w:t xml:space="preserve"> and  </w:t>
      </w:r>
    </w:p>
    <w:p w14:paraId="1CD5FA1E" w14:textId="77777777" w:rsidR="00520333" w:rsidRPr="00147A65" w:rsidRDefault="00520333" w:rsidP="00520333">
      <w:pPr>
        <w:numPr>
          <w:ilvl w:val="0"/>
          <w:numId w:val="28"/>
        </w:numPr>
        <w:spacing w:after="0" w:line="240" w:lineRule="auto"/>
        <w:contextualSpacing/>
        <w:jc w:val="both"/>
        <w:rPr>
          <w:rFonts w:cs="Arial"/>
          <w:sz w:val="18"/>
          <w:szCs w:val="18"/>
          <w:lang w:eastAsia="en-AU"/>
        </w:rPr>
      </w:pPr>
      <w:r w:rsidRPr="00BB6CF4">
        <w:rPr>
          <w:rFonts w:cs="Arial"/>
          <w:sz w:val="18"/>
          <w:szCs w:val="18"/>
          <w:lang w:eastAsia="en-AU"/>
        </w:rPr>
        <w:t>Australian Accounti</w:t>
      </w:r>
      <w:r>
        <w:rPr>
          <w:rFonts w:cs="Arial"/>
          <w:sz w:val="18"/>
          <w:szCs w:val="18"/>
          <w:lang w:eastAsia="en-AU"/>
        </w:rPr>
        <w:t xml:space="preserve">ng Standards and Interpretations – </w:t>
      </w:r>
      <w:r w:rsidRPr="00F27D71">
        <w:rPr>
          <w:rFonts w:cs="Arial"/>
          <w:sz w:val="18"/>
          <w:szCs w:val="18"/>
          <w:lang w:eastAsia="en-AU"/>
        </w:rPr>
        <w:t>including simplified disclosures for Tier 2 Entities under AASB 1060 issued by the Australian Accounting Standards Board (AASB) that apply for the reporting period.</w:t>
      </w:r>
      <w:r w:rsidRPr="00BB6CF4">
        <w:rPr>
          <w:rFonts w:cs="Arial"/>
          <w:sz w:val="18"/>
          <w:szCs w:val="18"/>
          <w:lang w:eastAsia="en-AU"/>
        </w:rPr>
        <w:tab/>
      </w:r>
    </w:p>
    <w:p w14:paraId="57E91CCD" w14:textId="77777777" w:rsidR="00520333" w:rsidRPr="00BB6CF4" w:rsidRDefault="00520333" w:rsidP="00520333">
      <w:pPr>
        <w:spacing w:line="240" w:lineRule="auto"/>
        <w:jc w:val="both"/>
        <w:rPr>
          <w:rFonts w:cs="Arial"/>
          <w:sz w:val="18"/>
          <w:szCs w:val="18"/>
          <w:lang w:eastAsia="en-AU"/>
        </w:rPr>
      </w:pPr>
      <w:r w:rsidRPr="00BB6CF4">
        <w:rPr>
          <w:rFonts w:cs="Arial"/>
          <w:sz w:val="18"/>
          <w:szCs w:val="18"/>
          <w:lang w:eastAsia="en-AU"/>
        </w:rPr>
        <w:t>The financial statements have been prepared on an accrual basis and in accordance with the historical cost convention, except for certain assets and liabilities</w:t>
      </w:r>
      <w:r>
        <w:rPr>
          <w:rFonts w:cs="Arial"/>
          <w:sz w:val="18"/>
          <w:szCs w:val="18"/>
          <w:lang w:eastAsia="en-AU"/>
        </w:rPr>
        <w:t>, which are measured</w:t>
      </w:r>
      <w:r w:rsidRPr="00BB6CF4">
        <w:rPr>
          <w:rFonts w:cs="Arial"/>
          <w:sz w:val="18"/>
          <w:szCs w:val="18"/>
          <w:lang w:eastAsia="en-AU"/>
        </w:rPr>
        <w:t xml:space="preserve"> at fair value. Except where stated, no allowance is made for the effect of changing prices on the results or the </w:t>
      </w:r>
      <w:r>
        <w:rPr>
          <w:rFonts w:cs="Arial"/>
          <w:sz w:val="18"/>
          <w:szCs w:val="18"/>
          <w:lang w:eastAsia="en-AU"/>
        </w:rPr>
        <w:t>financial position</w:t>
      </w:r>
      <w:r w:rsidRPr="00BB6CF4">
        <w:rPr>
          <w:rFonts w:cs="Arial"/>
          <w:sz w:val="18"/>
          <w:szCs w:val="18"/>
          <w:lang w:eastAsia="en-AU"/>
        </w:rPr>
        <w:t>. The financial statements are presented in Australian dollars and values are rounded to the nearest thousand dollars, unless otherwise specified.</w:t>
      </w:r>
    </w:p>
    <w:p w14:paraId="2502BE63" w14:textId="77777777" w:rsidR="00520333" w:rsidRPr="005E5E0C" w:rsidRDefault="00520333" w:rsidP="00520333">
      <w:pPr>
        <w:spacing w:line="240" w:lineRule="auto"/>
        <w:rPr>
          <w:rFonts w:cs="Arial"/>
          <w:b/>
          <w:bCs/>
          <w:color w:val="800080"/>
          <w:sz w:val="18"/>
          <w:szCs w:val="18"/>
          <w:lang w:eastAsia="en-AU"/>
        </w:rPr>
      </w:pPr>
      <w:r w:rsidRPr="009F25EA">
        <w:rPr>
          <w:rFonts w:cs="Arial"/>
          <w:b/>
          <w:bCs/>
          <w:color w:val="800080"/>
          <w:sz w:val="18"/>
          <w:szCs w:val="18"/>
          <w:lang w:eastAsia="en-AU"/>
        </w:rPr>
        <w:t>New Accounting Standards</w:t>
      </w:r>
    </w:p>
    <w:p w14:paraId="754EB49A" w14:textId="77777777" w:rsidR="00520333" w:rsidRPr="005E5E0C" w:rsidRDefault="00520333" w:rsidP="00520333">
      <w:pPr>
        <w:jc w:val="both"/>
        <w:rPr>
          <w:rFonts w:cs="Arial"/>
          <w:sz w:val="18"/>
          <w:szCs w:val="18"/>
          <w:lang w:eastAsia="en-AU"/>
        </w:rPr>
      </w:pPr>
      <w:r w:rsidRPr="009F25EA">
        <w:rPr>
          <w:rFonts w:cs="Arial"/>
          <w:sz w:val="18"/>
          <w:szCs w:val="18"/>
          <w:lang w:eastAsia="en-AU"/>
        </w:rPr>
        <w:t>All new/revised/amending standards and/or interpretations that were issued prior to the sign-off date and are applicable to the current reporting period did not have a material effect on the entity’s financial statements.</w:t>
      </w:r>
      <w:r>
        <w:rPr>
          <w:rFonts w:cs="Arial"/>
          <w:sz w:val="18"/>
          <w:szCs w:val="18"/>
          <w:lang w:eastAsia="en-AU"/>
        </w:rPr>
        <w:t xml:space="preserve"> </w:t>
      </w:r>
    </w:p>
    <w:p w14:paraId="67737393" w14:textId="77777777" w:rsidR="00520333" w:rsidRPr="00D132EA" w:rsidRDefault="00520333" w:rsidP="00520333">
      <w:pPr>
        <w:spacing w:line="240" w:lineRule="auto"/>
        <w:rPr>
          <w:rFonts w:cs="Arial"/>
          <w:b/>
          <w:bCs/>
          <w:color w:val="800080"/>
          <w:sz w:val="18"/>
          <w:szCs w:val="18"/>
          <w:lang w:eastAsia="en-AU"/>
        </w:rPr>
      </w:pPr>
      <w:r w:rsidRPr="009F02DB">
        <w:rPr>
          <w:rFonts w:cs="Arial"/>
          <w:b/>
          <w:bCs/>
          <w:color w:val="800080"/>
          <w:sz w:val="18"/>
          <w:szCs w:val="18"/>
          <w:lang w:eastAsia="en-AU"/>
        </w:rPr>
        <w:t>Taxation</w:t>
      </w:r>
    </w:p>
    <w:p w14:paraId="5325C384" w14:textId="77777777" w:rsidR="00520333" w:rsidRDefault="00520333" w:rsidP="00520333">
      <w:pPr>
        <w:keepNext/>
        <w:spacing w:line="240" w:lineRule="auto"/>
        <w:jc w:val="both"/>
        <w:rPr>
          <w:rFonts w:cs="Arial"/>
          <w:sz w:val="18"/>
          <w:szCs w:val="18"/>
          <w:lang w:eastAsia="en-AU"/>
        </w:rPr>
      </w:pPr>
      <w:r w:rsidRPr="00BB6CF4">
        <w:rPr>
          <w:rFonts w:cs="Arial"/>
          <w:sz w:val="18"/>
          <w:szCs w:val="18"/>
          <w:lang w:eastAsia="en-AU"/>
        </w:rPr>
        <w:t xml:space="preserve">The Agency is exempt from all forms of </w:t>
      </w:r>
      <w:r>
        <w:rPr>
          <w:rFonts w:cs="Arial"/>
          <w:sz w:val="18"/>
          <w:szCs w:val="18"/>
          <w:lang w:eastAsia="en-AU"/>
        </w:rPr>
        <w:t xml:space="preserve">Commonwealth, state, and territory </w:t>
      </w:r>
      <w:r w:rsidRPr="00BB6CF4">
        <w:rPr>
          <w:rFonts w:cs="Arial"/>
          <w:sz w:val="18"/>
          <w:szCs w:val="18"/>
          <w:lang w:eastAsia="en-AU"/>
        </w:rPr>
        <w:t xml:space="preserve">taxation except Fringe Benefits Tax (FBT) and </w:t>
      </w:r>
      <w:r>
        <w:rPr>
          <w:rFonts w:cs="Arial"/>
          <w:sz w:val="18"/>
          <w:szCs w:val="18"/>
          <w:lang w:eastAsia="en-AU"/>
        </w:rPr>
        <w:t xml:space="preserve">the </w:t>
      </w:r>
      <w:r w:rsidRPr="00BB6CF4">
        <w:rPr>
          <w:rFonts w:cs="Arial"/>
          <w:sz w:val="18"/>
          <w:szCs w:val="18"/>
          <w:lang w:eastAsia="en-AU"/>
        </w:rPr>
        <w:t xml:space="preserve">Goods </w:t>
      </w:r>
      <w:r>
        <w:rPr>
          <w:rFonts w:cs="Arial"/>
          <w:sz w:val="18"/>
          <w:szCs w:val="18"/>
          <w:lang w:eastAsia="en-AU"/>
        </w:rPr>
        <w:t>and Services Tax</w:t>
      </w:r>
      <w:r w:rsidDel="00AB0C22">
        <w:rPr>
          <w:rFonts w:cs="Arial"/>
          <w:sz w:val="18"/>
          <w:szCs w:val="18"/>
          <w:lang w:eastAsia="en-AU"/>
        </w:rPr>
        <w:t xml:space="preserve"> </w:t>
      </w:r>
      <w:r>
        <w:rPr>
          <w:rFonts w:cs="Arial"/>
          <w:sz w:val="18"/>
          <w:szCs w:val="18"/>
          <w:lang w:eastAsia="en-AU"/>
        </w:rPr>
        <w:t>(GST).</w:t>
      </w:r>
    </w:p>
    <w:p w14:paraId="6ACA751E" w14:textId="77777777" w:rsidR="00520333" w:rsidRPr="00D0437A" w:rsidRDefault="00520333" w:rsidP="00520333">
      <w:pPr>
        <w:spacing w:line="240" w:lineRule="auto"/>
        <w:rPr>
          <w:rFonts w:cs="Arial"/>
          <w:b/>
          <w:bCs/>
          <w:color w:val="800080"/>
          <w:sz w:val="18"/>
          <w:szCs w:val="18"/>
          <w:lang w:eastAsia="en-AU"/>
        </w:rPr>
      </w:pPr>
      <w:r w:rsidRPr="00D0437A">
        <w:rPr>
          <w:rFonts w:cs="Arial"/>
          <w:b/>
          <w:bCs/>
          <w:color w:val="800080"/>
          <w:sz w:val="18"/>
          <w:szCs w:val="18"/>
          <w:lang w:eastAsia="en-AU"/>
        </w:rPr>
        <w:t>Events after the reporting period</w:t>
      </w:r>
    </w:p>
    <w:p w14:paraId="73FBFBC1" w14:textId="77777777" w:rsidR="00520333" w:rsidRPr="006F7587" w:rsidRDefault="00520333" w:rsidP="00520333">
      <w:pPr>
        <w:keepNext/>
        <w:spacing w:line="240" w:lineRule="auto"/>
        <w:jc w:val="both"/>
        <w:rPr>
          <w:rFonts w:cs="Arial"/>
          <w:sz w:val="18"/>
          <w:szCs w:val="18"/>
          <w:lang w:eastAsia="en-AU"/>
        </w:rPr>
      </w:pPr>
      <w:bookmarkStart w:id="132" w:name="_Toc444065770"/>
      <w:bookmarkStart w:id="133" w:name="_Toc444077332"/>
      <w:bookmarkEnd w:id="130"/>
      <w:bookmarkEnd w:id="131"/>
      <w:r w:rsidRPr="0073640F">
        <w:rPr>
          <w:rFonts w:cs="Arial"/>
          <w:sz w:val="18"/>
          <w:szCs w:val="18"/>
          <w:lang w:eastAsia="en-AU"/>
        </w:rPr>
        <w:t>There are no known events occurring after the reporting period that could have a material impact on the financial statements.</w:t>
      </w:r>
      <w:r w:rsidRPr="004933E2">
        <w:rPr>
          <w:rFonts w:cs="Arial"/>
          <w:sz w:val="18"/>
          <w:szCs w:val="18"/>
          <w:lang w:eastAsia="en-AU"/>
        </w:rPr>
        <w:t xml:space="preserve"> </w:t>
      </w:r>
    </w:p>
    <w:p w14:paraId="24F5FEB2" w14:textId="77777777" w:rsidR="00520333" w:rsidRPr="006F7587" w:rsidRDefault="00520333" w:rsidP="00520333">
      <w:pPr>
        <w:spacing w:line="240" w:lineRule="auto"/>
        <w:sectPr w:rsidR="00520333" w:rsidRPr="006F7587" w:rsidSect="00BC1253">
          <w:pgSz w:w="11906" w:h="16838" w:code="9"/>
          <w:pgMar w:top="1361" w:right="1361" w:bottom="1361" w:left="1361" w:header="958" w:footer="737" w:gutter="0"/>
          <w:cols w:space="708"/>
          <w:docGrid w:linePitch="360"/>
        </w:sectPr>
      </w:pPr>
      <w:r w:rsidRPr="006F7587">
        <w:t xml:space="preserve"> </w:t>
      </w:r>
    </w:p>
    <w:p w14:paraId="0C38B594" w14:textId="77777777" w:rsidR="00520333" w:rsidRPr="006F7587" w:rsidRDefault="00520333" w:rsidP="00520333">
      <w:pPr>
        <w:spacing w:line="240" w:lineRule="auto"/>
        <w:sectPr w:rsidR="00520333" w:rsidRPr="006F7587" w:rsidSect="00520333">
          <w:type w:val="continuous"/>
          <w:pgSz w:w="11906" w:h="16838" w:code="9"/>
          <w:pgMar w:top="1134" w:right="1700" w:bottom="1134" w:left="1134" w:header="958" w:footer="737" w:gutter="0"/>
          <w:cols w:space="708"/>
          <w:docGrid w:linePitch="360"/>
        </w:sectPr>
      </w:pPr>
    </w:p>
    <w:p w14:paraId="0F7B2377" w14:textId="77777777" w:rsidR="003203A1" w:rsidRPr="00C821EB" w:rsidRDefault="003203A1" w:rsidP="003203A1">
      <w:pPr>
        <w:spacing w:after="0" w:line="240" w:lineRule="auto"/>
        <w:rPr>
          <w:b/>
          <w:bCs/>
        </w:rPr>
      </w:pPr>
      <w:bookmarkStart w:id="134" w:name="_Toc447030535"/>
      <w:bookmarkStart w:id="135" w:name="_Toc447030687"/>
      <w:bookmarkStart w:id="136" w:name="_Toc447030780"/>
      <w:bookmarkStart w:id="137" w:name="_Toc65742843"/>
      <w:bookmarkStart w:id="138" w:name="_Toc173417290"/>
      <w:r w:rsidRPr="00C821EB">
        <w:rPr>
          <w:b/>
          <w:bCs/>
        </w:rPr>
        <w:lastRenderedPageBreak/>
        <w:t>National Disability Insurance Agency</w:t>
      </w:r>
    </w:p>
    <w:p w14:paraId="020C3C6A" w14:textId="77777777" w:rsidR="003203A1" w:rsidRPr="00C821EB" w:rsidRDefault="003203A1" w:rsidP="003203A1">
      <w:pPr>
        <w:pBdr>
          <w:bottom w:val="single" w:sz="8" w:space="1" w:color="auto"/>
        </w:pBdr>
        <w:rPr>
          <w:b/>
          <w:bCs/>
        </w:rPr>
      </w:pPr>
      <w:r w:rsidRPr="00C821EB">
        <w:rPr>
          <w:b/>
          <w:bCs/>
        </w:rPr>
        <w:t>NOTES TO AND FORMING PART OF THE FINANCIAL STATEMENTS</w:t>
      </w:r>
    </w:p>
    <w:p w14:paraId="769AAA1B" w14:textId="4AF5CB2A" w:rsidR="00520333" w:rsidRPr="00EE5DE1" w:rsidRDefault="00520333" w:rsidP="00520333">
      <w:pPr>
        <w:pStyle w:val="SectionHeading"/>
      </w:pPr>
      <w:r w:rsidRPr="00EE5DE1">
        <w:t>Financial Performance</w:t>
      </w:r>
      <w:bookmarkEnd w:id="132"/>
      <w:bookmarkEnd w:id="133"/>
      <w:bookmarkEnd w:id="134"/>
      <w:bookmarkEnd w:id="135"/>
      <w:bookmarkEnd w:id="136"/>
      <w:bookmarkEnd w:id="137"/>
      <w:bookmarkEnd w:id="138"/>
    </w:p>
    <w:p w14:paraId="267CC89E" w14:textId="77777777" w:rsidR="00520333" w:rsidRDefault="00520333" w:rsidP="00520333">
      <w:pPr>
        <w:pStyle w:val="SectionHeadingDescription"/>
      </w:pPr>
      <w:bookmarkStart w:id="139" w:name="_Toc444065771"/>
      <w:r w:rsidRPr="00EE5DE1">
        <w:t xml:space="preserve">This section analyses the financial performance of the </w:t>
      </w:r>
      <w:r>
        <w:t>Agency</w:t>
      </w:r>
      <w:r w:rsidRPr="00EE5DE1">
        <w:t xml:space="preserve"> for the </w:t>
      </w:r>
      <w:r>
        <w:t xml:space="preserve">year </w:t>
      </w:r>
      <w:r w:rsidRPr="00EE5DE1">
        <w:t>ended</w:t>
      </w:r>
      <w:r>
        <w:t xml:space="preserve"> </w:t>
      </w:r>
      <w:r w:rsidR="008D64B9">
        <w:fldChar w:fldCharType="begin"/>
      </w:r>
      <w:r w:rsidR="008D64B9">
        <w:instrText>DOCPROPERTY  pEnd  \* MERGEFORMAT</w:instrText>
      </w:r>
      <w:r w:rsidR="008D64B9">
        <w:fldChar w:fldCharType="separate"/>
      </w:r>
      <w:r>
        <w:t>30 June</w:t>
      </w:r>
      <w:r w:rsidR="008D64B9">
        <w:fldChar w:fldCharType="end"/>
      </w:r>
      <w:r>
        <w:t xml:space="preserve"> </w:t>
      </w:r>
      <w:r w:rsidR="008D64B9">
        <w:fldChar w:fldCharType="begin"/>
      </w:r>
      <w:r w:rsidR="008D64B9">
        <w:instrText>DOCPROPERTY  crYear  \* MERGEFORMAT</w:instrText>
      </w:r>
      <w:r w:rsidR="008D64B9">
        <w:fldChar w:fldCharType="separate"/>
      </w:r>
      <w:r>
        <w:t>2024</w:t>
      </w:r>
      <w:r w:rsidR="008D64B9">
        <w:fldChar w:fldCharType="end"/>
      </w:r>
      <w:r w:rsidRPr="00EE5DE1">
        <w:t>.</w:t>
      </w:r>
      <w:bookmarkStart w:id="140" w:name="_Toc443469523"/>
      <w:bookmarkStart w:id="141" w:name="_Toc444065772"/>
      <w:bookmarkStart w:id="142" w:name="_Toc444077333"/>
      <w:bookmarkEnd w:id="139"/>
    </w:p>
    <w:p w14:paraId="1C292427" w14:textId="77777777" w:rsidR="00520333" w:rsidRPr="00FF78A0" w:rsidRDefault="00520333" w:rsidP="003203A1">
      <w:pPr>
        <w:pStyle w:val="SubHeading"/>
        <w:shd w:val="clear" w:color="auto" w:fill="000000" w:themeFill="accent6"/>
      </w:pPr>
      <w:bookmarkStart w:id="143" w:name="_Toc447030536"/>
      <w:bookmarkStart w:id="144" w:name="_Toc447030688"/>
      <w:bookmarkStart w:id="145" w:name="_Toc447030781"/>
      <w:bookmarkStart w:id="146" w:name="_Toc65742844"/>
      <w:bookmarkStart w:id="147" w:name="_Toc173417291"/>
      <w:r>
        <w:t>E</w:t>
      </w:r>
      <w:r w:rsidRPr="00714F4A">
        <w:t>xp</w:t>
      </w:r>
      <w:r w:rsidRPr="00FF3E9C">
        <w:t>enses</w:t>
      </w:r>
      <w:bookmarkEnd w:id="140"/>
      <w:bookmarkEnd w:id="141"/>
      <w:bookmarkEnd w:id="142"/>
      <w:bookmarkEnd w:id="143"/>
      <w:bookmarkEnd w:id="144"/>
      <w:bookmarkEnd w:id="145"/>
      <w:bookmarkEnd w:id="146"/>
      <w:bookmarkEnd w:id="147"/>
    </w:p>
    <w:tbl>
      <w:tblPr>
        <w:tblW w:w="9087" w:type="dxa"/>
        <w:tblLayout w:type="fixed"/>
        <w:tblLook w:val="04A0" w:firstRow="1" w:lastRow="0" w:firstColumn="1" w:lastColumn="0" w:noHBand="0" w:noVBand="1"/>
      </w:tblPr>
      <w:tblGrid>
        <w:gridCol w:w="6366"/>
        <w:gridCol w:w="1260"/>
        <w:gridCol w:w="236"/>
        <w:gridCol w:w="1225"/>
      </w:tblGrid>
      <w:tr w:rsidR="00520333" w:rsidRPr="003203A1" w14:paraId="59CB3837" w14:textId="77777777" w:rsidTr="005E5E0C">
        <w:trPr>
          <w:trHeight w:val="253"/>
        </w:trPr>
        <w:tc>
          <w:tcPr>
            <w:tcW w:w="6366" w:type="dxa"/>
            <w:tcBorders>
              <w:top w:val="nil"/>
              <w:left w:val="nil"/>
              <w:bottom w:val="nil"/>
              <w:right w:val="nil"/>
            </w:tcBorders>
            <w:shd w:val="clear" w:color="FFFFFF" w:fill="FFFFFF"/>
            <w:noWrap/>
            <w:vAlign w:val="bottom"/>
            <w:hideMark/>
          </w:tcPr>
          <w:p w14:paraId="715C9BF8" w14:textId="77777777" w:rsidR="00520333" w:rsidRPr="003203A1" w:rsidRDefault="00520333" w:rsidP="005E5E0C">
            <w:pPr>
              <w:spacing w:after="0"/>
              <w:rPr>
                <w:rFonts w:cs="Arial"/>
                <w:sz w:val="18"/>
                <w:szCs w:val="18"/>
              </w:rPr>
            </w:pPr>
            <w:bookmarkStart w:id="148" w:name="Note_EEXTABLE1" w:colFirst="0" w:colLast="0"/>
            <w:r w:rsidRPr="003203A1">
              <w:rPr>
                <w:rFonts w:cs="Arial"/>
                <w:sz w:val="18"/>
                <w:szCs w:val="18"/>
              </w:rPr>
              <w:t> </w:t>
            </w:r>
          </w:p>
        </w:tc>
        <w:tc>
          <w:tcPr>
            <w:tcW w:w="1260" w:type="dxa"/>
            <w:tcBorders>
              <w:top w:val="nil"/>
              <w:left w:val="nil"/>
              <w:bottom w:val="nil"/>
              <w:right w:val="nil"/>
            </w:tcBorders>
            <w:shd w:val="clear" w:color="FFFFFF" w:fill="FFFFFF"/>
            <w:vAlign w:val="bottom"/>
            <w:hideMark/>
          </w:tcPr>
          <w:p w14:paraId="08D874F4" w14:textId="77777777" w:rsidR="00520333" w:rsidRPr="003203A1" w:rsidRDefault="00520333" w:rsidP="005E5E0C">
            <w:pPr>
              <w:spacing w:after="0"/>
              <w:jc w:val="right"/>
              <w:rPr>
                <w:rFonts w:cs="Arial"/>
                <w:b/>
                <w:bCs/>
                <w:sz w:val="18"/>
                <w:szCs w:val="18"/>
              </w:rPr>
            </w:pPr>
            <w:r w:rsidRPr="003203A1">
              <w:rPr>
                <w:rFonts w:cs="Arial"/>
                <w:b/>
                <w:bCs/>
                <w:sz w:val="18"/>
                <w:szCs w:val="18"/>
              </w:rPr>
              <w:t>2024</w:t>
            </w:r>
          </w:p>
        </w:tc>
        <w:tc>
          <w:tcPr>
            <w:tcW w:w="236" w:type="dxa"/>
            <w:tcBorders>
              <w:top w:val="nil"/>
              <w:left w:val="nil"/>
              <w:bottom w:val="nil"/>
              <w:right w:val="nil"/>
            </w:tcBorders>
            <w:shd w:val="clear" w:color="FFFFFF" w:fill="FFFFFF"/>
            <w:noWrap/>
            <w:vAlign w:val="bottom"/>
            <w:hideMark/>
          </w:tcPr>
          <w:p w14:paraId="730B71DB" w14:textId="77777777" w:rsidR="00520333" w:rsidRPr="003203A1" w:rsidRDefault="00520333" w:rsidP="005E5E0C">
            <w:pPr>
              <w:spacing w:after="0"/>
              <w:rPr>
                <w:rFonts w:cs="Arial"/>
                <w:sz w:val="18"/>
                <w:szCs w:val="18"/>
              </w:rPr>
            </w:pPr>
            <w:r w:rsidRPr="003203A1">
              <w:rPr>
                <w:rFonts w:cs="Arial"/>
                <w:sz w:val="18"/>
                <w:szCs w:val="18"/>
              </w:rPr>
              <w:t> </w:t>
            </w:r>
          </w:p>
        </w:tc>
        <w:tc>
          <w:tcPr>
            <w:tcW w:w="1225" w:type="dxa"/>
            <w:tcBorders>
              <w:top w:val="nil"/>
              <w:left w:val="nil"/>
              <w:bottom w:val="nil"/>
              <w:right w:val="nil"/>
            </w:tcBorders>
            <w:shd w:val="clear" w:color="FFFFFF" w:fill="FFFFFF"/>
            <w:vAlign w:val="bottom"/>
            <w:hideMark/>
          </w:tcPr>
          <w:p w14:paraId="191BC7C3" w14:textId="77777777" w:rsidR="00520333" w:rsidRPr="003203A1" w:rsidRDefault="00520333" w:rsidP="005E5E0C">
            <w:pPr>
              <w:spacing w:after="0"/>
              <w:jc w:val="right"/>
              <w:rPr>
                <w:rFonts w:cs="Arial"/>
                <w:sz w:val="18"/>
                <w:szCs w:val="18"/>
              </w:rPr>
            </w:pPr>
            <w:r w:rsidRPr="003203A1">
              <w:rPr>
                <w:rFonts w:cs="Arial"/>
                <w:sz w:val="18"/>
                <w:szCs w:val="18"/>
              </w:rPr>
              <w:t>2023</w:t>
            </w:r>
          </w:p>
        </w:tc>
      </w:tr>
      <w:bookmarkEnd w:id="148"/>
      <w:tr w:rsidR="00520333" w:rsidRPr="003203A1" w14:paraId="49F6C9DF" w14:textId="77777777" w:rsidTr="005E5E0C">
        <w:trPr>
          <w:trHeight w:val="253"/>
        </w:trPr>
        <w:tc>
          <w:tcPr>
            <w:tcW w:w="6366" w:type="dxa"/>
            <w:tcBorders>
              <w:top w:val="nil"/>
              <w:left w:val="nil"/>
              <w:bottom w:val="nil"/>
              <w:right w:val="nil"/>
            </w:tcBorders>
            <w:shd w:val="clear" w:color="FFFFFF" w:fill="FFFFFF"/>
            <w:noWrap/>
            <w:vAlign w:val="bottom"/>
            <w:hideMark/>
          </w:tcPr>
          <w:p w14:paraId="64386E8B" w14:textId="77777777" w:rsidR="00520333" w:rsidRPr="003203A1" w:rsidRDefault="00520333" w:rsidP="005E5E0C">
            <w:pPr>
              <w:spacing w:after="0"/>
              <w:rPr>
                <w:rFonts w:cs="Arial"/>
                <w:sz w:val="18"/>
                <w:szCs w:val="18"/>
              </w:rPr>
            </w:pPr>
            <w:r w:rsidRPr="003203A1">
              <w:rPr>
                <w:rFonts w:cs="Arial"/>
                <w:sz w:val="18"/>
                <w:szCs w:val="18"/>
              </w:rPr>
              <w:t> </w:t>
            </w:r>
          </w:p>
        </w:tc>
        <w:tc>
          <w:tcPr>
            <w:tcW w:w="1260" w:type="dxa"/>
            <w:tcBorders>
              <w:top w:val="nil"/>
              <w:left w:val="nil"/>
              <w:bottom w:val="nil"/>
              <w:right w:val="nil"/>
            </w:tcBorders>
            <w:shd w:val="clear" w:color="FFFFFF" w:fill="FFFFFF"/>
            <w:vAlign w:val="bottom"/>
            <w:hideMark/>
          </w:tcPr>
          <w:p w14:paraId="63F5BF28" w14:textId="77777777" w:rsidR="00520333" w:rsidRPr="003203A1" w:rsidRDefault="00520333" w:rsidP="005E5E0C">
            <w:pPr>
              <w:spacing w:after="0"/>
              <w:jc w:val="right"/>
              <w:rPr>
                <w:rFonts w:cs="Arial"/>
                <w:b/>
                <w:bCs/>
                <w:sz w:val="18"/>
                <w:szCs w:val="18"/>
              </w:rPr>
            </w:pPr>
            <w:r w:rsidRPr="003203A1">
              <w:rPr>
                <w:rFonts w:cs="Arial"/>
                <w:b/>
                <w:bCs/>
                <w:sz w:val="18"/>
                <w:szCs w:val="18"/>
              </w:rPr>
              <w:t>$'000</w:t>
            </w:r>
          </w:p>
        </w:tc>
        <w:tc>
          <w:tcPr>
            <w:tcW w:w="236" w:type="dxa"/>
            <w:tcBorders>
              <w:top w:val="nil"/>
              <w:left w:val="nil"/>
              <w:bottom w:val="nil"/>
              <w:right w:val="nil"/>
            </w:tcBorders>
            <w:shd w:val="clear" w:color="FFFFFF" w:fill="FFFFFF"/>
            <w:noWrap/>
            <w:vAlign w:val="bottom"/>
            <w:hideMark/>
          </w:tcPr>
          <w:p w14:paraId="65B35A9D" w14:textId="77777777" w:rsidR="00520333" w:rsidRPr="003203A1" w:rsidRDefault="00520333" w:rsidP="005E5E0C">
            <w:pPr>
              <w:spacing w:after="0"/>
              <w:rPr>
                <w:rFonts w:cs="Arial"/>
                <w:sz w:val="18"/>
                <w:szCs w:val="18"/>
              </w:rPr>
            </w:pPr>
            <w:r w:rsidRPr="003203A1">
              <w:rPr>
                <w:rFonts w:cs="Arial"/>
                <w:sz w:val="18"/>
                <w:szCs w:val="18"/>
              </w:rPr>
              <w:t> </w:t>
            </w:r>
          </w:p>
        </w:tc>
        <w:tc>
          <w:tcPr>
            <w:tcW w:w="1225" w:type="dxa"/>
            <w:tcBorders>
              <w:top w:val="nil"/>
              <w:left w:val="nil"/>
              <w:bottom w:val="nil"/>
              <w:right w:val="nil"/>
            </w:tcBorders>
            <w:shd w:val="clear" w:color="FFFFFF" w:fill="FFFFFF"/>
            <w:vAlign w:val="bottom"/>
            <w:hideMark/>
          </w:tcPr>
          <w:p w14:paraId="2CA82742" w14:textId="77777777" w:rsidR="00520333" w:rsidRPr="003203A1" w:rsidRDefault="00520333" w:rsidP="005E5E0C">
            <w:pPr>
              <w:spacing w:after="0"/>
              <w:jc w:val="right"/>
              <w:rPr>
                <w:rFonts w:cs="Arial"/>
                <w:sz w:val="18"/>
                <w:szCs w:val="18"/>
              </w:rPr>
            </w:pPr>
            <w:r w:rsidRPr="003203A1">
              <w:rPr>
                <w:rFonts w:cs="Arial"/>
                <w:sz w:val="18"/>
                <w:szCs w:val="18"/>
              </w:rPr>
              <w:t>$'000</w:t>
            </w:r>
          </w:p>
        </w:tc>
      </w:tr>
      <w:tr w:rsidR="00520333" w:rsidRPr="003203A1" w14:paraId="2BFF0A22" w14:textId="77777777" w:rsidTr="005E5E0C">
        <w:trPr>
          <w:trHeight w:val="253"/>
        </w:trPr>
        <w:tc>
          <w:tcPr>
            <w:tcW w:w="6366" w:type="dxa"/>
            <w:tcBorders>
              <w:top w:val="nil"/>
              <w:left w:val="nil"/>
              <w:bottom w:val="nil"/>
              <w:right w:val="nil"/>
            </w:tcBorders>
            <w:shd w:val="clear" w:color="FFFFFF" w:fill="FFFFFF"/>
            <w:noWrap/>
            <w:vAlign w:val="bottom"/>
            <w:hideMark/>
          </w:tcPr>
          <w:p w14:paraId="1BAB4103" w14:textId="77777777" w:rsidR="00520333" w:rsidRPr="003203A1" w:rsidRDefault="00520333" w:rsidP="005E5E0C">
            <w:pPr>
              <w:spacing w:after="0"/>
              <w:rPr>
                <w:rFonts w:cs="Arial"/>
                <w:b/>
                <w:bCs/>
                <w:sz w:val="18"/>
                <w:szCs w:val="18"/>
                <w:u w:val="single"/>
              </w:rPr>
            </w:pPr>
            <w:r w:rsidRPr="003203A1">
              <w:rPr>
                <w:rFonts w:cs="Arial"/>
                <w:b/>
                <w:bCs/>
                <w:sz w:val="18"/>
                <w:szCs w:val="18"/>
                <w:u w:val="single"/>
              </w:rPr>
              <w:t>Note 1.1A: Employee benefits</w:t>
            </w:r>
          </w:p>
        </w:tc>
        <w:tc>
          <w:tcPr>
            <w:tcW w:w="1260" w:type="dxa"/>
            <w:tcBorders>
              <w:top w:val="nil"/>
              <w:left w:val="nil"/>
              <w:bottom w:val="nil"/>
              <w:right w:val="nil"/>
            </w:tcBorders>
            <w:shd w:val="clear" w:color="FFFFFF" w:fill="FFFFFF"/>
            <w:vAlign w:val="bottom"/>
            <w:hideMark/>
          </w:tcPr>
          <w:p w14:paraId="13E9D121" w14:textId="77777777" w:rsidR="00520333" w:rsidRPr="003203A1" w:rsidRDefault="00520333" w:rsidP="005E5E0C">
            <w:pPr>
              <w:spacing w:after="0"/>
              <w:jc w:val="right"/>
              <w:rPr>
                <w:rFonts w:cs="Arial"/>
                <w:b/>
                <w:bCs/>
                <w:sz w:val="18"/>
                <w:szCs w:val="18"/>
              </w:rPr>
            </w:pPr>
            <w:r w:rsidRPr="003203A1">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0C08ABF1" w14:textId="77777777" w:rsidR="00520333" w:rsidRPr="003203A1" w:rsidRDefault="00520333" w:rsidP="005E5E0C">
            <w:pPr>
              <w:spacing w:after="0"/>
              <w:rPr>
                <w:rFonts w:cs="Arial"/>
                <w:sz w:val="18"/>
                <w:szCs w:val="18"/>
              </w:rPr>
            </w:pPr>
            <w:r w:rsidRPr="003203A1">
              <w:rPr>
                <w:rFonts w:cs="Arial"/>
                <w:sz w:val="18"/>
                <w:szCs w:val="18"/>
              </w:rPr>
              <w:t> </w:t>
            </w:r>
          </w:p>
        </w:tc>
        <w:tc>
          <w:tcPr>
            <w:tcW w:w="1225" w:type="dxa"/>
            <w:tcBorders>
              <w:top w:val="nil"/>
              <w:left w:val="nil"/>
              <w:bottom w:val="nil"/>
              <w:right w:val="nil"/>
            </w:tcBorders>
            <w:shd w:val="clear" w:color="FFFFFF" w:fill="FFFFFF"/>
            <w:vAlign w:val="bottom"/>
            <w:hideMark/>
          </w:tcPr>
          <w:p w14:paraId="43B904EE" w14:textId="77777777" w:rsidR="00520333" w:rsidRPr="003203A1" w:rsidRDefault="00520333" w:rsidP="005E5E0C">
            <w:pPr>
              <w:spacing w:after="0"/>
              <w:jc w:val="right"/>
              <w:rPr>
                <w:rFonts w:cs="Arial"/>
                <w:sz w:val="18"/>
                <w:szCs w:val="18"/>
              </w:rPr>
            </w:pPr>
            <w:r w:rsidRPr="003203A1">
              <w:rPr>
                <w:rFonts w:cs="Arial"/>
                <w:sz w:val="18"/>
                <w:szCs w:val="18"/>
              </w:rPr>
              <w:t> </w:t>
            </w:r>
          </w:p>
        </w:tc>
      </w:tr>
      <w:tr w:rsidR="00520333" w:rsidRPr="003203A1" w14:paraId="656EFDE9" w14:textId="77777777" w:rsidTr="005E5E0C">
        <w:trPr>
          <w:trHeight w:val="253"/>
        </w:trPr>
        <w:tc>
          <w:tcPr>
            <w:tcW w:w="6366" w:type="dxa"/>
            <w:tcBorders>
              <w:top w:val="nil"/>
              <w:left w:val="nil"/>
              <w:bottom w:val="nil"/>
              <w:right w:val="nil"/>
            </w:tcBorders>
            <w:shd w:val="clear" w:color="FFFFFF" w:fill="FFFFFF"/>
            <w:vAlign w:val="bottom"/>
            <w:hideMark/>
          </w:tcPr>
          <w:p w14:paraId="723494DD" w14:textId="77777777" w:rsidR="00520333" w:rsidRPr="003203A1" w:rsidRDefault="00520333" w:rsidP="005E5E0C">
            <w:pPr>
              <w:spacing w:after="0"/>
              <w:rPr>
                <w:rFonts w:cs="Arial"/>
                <w:sz w:val="18"/>
                <w:szCs w:val="18"/>
              </w:rPr>
            </w:pPr>
            <w:r w:rsidRPr="003203A1">
              <w:rPr>
                <w:rFonts w:cs="Arial"/>
                <w:sz w:val="18"/>
                <w:szCs w:val="18"/>
              </w:rPr>
              <w:t>Wages and salaries</w:t>
            </w:r>
          </w:p>
        </w:tc>
        <w:tc>
          <w:tcPr>
            <w:tcW w:w="1260" w:type="dxa"/>
            <w:tcBorders>
              <w:top w:val="nil"/>
              <w:left w:val="nil"/>
              <w:bottom w:val="nil"/>
              <w:right w:val="nil"/>
            </w:tcBorders>
            <w:shd w:val="clear" w:color="FFFFFF" w:fill="FFFFFF"/>
            <w:noWrap/>
            <w:vAlign w:val="bottom"/>
            <w:hideMark/>
          </w:tcPr>
          <w:p w14:paraId="663FCC4F" w14:textId="77777777" w:rsidR="00520333" w:rsidRPr="003203A1" w:rsidRDefault="00520333" w:rsidP="005E5E0C">
            <w:pPr>
              <w:spacing w:after="0"/>
              <w:jc w:val="right"/>
              <w:rPr>
                <w:rFonts w:cs="Arial"/>
                <w:b/>
                <w:bCs/>
                <w:sz w:val="18"/>
                <w:szCs w:val="18"/>
              </w:rPr>
            </w:pPr>
            <w:r w:rsidRPr="003203A1">
              <w:rPr>
                <w:rFonts w:cs="Arial"/>
                <w:b/>
                <w:bCs/>
                <w:sz w:val="18"/>
                <w:szCs w:val="18"/>
              </w:rPr>
              <w:t>577,795</w:t>
            </w:r>
          </w:p>
        </w:tc>
        <w:tc>
          <w:tcPr>
            <w:tcW w:w="236" w:type="dxa"/>
            <w:tcBorders>
              <w:top w:val="nil"/>
              <w:left w:val="nil"/>
              <w:bottom w:val="nil"/>
              <w:right w:val="nil"/>
            </w:tcBorders>
            <w:shd w:val="clear" w:color="FFFFFF" w:fill="FFFFFF"/>
            <w:noWrap/>
            <w:vAlign w:val="bottom"/>
            <w:hideMark/>
          </w:tcPr>
          <w:p w14:paraId="388DCD70" w14:textId="77777777" w:rsidR="00520333" w:rsidRPr="003203A1" w:rsidRDefault="00520333" w:rsidP="005E5E0C">
            <w:pPr>
              <w:spacing w:after="0"/>
              <w:rPr>
                <w:rFonts w:cs="Arial"/>
                <w:sz w:val="18"/>
                <w:szCs w:val="18"/>
              </w:rPr>
            </w:pPr>
            <w:r w:rsidRPr="003203A1">
              <w:rPr>
                <w:rFonts w:cs="Arial"/>
                <w:sz w:val="18"/>
                <w:szCs w:val="18"/>
              </w:rPr>
              <w:t> </w:t>
            </w:r>
          </w:p>
        </w:tc>
        <w:tc>
          <w:tcPr>
            <w:tcW w:w="1225" w:type="dxa"/>
            <w:tcBorders>
              <w:top w:val="nil"/>
              <w:left w:val="nil"/>
              <w:bottom w:val="nil"/>
              <w:right w:val="nil"/>
            </w:tcBorders>
            <w:shd w:val="clear" w:color="FFFFFF" w:fill="FFFFFF"/>
            <w:noWrap/>
            <w:vAlign w:val="bottom"/>
            <w:hideMark/>
          </w:tcPr>
          <w:p w14:paraId="330F1A41" w14:textId="77777777" w:rsidR="00520333" w:rsidRPr="003203A1" w:rsidRDefault="00520333" w:rsidP="005E5E0C">
            <w:pPr>
              <w:spacing w:after="0"/>
              <w:jc w:val="right"/>
              <w:rPr>
                <w:rFonts w:cs="Arial"/>
                <w:sz w:val="18"/>
                <w:szCs w:val="18"/>
              </w:rPr>
            </w:pPr>
            <w:r w:rsidRPr="003203A1">
              <w:rPr>
                <w:rFonts w:cs="Arial"/>
                <w:sz w:val="18"/>
                <w:szCs w:val="18"/>
              </w:rPr>
              <w:t>429,897</w:t>
            </w:r>
          </w:p>
        </w:tc>
      </w:tr>
      <w:tr w:rsidR="00520333" w:rsidRPr="003203A1" w14:paraId="11B5EF91" w14:textId="77777777" w:rsidTr="005E5E0C">
        <w:trPr>
          <w:trHeight w:val="253"/>
        </w:trPr>
        <w:tc>
          <w:tcPr>
            <w:tcW w:w="6366" w:type="dxa"/>
            <w:tcBorders>
              <w:top w:val="nil"/>
              <w:left w:val="nil"/>
              <w:bottom w:val="nil"/>
              <w:right w:val="nil"/>
            </w:tcBorders>
            <w:shd w:val="clear" w:color="FFFFFF" w:fill="FFFFFF"/>
            <w:vAlign w:val="bottom"/>
            <w:hideMark/>
          </w:tcPr>
          <w:p w14:paraId="6E0FCCBA" w14:textId="77777777" w:rsidR="00520333" w:rsidRPr="003203A1" w:rsidRDefault="00520333" w:rsidP="005E5E0C">
            <w:pPr>
              <w:spacing w:after="0"/>
              <w:rPr>
                <w:rFonts w:cs="Arial"/>
                <w:sz w:val="18"/>
                <w:szCs w:val="18"/>
              </w:rPr>
            </w:pPr>
            <w:r w:rsidRPr="003203A1">
              <w:rPr>
                <w:rFonts w:cs="Arial"/>
                <w:sz w:val="18"/>
                <w:szCs w:val="18"/>
              </w:rPr>
              <w:t>Superannuation</w:t>
            </w:r>
          </w:p>
        </w:tc>
        <w:tc>
          <w:tcPr>
            <w:tcW w:w="1260" w:type="dxa"/>
            <w:tcBorders>
              <w:top w:val="nil"/>
              <w:left w:val="nil"/>
              <w:bottom w:val="nil"/>
              <w:right w:val="nil"/>
            </w:tcBorders>
            <w:shd w:val="clear" w:color="FFFFFF" w:fill="FFFFFF"/>
            <w:noWrap/>
            <w:vAlign w:val="bottom"/>
            <w:hideMark/>
          </w:tcPr>
          <w:p w14:paraId="6F2DE9CA" w14:textId="77777777" w:rsidR="00520333" w:rsidRPr="003203A1" w:rsidRDefault="00520333" w:rsidP="005E5E0C">
            <w:pPr>
              <w:spacing w:after="0"/>
              <w:rPr>
                <w:rFonts w:cs="Arial"/>
                <w:sz w:val="18"/>
                <w:szCs w:val="18"/>
              </w:rPr>
            </w:pPr>
            <w:r w:rsidRPr="003203A1">
              <w:rPr>
                <w:rFonts w:cs="Arial"/>
                <w:sz w:val="18"/>
                <w:szCs w:val="18"/>
              </w:rPr>
              <w:t> </w:t>
            </w:r>
          </w:p>
        </w:tc>
        <w:tc>
          <w:tcPr>
            <w:tcW w:w="236" w:type="dxa"/>
            <w:tcBorders>
              <w:top w:val="nil"/>
              <w:left w:val="nil"/>
              <w:bottom w:val="nil"/>
              <w:right w:val="nil"/>
            </w:tcBorders>
            <w:shd w:val="clear" w:color="FFFFFF" w:fill="FFFFFF"/>
            <w:noWrap/>
            <w:vAlign w:val="bottom"/>
            <w:hideMark/>
          </w:tcPr>
          <w:p w14:paraId="4F6ECBB7" w14:textId="77777777" w:rsidR="00520333" w:rsidRPr="003203A1" w:rsidRDefault="00520333" w:rsidP="005E5E0C">
            <w:pPr>
              <w:spacing w:after="0"/>
              <w:rPr>
                <w:rFonts w:cs="Arial"/>
                <w:sz w:val="18"/>
                <w:szCs w:val="18"/>
              </w:rPr>
            </w:pPr>
            <w:r w:rsidRPr="003203A1">
              <w:rPr>
                <w:rFonts w:cs="Arial"/>
                <w:sz w:val="18"/>
                <w:szCs w:val="18"/>
              </w:rPr>
              <w:t> </w:t>
            </w:r>
          </w:p>
        </w:tc>
        <w:tc>
          <w:tcPr>
            <w:tcW w:w="1225" w:type="dxa"/>
            <w:tcBorders>
              <w:top w:val="nil"/>
              <w:left w:val="nil"/>
              <w:bottom w:val="nil"/>
              <w:right w:val="nil"/>
            </w:tcBorders>
            <w:shd w:val="clear" w:color="FFFFFF" w:fill="FFFFFF"/>
            <w:noWrap/>
            <w:vAlign w:val="bottom"/>
            <w:hideMark/>
          </w:tcPr>
          <w:p w14:paraId="688A0385" w14:textId="77777777" w:rsidR="00520333" w:rsidRPr="003203A1" w:rsidRDefault="00520333" w:rsidP="005E5E0C">
            <w:pPr>
              <w:spacing w:after="0"/>
              <w:jc w:val="right"/>
              <w:rPr>
                <w:rFonts w:cs="Arial"/>
                <w:sz w:val="18"/>
                <w:szCs w:val="18"/>
              </w:rPr>
            </w:pPr>
            <w:r w:rsidRPr="003203A1">
              <w:rPr>
                <w:rFonts w:cs="Arial"/>
                <w:sz w:val="18"/>
                <w:szCs w:val="18"/>
              </w:rPr>
              <w:t> </w:t>
            </w:r>
          </w:p>
        </w:tc>
      </w:tr>
      <w:tr w:rsidR="00520333" w:rsidRPr="003203A1" w14:paraId="1748298D" w14:textId="77777777" w:rsidTr="005E5E0C">
        <w:trPr>
          <w:trHeight w:val="253"/>
        </w:trPr>
        <w:tc>
          <w:tcPr>
            <w:tcW w:w="6366" w:type="dxa"/>
            <w:tcBorders>
              <w:top w:val="nil"/>
              <w:left w:val="nil"/>
              <w:bottom w:val="nil"/>
              <w:right w:val="nil"/>
            </w:tcBorders>
            <w:shd w:val="clear" w:color="FFFFFF" w:fill="FFFFFF"/>
            <w:noWrap/>
            <w:vAlign w:val="bottom"/>
            <w:hideMark/>
          </w:tcPr>
          <w:p w14:paraId="0BB456E2" w14:textId="77777777" w:rsidR="00520333" w:rsidRPr="003203A1" w:rsidRDefault="00520333" w:rsidP="005E5E0C">
            <w:pPr>
              <w:spacing w:after="0"/>
              <w:ind w:firstLineChars="100" w:firstLine="180"/>
              <w:rPr>
                <w:rFonts w:cs="Arial"/>
                <w:sz w:val="18"/>
                <w:szCs w:val="18"/>
              </w:rPr>
            </w:pPr>
            <w:r w:rsidRPr="003203A1">
              <w:rPr>
                <w:rFonts w:cs="Arial"/>
                <w:sz w:val="18"/>
                <w:szCs w:val="18"/>
              </w:rPr>
              <w:t>Defined contribution plans</w:t>
            </w:r>
          </w:p>
        </w:tc>
        <w:tc>
          <w:tcPr>
            <w:tcW w:w="1260" w:type="dxa"/>
            <w:tcBorders>
              <w:top w:val="nil"/>
              <w:left w:val="nil"/>
              <w:bottom w:val="nil"/>
              <w:right w:val="nil"/>
            </w:tcBorders>
            <w:shd w:val="clear" w:color="FFFFFF" w:fill="FFFFFF"/>
            <w:noWrap/>
            <w:vAlign w:val="bottom"/>
            <w:hideMark/>
          </w:tcPr>
          <w:p w14:paraId="2075E156" w14:textId="77777777" w:rsidR="00520333" w:rsidRPr="003203A1" w:rsidRDefault="00520333" w:rsidP="005E5E0C">
            <w:pPr>
              <w:spacing w:after="0"/>
              <w:jc w:val="right"/>
              <w:rPr>
                <w:rFonts w:cs="Arial"/>
                <w:b/>
                <w:bCs/>
                <w:sz w:val="18"/>
                <w:szCs w:val="18"/>
              </w:rPr>
            </w:pPr>
            <w:r w:rsidRPr="003203A1">
              <w:rPr>
                <w:rFonts w:cs="Arial"/>
                <w:b/>
                <w:bCs/>
                <w:sz w:val="18"/>
                <w:szCs w:val="18"/>
              </w:rPr>
              <w:t>82,486</w:t>
            </w:r>
          </w:p>
        </w:tc>
        <w:tc>
          <w:tcPr>
            <w:tcW w:w="236" w:type="dxa"/>
            <w:tcBorders>
              <w:top w:val="nil"/>
              <w:left w:val="nil"/>
              <w:bottom w:val="nil"/>
              <w:right w:val="nil"/>
            </w:tcBorders>
            <w:shd w:val="clear" w:color="FFFFFF" w:fill="FFFFFF"/>
            <w:noWrap/>
            <w:vAlign w:val="bottom"/>
            <w:hideMark/>
          </w:tcPr>
          <w:p w14:paraId="655273C9" w14:textId="77777777" w:rsidR="00520333" w:rsidRPr="003203A1" w:rsidRDefault="00520333" w:rsidP="005E5E0C">
            <w:pPr>
              <w:spacing w:after="0"/>
              <w:rPr>
                <w:rFonts w:cs="Arial"/>
                <w:sz w:val="18"/>
                <w:szCs w:val="18"/>
              </w:rPr>
            </w:pPr>
            <w:r w:rsidRPr="003203A1">
              <w:rPr>
                <w:rFonts w:cs="Arial"/>
                <w:sz w:val="18"/>
                <w:szCs w:val="18"/>
              </w:rPr>
              <w:t> </w:t>
            </w:r>
          </w:p>
        </w:tc>
        <w:tc>
          <w:tcPr>
            <w:tcW w:w="1225" w:type="dxa"/>
            <w:tcBorders>
              <w:top w:val="nil"/>
              <w:left w:val="nil"/>
              <w:bottom w:val="nil"/>
              <w:right w:val="nil"/>
            </w:tcBorders>
            <w:shd w:val="clear" w:color="FFFFFF" w:fill="FFFFFF"/>
            <w:noWrap/>
            <w:vAlign w:val="bottom"/>
            <w:hideMark/>
          </w:tcPr>
          <w:p w14:paraId="2730D42A" w14:textId="77777777" w:rsidR="00520333" w:rsidRPr="003203A1" w:rsidRDefault="00520333" w:rsidP="005E5E0C">
            <w:pPr>
              <w:spacing w:after="0"/>
              <w:jc w:val="right"/>
              <w:rPr>
                <w:rFonts w:cs="Arial"/>
                <w:sz w:val="18"/>
                <w:szCs w:val="18"/>
              </w:rPr>
            </w:pPr>
            <w:r w:rsidRPr="003203A1">
              <w:rPr>
                <w:rFonts w:cs="Arial"/>
                <w:sz w:val="18"/>
                <w:szCs w:val="18"/>
              </w:rPr>
              <w:t>62,685</w:t>
            </w:r>
          </w:p>
        </w:tc>
      </w:tr>
      <w:tr w:rsidR="00520333" w:rsidRPr="003203A1" w14:paraId="63BBEE96" w14:textId="77777777" w:rsidTr="005E5E0C">
        <w:trPr>
          <w:trHeight w:val="253"/>
        </w:trPr>
        <w:tc>
          <w:tcPr>
            <w:tcW w:w="6366" w:type="dxa"/>
            <w:tcBorders>
              <w:top w:val="nil"/>
              <w:left w:val="nil"/>
              <w:bottom w:val="nil"/>
              <w:right w:val="nil"/>
            </w:tcBorders>
            <w:shd w:val="clear" w:color="FFFFFF" w:fill="FFFFFF"/>
            <w:noWrap/>
            <w:vAlign w:val="bottom"/>
            <w:hideMark/>
          </w:tcPr>
          <w:p w14:paraId="466EB4FA" w14:textId="77777777" w:rsidR="00520333" w:rsidRPr="003203A1" w:rsidRDefault="00520333" w:rsidP="005E5E0C">
            <w:pPr>
              <w:spacing w:after="0"/>
              <w:ind w:firstLineChars="100" w:firstLine="180"/>
              <w:rPr>
                <w:rFonts w:cs="Arial"/>
                <w:sz w:val="18"/>
                <w:szCs w:val="18"/>
              </w:rPr>
            </w:pPr>
            <w:r w:rsidRPr="003203A1">
              <w:rPr>
                <w:rFonts w:cs="Arial"/>
                <w:sz w:val="18"/>
                <w:szCs w:val="18"/>
              </w:rPr>
              <w:t>Defined benefit plans</w:t>
            </w:r>
          </w:p>
        </w:tc>
        <w:tc>
          <w:tcPr>
            <w:tcW w:w="1260" w:type="dxa"/>
            <w:tcBorders>
              <w:top w:val="nil"/>
              <w:left w:val="nil"/>
              <w:bottom w:val="nil"/>
              <w:right w:val="nil"/>
            </w:tcBorders>
            <w:shd w:val="clear" w:color="FFFFFF" w:fill="FFFFFF"/>
            <w:noWrap/>
            <w:vAlign w:val="bottom"/>
            <w:hideMark/>
          </w:tcPr>
          <w:p w14:paraId="2021C1D9" w14:textId="77777777" w:rsidR="00520333" w:rsidRPr="003203A1" w:rsidRDefault="00520333" w:rsidP="005E5E0C">
            <w:pPr>
              <w:spacing w:after="0"/>
              <w:jc w:val="right"/>
              <w:rPr>
                <w:rFonts w:cs="Arial"/>
                <w:b/>
                <w:bCs/>
                <w:sz w:val="18"/>
                <w:szCs w:val="18"/>
              </w:rPr>
            </w:pPr>
            <w:r w:rsidRPr="003203A1">
              <w:rPr>
                <w:rFonts w:cs="Arial"/>
                <w:b/>
                <w:bCs/>
                <w:sz w:val="18"/>
                <w:szCs w:val="18"/>
              </w:rPr>
              <w:t>13,926</w:t>
            </w:r>
          </w:p>
        </w:tc>
        <w:tc>
          <w:tcPr>
            <w:tcW w:w="236" w:type="dxa"/>
            <w:tcBorders>
              <w:top w:val="nil"/>
              <w:left w:val="nil"/>
              <w:bottom w:val="nil"/>
              <w:right w:val="nil"/>
            </w:tcBorders>
            <w:shd w:val="clear" w:color="FFFFFF" w:fill="FFFFFF"/>
            <w:noWrap/>
            <w:vAlign w:val="bottom"/>
            <w:hideMark/>
          </w:tcPr>
          <w:p w14:paraId="4A16724E" w14:textId="77777777" w:rsidR="00520333" w:rsidRPr="003203A1" w:rsidRDefault="00520333" w:rsidP="005E5E0C">
            <w:pPr>
              <w:spacing w:after="0"/>
              <w:rPr>
                <w:rFonts w:cs="Arial"/>
                <w:sz w:val="18"/>
                <w:szCs w:val="18"/>
              </w:rPr>
            </w:pPr>
            <w:r w:rsidRPr="003203A1">
              <w:rPr>
                <w:rFonts w:cs="Arial"/>
                <w:sz w:val="18"/>
                <w:szCs w:val="18"/>
              </w:rPr>
              <w:t> </w:t>
            </w:r>
          </w:p>
        </w:tc>
        <w:tc>
          <w:tcPr>
            <w:tcW w:w="1225" w:type="dxa"/>
            <w:tcBorders>
              <w:top w:val="nil"/>
              <w:left w:val="nil"/>
              <w:bottom w:val="nil"/>
              <w:right w:val="nil"/>
            </w:tcBorders>
            <w:shd w:val="clear" w:color="FFFFFF" w:fill="FFFFFF"/>
            <w:noWrap/>
            <w:vAlign w:val="bottom"/>
            <w:hideMark/>
          </w:tcPr>
          <w:p w14:paraId="5A2BF752" w14:textId="77777777" w:rsidR="00520333" w:rsidRPr="003203A1" w:rsidRDefault="00520333" w:rsidP="005E5E0C">
            <w:pPr>
              <w:spacing w:after="0"/>
              <w:jc w:val="right"/>
              <w:rPr>
                <w:rFonts w:cs="Arial"/>
                <w:sz w:val="18"/>
                <w:szCs w:val="18"/>
              </w:rPr>
            </w:pPr>
            <w:r w:rsidRPr="003203A1">
              <w:rPr>
                <w:rFonts w:cs="Arial"/>
                <w:sz w:val="18"/>
                <w:szCs w:val="18"/>
              </w:rPr>
              <w:t>10,826</w:t>
            </w:r>
          </w:p>
        </w:tc>
      </w:tr>
      <w:tr w:rsidR="00520333" w:rsidRPr="003203A1" w14:paraId="194AF721" w14:textId="77777777" w:rsidTr="005E5E0C">
        <w:trPr>
          <w:trHeight w:val="253"/>
        </w:trPr>
        <w:tc>
          <w:tcPr>
            <w:tcW w:w="6366" w:type="dxa"/>
            <w:tcBorders>
              <w:top w:val="nil"/>
              <w:left w:val="nil"/>
              <w:bottom w:val="nil"/>
              <w:right w:val="nil"/>
            </w:tcBorders>
            <w:shd w:val="clear" w:color="FFFFFF" w:fill="FFFFFF"/>
            <w:vAlign w:val="bottom"/>
            <w:hideMark/>
          </w:tcPr>
          <w:p w14:paraId="3BBCDC9D" w14:textId="77777777" w:rsidR="00520333" w:rsidRPr="003203A1" w:rsidRDefault="00520333" w:rsidP="005E5E0C">
            <w:pPr>
              <w:spacing w:after="0"/>
              <w:rPr>
                <w:rFonts w:cs="Arial"/>
                <w:sz w:val="18"/>
                <w:szCs w:val="18"/>
              </w:rPr>
            </w:pPr>
            <w:r w:rsidRPr="003203A1">
              <w:rPr>
                <w:rFonts w:cs="Arial"/>
                <w:sz w:val="18"/>
                <w:szCs w:val="18"/>
              </w:rPr>
              <w:t>Leave and other entitlements</w:t>
            </w:r>
          </w:p>
        </w:tc>
        <w:tc>
          <w:tcPr>
            <w:tcW w:w="1260" w:type="dxa"/>
            <w:tcBorders>
              <w:top w:val="nil"/>
              <w:left w:val="nil"/>
              <w:bottom w:val="nil"/>
              <w:right w:val="nil"/>
            </w:tcBorders>
            <w:shd w:val="clear" w:color="FFFFFF" w:fill="FFFFFF"/>
            <w:noWrap/>
            <w:vAlign w:val="bottom"/>
            <w:hideMark/>
          </w:tcPr>
          <w:p w14:paraId="576850FE" w14:textId="77777777" w:rsidR="00520333" w:rsidRPr="003203A1" w:rsidRDefault="00520333" w:rsidP="005E5E0C">
            <w:pPr>
              <w:spacing w:after="0"/>
              <w:jc w:val="right"/>
              <w:rPr>
                <w:rFonts w:cs="Arial"/>
                <w:b/>
                <w:bCs/>
                <w:sz w:val="18"/>
                <w:szCs w:val="18"/>
              </w:rPr>
            </w:pPr>
            <w:r w:rsidRPr="003203A1">
              <w:rPr>
                <w:rFonts w:cs="Arial"/>
                <w:b/>
                <w:bCs/>
                <w:sz w:val="18"/>
                <w:szCs w:val="18"/>
              </w:rPr>
              <w:t>82,810</w:t>
            </w:r>
          </w:p>
        </w:tc>
        <w:tc>
          <w:tcPr>
            <w:tcW w:w="236" w:type="dxa"/>
            <w:tcBorders>
              <w:top w:val="nil"/>
              <w:left w:val="nil"/>
              <w:bottom w:val="nil"/>
              <w:right w:val="nil"/>
            </w:tcBorders>
            <w:shd w:val="clear" w:color="FFFFFF" w:fill="FFFFFF"/>
            <w:noWrap/>
            <w:vAlign w:val="bottom"/>
            <w:hideMark/>
          </w:tcPr>
          <w:p w14:paraId="57F817EF" w14:textId="77777777" w:rsidR="00520333" w:rsidRPr="003203A1" w:rsidRDefault="00520333" w:rsidP="005E5E0C">
            <w:pPr>
              <w:spacing w:after="0"/>
              <w:rPr>
                <w:rFonts w:cs="Arial"/>
                <w:sz w:val="18"/>
                <w:szCs w:val="18"/>
              </w:rPr>
            </w:pPr>
            <w:r w:rsidRPr="003203A1">
              <w:rPr>
                <w:rFonts w:cs="Arial"/>
                <w:sz w:val="18"/>
                <w:szCs w:val="18"/>
              </w:rPr>
              <w:t> </w:t>
            </w:r>
          </w:p>
        </w:tc>
        <w:tc>
          <w:tcPr>
            <w:tcW w:w="1225" w:type="dxa"/>
            <w:tcBorders>
              <w:top w:val="nil"/>
              <w:left w:val="nil"/>
              <w:bottom w:val="nil"/>
              <w:right w:val="nil"/>
            </w:tcBorders>
            <w:shd w:val="clear" w:color="FFFFFF" w:fill="FFFFFF"/>
            <w:noWrap/>
            <w:vAlign w:val="bottom"/>
            <w:hideMark/>
          </w:tcPr>
          <w:p w14:paraId="63BB08BC" w14:textId="77777777" w:rsidR="00520333" w:rsidRPr="003203A1" w:rsidRDefault="00520333" w:rsidP="005E5E0C">
            <w:pPr>
              <w:spacing w:after="0"/>
              <w:jc w:val="right"/>
              <w:rPr>
                <w:rFonts w:cs="Arial"/>
                <w:sz w:val="18"/>
                <w:szCs w:val="18"/>
              </w:rPr>
            </w:pPr>
            <w:r w:rsidRPr="003203A1">
              <w:rPr>
                <w:rFonts w:cs="Arial"/>
                <w:sz w:val="18"/>
                <w:szCs w:val="18"/>
              </w:rPr>
              <w:t>48,145</w:t>
            </w:r>
          </w:p>
        </w:tc>
      </w:tr>
      <w:tr w:rsidR="00520333" w:rsidRPr="003203A1" w14:paraId="6B9BE611" w14:textId="77777777" w:rsidTr="005E5E0C">
        <w:trPr>
          <w:trHeight w:val="253"/>
        </w:trPr>
        <w:tc>
          <w:tcPr>
            <w:tcW w:w="6366" w:type="dxa"/>
            <w:tcBorders>
              <w:top w:val="nil"/>
              <w:left w:val="nil"/>
              <w:bottom w:val="nil"/>
              <w:right w:val="nil"/>
            </w:tcBorders>
            <w:shd w:val="clear" w:color="FFFFFF" w:fill="FFFFFF"/>
            <w:vAlign w:val="bottom"/>
            <w:hideMark/>
          </w:tcPr>
          <w:p w14:paraId="6BF776DD" w14:textId="77777777" w:rsidR="00520333" w:rsidRPr="003203A1" w:rsidRDefault="00520333" w:rsidP="005E5E0C">
            <w:pPr>
              <w:spacing w:after="0"/>
              <w:rPr>
                <w:rFonts w:cs="Arial"/>
                <w:sz w:val="18"/>
                <w:szCs w:val="18"/>
              </w:rPr>
            </w:pPr>
            <w:r w:rsidRPr="003203A1">
              <w:rPr>
                <w:rFonts w:cs="Arial"/>
                <w:sz w:val="18"/>
                <w:szCs w:val="18"/>
              </w:rPr>
              <w:t>Separation and redundancies</w:t>
            </w:r>
          </w:p>
        </w:tc>
        <w:tc>
          <w:tcPr>
            <w:tcW w:w="1260" w:type="dxa"/>
            <w:tcBorders>
              <w:top w:val="nil"/>
              <w:left w:val="nil"/>
              <w:bottom w:val="nil"/>
              <w:right w:val="nil"/>
            </w:tcBorders>
            <w:shd w:val="clear" w:color="FFFFFF" w:fill="FFFFFF"/>
            <w:noWrap/>
            <w:vAlign w:val="bottom"/>
            <w:hideMark/>
          </w:tcPr>
          <w:p w14:paraId="0F98003D" w14:textId="77777777" w:rsidR="00520333" w:rsidRPr="003203A1" w:rsidRDefault="00520333" w:rsidP="005E5E0C">
            <w:pPr>
              <w:spacing w:after="0"/>
              <w:jc w:val="right"/>
              <w:rPr>
                <w:rFonts w:cs="Arial"/>
                <w:b/>
                <w:bCs/>
                <w:sz w:val="18"/>
                <w:szCs w:val="18"/>
              </w:rPr>
            </w:pPr>
            <w:r w:rsidRPr="003203A1">
              <w:rPr>
                <w:rFonts w:cs="Arial"/>
                <w:b/>
                <w:bCs/>
                <w:sz w:val="18"/>
                <w:szCs w:val="18"/>
              </w:rPr>
              <w:t>1,586</w:t>
            </w:r>
          </w:p>
        </w:tc>
        <w:tc>
          <w:tcPr>
            <w:tcW w:w="236" w:type="dxa"/>
            <w:tcBorders>
              <w:top w:val="nil"/>
              <w:left w:val="nil"/>
              <w:bottom w:val="nil"/>
              <w:right w:val="nil"/>
            </w:tcBorders>
            <w:shd w:val="clear" w:color="FFFFFF" w:fill="FFFFFF"/>
            <w:noWrap/>
            <w:vAlign w:val="bottom"/>
            <w:hideMark/>
          </w:tcPr>
          <w:p w14:paraId="554DD2B1" w14:textId="77777777" w:rsidR="00520333" w:rsidRPr="003203A1" w:rsidRDefault="00520333" w:rsidP="005E5E0C">
            <w:pPr>
              <w:spacing w:after="0"/>
              <w:rPr>
                <w:rFonts w:cs="Arial"/>
                <w:sz w:val="18"/>
                <w:szCs w:val="18"/>
              </w:rPr>
            </w:pPr>
            <w:r w:rsidRPr="003203A1">
              <w:rPr>
                <w:rFonts w:cs="Arial"/>
                <w:sz w:val="18"/>
                <w:szCs w:val="18"/>
              </w:rPr>
              <w:t> </w:t>
            </w:r>
          </w:p>
        </w:tc>
        <w:tc>
          <w:tcPr>
            <w:tcW w:w="1225" w:type="dxa"/>
            <w:tcBorders>
              <w:top w:val="nil"/>
              <w:left w:val="nil"/>
              <w:bottom w:val="nil"/>
              <w:right w:val="nil"/>
            </w:tcBorders>
            <w:shd w:val="clear" w:color="FFFFFF" w:fill="FFFFFF"/>
            <w:noWrap/>
            <w:vAlign w:val="bottom"/>
            <w:hideMark/>
          </w:tcPr>
          <w:p w14:paraId="2598A26D" w14:textId="77777777" w:rsidR="00520333" w:rsidRPr="003203A1" w:rsidRDefault="00520333" w:rsidP="005E5E0C">
            <w:pPr>
              <w:spacing w:after="0"/>
              <w:jc w:val="right"/>
              <w:rPr>
                <w:rFonts w:cs="Arial"/>
                <w:sz w:val="18"/>
                <w:szCs w:val="18"/>
              </w:rPr>
            </w:pPr>
            <w:r w:rsidRPr="003203A1">
              <w:rPr>
                <w:rFonts w:cs="Arial"/>
                <w:sz w:val="18"/>
                <w:szCs w:val="18"/>
              </w:rPr>
              <w:t>87</w:t>
            </w:r>
          </w:p>
        </w:tc>
      </w:tr>
      <w:tr w:rsidR="00520333" w:rsidRPr="003203A1" w14:paraId="77F1F5FF" w14:textId="77777777" w:rsidTr="005E5E0C">
        <w:trPr>
          <w:trHeight w:val="253"/>
        </w:trPr>
        <w:tc>
          <w:tcPr>
            <w:tcW w:w="6366" w:type="dxa"/>
            <w:tcBorders>
              <w:top w:val="nil"/>
              <w:left w:val="nil"/>
              <w:bottom w:val="nil"/>
              <w:right w:val="nil"/>
            </w:tcBorders>
            <w:shd w:val="clear" w:color="FFFFFF" w:fill="FFFFFF"/>
            <w:vAlign w:val="bottom"/>
            <w:hideMark/>
          </w:tcPr>
          <w:p w14:paraId="56D61C66" w14:textId="77777777" w:rsidR="00520333" w:rsidRPr="003203A1" w:rsidRDefault="00520333" w:rsidP="005E5E0C">
            <w:pPr>
              <w:spacing w:after="0"/>
              <w:rPr>
                <w:rFonts w:cs="Arial"/>
                <w:b/>
                <w:bCs/>
                <w:sz w:val="18"/>
                <w:szCs w:val="18"/>
              </w:rPr>
            </w:pPr>
            <w:r w:rsidRPr="003203A1">
              <w:rPr>
                <w:rFonts w:cs="Arial"/>
                <w:b/>
                <w:bCs/>
                <w:sz w:val="18"/>
                <w:szCs w:val="18"/>
              </w:rPr>
              <w:t>Total employee benefits</w:t>
            </w:r>
          </w:p>
        </w:tc>
        <w:tc>
          <w:tcPr>
            <w:tcW w:w="1260" w:type="dxa"/>
            <w:tcBorders>
              <w:top w:val="single" w:sz="4" w:space="0" w:color="auto"/>
              <w:left w:val="nil"/>
              <w:bottom w:val="single" w:sz="4" w:space="0" w:color="auto"/>
              <w:right w:val="nil"/>
            </w:tcBorders>
            <w:shd w:val="clear" w:color="FFFFFF" w:fill="FFFFFF"/>
            <w:noWrap/>
            <w:vAlign w:val="bottom"/>
            <w:hideMark/>
          </w:tcPr>
          <w:p w14:paraId="6F0C6991" w14:textId="77777777" w:rsidR="00520333" w:rsidRPr="003203A1" w:rsidRDefault="00520333" w:rsidP="005E5E0C">
            <w:pPr>
              <w:spacing w:after="0"/>
              <w:jc w:val="right"/>
              <w:rPr>
                <w:rFonts w:cs="Arial"/>
                <w:b/>
                <w:bCs/>
                <w:sz w:val="18"/>
                <w:szCs w:val="18"/>
              </w:rPr>
            </w:pPr>
            <w:r w:rsidRPr="003203A1">
              <w:rPr>
                <w:rFonts w:cs="Arial"/>
                <w:b/>
                <w:bCs/>
                <w:sz w:val="18"/>
                <w:szCs w:val="18"/>
              </w:rPr>
              <w:t>758,603</w:t>
            </w:r>
          </w:p>
        </w:tc>
        <w:tc>
          <w:tcPr>
            <w:tcW w:w="236" w:type="dxa"/>
            <w:tcBorders>
              <w:top w:val="nil"/>
              <w:left w:val="nil"/>
              <w:bottom w:val="nil"/>
              <w:right w:val="nil"/>
            </w:tcBorders>
            <w:shd w:val="clear" w:color="FFFFFF" w:fill="FFFFFF"/>
            <w:noWrap/>
            <w:vAlign w:val="bottom"/>
            <w:hideMark/>
          </w:tcPr>
          <w:p w14:paraId="4A3ACAD3" w14:textId="77777777" w:rsidR="00520333" w:rsidRPr="003203A1" w:rsidRDefault="00520333" w:rsidP="005E5E0C">
            <w:pPr>
              <w:spacing w:after="0"/>
              <w:rPr>
                <w:rFonts w:cs="Arial"/>
                <w:sz w:val="18"/>
                <w:szCs w:val="18"/>
              </w:rPr>
            </w:pPr>
            <w:r w:rsidRPr="003203A1">
              <w:rPr>
                <w:rFonts w:cs="Arial"/>
                <w:sz w:val="18"/>
                <w:szCs w:val="18"/>
              </w:rPr>
              <w:t> </w:t>
            </w:r>
          </w:p>
        </w:tc>
        <w:tc>
          <w:tcPr>
            <w:tcW w:w="1225" w:type="dxa"/>
            <w:tcBorders>
              <w:top w:val="single" w:sz="4" w:space="0" w:color="auto"/>
              <w:left w:val="nil"/>
              <w:bottom w:val="single" w:sz="4" w:space="0" w:color="auto"/>
              <w:right w:val="nil"/>
            </w:tcBorders>
            <w:shd w:val="clear" w:color="FFFFFF" w:fill="FFFFFF"/>
            <w:noWrap/>
            <w:vAlign w:val="bottom"/>
            <w:hideMark/>
          </w:tcPr>
          <w:p w14:paraId="4C83D0E6" w14:textId="77777777" w:rsidR="00520333" w:rsidRPr="003203A1" w:rsidRDefault="00520333" w:rsidP="005E5E0C">
            <w:pPr>
              <w:spacing w:after="0"/>
              <w:jc w:val="right"/>
              <w:rPr>
                <w:rFonts w:cs="Arial"/>
                <w:sz w:val="18"/>
                <w:szCs w:val="18"/>
              </w:rPr>
            </w:pPr>
            <w:r w:rsidRPr="003203A1">
              <w:rPr>
                <w:rFonts w:cs="Arial"/>
                <w:sz w:val="18"/>
                <w:szCs w:val="18"/>
              </w:rPr>
              <w:t>551,640</w:t>
            </w:r>
          </w:p>
        </w:tc>
      </w:tr>
    </w:tbl>
    <w:p w14:paraId="18772DCD" w14:textId="77777777" w:rsidR="00520333" w:rsidRPr="003203A1" w:rsidRDefault="00520333" w:rsidP="003203A1">
      <w:pPr>
        <w:pStyle w:val="ReferenceText"/>
        <w:rPr>
          <w:rFonts w:cs="Arial"/>
          <w:szCs w:val="18"/>
        </w:rPr>
      </w:pPr>
    </w:p>
    <w:p w14:paraId="2F24D62F" w14:textId="77777777" w:rsidR="00520333" w:rsidRPr="003203A1" w:rsidRDefault="00520333" w:rsidP="00520333">
      <w:pPr>
        <w:pStyle w:val="PolicyheadingDept"/>
      </w:pPr>
      <w:r w:rsidRPr="003203A1">
        <w:t>Accounting Policy</w:t>
      </w:r>
    </w:p>
    <w:p w14:paraId="33399235" w14:textId="77777777" w:rsidR="00520333" w:rsidRPr="003203A1" w:rsidRDefault="00520333" w:rsidP="00520333">
      <w:pPr>
        <w:pStyle w:val="PolicytextDept"/>
      </w:pPr>
      <w:r w:rsidRPr="003203A1">
        <w:t xml:space="preserve">Accounting policies for employee related expenses are contained in Section 3. People and Relationships. </w:t>
      </w:r>
    </w:p>
    <w:tbl>
      <w:tblPr>
        <w:tblW w:w="9087" w:type="dxa"/>
        <w:tblLayout w:type="fixed"/>
        <w:tblLook w:val="04A0" w:firstRow="1" w:lastRow="0" w:firstColumn="1" w:lastColumn="0" w:noHBand="0" w:noVBand="1"/>
      </w:tblPr>
      <w:tblGrid>
        <w:gridCol w:w="6366"/>
        <w:gridCol w:w="1260"/>
        <w:gridCol w:w="236"/>
        <w:gridCol w:w="1225"/>
      </w:tblGrid>
      <w:tr w:rsidR="00520333" w:rsidRPr="003203A1" w14:paraId="31535781" w14:textId="77777777" w:rsidTr="005E5E0C">
        <w:trPr>
          <w:trHeight w:val="260"/>
        </w:trPr>
        <w:tc>
          <w:tcPr>
            <w:tcW w:w="6366" w:type="dxa"/>
            <w:tcBorders>
              <w:top w:val="nil"/>
              <w:left w:val="nil"/>
              <w:bottom w:val="nil"/>
              <w:right w:val="nil"/>
            </w:tcBorders>
            <w:shd w:val="clear" w:color="FFFFFF" w:fill="FFFFFF"/>
            <w:noWrap/>
            <w:vAlign w:val="bottom"/>
            <w:hideMark/>
          </w:tcPr>
          <w:p w14:paraId="42AAB985" w14:textId="77777777" w:rsidR="00520333" w:rsidRPr="003203A1" w:rsidRDefault="00520333" w:rsidP="005E5E0C">
            <w:pPr>
              <w:spacing w:after="0"/>
              <w:rPr>
                <w:rFonts w:cs="Arial"/>
                <w:b/>
                <w:bCs/>
                <w:sz w:val="18"/>
                <w:szCs w:val="18"/>
                <w:u w:val="single"/>
              </w:rPr>
            </w:pPr>
            <w:bookmarkStart w:id="149" w:name="Note_SXPTABLE1" w:colFirst="0" w:colLast="0"/>
            <w:r w:rsidRPr="003203A1">
              <w:rPr>
                <w:rFonts w:cs="Arial"/>
                <w:b/>
                <w:bCs/>
                <w:sz w:val="18"/>
                <w:szCs w:val="18"/>
                <w:u w:val="single"/>
              </w:rPr>
              <w:t>Note 1.1B: Suppliers</w:t>
            </w:r>
          </w:p>
        </w:tc>
        <w:tc>
          <w:tcPr>
            <w:tcW w:w="1260" w:type="dxa"/>
            <w:tcBorders>
              <w:top w:val="nil"/>
              <w:left w:val="nil"/>
              <w:bottom w:val="nil"/>
              <w:right w:val="nil"/>
            </w:tcBorders>
            <w:shd w:val="clear" w:color="FFFFFF" w:fill="FFFFFF"/>
            <w:vAlign w:val="bottom"/>
            <w:hideMark/>
          </w:tcPr>
          <w:p w14:paraId="2A9BFAFC" w14:textId="77777777" w:rsidR="00520333" w:rsidRPr="003203A1" w:rsidRDefault="00520333" w:rsidP="005E5E0C">
            <w:pPr>
              <w:spacing w:after="0"/>
              <w:jc w:val="right"/>
              <w:rPr>
                <w:rFonts w:cs="Arial"/>
                <w:b/>
                <w:bCs/>
                <w:sz w:val="18"/>
                <w:szCs w:val="18"/>
              </w:rPr>
            </w:pPr>
            <w:r w:rsidRPr="003203A1">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3CF85CF4" w14:textId="77777777" w:rsidR="00520333" w:rsidRPr="003203A1" w:rsidRDefault="00520333" w:rsidP="005E5E0C">
            <w:pPr>
              <w:spacing w:after="0"/>
              <w:rPr>
                <w:rFonts w:cs="Arial"/>
                <w:sz w:val="18"/>
                <w:szCs w:val="18"/>
              </w:rPr>
            </w:pPr>
            <w:r w:rsidRPr="003203A1">
              <w:rPr>
                <w:rFonts w:cs="Arial"/>
                <w:sz w:val="18"/>
                <w:szCs w:val="18"/>
              </w:rPr>
              <w:t> </w:t>
            </w:r>
          </w:p>
        </w:tc>
        <w:tc>
          <w:tcPr>
            <w:tcW w:w="1225" w:type="dxa"/>
            <w:tcBorders>
              <w:top w:val="nil"/>
              <w:left w:val="nil"/>
              <w:bottom w:val="nil"/>
              <w:right w:val="nil"/>
            </w:tcBorders>
            <w:shd w:val="clear" w:color="FFFFFF" w:fill="FFFFFF"/>
            <w:vAlign w:val="bottom"/>
            <w:hideMark/>
          </w:tcPr>
          <w:p w14:paraId="1F12DA74" w14:textId="77777777" w:rsidR="00520333" w:rsidRPr="003203A1" w:rsidRDefault="00520333" w:rsidP="005E5E0C">
            <w:pPr>
              <w:spacing w:after="0"/>
              <w:jc w:val="right"/>
              <w:rPr>
                <w:rFonts w:cs="Arial"/>
                <w:sz w:val="18"/>
                <w:szCs w:val="18"/>
              </w:rPr>
            </w:pPr>
            <w:r w:rsidRPr="003203A1">
              <w:rPr>
                <w:rFonts w:cs="Arial"/>
                <w:sz w:val="18"/>
                <w:szCs w:val="18"/>
              </w:rPr>
              <w:t> </w:t>
            </w:r>
          </w:p>
        </w:tc>
      </w:tr>
      <w:bookmarkEnd w:id="149"/>
      <w:tr w:rsidR="00520333" w:rsidRPr="003203A1" w14:paraId="7020B271" w14:textId="77777777" w:rsidTr="005E5E0C">
        <w:trPr>
          <w:trHeight w:val="260"/>
        </w:trPr>
        <w:tc>
          <w:tcPr>
            <w:tcW w:w="6366" w:type="dxa"/>
            <w:tcBorders>
              <w:top w:val="nil"/>
              <w:left w:val="nil"/>
              <w:bottom w:val="nil"/>
              <w:right w:val="nil"/>
            </w:tcBorders>
            <w:shd w:val="clear" w:color="FFFFFF" w:fill="FFFFFF"/>
            <w:vAlign w:val="bottom"/>
            <w:hideMark/>
          </w:tcPr>
          <w:p w14:paraId="6550AEA7" w14:textId="77777777" w:rsidR="00520333" w:rsidRPr="003203A1" w:rsidRDefault="00520333" w:rsidP="005E5E0C">
            <w:pPr>
              <w:spacing w:after="0"/>
              <w:rPr>
                <w:rFonts w:cs="Arial"/>
                <w:b/>
                <w:bCs/>
                <w:sz w:val="18"/>
                <w:szCs w:val="18"/>
              </w:rPr>
            </w:pPr>
            <w:r w:rsidRPr="003203A1">
              <w:rPr>
                <w:rFonts w:cs="Arial"/>
                <w:b/>
                <w:bCs/>
                <w:sz w:val="18"/>
                <w:szCs w:val="18"/>
              </w:rPr>
              <w:t>Services rendered</w:t>
            </w:r>
          </w:p>
        </w:tc>
        <w:tc>
          <w:tcPr>
            <w:tcW w:w="1260" w:type="dxa"/>
            <w:tcBorders>
              <w:top w:val="nil"/>
              <w:left w:val="nil"/>
              <w:bottom w:val="nil"/>
              <w:right w:val="nil"/>
            </w:tcBorders>
            <w:shd w:val="clear" w:color="FFFFFF" w:fill="FFFFFF"/>
            <w:noWrap/>
            <w:vAlign w:val="bottom"/>
            <w:hideMark/>
          </w:tcPr>
          <w:p w14:paraId="63491EBF" w14:textId="77777777" w:rsidR="00520333" w:rsidRPr="003203A1" w:rsidRDefault="00520333" w:rsidP="005E5E0C">
            <w:pPr>
              <w:spacing w:after="0"/>
              <w:rPr>
                <w:rFonts w:cs="Arial"/>
                <w:sz w:val="18"/>
                <w:szCs w:val="18"/>
              </w:rPr>
            </w:pPr>
            <w:r w:rsidRPr="003203A1">
              <w:rPr>
                <w:rFonts w:cs="Arial"/>
                <w:sz w:val="18"/>
                <w:szCs w:val="18"/>
              </w:rPr>
              <w:t> </w:t>
            </w:r>
          </w:p>
        </w:tc>
        <w:tc>
          <w:tcPr>
            <w:tcW w:w="236" w:type="dxa"/>
            <w:tcBorders>
              <w:top w:val="nil"/>
              <w:left w:val="nil"/>
              <w:bottom w:val="nil"/>
              <w:right w:val="nil"/>
            </w:tcBorders>
            <w:shd w:val="clear" w:color="FFFFFF" w:fill="FFFFFF"/>
            <w:noWrap/>
            <w:vAlign w:val="bottom"/>
            <w:hideMark/>
          </w:tcPr>
          <w:p w14:paraId="072D7CAD" w14:textId="77777777" w:rsidR="00520333" w:rsidRPr="003203A1" w:rsidRDefault="00520333" w:rsidP="005E5E0C">
            <w:pPr>
              <w:spacing w:after="0"/>
              <w:rPr>
                <w:rFonts w:cs="Arial"/>
                <w:sz w:val="18"/>
                <w:szCs w:val="18"/>
              </w:rPr>
            </w:pPr>
            <w:r w:rsidRPr="003203A1">
              <w:rPr>
                <w:rFonts w:cs="Arial"/>
                <w:sz w:val="18"/>
                <w:szCs w:val="18"/>
              </w:rPr>
              <w:t> </w:t>
            </w:r>
          </w:p>
        </w:tc>
        <w:tc>
          <w:tcPr>
            <w:tcW w:w="1225" w:type="dxa"/>
            <w:tcBorders>
              <w:top w:val="nil"/>
              <w:left w:val="nil"/>
              <w:bottom w:val="nil"/>
              <w:right w:val="nil"/>
            </w:tcBorders>
            <w:shd w:val="clear" w:color="FFFFFF" w:fill="FFFFFF"/>
            <w:noWrap/>
            <w:vAlign w:val="bottom"/>
            <w:hideMark/>
          </w:tcPr>
          <w:p w14:paraId="7714B2EA" w14:textId="77777777" w:rsidR="00520333" w:rsidRPr="003203A1" w:rsidRDefault="00520333" w:rsidP="005E5E0C">
            <w:pPr>
              <w:spacing w:after="0"/>
              <w:rPr>
                <w:rFonts w:cs="Arial"/>
                <w:sz w:val="18"/>
                <w:szCs w:val="18"/>
              </w:rPr>
            </w:pPr>
            <w:r w:rsidRPr="003203A1">
              <w:rPr>
                <w:rFonts w:cs="Arial"/>
                <w:sz w:val="18"/>
                <w:szCs w:val="18"/>
              </w:rPr>
              <w:t> </w:t>
            </w:r>
          </w:p>
        </w:tc>
      </w:tr>
      <w:tr w:rsidR="00520333" w:rsidRPr="003203A1" w14:paraId="23AA58E3" w14:textId="77777777" w:rsidTr="005E5E0C">
        <w:trPr>
          <w:trHeight w:val="270"/>
        </w:trPr>
        <w:tc>
          <w:tcPr>
            <w:tcW w:w="6366" w:type="dxa"/>
            <w:tcBorders>
              <w:top w:val="nil"/>
              <w:left w:val="nil"/>
              <w:bottom w:val="nil"/>
              <w:right w:val="nil"/>
            </w:tcBorders>
            <w:shd w:val="clear" w:color="FFFFFF" w:fill="FFFFFF"/>
            <w:noWrap/>
            <w:vAlign w:val="bottom"/>
            <w:hideMark/>
          </w:tcPr>
          <w:p w14:paraId="316A8792" w14:textId="77777777" w:rsidR="00520333" w:rsidRPr="003203A1" w:rsidRDefault="00520333" w:rsidP="005E5E0C">
            <w:pPr>
              <w:spacing w:after="0"/>
              <w:ind w:firstLineChars="100" w:firstLine="180"/>
              <w:rPr>
                <w:rFonts w:cs="Arial"/>
                <w:sz w:val="18"/>
                <w:szCs w:val="18"/>
              </w:rPr>
            </w:pPr>
            <w:r w:rsidRPr="003203A1">
              <w:rPr>
                <w:rFonts w:cs="Arial"/>
                <w:sz w:val="18"/>
                <w:szCs w:val="18"/>
              </w:rPr>
              <w:t>Service providers</w:t>
            </w:r>
            <w:r w:rsidRPr="003203A1">
              <w:rPr>
                <w:rFonts w:cs="Arial"/>
                <w:sz w:val="18"/>
                <w:szCs w:val="18"/>
                <w:vertAlign w:val="superscript"/>
              </w:rPr>
              <w:t>1</w:t>
            </w:r>
          </w:p>
        </w:tc>
        <w:tc>
          <w:tcPr>
            <w:tcW w:w="1260" w:type="dxa"/>
            <w:tcBorders>
              <w:top w:val="nil"/>
              <w:left w:val="nil"/>
              <w:bottom w:val="nil"/>
              <w:right w:val="nil"/>
            </w:tcBorders>
            <w:shd w:val="clear" w:color="FFFFFF" w:fill="FFFFFF"/>
            <w:noWrap/>
            <w:vAlign w:val="bottom"/>
            <w:hideMark/>
          </w:tcPr>
          <w:p w14:paraId="5EDFC2E1" w14:textId="77777777" w:rsidR="00520333" w:rsidRPr="003203A1" w:rsidRDefault="00520333" w:rsidP="005E5E0C">
            <w:pPr>
              <w:spacing w:after="0"/>
              <w:jc w:val="right"/>
              <w:rPr>
                <w:rFonts w:cs="Arial"/>
                <w:b/>
                <w:bCs/>
                <w:sz w:val="18"/>
                <w:szCs w:val="18"/>
              </w:rPr>
            </w:pPr>
            <w:r w:rsidRPr="003203A1">
              <w:rPr>
                <w:rFonts w:cs="Arial"/>
                <w:b/>
                <w:bCs/>
                <w:sz w:val="18"/>
                <w:szCs w:val="18"/>
              </w:rPr>
              <w:t>395,558</w:t>
            </w:r>
          </w:p>
        </w:tc>
        <w:tc>
          <w:tcPr>
            <w:tcW w:w="236" w:type="dxa"/>
            <w:tcBorders>
              <w:top w:val="nil"/>
              <w:left w:val="nil"/>
              <w:bottom w:val="nil"/>
              <w:right w:val="nil"/>
            </w:tcBorders>
            <w:shd w:val="clear" w:color="FFFFFF" w:fill="FFFFFF"/>
            <w:noWrap/>
            <w:vAlign w:val="bottom"/>
            <w:hideMark/>
          </w:tcPr>
          <w:p w14:paraId="49441F95" w14:textId="77777777" w:rsidR="00520333" w:rsidRPr="003203A1" w:rsidRDefault="00520333" w:rsidP="005E5E0C">
            <w:pPr>
              <w:spacing w:after="0"/>
              <w:rPr>
                <w:rFonts w:cs="Arial"/>
                <w:sz w:val="18"/>
                <w:szCs w:val="18"/>
              </w:rPr>
            </w:pPr>
            <w:r w:rsidRPr="003203A1">
              <w:rPr>
                <w:rFonts w:cs="Arial"/>
                <w:sz w:val="18"/>
                <w:szCs w:val="18"/>
              </w:rPr>
              <w:t> </w:t>
            </w:r>
          </w:p>
        </w:tc>
        <w:tc>
          <w:tcPr>
            <w:tcW w:w="1225" w:type="dxa"/>
            <w:tcBorders>
              <w:top w:val="nil"/>
              <w:left w:val="nil"/>
              <w:bottom w:val="nil"/>
              <w:right w:val="nil"/>
            </w:tcBorders>
            <w:shd w:val="clear" w:color="FFFFFF" w:fill="FFFFFF"/>
            <w:noWrap/>
            <w:vAlign w:val="bottom"/>
            <w:hideMark/>
          </w:tcPr>
          <w:p w14:paraId="557C7BE8" w14:textId="77777777" w:rsidR="00520333" w:rsidRPr="003203A1" w:rsidRDefault="00520333" w:rsidP="005E5E0C">
            <w:pPr>
              <w:spacing w:after="0"/>
              <w:jc w:val="right"/>
              <w:rPr>
                <w:rFonts w:cs="Arial"/>
                <w:sz w:val="18"/>
                <w:szCs w:val="18"/>
              </w:rPr>
            </w:pPr>
            <w:r w:rsidRPr="003203A1">
              <w:rPr>
                <w:rFonts w:cs="Arial"/>
                <w:sz w:val="18"/>
                <w:szCs w:val="18"/>
              </w:rPr>
              <w:t>351,164</w:t>
            </w:r>
          </w:p>
        </w:tc>
      </w:tr>
      <w:tr w:rsidR="00520333" w:rsidRPr="003203A1" w14:paraId="23712704" w14:textId="77777777" w:rsidTr="005E5E0C">
        <w:trPr>
          <w:trHeight w:val="250"/>
        </w:trPr>
        <w:tc>
          <w:tcPr>
            <w:tcW w:w="6366" w:type="dxa"/>
            <w:tcBorders>
              <w:top w:val="nil"/>
              <w:left w:val="nil"/>
              <w:bottom w:val="nil"/>
              <w:right w:val="nil"/>
            </w:tcBorders>
            <w:shd w:val="clear" w:color="FFFFFF" w:fill="FFFFFF"/>
            <w:noWrap/>
            <w:vAlign w:val="bottom"/>
            <w:hideMark/>
          </w:tcPr>
          <w:p w14:paraId="5920BBA1" w14:textId="77777777" w:rsidR="00520333" w:rsidRPr="003203A1" w:rsidRDefault="00520333" w:rsidP="005E5E0C">
            <w:pPr>
              <w:spacing w:after="0"/>
              <w:ind w:firstLineChars="100" w:firstLine="180"/>
              <w:rPr>
                <w:rFonts w:cs="Arial"/>
                <w:sz w:val="18"/>
                <w:szCs w:val="18"/>
              </w:rPr>
            </w:pPr>
            <w:r w:rsidRPr="003203A1">
              <w:rPr>
                <w:rFonts w:cs="Arial"/>
                <w:sz w:val="18"/>
                <w:szCs w:val="18"/>
              </w:rPr>
              <w:t>Legal expenses</w:t>
            </w:r>
          </w:p>
        </w:tc>
        <w:tc>
          <w:tcPr>
            <w:tcW w:w="1260" w:type="dxa"/>
            <w:tcBorders>
              <w:top w:val="nil"/>
              <w:left w:val="nil"/>
              <w:bottom w:val="nil"/>
              <w:right w:val="nil"/>
            </w:tcBorders>
            <w:shd w:val="clear" w:color="FFFFFF" w:fill="FFFFFF"/>
            <w:noWrap/>
            <w:vAlign w:val="bottom"/>
            <w:hideMark/>
          </w:tcPr>
          <w:p w14:paraId="57CAEE0C" w14:textId="77777777" w:rsidR="00520333" w:rsidRPr="003203A1" w:rsidRDefault="00520333" w:rsidP="005E5E0C">
            <w:pPr>
              <w:spacing w:after="0"/>
              <w:jc w:val="right"/>
              <w:rPr>
                <w:rFonts w:cs="Arial"/>
                <w:b/>
                <w:bCs/>
                <w:sz w:val="18"/>
                <w:szCs w:val="18"/>
              </w:rPr>
            </w:pPr>
            <w:r w:rsidRPr="003203A1">
              <w:rPr>
                <w:rFonts w:cs="Arial"/>
                <w:b/>
                <w:bCs/>
                <w:sz w:val="18"/>
                <w:szCs w:val="18"/>
              </w:rPr>
              <w:t>51,899</w:t>
            </w:r>
          </w:p>
        </w:tc>
        <w:tc>
          <w:tcPr>
            <w:tcW w:w="236" w:type="dxa"/>
            <w:tcBorders>
              <w:top w:val="nil"/>
              <w:left w:val="nil"/>
              <w:bottom w:val="nil"/>
              <w:right w:val="nil"/>
            </w:tcBorders>
            <w:shd w:val="clear" w:color="FFFFFF" w:fill="FFFFFF"/>
            <w:noWrap/>
            <w:vAlign w:val="bottom"/>
            <w:hideMark/>
          </w:tcPr>
          <w:p w14:paraId="1F1B250B" w14:textId="77777777" w:rsidR="00520333" w:rsidRPr="003203A1" w:rsidRDefault="00520333" w:rsidP="005E5E0C">
            <w:pPr>
              <w:spacing w:after="0"/>
              <w:rPr>
                <w:rFonts w:cs="Arial"/>
                <w:sz w:val="18"/>
                <w:szCs w:val="18"/>
              </w:rPr>
            </w:pPr>
            <w:r w:rsidRPr="003203A1">
              <w:rPr>
                <w:rFonts w:cs="Arial"/>
                <w:sz w:val="18"/>
                <w:szCs w:val="18"/>
              </w:rPr>
              <w:t> </w:t>
            </w:r>
          </w:p>
        </w:tc>
        <w:tc>
          <w:tcPr>
            <w:tcW w:w="1225" w:type="dxa"/>
            <w:tcBorders>
              <w:top w:val="nil"/>
              <w:left w:val="nil"/>
              <w:bottom w:val="nil"/>
              <w:right w:val="nil"/>
            </w:tcBorders>
            <w:shd w:val="clear" w:color="FFFFFF" w:fill="FFFFFF"/>
            <w:noWrap/>
            <w:vAlign w:val="bottom"/>
            <w:hideMark/>
          </w:tcPr>
          <w:p w14:paraId="6F68D2F0" w14:textId="77777777" w:rsidR="00520333" w:rsidRPr="003203A1" w:rsidRDefault="00520333" w:rsidP="005E5E0C">
            <w:pPr>
              <w:spacing w:after="0"/>
              <w:jc w:val="right"/>
              <w:rPr>
                <w:rFonts w:cs="Arial"/>
                <w:sz w:val="18"/>
                <w:szCs w:val="18"/>
              </w:rPr>
            </w:pPr>
            <w:r w:rsidRPr="003203A1">
              <w:rPr>
                <w:rFonts w:cs="Arial"/>
                <w:sz w:val="18"/>
                <w:szCs w:val="18"/>
              </w:rPr>
              <w:t>72,272</w:t>
            </w:r>
          </w:p>
        </w:tc>
      </w:tr>
      <w:tr w:rsidR="00520333" w:rsidRPr="003203A1" w14:paraId="2937C6E3" w14:textId="77777777" w:rsidTr="005E5E0C">
        <w:trPr>
          <w:trHeight w:val="250"/>
        </w:trPr>
        <w:tc>
          <w:tcPr>
            <w:tcW w:w="6366" w:type="dxa"/>
            <w:tcBorders>
              <w:top w:val="nil"/>
              <w:left w:val="nil"/>
              <w:bottom w:val="nil"/>
              <w:right w:val="nil"/>
            </w:tcBorders>
            <w:shd w:val="clear" w:color="FFFFFF" w:fill="FFFFFF"/>
            <w:noWrap/>
            <w:vAlign w:val="bottom"/>
            <w:hideMark/>
          </w:tcPr>
          <w:p w14:paraId="46F29899" w14:textId="77777777" w:rsidR="00520333" w:rsidRPr="003203A1" w:rsidRDefault="00520333" w:rsidP="005E5E0C">
            <w:pPr>
              <w:spacing w:after="0"/>
              <w:ind w:firstLineChars="100" w:firstLine="180"/>
              <w:rPr>
                <w:rFonts w:cs="Arial"/>
                <w:sz w:val="18"/>
                <w:szCs w:val="18"/>
              </w:rPr>
            </w:pPr>
            <w:r w:rsidRPr="003203A1">
              <w:rPr>
                <w:rFonts w:cs="Arial"/>
                <w:sz w:val="18"/>
                <w:szCs w:val="18"/>
              </w:rPr>
              <w:t>Information technology expenses</w:t>
            </w:r>
          </w:p>
        </w:tc>
        <w:tc>
          <w:tcPr>
            <w:tcW w:w="1260" w:type="dxa"/>
            <w:tcBorders>
              <w:top w:val="nil"/>
              <w:left w:val="nil"/>
              <w:bottom w:val="nil"/>
              <w:right w:val="nil"/>
            </w:tcBorders>
            <w:shd w:val="clear" w:color="FFFFFF" w:fill="FFFFFF"/>
            <w:noWrap/>
            <w:vAlign w:val="bottom"/>
            <w:hideMark/>
          </w:tcPr>
          <w:p w14:paraId="63D4FEBF" w14:textId="77777777" w:rsidR="00520333" w:rsidRPr="003203A1" w:rsidRDefault="00520333" w:rsidP="005E5E0C">
            <w:pPr>
              <w:spacing w:after="0"/>
              <w:jc w:val="right"/>
              <w:rPr>
                <w:rFonts w:cs="Arial"/>
                <w:b/>
                <w:bCs/>
                <w:sz w:val="18"/>
                <w:szCs w:val="18"/>
              </w:rPr>
            </w:pPr>
            <w:r w:rsidRPr="003203A1">
              <w:rPr>
                <w:rFonts w:cs="Arial"/>
                <w:b/>
                <w:bCs/>
                <w:sz w:val="18"/>
                <w:szCs w:val="18"/>
              </w:rPr>
              <w:t>76,518</w:t>
            </w:r>
          </w:p>
        </w:tc>
        <w:tc>
          <w:tcPr>
            <w:tcW w:w="236" w:type="dxa"/>
            <w:tcBorders>
              <w:top w:val="nil"/>
              <w:left w:val="nil"/>
              <w:bottom w:val="nil"/>
              <w:right w:val="nil"/>
            </w:tcBorders>
            <w:shd w:val="clear" w:color="FFFFFF" w:fill="FFFFFF"/>
            <w:noWrap/>
            <w:vAlign w:val="bottom"/>
            <w:hideMark/>
          </w:tcPr>
          <w:p w14:paraId="7D3DC511" w14:textId="77777777" w:rsidR="00520333" w:rsidRPr="003203A1" w:rsidRDefault="00520333" w:rsidP="005E5E0C">
            <w:pPr>
              <w:spacing w:after="0"/>
              <w:rPr>
                <w:rFonts w:cs="Arial"/>
                <w:sz w:val="18"/>
                <w:szCs w:val="18"/>
              </w:rPr>
            </w:pPr>
            <w:r w:rsidRPr="003203A1">
              <w:rPr>
                <w:rFonts w:cs="Arial"/>
                <w:sz w:val="18"/>
                <w:szCs w:val="18"/>
              </w:rPr>
              <w:t> </w:t>
            </w:r>
          </w:p>
        </w:tc>
        <w:tc>
          <w:tcPr>
            <w:tcW w:w="1225" w:type="dxa"/>
            <w:tcBorders>
              <w:top w:val="nil"/>
              <w:left w:val="nil"/>
              <w:bottom w:val="nil"/>
              <w:right w:val="nil"/>
            </w:tcBorders>
            <w:shd w:val="clear" w:color="FFFFFF" w:fill="FFFFFF"/>
            <w:noWrap/>
            <w:vAlign w:val="bottom"/>
            <w:hideMark/>
          </w:tcPr>
          <w:p w14:paraId="45BE1BA8" w14:textId="77777777" w:rsidR="00520333" w:rsidRPr="003203A1" w:rsidRDefault="00520333" w:rsidP="005E5E0C">
            <w:pPr>
              <w:spacing w:after="0"/>
              <w:jc w:val="right"/>
              <w:rPr>
                <w:rFonts w:cs="Arial"/>
                <w:sz w:val="18"/>
                <w:szCs w:val="18"/>
              </w:rPr>
            </w:pPr>
            <w:r w:rsidRPr="003203A1">
              <w:rPr>
                <w:rFonts w:cs="Arial"/>
                <w:sz w:val="18"/>
                <w:szCs w:val="18"/>
              </w:rPr>
              <w:t>58,240</w:t>
            </w:r>
          </w:p>
        </w:tc>
      </w:tr>
      <w:tr w:rsidR="00520333" w:rsidRPr="003203A1" w14:paraId="73CA732A" w14:textId="77777777" w:rsidTr="005E5E0C">
        <w:trPr>
          <w:trHeight w:val="270"/>
        </w:trPr>
        <w:tc>
          <w:tcPr>
            <w:tcW w:w="6366" w:type="dxa"/>
            <w:tcBorders>
              <w:top w:val="nil"/>
              <w:left w:val="nil"/>
              <w:bottom w:val="nil"/>
              <w:right w:val="nil"/>
            </w:tcBorders>
            <w:shd w:val="clear" w:color="FFFFFF" w:fill="FFFFFF"/>
            <w:noWrap/>
            <w:vAlign w:val="bottom"/>
            <w:hideMark/>
          </w:tcPr>
          <w:p w14:paraId="5BD5B78C" w14:textId="77777777" w:rsidR="00520333" w:rsidRPr="003203A1" w:rsidRDefault="00520333" w:rsidP="005E5E0C">
            <w:pPr>
              <w:spacing w:after="0"/>
              <w:ind w:firstLineChars="100" w:firstLine="180"/>
              <w:rPr>
                <w:rFonts w:cs="Arial"/>
                <w:sz w:val="18"/>
                <w:szCs w:val="18"/>
              </w:rPr>
            </w:pPr>
            <w:r w:rsidRPr="003203A1">
              <w:rPr>
                <w:rFonts w:cs="Arial"/>
                <w:sz w:val="18"/>
                <w:szCs w:val="18"/>
              </w:rPr>
              <w:t>Shared Services</w:t>
            </w:r>
            <w:r w:rsidRPr="003203A1">
              <w:rPr>
                <w:rFonts w:cs="Arial"/>
                <w:sz w:val="18"/>
                <w:szCs w:val="18"/>
                <w:vertAlign w:val="superscript"/>
              </w:rPr>
              <w:t>2</w:t>
            </w:r>
          </w:p>
        </w:tc>
        <w:tc>
          <w:tcPr>
            <w:tcW w:w="1260" w:type="dxa"/>
            <w:tcBorders>
              <w:top w:val="nil"/>
              <w:left w:val="nil"/>
              <w:bottom w:val="nil"/>
              <w:right w:val="nil"/>
            </w:tcBorders>
            <w:shd w:val="clear" w:color="FFFFFF" w:fill="FFFFFF"/>
            <w:noWrap/>
            <w:vAlign w:val="bottom"/>
            <w:hideMark/>
          </w:tcPr>
          <w:p w14:paraId="30EF61D5" w14:textId="77777777" w:rsidR="00520333" w:rsidRPr="003203A1" w:rsidRDefault="00520333" w:rsidP="005E5E0C">
            <w:pPr>
              <w:spacing w:after="0"/>
              <w:jc w:val="right"/>
              <w:rPr>
                <w:rFonts w:cs="Arial"/>
                <w:b/>
                <w:bCs/>
                <w:sz w:val="18"/>
                <w:szCs w:val="18"/>
              </w:rPr>
            </w:pPr>
            <w:r w:rsidRPr="003203A1">
              <w:rPr>
                <w:rFonts w:cs="Arial"/>
                <w:b/>
                <w:bCs/>
                <w:sz w:val="18"/>
                <w:szCs w:val="18"/>
              </w:rPr>
              <w:t>35,006</w:t>
            </w:r>
          </w:p>
        </w:tc>
        <w:tc>
          <w:tcPr>
            <w:tcW w:w="236" w:type="dxa"/>
            <w:tcBorders>
              <w:top w:val="nil"/>
              <w:left w:val="nil"/>
              <w:bottom w:val="nil"/>
              <w:right w:val="nil"/>
            </w:tcBorders>
            <w:shd w:val="clear" w:color="FFFFFF" w:fill="FFFFFF"/>
            <w:noWrap/>
            <w:vAlign w:val="bottom"/>
            <w:hideMark/>
          </w:tcPr>
          <w:p w14:paraId="6A88F866" w14:textId="77777777" w:rsidR="00520333" w:rsidRPr="003203A1" w:rsidRDefault="00520333" w:rsidP="005E5E0C">
            <w:pPr>
              <w:spacing w:after="0"/>
              <w:rPr>
                <w:rFonts w:cs="Arial"/>
                <w:sz w:val="18"/>
                <w:szCs w:val="18"/>
              </w:rPr>
            </w:pPr>
            <w:r w:rsidRPr="003203A1">
              <w:rPr>
                <w:rFonts w:cs="Arial"/>
                <w:sz w:val="18"/>
                <w:szCs w:val="18"/>
              </w:rPr>
              <w:t> </w:t>
            </w:r>
          </w:p>
        </w:tc>
        <w:tc>
          <w:tcPr>
            <w:tcW w:w="1225" w:type="dxa"/>
            <w:tcBorders>
              <w:top w:val="nil"/>
              <w:left w:val="nil"/>
              <w:bottom w:val="nil"/>
              <w:right w:val="nil"/>
            </w:tcBorders>
            <w:shd w:val="clear" w:color="FFFFFF" w:fill="FFFFFF"/>
            <w:noWrap/>
            <w:vAlign w:val="bottom"/>
            <w:hideMark/>
          </w:tcPr>
          <w:p w14:paraId="23AE60F6" w14:textId="77777777" w:rsidR="00520333" w:rsidRPr="003203A1" w:rsidRDefault="00520333" w:rsidP="005E5E0C">
            <w:pPr>
              <w:spacing w:after="0"/>
              <w:jc w:val="right"/>
              <w:rPr>
                <w:rFonts w:cs="Arial"/>
                <w:sz w:val="18"/>
                <w:szCs w:val="18"/>
              </w:rPr>
            </w:pPr>
            <w:r w:rsidRPr="003203A1">
              <w:rPr>
                <w:rFonts w:cs="Arial"/>
                <w:sz w:val="18"/>
                <w:szCs w:val="18"/>
              </w:rPr>
              <w:t>45,903</w:t>
            </w:r>
          </w:p>
        </w:tc>
      </w:tr>
      <w:tr w:rsidR="00520333" w:rsidRPr="003203A1" w14:paraId="0D237747" w14:textId="77777777" w:rsidTr="005E5E0C">
        <w:trPr>
          <w:trHeight w:val="250"/>
        </w:trPr>
        <w:tc>
          <w:tcPr>
            <w:tcW w:w="6366" w:type="dxa"/>
            <w:tcBorders>
              <w:top w:val="nil"/>
              <w:left w:val="nil"/>
              <w:bottom w:val="nil"/>
              <w:right w:val="nil"/>
            </w:tcBorders>
            <w:shd w:val="clear" w:color="FFFFFF" w:fill="FFFFFF"/>
            <w:noWrap/>
            <w:vAlign w:val="bottom"/>
            <w:hideMark/>
          </w:tcPr>
          <w:p w14:paraId="38B0FC22" w14:textId="77777777" w:rsidR="00520333" w:rsidRPr="003203A1" w:rsidRDefault="00520333" w:rsidP="005E5E0C">
            <w:pPr>
              <w:spacing w:after="0"/>
              <w:ind w:firstLineChars="100" w:firstLine="180"/>
              <w:rPr>
                <w:rFonts w:cs="Arial"/>
                <w:sz w:val="18"/>
                <w:szCs w:val="18"/>
              </w:rPr>
            </w:pPr>
            <w:r w:rsidRPr="003203A1">
              <w:rPr>
                <w:rFonts w:cs="Arial"/>
                <w:sz w:val="18"/>
                <w:szCs w:val="18"/>
              </w:rPr>
              <w:t>Community connector management fees</w:t>
            </w:r>
          </w:p>
        </w:tc>
        <w:tc>
          <w:tcPr>
            <w:tcW w:w="1260" w:type="dxa"/>
            <w:tcBorders>
              <w:top w:val="nil"/>
              <w:left w:val="nil"/>
              <w:bottom w:val="nil"/>
              <w:right w:val="nil"/>
            </w:tcBorders>
            <w:shd w:val="clear" w:color="FFFFFF" w:fill="FFFFFF"/>
            <w:noWrap/>
            <w:vAlign w:val="bottom"/>
            <w:hideMark/>
          </w:tcPr>
          <w:p w14:paraId="78C57126" w14:textId="77777777" w:rsidR="00520333" w:rsidRPr="003203A1" w:rsidRDefault="00520333" w:rsidP="005E5E0C">
            <w:pPr>
              <w:spacing w:after="0"/>
              <w:jc w:val="right"/>
              <w:rPr>
                <w:rFonts w:cs="Arial"/>
                <w:b/>
                <w:bCs/>
                <w:sz w:val="18"/>
                <w:szCs w:val="18"/>
              </w:rPr>
            </w:pPr>
            <w:r w:rsidRPr="003203A1">
              <w:rPr>
                <w:rFonts w:cs="Arial"/>
                <w:b/>
                <w:bCs/>
                <w:sz w:val="18"/>
                <w:szCs w:val="18"/>
              </w:rPr>
              <w:t>21,098</w:t>
            </w:r>
          </w:p>
        </w:tc>
        <w:tc>
          <w:tcPr>
            <w:tcW w:w="236" w:type="dxa"/>
            <w:tcBorders>
              <w:top w:val="nil"/>
              <w:left w:val="nil"/>
              <w:bottom w:val="nil"/>
              <w:right w:val="nil"/>
            </w:tcBorders>
            <w:shd w:val="clear" w:color="FFFFFF" w:fill="FFFFFF"/>
            <w:noWrap/>
            <w:vAlign w:val="bottom"/>
            <w:hideMark/>
          </w:tcPr>
          <w:p w14:paraId="4992C5FA" w14:textId="77777777" w:rsidR="00520333" w:rsidRPr="003203A1" w:rsidRDefault="00520333" w:rsidP="005E5E0C">
            <w:pPr>
              <w:spacing w:after="0"/>
              <w:rPr>
                <w:rFonts w:cs="Arial"/>
                <w:sz w:val="18"/>
                <w:szCs w:val="18"/>
              </w:rPr>
            </w:pPr>
            <w:r w:rsidRPr="003203A1">
              <w:rPr>
                <w:rFonts w:cs="Arial"/>
                <w:sz w:val="18"/>
                <w:szCs w:val="18"/>
              </w:rPr>
              <w:t> </w:t>
            </w:r>
          </w:p>
        </w:tc>
        <w:tc>
          <w:tcPr>
            <w:tcW w:w="1225" w:type="dxa"/>
            <w:tcBorders>
              <w:top w:val="nil"/>
              <w:left w:val="nil"/>
              <w:bottom w:val="nil"/>
              <w:right w:val="nil"/>
            </w:tcBorders>
            <w:shd w:val="clear" w:color="FFFFFF" w:fill="FFFFFF"/>
            <w:noWrap/>
            <w:vAlign w:val="bottom"/>
            <w:hideMark/>
          </w:tcPr>
          <w:p w14:paraId="1EC1D560" w14:textId="77777777" w:rsidR="00520333" w:rsidRPr="003203A1" w:rsidRDefault="00520333" w:rsidP="005E5E0C">
            <w:pPr>
              <w:spacing w:after="0"/>
              <w:jc w:val="right"/>
              <w:rPr>
                <w:rFonts w:cs="Arial"/>
                <w:sz w:val="18"/>
                <w:szCs w:val="18"/>
              </w:rPr>
            </w:pPr>
            <w:r w:rsidRPr="003203A1">
              <w:rPr>
                <w:rFonts w:cs="Arial"/>
                <w:sz w:val="18"/>
                <w:szCs w:val="18"/>
              </w:rPr>
              <w:t>20,153</w:t>
            </w:r>
          </w:p>
        </w:tc>
      </w:tr>
      <w:tr w:rsidR="00520333" w:rsidRPr="003203A1" w14:paraId="439D486B" w14:textId="77777777" w:rsidTr="005E5E0C">
        <w:trPr>
          <w:trHeight w:val="250"/>
        </w:trPr>
        <w:tc>
          <w:tcPr>
            <w:tcW w:w="6366" w:type="dxa"/>
            <w:tcBorders>
              <w:top w:val="nil"/>
              <w:left w:val="nil"/>
              <w:bottom w:val="nil"/>
              <w:right w:val="nil"/>
            </w:tcBorders>
            <w:shd w:val="clear" w:color="FFFFFF" w:fill="FFFFFF"/>
            <w:noWrap/>
            <w:vAlign w:val="bottom"/>
            <w:hideMark/>
          </w:tcPr>
          <w:p w14:paraId="24A3A980" w14:textId="77777777" w:rsidR="00520333" w:rsidRPr="003203A1" w:rsidRDefault="00520333" w:rsidP="005E5E0C">
            <w:pPr>
              <w:spacing w:after="0"/>
              <w:ind w:firstLineChars="100" w:firstLine="180"/>
              <w:rPr>
                <w:rFonts w:cs="Arial"/>
                <w:sz w:val="18"/>
                <w:szCs w:val="18"/>
              </w:rPr>
            </w:pPr>
            <w:r w:rsidRPr="003203A1">
              <w:rPr>
                <w:rFonts w:cs="Arial"/>
                <w:sz w:val="18"/>
                <w:szCs w:val="18"/>
              </w:rPr>
              <w:t>Property operating expenses</w:t>
            </w:r>
          </w:p>
        </w:tc>
        <w:tc>
          <w:tcPr>
            <w:tcW w:w="1260" w:type="dxa"/>
            <w:tcBorders>
              <w:top w:val="nil"/>
              <w:left w:val="nil"/>
              <w:bottom w:val="nil"/>
              <w:right w:val="nil"/>
            </w:tcBorders>
            <w:shd w:val="clear" w:color="FFFFFF" w:fill="FFFFFF"/>
            <w:noWrap/>
            <w:vAlign w:val="bottom"/>
            <w:hideMark/>
          </w:tcPr>
          <w:p w14:paraId="35AA4AA6" w14:textId="77777777" w:rsidR="00520333" w:rsidRPr="003203A1" w:rsidRDefault="00520333" w:rsidP="005E5E0C">
            <w:pPr>
              <w:spacing w:after="0"/>
              <w:jc w:val="right"/>
              <w:rPr>
                <w:rFonts w:cs="Arial"/>
                <w:b/>
                <w:bCs/>
                <w:sz w:val="18"/>
                <w:szCs w:val="18"/>
              </w:rPr>
            </w:pPr>
            <w:r w:rsidRPr="003203A1">
              <w:rPr>
                <w:rFonts w:cs="Arial"/>
                <w:b/>
                <w:bCs/>
                <w:sz w:val="18"/>
                <w:szCs w:val="18"/>
              </w:rPr>
              <w:t>11,183</w:t>
            </w:r>
          </w:p>
        </w:tc>
        <w:tc>
          <w:tcPr>
            <w:tcW w:w="236" w:type="dxa"/>
            <w:tcBorders>
              <w:top w:val="nil"/>
              <w:left w:val="nil"/>
              <w:bottom w:val="nil"/>
              <w:right w:val="nil"/>
            </w:tcBorders>
            <w:shd w:val="clear" w:color="FFFFFF" w:fill="FFFFFF"/>
            <w:noWrap/>
            <w:vAlign w:val="bottom"/>
            <w:hideMark/>
          </w:tcPr>
          <w:p w14:paraId="60FE9027" w14:textId="77777777" w:rsidR="00520333" w:rsidRPr="003203A1" w:rsidRDefault="00520333" w:rsidP="005E5E0C">
            <w:pPr>
              <w:spacing w:after="0"/>
              <w:rPr>
                <w:rFonts w:cs="Arial"/>
                <w:sz w:val="18"/>
                <w:szCs w:val="18"/>
              </w:rPr>
            </w:pPr>
            <w:r w:rsidRPr="003203A1">
              <w:rPr>
                <w:rFonts w:cs="Arial"/>
                <w:sz w:val="18"/>
                <w:szCs w:val="18"/>
              </w:rPr>
              <w:t> </w:t>
            </w:r>
          </w:p>
        </w:tc>
        <w:tc>
          <w:tcPr>
            <w:tcW w:w="1225" w:type="dxa"/>
            <w:tcBorders>
              <w:top w:val="nil"/>
              <w:left w:val="nil"/>
              <w:bottom w:val="nil"/>
              <w:right w:val="nil"/>
            </w:tcBorders>
            <w:shd w:val="clear" w:color="FFFFFF" w:fill="FFFFFF"/>
            <w:noWrap/>
            <w:vAlign w:val="bottom"/>
            <w:hideMark/>
          </w:tcPr>
          <w:p w14:paraId="20ED1DCF" w14:textId="77777777" w:rsidR="00520333" w:rsidRPr="003203A1" w:rsidRDefault="00520333" w:rsidP="005E5E0C">
            <w:pPr>
              <w:spacing w:after="0"/>
              <w:jc w:val="right"/>
              <w:rPr>
                <w:rFonts w:cs="Arial"/>
                <w:sz w:val="18"/>
                <w:szCs w:val="18"/>
              </w:rPr>
            </w:pPr>
            <w:r w:rsidRPr="003203A1">
              <w:rPr>
                <w:rFonts w:cs="Arial"/>
                <w:sz w:val="18"/>
                <w:szCs w:val="18"/>
              </w:rPr>
              <w:t>9,706</w:t>
            </w:r>
          </w:p>
        </w:tc>
      </w:tr>
      <w:tr w:rsidR="00520333" w:rsidRPr="003203A1" w14:paraId="76B653BE" w14:textId="77777777" w:rsidTr="005E5E0C">
        <w:trPr>
          <w:trHeight w:val="250"/>
        </w:trPr>
        <w:tc>
          <w:tcPr>
            <w:tcW w:w="6366" w:type="dxa"/>
            <w:tcBorders>
              <w:top w:val="nil"/>
              <w:left w:val="nil"/>
              <w:bottom w:val="nil"/>
              <w:right w:val="nil"/>
            </w:tcBorders>
            <w:shd w:val="clear" w:color="FFFFFF" w:fill="FFFFFF"/>
            <w:noWrap/>
            <w:vAlign w:val="bottom"/>
            <w:hideMark/>
          </w:tcPr>
          <w:p w14:paraId="03F00FE2" w14:textId="77777777" w:rsidR="00520333" w:rsidRPr="003203A1" w:rsidRDefault="00520333" w:rsidP="005E5E0C">
            <w:pPr>
              <w:spacing w:after="0"/>
              <w:ind w:firstLineChars="100" w:firstLine="180"/>
              <w:rPr>
                <w:rFonts w:cs="Arial"/>
                <w:sz w:val="18"/>
                <w:szCs w:val="18"/>
              </w:rPr>
            </w:pPr>
            <w:r w:rsidRPr="003203A1">
              <w:rPr>
                <w:rFonts w:cs="Arial"/>
                <w:sz w:val="18"/>
                <w:szCs w:val="18"/>
              </w:rPr>
              <w:t xml:space="preserve">Other </w:t>
            </w:r>
          </w:p>
        </w:tc>
        <w:tc>
          <w:tcPr>
            <w:tcW w:w="1260" w:type="dxa"/>
            <w:tcBorders>
              <w:top w:val="nil"/>
              <w:left w:val="nil"/>
              <w:bottom w:val="nil"/>
              <w:right w:val="nil"/>
            </w:tcBorders>
            <w:shd w:val="clear" w:color="FFFFFF" w:fill="FFFFFF"/>
            <w:noWrap/>
            <w:vAlign w:val="bottom"/>
            <w:hideMark/>
          </w:tcPr>
          <w:p w14:paraId="2B9E10DE" w14:textId="77777777" w:rsidR="00520333" w:rsidRPr="003203A1" w:rsidRDefault="00520333" w:rsidP="005E5E0C">
            <w:pPr>
              <w:spacing w:after="0"/>
              <w:jc w:val="right"/>
              <w:rPr>
                <w:rFonts w:cs="Arial"/>
                <w:b/>
                <w:bCs/>
                <w:sz w:val="18"/>
                <w:szCs w:val="18"/>
              </w:rPr>
            </w:pPr>
            <w:r w:rsidRPr="003203A1">
              <w:rPr>
                <w:rFonts w:cs="Arial"/>
                <w:b/>
                <w:bCs/>
                <w:sz w:val="18"/>
                <w:szCs w:val="18"/>
              </w:rPr>
              <w:t>20,496</w:t>
            </w:r>
          </w:p>
        </w:tc>
        <w:tc>
          <w:tcPr>
            <w:tcW w:w="236" w:type="dxa"/>
            <w:tcBorders>
              <w:top w:val="nil"/>
              <w:left w:val="nil"/>
              <w:bottom w:val="nil"/>
              <w:right w:val="nil"/>
            </w:tcBorders>
            <w:shd w:val="clear" w:color="FFFFFF" w:fill="FFFFFF"/>
            <w:noWrap/>
            <w:vAlign w:val="bottom"/>
            <w:hideMark/>
          </w:tcPr>
          <w:p w14:paraId="69F9DE3A" w14:textId="77777777" w:rsidR="00520333" w:rsidRPr="003203A1" w:rsidRDefault="00520333" w:rsidP="005E5E0C">
            <w:pPr>
              <w:spacing w:after="0"/>
              <w:rPr>
                <w:rFonts w:cs="Arial"/>
                <w:sz w:val="18"/>
                <w:szCs w:val="18"/>
              </w:rPr>
            </w:pPr>
            <w:r w:rsidRPr="003203A1">
              <w:rPr>
                <w:rFonts w:cs="Arial"/>
                <w:sz w:val="18"/>
                <w:szCs w:val="18"/>
              </w:rPr>
              <w:t> </w:t>
            </w:r>
          </w:p>
        </w:tc>
        <w:tc>
          <w:tcPr>
            <w:tcW w:w="1225" w:type="dxa"/>
            <w:tcBorders>
              <w:top w:val="nil"/>
              <w:left w:val="nil"/>
              <w:bottom w:val="nil"/>
              <w:right w:val="nil"/>
            </w:tcBorders>
            <w:shd w:val="clear" w:color="FFFFFF" w:fill="FFFFFF"/>
            <w:noWrap/>
            <w:vAlign w:val="bottom"/>
            <w:hideMark/>
          </w:tcPr>
          <w:p w14:paraId="31CF3F26" w14:textId="77777777" w:rsidR="00520333" w:rsidRPr="003203A1" w:rsidRDefault="00520333" w:rsidP="005E5E0C">
            <w:pPr>
              <w:spacing w:after="0"/>
              <w:jc w:val="right"/>
              <w:rPr>
                <w:rFonts w:cs="Arial"/>
                <w:sz w:val="18"/>
                <w:szCs w:val="18"/>
              </w:rPr>
            </w:pPr>
            <w:r w:rsidRPr="003203A1">
              <w:rPr>
                <w:rFonts w:cs="Arial"/>
                <w:sz w:val="18"/>
                <w:szCs w:val="18"/>
              </w:rPr>
              <w:t>9,293</w:t>
            </w:r>
          </w:p>
        </w:tc>
      </w:tr>
      <w:tr w:rsidR="00520333" w:rsidRPr="003203A1" w14:paraId="528C0CA0" w14:textId="77777777" w:rsidTr="005E5E0C">
        <w:trPr>
          <w:trHeight w:val="250"/>
        </w:trPr>
        <w:tc>
          <w:tcPr>
            <w:tcW w:w="6366" w:type="dxa"/>
            <w:tcBorders>
              <w:top w:val="nil"/>
              <w:left w:val="nil"/>
              <w:bottom w:val="nil"/>
              <w:right w:val="nil"/>
            </w:tcBorders>
            <w:shd w:val="clear" w:color="FFFFFF" w:fill="FFFFFF"/>
            <w:noWrap/>
            <w:vAlign w:val="bottom"/>
            <w:hideMark/>
          </w:tcPr>
          <w:p w14:paraId="4BB7900A" w14:textId="77777777" w:rsidR="00520333" w:rsidRPr="003203A1" w:rsidRDefault="00520333" w:rsidP="005E5E0C">
            <w:pPr>
              <w:spacing w:after="0"/>
              <w:ind w:firstLineChars="100" w:firstLine="180"/>
              <w:rPr>
                <w:rFonts w:cs="Arial"/>
                <w:sz w:val="18"/>
                <w:szCs w:val="18"/>
              </w:rPr>
            </w:pPr>
            <w:r w:rsidRPr="003203A1">
              <w:rPr>
                <w:rFonts w:cs="Arial"/>
                <w:sz w:val="18"/>
                <w:szCs w:val="18"/>
              </w:rPr>
              <w:t>Travel</w:t>
            </w:r>
          </w:p>
        </w:tc>
        <w:tc>
          <w:tcPr>
            <w:tcW w:w="1260" w:type="dxa"/>
            <w:tcBorders>
              <w:top w:val="nil"/>
              <w:left w:val="nil"/>
              <w:bottom w:val="nil"/>
              <w:right w:val="nil"/>
            </w:tcBorders>
            <w:shd w:val="clear" w:color="FFFFFF" w:fill="FFFFFF"/>
            <w:noWrap/>
            <w:vAlign w:val="bottom"/>
            <w:hideMark/>
          </w:tcPr>
          <w:p w14:paraId="5C1DBEC0" w14:textId="77777777" w:rsidR="00520333" w:rsidRPr="003203A1" w:rsidRDefault="00520333" w:rsidP="005E5E0C">
            <w:pPr>
              <w:spacing w:after="0"/>
              <w:jc w:val="right"/>
              <w:rPr>
                <w:rFonts w:cs="Arial"/>
                <w:b/>
                <w:bCs/>
                <w:sz w:val="18"/>
                <w:szCs w:val="18"/>
              </w:rPr>
            </w:pPr>
            <w:r w:rsidRPr="003203A1">
              <w:rPr>
                <w:rFonts w:cs="Arial"/>
                <w:b/>
                <w:bCs/>
                <w:sz w:val="18"/>
                <w:szCs w:val="18"/>
              </w:rPr>
              <w:t>5,201</w:t>
            </w:r>
          </w:p>
        </w:tc>
        <w:tc>
          <w:tcPr>
            <w:tcW w:w="236" w:type="dxa"/>
            <w:tcBorders>
              <w:top w:val="nil"/>
              <w:left w:val="nil"/>
              <w:bottom w:val="nil"/>
              <w:right w:val="nil"/>
            </w:tcBorders>
            <w:shd w:val="clear" w:color="FFFFFF" w:fill="FFFFFF"/>
            <w:noWrap/>
            <w:vAlign w:val="bottom"/>
            <w:hideMark/>
          </w:tcPr>
          <w:p w14:paraId="7C2BB3E6" w14:textId="77777777" w:rsidR="00520333" w:rsidRPr="003203A1" w:rsidRDefault="00520333" w:rsidP="005E5E0C">
            <w:pPr>
              <w:spacing w:after="0"/>
              <w:rPr>
                <w:rFonts w:cs="Arial"/>
                <w:sz w:val="18"/>
                <w:szCs w:val="18"/>
              </w:rPr>
            </w:pPr>
            <w:r w:rsidRPr="003203A1">
              <w:rPr>
                <w:rFonts w:cs="Arial"/>
                <w:sz w:val="18"/>
                <w:szCs w:val="18"/>
              </w:rPr>
              <w:t> </w:t>
            </w:r>
          </w:p>
        </w:tc>
        <w:tc>
          <w:tcPr>
            <w:tcW w:w="1225" w:type="dxa"/>
            <w:tcBorders>
              <w:top w:val="nil"/>
              <w:left w:val="nil"/>
              <w:bottom w:val="nil"/>
              <w:right w:val="nil"/>
            </w:tcBorders>
            <w:shd w:val="clear" w:color="FFFFFF" w:fill="FFFFFF"/>
            <w:noWrap/>
            <w:vAlign w:val="bottom"/>
            <w:hideMark/>
          </w:tcPr>
          <w:p w14:paraId="33A16AD4" w14:textId="77777777" w:rsidR="00520333" w:rsidRPr="003203A1" w:rsidRDefault="00520333" w:rsidP="005E5E0C">
            <w:pPr>
              <w:spacing w:after="0"/>
              <w:jc w:val="right"/>
              <w:rPr>
                <w:rFonts w:cs="Arial"/>
                <w:sz w:val="18"/>
                <w:szCs w:val="18"/>
              </w:rPr>
            </w:pPr>
            <w:r w:rsidRPr="003203A1">
              <w:rPr>
                <w:rFonts w:cs="Arial"/>
                <w:sz w:val="18"/>
                <w:szCs w:val="18"/>
              </w:rPr>
              <w:t>5,981</w:t>
            </w:r>
          </w:p>
        </w:tc>
      </w:tr>
      <w:tr w:rsidR="00520333" w:rsidRPr="003203A1" w14:paraId="4536A303" w14:textId="77777777" w:rsidTr="005E5E0C">
        <w:trPr>
          <w:trHeight w:val="250"/>
        </w:trPr>
        <w:tc>
          <w:tcPr>
            <w:tcW w:w="6366" w:type="dxa"/>
            <w:tcBorders>
              <w:top w:val="nil"/>
              <w:left w:val="nil"/>
              <w:bottom w:val="nil"/>
              <w:right w:val="nil"/>
            </w:tcBorders>
            <w:shd w:val="clear" w:color="FFFFFF" w:fill="FFFFFF"/>
            <w:noWrap/>
            <w:vAlign w:val="bottom"/>
            <w:hideMark/>
          </w:tcPr>
          <w:p w14:paraId="61CD2626" w14:textId="77777777" w:rsidR="00520333" w:rsidRPr="003203A1" w:rsidRDefault="00520333" w:rsidP="005E5E0C">
            <w:pPr>
              <w:spacing w:after="0"/>
              <w:ind w:firstLineChars="100" w:firstLine="180"/>
              <w:rPr>
                <w:rFonts w:cs="Arial"/>
                <w:sz w:val="18"/>
                <w:szCs w:val="18"/>
              </w:rPr>
            </w:pPr>
            <w:r w:rsidRPr="003203A1">
              <w:rPr>
                <w:rFonts w:cs="Arial"/>
                <w:sz w:val="18"/>
                <w:szCs w:val="18"/>
              </w:rPr>
              <w:t>Comcover</w:t>
            </w:r>
          </w:p>
        </w:tc>
        <w:tc>
          <w:tcPr>
            <w:tcW w:w="1260" w:type="dxa"/>
            <w:tcBorders>
              <w:top w:val="nil"/>
              <w:left w:val="nil"/>
              <w:bottom w:val="nil"/>
              <w:right w:val="nil"/>
            </w:tcBorders>
            <w:shd w:val="clear" w:color="FFFFFF" w:fill="FFFFFF"/>
            <w:noWrap/>
            <w:vAlign w:val="bottom"/>
            <w:hideMark/>
          </w:tcPr>
          <w:p w14:paraId="163D5959" w14:textId="77777777" w:rsidR="00520333" w:rsidRPr="003203A1" w:rsidRDefault="00520333" w:rsidP="005E5E0C">
            <w:pPr>
              <w:spacing w:after="0"/>
              <w:jc w:val="right"/>
              <w:rPr>
                <w:rFonts w:cs="Arial"/>
                <w:b/>
                <w:bCs/>
                <w:sz w:val="18"/>
                <w:szCs w:val="18"/>
              </w:rPr>
            </w:pPr>
            <w:r w:rsidRPr="003203A1">
              <w:rPr>
                <w:rFonts w:cs="Arial"/>
                <w:b/>
                <w:bCs/>
                <w:sz w:val="18"/>
                <w:szCs w:val="18"/>
              </w:rPr>
              <w:t>6,296</w:t>
            </w:r>
          </w:p>
        </w:tc>
        <w:tc>
          <w:tcPr>
            <w:tcW w:w="236" w:type="dxa"/>
            <w:tcBorders>
              <w:top w:val="nil"/>
              <w:left w:val="nil"/>
              <w:bottom w:val="nil"/>
              <w:right w:val="nil"/>
            </w:tcBorders>
            <w:shd w:val="clear" w:color="FFFFFF" w:fill="FFFFFF"/>
            <w:noWrap/>
            <w:vAlign w:val="bottom"/>
            <w:hideMark/>
          </w:tcPr>
          <w:p w14:paraId="4A996121" w14:textId="77777777" w:rsidR="00520333" w:rsidRPr="003203A1" w:rsidRDefault="00520333" w:rsidP="005E5E0C">
            <w:pPr>
              <w:spacing w:after="0"/>
              <w:rPr>
                <w:rFonts w:cs="Arial"/>
                <w:sz w:val="18"/>
                <w:szCs w:val="18"/>
              </w:rPr>
            </w:pPr>
            <w:r w:rsidRPr="003203A1">
              <w:rPr>
                <w:rFonts w:cs="Arial"/>
                <w:sz w:val="18"/>
                <w:szCs w:val="18"/>
              </w:rPr>
              <w:t> </w:t>
            </w:r>
          </w:p>
        </w:tc>
        <w:tc>
          <w:tcPr>
            <w:tcW w:w="1225" w:type="dxa"/>
            <w:tcBorders>
              <w:top w:val="nil"/>
              <w:left w:val="nil"/>
              <w:bottom w:val="nil"/>
              <w:right w:val="nil"/>
            </w:tcBorders>
            <w:shd w:val="clear" w:color="FFFFFF" w:fill="FFFFFF"/>
            <w:noWrap/>
            <w:vAlign w:val="bottom"/>
            <w:hideMark/>
          </w:tcPr>
          <w:p w14:paraId="793018DC" w14:textId="77777777" w:rsidR="00520333" w:rsidRPr="003203A1" w:rsidRDefault="00520333" w:rsidP="005E5E0C">
            <w:pPr>
              <w:spacing w:after="0"/>
              <w:jc w:val="right"/>
              <w:rPr>
                <w:rFonts w:cs="Arial"/>
                <w:sz w:val="18"/>
                <w:szCs w:val="18"/>
              </w:rPr>
            </w:pPr>
            <w:r w:rsidRPr="003203A1">
              <w:rPr>
                <w:rFonts w:cs="Arial"/>
                <w:sz w:val="18"/>
                <w:szCs w:val="18"/>
              </w:rPr>
              <w:t>5,936</w:t>
            </w:r>
          </w:p>
        </w:tc>
      </w:tr>
      <w:tr w:rsidR="00520333" w:rsidRPr="003203A1" w14:paraId="722CC600" w14:textId="77777777" w:rsidTr="005E5E0C">
        <w:trPr>
          <w:trHeight w:val="250"/>
        </w:trPr>
        <w:tc>
          <w:tcPr>
            <w:tcW w:w="6366" w:type="dxa"/>
            <w:tcBorders>
              <w:top w:val="nil"/>
              <w:left w:val="nil"/>
              <w:bottom w:val="nil"/>
              <w:right w:val="nil"/>
            </w:tcBorders>
            <w:shd w:val="clear" w:color="FFFFFF" w:fill="FFFFFF"/>
            <w:noWrap/>
            <w:vAlign w:val="bottom"/>
            <w:hideMark/>
          </w:tcPr>
          <w:p w14:paraId="5C1883ED" w14:textId="77777777" w:rsidR="00520333" w:rsidRPr="003203A1" w:rsidRDefault="00520333" w:rsidP="005E5E0C">
            <w:pPr>
              <w:spacing w:after="0"/>
              <w:ind w:firstLineChars="100" w:firstLine="180"/>
              <w:rPr>
                <w:rFonts w:cs="Arial"/>
                <w:sz w:val="18"/>
                <w:szCs w:val="18"/>
              </w:rPr>
            </w:pPr>
            <w:r w:rsidRPr="003203A1">
              <w:rPr>
                <w:rFonts w:cs="Arial"/>
                <w:sz w:val="18"/>
                <w:szCs w:val="18"/>
              </w:rPr>
              <w:t>Staff welfare and training</w:t>
            </w:r>
          </w:p>
        </w:tc>
        <w:tc>
          <w:tcPr>
            <w:tcW w:w="1260" w:type="dxa"/>
            <w:tcBorders>
              <w:top w:val="nil"/>
              <w:left w:val="nil"/>
              <w:bottom w:val="nil"/>
              <w:right w:val="nil"/>
            </w:tcBorders>
            <w:shd w:val="clear" w:color="FFFFFF" w:fill="FFFFFF"/>
            <w:noWrap/>
            <w:vAlign w:val="bottom"/>
            <w:hideMark/>
          </w:tcPr>
          <w:p w14:paraId="338A1322" w14:textId="77777777" w:rsidR="00520333" w:rsidRPr="003203A1" w:rsidRDefault="00520333" w:rsidP="005E5E0C">
            <w:pPr>
              <w:spacing w:after="0"/>
              <w:jc w:val="right"/>
              <w:rPr>
                <w:rFonts w:cs="Arial"/>
                <w:b/>
                <w:bCs/>
                <w:sz w:val="18"/>
                <w:szCs w:val="18"/>
              </w:rPr>
            </w:pPr>
            <w:r w:rsidRPr="003203A1">
              <w:rPr>
                <w:rFonts w:cs="Arial"/>
                <w:b/>
                <w:bCs/>
                <w:sz w:val="18"/>
                <w:szCs w:val="18"/>
              </w:rPr>
              <w:t>7,067</w:t>
            </w:r>
          </w:p>
        </w:tc>
        <w:tc>
          <w:tcPr>
            <w:tcW w:w="236" w:type="dxa"/>
            <w:tcBorders>
              <w:top w:val="nil"/>
              <w:left w:val="nil"/>
              <w:bottom w:val="nil"/>
              <w:right w:val="nil"/>
            </w:tcBorders>
            <w:shd w:val="clear" w:color="FFFFFF" w:fill="FFFFFF"/>
            <w:noWrap/>
            <w:vAlign w:val="bottom"/>
            <w:hideMark/>
          </w:tcPr>
          <w:p w14:paraId="530CD8BD" w14:textId="77777777" w:rsidR="00520333" w:rsidRPr="003203A1" w:rsidRDefault="00520333" w:rsidP="005E5E0C">
            <w:pPr>
              <w:spacing w:after="0"/>
              <w:rPr>
                <w:rFonts w:cs="Arial"/>
                <w:sz w:val="18"/>
                <w:szCs w:val="18"/>
              </w:rPr>
            </w:pPr>
            <w:r w:rsidRPr="003203A1">
              <w:rPr>
                <w:rFonts w:cs="Arial"/>
                <w:sz w:val="18"/>
                <w:szCs w:val="18"/>
              </w:rPr>
              <w:t> </w:t>
            </w:r>
          </w:p>
        </w:tc>
        <w:tc>
          <w:tcPr>
            <w:tcW w:w="1225" w:type="dxa"/>
            <w:tcBorders>
              <w:top w:val="nil"/>
              <w:left w:val="nil"/>
              <w:bottom w:val="nil"/>
              <w:right w:val="nil"/>
            </w:tcBorders>
            <w:shd w:val="clear" w:color="FFFFFF" w:fill="FFFFFF"/>
            <w:noWrap/>
            <w:vAlign w:val="bottom"/>
            <w:hideMark/>
          </w:tcPr>
          <w:p w14:paraId="2EE3BF40" w14:textId="77777777" w:rsidR="00520333" w:rsidRPr="003203A1" w:rsidRDefault="00520333" w:rsidP="005E5E0C">
            <w:pPr>
              <w:spacing w:after="0"/>
              <w:jc w:val="right"/>
              <w:rPr>
                <w:rFonts w:cs="Arial"/>
                <w:sz w:val="18"/>
                <w:szCs w:val="18"/>
              </w:rPr>
            </w:pPr>
            <w:r w:rsidRPr="003203A1">
              <w:rPr>
                <w:rFonts w:cs="Arial"/>
                <w:sz w:val="18"/>
                <w:szCs w:val="18"/>
              </w:rPr>
              <w:t>5,392</w:t>
            </w:r>
          </w:p>
        </w:tc>
      </w:tr>
      <w:tr w:rsidR="00520333" w:rsidRPr="003203A1" w14:paraId="56BEB04B" w14:textId="77777777" w:rsidTr="005E5E0C">
        <w:trPr>
          <w:trHeight w:val="250"/>
        </w:trPr>
        <w:tc>
          <w:tcPr>
            <w:tcW w:w="6366" w:type="dxa"/>
            <w:tcBorders>
              <w:top w:val="nil"/>
              <w:left w:val="nil"/>
              <w:bottom w:val="nil"/>
              <w:right w:val="nil"/>
            </w:tcBorders>
            <w:shd w:val="clear" w:color="FFFFFF" w:fill="FFFFFF"/>
            <w:noWrap/>
            <w:vAlign w:val="bottom"/>
            <w:hideMark/>
          </w:tcPr>
          <w:p w14:paraId="3AB4E057" w14:textId="77777777" w:rsidR="00520333" w:rsidRPr="003203A1" w:rsidRDefault="00520333" w:rsidP="005E5E0C">
            <w:pPr>
              <w:spacing w:after="0"/>
              <w:ind w:firstLineChars="100" w:firstLine="180"/>
              <w:rPr>
                <w:rFonts w:cs="Arial"/>
                <w:sz w:val="18"/>
                <w:szCs w:val="18"/>
              </w:rPr>
            </w:pPr>
            <w:r w:rsidRPr="003203A1">
              <w:rPr>
                <w:rFonts w:cs="Arial"/>
                <w:sz w:val="18"/>
                <w:szCs w:val="18"/>
              </w:rPr>
              <w:t>Market research</w:t>
            </w:r>
          </w:p>
        </w:tc>
        <w:tc>
          <w:tcPr>
            <w:tcW w:w="1260" w:type="dxa"/>
            <w:tcBorders>
              <w:top w:val="nil"/>
              <w:left w:val="nil"/>
              <w:bottom w:val="nil"/>
              <w:right w:val="nil"/>
            </w:tcBorders>
            <w:shd w:val="clear" w:color="FFFFFF" w:fill="FFFFFF"/>
            <w:noWrap/>
            <w:vAlign w:val="bottom"/>
            <w:hideMark/>
          </w:tcPr>
          <w:p w14:paraId="480F4AA3" w14:textId="77777777" w:rsidR="00520333" w:rsidRPr="003203A1" w:rsidRDefault="00520333" w:rsidP="005E5E0C">
            <w:pPr>
              <w:spacing w:after="0"/>
              <w:jc w:val="right"/>
              <w:rPr>
                <w:rFonts w:cs="Arial"/>
                <w:b/>
                <w:bCs/>
                <w:sz w:val="18"/>
                <w:szCs w:val="18"/>
              </w:rPr>
            </w:pPr>
            <w:r w:rsidRPr="003203A1">
              <w:rPr>
                <w:rFonts w:cs="Arial"/>
                <w:b/>
                <w:bCs/>
                <w:sz w:val="18"/>
                <w:szCs w:val="18"/>
              </w:rPr>
              <w:t>3,724</w:t>
            </w:r>
          </w:p>
        </w:tc>
        <w:tc>
          <w:tcPr>
            <w:tcW w:w="236" w:type="dxa"/>
            <w:tcBorders>
              <w:top w:val="nil"/>
              <w:left w:val="nil"/>
              <w:bottom w:val="nil"/>
              <w:right w:val="nil"/>
            </w:tcBorders>
            <w:shd w:val="clear" w:color="FFFFFF" w:fill="FFFFFF"/>
            <w:noWrap/>
            <w:vAlign w:val="bottom"/>
            <w:hideMark/>
          </w:tcPr>
          <w:p w14:paraId="0DAF31AD" w14:textId="77777777" w:rsidR="00520333" w:rsidRPr="003203A1" w:rsidRDefault="00520333" w:rsidP="005E5E0C">
            <w:pPr>
              <w:spacing w:after="0"/>
              <w:rPr>
                <w:rFonts w:cs="Arial"/>
                <w:sz w:val="18"/>
                <w:szCs w:val="18"/>
              </w:rPr>
            </w:pPr>
            <w:r w:rsidRPr="003203A1">
              <w:rPr>
                <w:rFonts w:cs="Arial"/>
                <w:sz w:val="18"/>
                <w:szCs w:val="18"/>
              </w:rPr>
              <w:t> </w:t>
            </w:r>
          </w:p>
        </w:tc>
        <w:tc>
          <w:tcPr>
            <w:tcW w:w="1225" w:type="dxa"/>
            <w:tcBorders>
              <w:top w:val="nil"/>
              <w:left w:val="nil"/>
              <w:bottom w:val="nil"/>
              <w:right w:val="nil"/>
            </w:tcBorders>
            <w:shd w:val="clear" w:color="FFFFFF" w:fill="FFFFFF"/>
            <w:noWrap/>
            <w:vAlign w:val="bottom"/>
            <w:hideMark/>
          </w:tcPr>
          <w:p w14:paraId="151160E3" w14:textId="77777777" w:rsidR="00520333" w:rsidRPr="003203A1" w:rsidRDefault="00520333" w:rsidP="005E5E0C">
            <w:pPr>
              <w:spacing w:after="0"/>
              <w:jc w:val="right"/>
              <w:rPr>
                <w:rFonts w:cs="Arial"/>
                <w:sz w:val="18"/>
                <w:szCs w:val="18"/>
              </w:rPr>
            </w:pPr>
            <w:r w:rsidRPr="003203A1">
              <w:rPr>
                <w:rFonts w:cs="Arial"/>
                <w:sz w:val="18"/>
                <w:szCs w:val="18"/>
              </w:rPr>
              <w:t>3,815</w:t>
            </w:r>
          </w:p>
        </w:tc>
      </w:tr>
      <w:tr w:rsidR="00520333" w:rsidRPr="003203A1" w14:paraId="60915F7E" w14:textId="77777777" w:rsidTr="005E5E0C">
        <w:trPr>
          <w:trHeight w:val="250"/>
        </w:trPr>
        <w:tc>
          <w:tcPr>
            <w:tcW w:w="6366" w:type="dxa"/>
            <w:tcBorders>
              <w:top w:val="nil"/>
              <w:left w:val="nil"/>
              <w:bottom w:val="nil"/>
              <w:right w:val="nil"/>
            </w:tcBorders>
            <w:shd w:val="clear" w:color="FFFFFF" w:fill="FFFFFF"/>
            <w:noWrap/>
            <w:vAlign w:val="bottom"/>
            <w:hideMark/>
          </w:tcPr>
          <w:p w14:paraId="6C7E0030" w14:textId="77777777" w:rsidR="00520333" w:rsidRPr="003203A1" w:rsidRDefault="00520333" w:rsidP="005E5E0C">
            <w:pPr>
              <w:spacing w:after="0"/>
              <w:ind w:firstLineChars="100" w:firstLine="180"/>
              <w:rPr>
                <w:rFonts w:cs="Arial"/>
                <w:sz w:val="18"/>
                <w:szCs w:val="18"/>
              </w:rPr>
            </w:pPr>
            <w:r w:rsidRPr="003203A1">
              <w:rPr>
                <w:rFonts w:cs="Arial"/>
                <w:sz w:val="18"/>
                <w:szCs w:val="18"/>
              </w:rPr>
              <w:t>Staff recruitment and relocation</w:t>
            </w:r>
          </w:p>
        </w:tc>
        <w:tc>
          <w:tcPr>
            <w:tcW w:w="1260" w:type="dxa"/>
            <w:tcBorders>
              <w:top w:val="nil"/>
              <w:left w:val="nil"/>
              <w:bottom w:val="nil"/>
              <w:right w:val="nil"/>
            </w:tcBorders>
            <w:shd w:val="clear" w:color="FFFFFF" w:fill="FFFFFF"/>
            <w:noWrap/>
            <w:vAlign w:val="bottom"/>
            <w:hideMark/>
          </w:tcPr>
          <w:p w14:paraId="38DA3490" w14:textId="77777777" w:rsidR="00520333" w:rsidRPr="003203A1" w:rsidRDefault="00520333" w:rsidP="005E5E0C">
            <w:pPr>
              <w:spacing w:after="0"/>
              <w:jc w:val="right"/>
              <w:rPr>
                <w:rFonts w:cs="Arial"/>
                <w:b/>
                <w:bCs/>
                <w:sz w:val="18"/>
                <w:szCs w:val="18"/>
              </w:rPr>
            </w:pPr>
            <w:r w:rsidRPr="003203A1">
              <w:rPr>
                <w:rFonts w:cs="Arial"/>
                <w:b/>
                <w:bCs/>
                <w:sz w:val="18"/>
                <w:szCs w:val="18"/>
              </w:rPr>
              <w:t>3,959</w:t>
            </w:r>
          </w:p>
        </w:tc>
        <w:tc>
          <w:tcPr>
            <w:tcW w:w="236" w:type="dxa"/>
            <w:tcBorders>
              <w:top w:val="nil"/>
              <w:left w:val="nil"/>
              <w:bottom w:val="nil"/>
              <w:right w:val="nil"/>
            </w:tcBorders>
            <w:shd w:val="clear" w:color="FFFFFF" w:fill="FFFFFF"/>
            <w:noWrap/>
            <w:vAlign w:val="bottom"/>
            <w:hideMark/>
          </w:tcPr>
          <w:p w14:paraId="261F4D5C" w14:textId="77777777" w:rsidR="00520333" w:rsidRPr="003203A1" w:rsidRDefault="00520333" w:rsidP="005E5E0C">
            <w:pPr>
              <w:spacing w:after="0"/>
              <w:rPr>
                <w:rFonts w:cs="Arial"/>
                <w:sz w:val="18"/>
                <w:szCs w:val="18"/>
              </w:rPr>
            </w:pPr>
            <w:r w:rsidRPr="003203A1">
              <w:rPr>
                <w:rFonts w:cs="Arial"/>
                <w:sz w:val="18"/>
                <w:szCs w:val="18"/>
              </w:rPr>
              <w:t> </w:t>
            </w:r>
          </w:p>
        </w:tc>
        <w:tc>
          <w:tcPr>
            <w:tcW w:w="1225" w:type="dxa"/>
            <w:tcBorders>
              <w:top w:val="nil"/>
              <w:left w:val="nil"/>
              <w:bottom w:val="nil"/>
              <w:right w:val="nil"/>
            </w:tcBorders>
            <w:shd w:val="clear" w:color="FFFFFF" w:fill="FFFFFF"/>
            <w:noWrap/>
            <w:vAlign w:val="bottom"/>
            <w:hideMark/>
          </w:tcPr>
          <w:p w14:paraId="19E77C1F" w14:textId="77777777" w:rsidR="00520333" w:rsidRPr="003203A1" w:rsidRDefault="00520333" w:rsidP="005E5E0C">
            <w:pPr>
              <w:spacing w:after="0"/>
              <w:jc w:val="right"/>
              <w:rPr>
                <w:rFonts w:cs="Arial"/>
                <w:sz w:val="18"/>
                <w:szCs w:val="18"/>
              </w:rPr>
            </w:pPr>
            <w:r w:rsidRPr="003203A1">
              <w:rPr>
                <w:rFonts w:cs="Arial"/>
                <w:sz w:val="18"/>
                <w:szCs w:val="18"/>
              </w:rPr>
              <w:t>3,121</w:t>
            </w:r>
          </w:p>
        </w:tc>
      </w:tr>
      <w:tr w:rsidR="00520333" w:rsidRPr="003203A1" w14:paraId="3370B887" w14:textId="77777777" w:rsidTr="005E5E0C">
        <w:trPr>
          <w:trHeight w:val="250"/>
        </w:trPr>
        <w:tc>
          <w:tcPr>
            <w:tcW w:w="6366" w:type="dxa"/>
            <w:tcBorders>
              <w:top w:val="nil"/>
              <w:left w:val="nil"/>
              <w:bottom w:val="nil"/>
              <w:right w:val="nil"/>
            </w:tcBorders>
            <w:shd w:val="clear" w:color="FFFFFF" w:fill="FFFFFF"/>
            <w:noWrap/>
            <w:vAlign w:val="bottom"/>
            <w:hideMark/>
          </w:tcPr>
          <w:p w14:paraId="44094163" w14:textId="77777777" w:rsidR="00520333" w:rsidRPr="003203A1" w:rsidRDefault="00520333" w:rsidP="005E5E0C">
            <w:pPr>
              <w:spacing w:after="0"/>
              <w:ind w:firstLineChars="100" w:firstLine="180"/>
              <w:rPr>
                <w:rFonts w:cs="Arial"/>
                <w:sz w:val="18"/>
                <w:szCs w:val="18"/>
              </w:rPr>
            </w:pPr>
            <w:r w:rsidRPr="003203A1">
              <w:rPr>
                <w:rFonts w:cs="Arial"/>
                <w:sz w:val="18"/>
                <w:szCs w:val="18"/>
              </w:rPr>
              <w:t>Translator and interpreter services</w:t>
            </w:r>
          </w:p>
        </w:tc>
        <w:tc>
          <w:tcPr>
            <w:tcW w:w="1260" w:type="dxa"/>
            <w:tcBorders>
              <w:top w:val="nil"/>
              <w:left w:val="nil"/>
              <w:bottom w:val="nil"/>
              <w:right w:val="nil"/>
            </w:tcBorders>
            <w:shd w:val="clear" w:color="FFFFFF" w:fill="FFFFFF"/>
            <w:noWrap/>
            <w:vAlign w:val="bottom"/>
            <w:hideMark/>
          </w:tcPr>
          <w:p w14:paraId="321E39EC" w14:textId="77777777" w:rsidR="00520333" w:rsidRPr="003203A1" w:rsidRDefault="00520333" w:rsidP="005E5E0C">
            <w:pPr>
              <w:spacing w:after="0"/>
              <w:jc w:val="right"/>
              <w:rPr>
                <w:rFonts w:cs="Arial"/>
                <w:b/>
                <w:bCs/>
                <w:sz w:val="18"/>
                <w:szCs w:val="18"/>
              </w:rPr>
            </w:pPr>
            <w:r w:rsidRPr="003203A1">
              <w:rPr>
                <w:rFonts w:cs="Arial"/>
                <w:b/>
                <w:bCs/>
                <w:sz w:val="18"/>
                <w:szCs w:val="18"/>
              </w:rPr>
              <w:t>2,371</w:t>
            </w:r>
          </w:p>
        </w:tc>
        <w:tc>
          <w:tcPr>
            <w:tcW w:w="236" w:type="dxa"/>
            <w:tcBorders>
              <w:top w:val="nil"/>
              <w:left w:val="nil"/>
              <w:bottom w:val="nil"/>
              <w:right w:val="nil"/>
            </w:tcBorders>
            <w:shd w:val="clear" w:color="FFFFFF" w:fill="FFFFFF"/>
            <w:noWrap/>
            <w:vAlign w:val="bottom"/>
            <w:hideMark/>
          </w:tcPr>
          <w:p w14:paraId="4CA0ED19" w14:textId="77777777" w:rsidR="00520333" w:rsidRPr="003203A1" w:rsidRDefault="00520333" w:rsidP="005E5E0C">
            <w:pPr>
              <w:spacing w:after="0"/>
              <w:rPr>
                <w:rFonts w:cs="Arial"/>
                <w:sz w:val="18"/>
                <w:szCs w:val="18"/>
              </w:rPr>
            </w:pPr>
            <w:r w:rsidRPr="003203A1">
              <w:rPr>
                <w:rFonts w:cs="Arial"/>
                <w:sz w:val="18"/>
                <w:szCs w:val="18"/>
              </w:rPr>
              <w:t> </w:t>
            </w:r>
          </w:p>
        </w:tc>
        <w:tc>
          <w:tcPr>
            <w:tcW w:w="1225" w:type="dxa"/>
            <w:tcBorders>
              <w:top w:val="nil"/>
              <w:left w:val="nil"/>
              <w:bottom w:val="nil"/>
              <w:right w:val="nil"/>
            </w:tcBorders>
            <w:shd w:val="clear" w:color="FFFFFF" w:fill="FFFFFF"/>
            <w:noWrap/>
            <w:vAlign w:val="bottom"/>
            <w:hideMark/>
          </w:tcPr>
          <w:p w14:paraId="54B4B42B" w14:textId="77777777" w:rsidR="00520333" w:rsidRPr="003203A1" w:rsidRDefault="00520333" w:rsidP="005E5E0C">
            <w:pPr>
              <w:spacing w:after="0"/>
              <w:jc w:val="right"/>
              <w:rPr>
                <w:rFonts w:cs="Arial"/>
                <w:sz w:val="18"/>
                <w:szCs w:val="18"/>
              </w:rPr>
            </w:pPr>
            <w:r w:rsidRPr="003203A1">
              <w:rPr>
                <w:rFonts w:cs="Arial"/>
                <w:sz w:val="18"/>
                <w:szCs w:val="18"/>
              </w:rPr>
              <w:t>1,705</w:t>
            </w:r>
          </w:p>
        </w:tc>
      </w:tr>
      <w:tr w:rsidR="00520333" w:rsidRPr="003203A1" w14:paraId="2E12ACED" w14:textId="77777777" w:rsidTr="005E5E0C">
        <w:trPr>
          <w:trHeight w:val="250"/>
        </w:trPr>
        <w:tc>
          <w:tcPr>
            <w:tcW w:w="6366" w:type="dxa"/>
            <w:tcBorders>
              <w:top w:val="nil"/>
              <w:left w:val="nil"/>
              <w:bottom w:val="nil"/>
              <w:right w:val="nil"/>
            </w:tcBorders>
            <w:shd w:val="clear" w:color="FFFFFF" w:fill="FFFFFF"/>
            <w:noWrap/>
            <w:vAlign w:val="bottom"/>
            <w:hideMark/>
          </w:tcPr>
          <w:p w14:paraId="0663E3E5" w14:textId="77777777" w:rsidR="00520333" w:rsidRPr="003203A1" w:rsidRDefault="00520333" w:rsidP="005E5E0C">
            <w:pPr>
              <w:spacing w:after="0"/>
              <w:ind w:firstLineChars="100" w:firstLine="180"/>
              <w:rPr>
                <w:rFonts w:cs="Arial"/>
                <w:sz w:val="18"/>
                <w:szCs w:val="18"/>
              </w:rPr>
            </w:pPr>
            <w:r w:rsidRPr="003203A1">
              <w:rPr>
                <w:rFonts w:cs="Arial"/>
                <w:sz w:val="18"/>
                <w:szCs w:val="18"/>
              </w:rPr>
              <w:t>Repairs and maintenance</w:t>
            </w:r>
          </w:p>
        </w:tc>
        <w:tc>
          <w:tcPr>
            <w:tcW w:w="1260" w:type="dxa"/>
            <w:tcBorders>
              <w:top w:val="nil"/>
              <w:left w:val="nil"/>
              <w:bottom w:val="nil"/>
              <w:right w:val="nil"/>
            </w:tcBorders>
            <w:shd w:val="clear" w:color="FFFFFF" w:fill="FFFFFF"/>
            <w:noWrap/>
            <w:vAlign w:val="bottom"/>
            <w:hideMark/>
          </w:tcPr>
          <w:p w14:paraId="412A7B4B" w14:textId="77777777" w:rsidR="00520333" w:rsidRPr="003203A1" w:rsidRDefault="00520333" w:rsidP="005E5E0C">
            <w:pPr>
              <w:spacing w:after="0"/>
              <w:jc w:val="right"/>
              <w:rPr>
                <w:rFonts w:cs="Arial"/>
                <w:b/>
                <w:bCs/>
                <w:sz w:val="18"/>
                <w:szCs w:val="18"/>
              </w:rPr>
            </w:pPr>
            <w:r w:rsidRPr="003203A1">
              <w:rPr>
                <w:rFonts w:cs="Arial"/>
                <w:b/>
                <w:bCs/>
                <w:sz w:val="18"/>
                <w:szCs w:val="18"/>
              </w:rPr>
              <w:t>732</w:t>
            </w:r>
          </w:p>
        </w:tc>
        <w:tc>
          <w:tcPr>
            <w:tcW w:w="236" w:type="dxa"/>
            <w:tcBorders>
              <w:top w:val="nil"/>
              <w:left w:val="nil"/>
              <w:bottom w:val="nil"/>
              <w:right w:val="nil"/>
            </w:tcBorders>
            <w:shd w:val="clear" w:color="FFFFFF" w:fill="FFFFFF"/>
            <w:noWrap/>
            <w:vAlign w:val="bottom"/>
            <w:hideMark/>
          </w:tcPr>
          <w:p w14:paraId="15C8C171" w14:textId="77777777" w:rsidR="00520333" w:rsidRPr="003203A1" w:rsidRDefault="00520333" w:rsidP="005E5E0C">
            <w:pPr>
              <w:spacing w:after="0"/>
              <w:rPr>
                <w:rFonts w:cs="Arial"/>
                <w:sz w:val="18"/>
                <w:szCs w:val="18"/>
              </w:rPr>
            </w:pPr>
            <w:r w:rsidRPr="003203A1">
              <w:rPr>
                <w:rFonts w:cs="Arial"/>
                <w:sz w:val="18"/>
                <w:szCs w:val="18"/>
              </w:rPr>
              <w:t> </w:t>
            </w:r>
          </w:p>
        </w:tc>
        <w:tc>
          <w:tcPr>
            <w:tcW w:w="1225" w:type="dxa"/>
            <w:tcBorders>
              <w:top w:val="nil"/>
              <w:left w:val="nil"/>
              <w:bottom w:val="nil"/>
              <w:right w:val="nil"/>
            </w:tcBorders>
            <w:shd w:val="clear" w:color="FFFFFF" w:fill="FFFFFF"/>
            <w:noWrap/>
            <w:vAlign w:val="bottom"/>
            <w:hideMark/>
          </w:tcPr>
          <w:p w14:paraId="51B1D3AE" w14:textId="77777777" w:rsidR="00520333" w:rsidRPr="003203A1" w:rsidRDefault="00520333" w:rsidP="005E5E0C">
            <w:pPr>
              <w:spacing w:after="0"/>
              <w:jc w:val="right"/>
              <w:rPr>
                <w:rFonts w:cs="Arial"/>
                <w:sz w:val="18"/>
                <w:szCs w:val="18"/>
              </w:rPr>
            </w:pPr>
            <w:r w:rsidRPr="003203A1">
              <w:rPr>
                <w:rFonts w:cs="Arial"/>
                <w:sz w:val="18"/>
                <w:szCs w:val="18"/>
              </w:rPr>
              <w:t>781</w:t>
            </w:r>
          </w:p>
        </w:tc>
      </w:tr>
      <w:tr w:rsidR="00520333" w:rsidRPr="003203A1" w14:paraId="7BBD55FA" w14:textId="77777777" w:rsidTr="005E5E0C">
        <w:trPr>
          <w:trHeight w:val="250"/>
        </w:trPr>
        <w:tc>
          <w:tcPr>
            <w:tcW w:w="6366" w:type="dxa"/>
            <w:tcBorders>
              <w:top w:val="nil"/>
              <w:left w:val="nil"/>
              <w:bottom w:val="nil"/>
              <w:right w:val="nil"/>
            </w:tcBorders>
            <w:shd w:val="clear" w:color="FFFFFF" w:fill="FFFFFF"/>
            <w:noWrap/>
            <w:vAlign w:val="bottom"/>
            <w:hideMark/>
          </w:tcPr>
          <w:p w14:paraId="1D80DD76" w14:textId="77777777" w:rsidR="00520333" w:rsidRPr="003203A1" w:rsidRDefault="00520333" w:rsidP="005E5E0C">
            <w:pPr>
              <w:spacing w:after="0"/>
              <w:ind w:firstLineChars="100" w:firstLine="180"/>
              <w:rPr>
                <w:rFonts w:cs="Arial"/>
                <w:sz w:val="18"/>
                <w:szCs w:val="18"/>
              </w:rPr>
            </w:pPr>
            <w:r w:rsidRPr="003203A1">
              <w:rPr>
                <w:rFonts w:cs="Arial"/>
                <w:sz w:val="18"/>
                <w:szCs w:val="18"/>
              </w:rPr>
              <w:t>Audit fees</w:t>
            </w:r>
          </w:p>
        </w:tc>
        <w:tc>
          <w:tcPr>
            <w:tcW w:w="1260" w:type="dxa"/>
            <w:tcBorders>
              <w:top w:val="nil"/>
              <w:left w:val="nil"/>
              <w:bottom w:val="nil"/>
              <w:right w:val="nil"/>
            </w:tcBorders>
            <w:shd w:val="clear" w:color="FFFFFF" w:fill="FFFFFF"/>
            <w:noWrap/>
            <w:vAlign w:val="bottom"/>
            <w:hideMark/>
          </w:tcPr>
          <w:p w14:paraId="73BCB7C7" w14:textId="77777777" w:rsidR="00520333" w:rsidRPr="003203A1" w:rsidRDefault="00520333" w:rsidP="005E5E0C">
            <w:pPr>
              <w:spacing w:after="0"/>
              <w:jc w:val="right"/>
              <w:rPr>
                <w:rFonts w:cs="Arial"/>
                <w:b/>
                <w:bCs/>
                <w:sz w:val="18"/>
                <w:szCs w:val="18"/>
              </w:rPr>
            </w:pPr>
            <w:r w:rsidRPr="003203A1">
              <w:rPr>
                <w:rFonts w:cs="Arial"/>
                <w:b/>
                <w:bCs/>
                <w:sz w:val="18"/>
                <w:szCs w:val="18"/>
              </w:rPr>
              <w:t>762</w:t>
            </w:r>
          </w:p>
        </w:tc>
        <w:tc>
          <w:tcPr>
            <w:tcW w:w="236" w:type="dxa"/>
            <w:tcBorders>
              <w:top w:val="nil"/>
              <w:left w:val="nil"/>
              <w:bottom w:val="nil"/>
              <w:right w:val="nil"/>
            </w:tcBorders>
            <w:shd w:val="clear" w:color="FFFFFF" w:fill="FFFFFF"/>
            <w:noWrap/>
            <w:vAlign w:val="bottom"/>
            <w:hideMark/>
          </w:tcPr>
          <w:p w14:paraId="29E34B2D" w14:textId="77777777" w:rsidR="00520333" w:rsidRPr="003203A1" w:rsidRDefault="00520333" w:rsidP="005E5E0C">
            <w:pPr>
              <w:spacing w:after="0"/>
              <w:rPr>
                <w:rFonts w:cs="Arial"/>
                <w:sz w:val="18"/>
                <w:szCs w:val="18"/>
              </w:rPr>
            </w:pPr>
            <w:r w:rsidRPr="003203A1">
              <w:rPr>
                <w:rFonts w:cs="Arial"/>
                <w:sz w:val="18"/>
                <w:szCs w:val="18"/>
              </w:rPr>
              <w:t> </w:t>
            </w:r>
          </w:p>
        </w:tc>
        <w:tc>
          <w:tcPr>
            <w:tcW w:w="1225" w:type="dxa"/>
            <w:tcBorders>
              <w:top w:val="nil"/>
              <w:left w:val="nil"/>
              <w:bottom w:val="nil"/>
              <w:right w:val="nil"/>
            </w:tcBorders>
            <w:shd w:val="clear" w:color="FFFFFF" w:fill="FFFFFF"/>
            <w:noWrap/>
            <w:vAlign w:val="bottom"/>
            <w:hideMark/>
          </w:tcPr>
          <w:p w14:paraId="0FC7B6D2" w14:textId="77777777" w:rsidR="00520333" w:rsidRPr="003203A1" w:rsidRDefault="00520333" w:rsidP="005E5E0C">
            <w:pPr>
              <w:spacing w:after="0"/>
              <w:jc w:val="right"/>
              <w:rPr>
                <w:rFonts w:cs="Arial"/>
                <w:sz w:val="18"/>
                <w:szCs w:val="18"/>
              </w:rPr>
            </w:pPr>
            <w:r w:rsidRPr="003203A1">
              <w:rPr>
                <w:rFonts w:cs="Arial"/>
                <w:sz w:val="18"/>
                <w:szCs w:val="18"/>
              </w:rPr>
              <w:t>680</w:t>
            </w:r>
          </w:p>
        </w:tc>
      </w:tr>
      <w:tr w:rsidR="00520333" w:rsidRPr="003203A1" w14:paraId="71661968" w14:textId="77777777" w:rsidTr="005E5E0C">
        <w:trPr>
          <w:trHeight w:val="250"/>
        </w:trPr>
        <w:tc>
          <w:tcPr>
            <w:tcW w:w="6366" w:type="dxa"/>
            <w:tcBorders>
              <w:top w:val="nil"/>
              <w:left w:val="nil"/>
              <w:bottom w:val="nil"/>
              <w:right w:val="nil"/>
            </w:tcBorders>
            <w:shd w:val="clear" w:color="FFFFFF" w:fill="FFFFFF"/>
            <w:vAlign w:val="bottom"/>
            <w:hideMark/>
          </w:tcPr>
          <w:p w14:paraId="299840CC" w14:textId="77777777" w:rsidR="00520333" w:rsidRPr="003203A1" w:rsidRDefault="00520333" w:rsidP="005E5E0C">
            <w:pPr>
              <w:spacing w:after="0"/>
              <w:rPr>
                <w:rFonts w:cs="Arial"/>
                <w:b/>
                <w:bCs/>
                <w:sz w:val="18"/>
                <w:szCs w:val="18"/>
              </w:rPr>
            </w:pPr>
            <w:r w:rsidRPr="003203A1">
              <w:rPr>
                <w:rFonts w:cs="Arial"/>
                <w:b/>
                <w:bCs/>
                <w:sz w:val="18"/>
                <w:szCs w:val="18"/>
              </w:rPr>
              <w:t>Total services rendered</w:t>
            </w:r>
          </w:p>
        </w:tc>
        <w:tc>
          <w:tcPr>
            <w:tcW w:w="1260" w:type="dxa"/>
            <w:tcBorders>
              <w:top w:val="single" w:sz="4" w:space="0" w:color="auto"/>
              <w:left w:val="nil"/>
              <w:bottom w:val="single" w:sz="4" w:space="0" w:color="auto"/>
              <w:right w:val="nil"/>
            </w:tcBorders>
            <w:shd w:val="clear" w:color="FFFFFF" w:fill="FFFFFF"/>
            <w:noWrap/>
            <w:vAlign w:val="bottom"/>
            <w:hideMark/>
          </w:tcPr>
          <w:p w14:paraId="50FA9804" w14:textId="77777777" w:rsidR="00520333" w:rsidRPr="003203A1" w:rsidRDefault="00520333" w:rsidP="005E5E0C">
            <w:pPr>
              <w:spacing w:after="0"/>
              <w:jc w:val="right"/>
              <w:rPr>
                <w:rFonts w:cs="Arial"/>
                <w:b/>
                <w:bCs/>
                <w:sz w:val="18"/>
                <w:szCs w:val="18"/>
              </w:rPr>
            </w:pPr>
            <w:r w:rsidRPr="003203A1">
              <w:rPr>
                <w:rFonts w:cs="Arial"/>
                <w:b/>
                <w:bCs/>
                <w:sz w:val="18"/>
                <w:szCs w:val="18"/>
              </w:rPr>
              <w:t>641,870</w:t>
            </w:r>
          </w:p>
        </w:tc>
        <w:tc>
          <w:tcPr>
            <w:tcW w:w="236" w:type="dxa"/>
            <w:tcBorders>
              <w:top w:val="nil"/>
              <w:left w:val="nil"/>
              <w:bottom w:val="nil"/>
              <w:right w:val="nil"/>
            </w:tcBorders>
            <w:shd w:val="clear" w:color="FFFFFF" w:fill="FFFFFF"/>
            <w:noWrap/>
            <w:vAlign w:val="bottom"/>
            <w:hideMark/>
          </w:tcPr>
          <w:p w14:paraId="38A6BD5A" w14:textId="77777777" w:rsidR="00520333" w:rsidRPr="003203A1" w:rsidRDefault="00520333" w:rsidP="005E5E0C">
            <w:pPr>
              <w:spacing w:after="0"/>
              <w:rPr>
                <w:rFonts w:cs="Arial"/>
                <w:sz w:val="18"/>
                <w:szCs w:val="18"/>
              </w:rPr>
            </w:pPr>
            <w:r w:rsidRPr="003203A1">
              <w:rPr>
                <w:rFonts w:cs="Arial"/>
                <w:sz w:val="18"/>
                <w:szCs w:val="18"/>
              </w:rPr>
              <w:t> </w:t>
            </w:r>
          </w:p>
        </w:tc>
        <w:tc>
          <w:tcPr>
            <w:tcW w:w="1225" w:type="dxa"/>
            <w:tcBorders>
              <w:top w:val="single" w:sz="4" w:space="0" w:color="auto"/>
              <w:left w:val="nil"/>
              <w:bottom w:val="single" w:sz="4" w:space="0" w:color="auto"/>
              <w:right w:val="nil"/>
            </w:tcBorders>
            <w:shd w:val="clear" w:color="FFFFFF" w:fill="FFFFFF"/>
            <w:noWrap/>
            <w:vAlign w:val="bottom"/>
            <w:hideMark/>
          </w:tcPr>
          <w:p w14:paraId="6FBAEEBF" w14:textId="77777777" w:rsidR="00520333" w:rsidRPr="003203A1" w:rsidRDefault="00520333" w:rsidP="005E5E0C">
            <w:pPr>
              <w:spacing w:after="0"/>
              <w:jc w:val="right"/>
              <w:rPr>
                <w:rFonts w:cs="Arial"/>
                <w:sz w:val="18"/>
                <w:szCs w:val="18"/>
              </w:rPr>
            </w:pPr>
            <w:r w:rsidRPr="003203A1">
              <w:rPr>
                <w:rFonts w:cs="Arial"/>
                <w:sz w:val="18"/>
                <w:szCs w:val="18"/>
              </w:rPr>
              <w:t>594,142</w:t>
            </w:r>
          </w:p>
        </w:tc>
      </w:tr>
      <w:tr w:rsidR="00520333" w:rsidRPr="003203A1" w14:paraId="3F8E92DC" w14:textId="77777777" w:rsidTr="005E5E0C">
        <w:trPr>
          <w:trHeight w:val="210"/>
        </w:trPr>
        <w:tc>
          <w:tcPr>
            <w:tcW w:w="6366" w:type="dxa"/>
            <w:tcBorders>
              <w:top w:val="nil"/>
              <w:left w:val="nil"/>
              <w:bottom w:val="nil"/>
              <w:right w:val="nil"/>
            </w:tcBorders>
            <w:shd w:val="clear" w:color="FFFFFF" w:fill="FFFFFF"/>
            <w:vAlign w:val="bottom"/>
            <w:hideMark/>
          </w:tcPr>
          <w:p w14:paraId="74E9AD14" w14:textId="77777777" w:rsidR="00520333" w:rsidRPr="003203A1" w:rsidRDefault="00520333" w:rsidP="005E5E0C">
            <w:pPr>
              <w:spacing w:after="0"/>
              <w:rPr>
                <w:rFonts w:cs="Arial"/>
                <w:b/>
                <w:bCs/>
                <w:sz w:val="18"/>
                <w:szCs w:val="18"/>
              </w:rPr>
            </w:pPr>
            <w:r w:rsidRPr="003203A1">
              <w:rPr>
                <w:rFonts w:cs="Arial"/>
                <w:b/>
                <w:bCs/>
                <w:sz w:val="18"/>
                <w:szCs w:val="18"/>
              </w:rPr>
              <w:t> </w:t>
            </w:r>
          </w:p>
        </w:tc>
        <w:tc>
          <w:tcPr>
            <w:tcW w:w="1260" w:type="dxa"/>
            <w:tcBorders>
              <w:top w:val="nil"/>
              <w:left w:val="nil"/>
              <w:bottom w:val="nil"/>
              <w:right w:val="nil"/>
            </w:tcBorders>
            <w:shd w:val="clear" w:color="FFFFFF" w:fill="FFFFFF"/>
            <w:noWrap/>
            <w:vAlign w:val="bottom"/>
            <w:hideMark/>
          </w:tcPr>
          <w:p w14:paraId="43A1D3AC" w14:textId="77777777" w:rsidR="00520333" w:rsidRPr="003203A1" w:rsidRDefault="00520333" w:rsidP="005E5E0C">
            <w:pPr>
              <w:spacing w:after="0"/>
              <w:jc w:val="right"/>
              <w:rPr>
                <w:rFonts w:cs="Arial"/>
                <w:b/>
                <w:bCs/>
                <w:sz w:val="18"/>
                <w:szCs w:val="18"/>
              </w:rPr>
            </w:pPr>
            <w:r w:rsidRPr="003203A1">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32424D9E" w14:textId="77777777" w:rsidR="00520333" w:rsidRPr="003203A1" w:rsidRDefault="00520333" w:rsidP="005E5E0C">
            <w:pPr>
              <w:spacing w:after="0"/>
              <w:rPr>
                <w:rFonts w:cs="Arial"/>
                <w:sz w:val="18"/>
                <w:szCs w:val="18"/>
              </w:rPr>
            </w:pPr>
            <w:r w:rsidRPr="003203A1">
              <w:rPr>
                <w:rFonts w:cs="Arial"/>
                <w:sz w:val="18"/>
                <w:szCs w:val="18"/>
              </w:rPr>
              <w:t> </w:t>
            </w:r>
          </w:p>
        </w:tc>
        <w:tc>
          <w:tcPr>
            <w:tcW w:w="1225" w:type="dxa"/>
            <w:tcBorders>
              <w:top w:val="nil"/>
              <w:left w:val="nil"/>
              <w:bottom w:val="nil"/>
              <w:right w:val="nil"/>
            </w:tcBorders>
            <w:shd w:val="clear" w:color="FFFFFF" w:fill="FFFFFF"/>
            <w:noWrap/>
            <w:vAlign w:val="bottom"/>
            <w:hideMark/>
          </w:tcPr>
          <w:p w14:paraId="34A881F6" w14:textId="77777777" w:rsidR="00520333" w:rsidRPr="003203A1" w:rsidRDefault="00520333" w:rsidP="005E5E0C">
            <w:pPr>
              <w:spacing w:after="0"/>
              <w:jc w:val="right"/>
              <w:rPr>
                <w:rFonts w:cs="Arial"/>
                <w:sz w:val="18"/>
                <w:szCs w:val="18"/>
              </w:rPr>
            </w:pPr>
            <w:r w:rsidRPr="003203A1">
              <w:rPr>
                <w:rFonts w:cs="Arial"/>
                <w:sz w:val="18"/>
                <w:szCs w:val="18"/>
              </w:rPr>
              <w:t> </w:t>
            </w:r>
          </w:p>
        </w:tc>
      </w:tr>
      <w:tr w:rsidR="00520333" w:rsidRPr="003203A1" w14:paraId="030761C2" w14:textId="77777777" w:rsidTr="005E5E0C">
        <w:trPr>
          <w:trHeight w:val="250"/>
        </w:trPr>
        <w:tc>
          <w:tcPr>
            <w:tcW w:w="6366" w:type="dxa"/>
            <w:tcBorders>
              <w:top w:val="nil"/>
              <w:left w:val="nil"/>
              <w:bottom w:val="nil"/>
              <w:right w:val="nil"/>
            </w:tcBorders>
            <w:shd w:val="clear" w:color="FFFFFF" w:fill="FFFFFF"/>
            <w:vAlign w:val="bottom"/>
            <w:hideMark/>
          </w:tcPr>
          <w:p w14:paraId="5BA4C941" w14:textId="77777777" w:rsidR="00520333" w:rsidRPr="003203A1" w:rsidRDefault="00520333" w:rsidP="005E5E0C">
            <w:pPr>
              <w:spacing w:after="0"/>
              <w:rPr>
                <w:rFonts w:cs="Arial"/>
                <w:b/>
                <w:bCs/>
                <w:sz w:val="18"/>
                <w:szCs w:val="18"/>
              </w:rPr>
            </w:pPr>
            <w:r w:rsidRPr="003203A1">
              <w:rPr>
                <w:rFonts w:cs="Arial"/>
                <w:b/>
                <w:bCs/>
                <w:sz w:val="18"/>
                <w:szCs w:val="18"/>
              </w:rPr>
              <w:t>Other suppliers</w:t>
            </w:r>
          </w:p>
        </w:tc>
        <w:tc>
          <w:tcPr>
            <w:tcW w:w="1260" w:type="dxa"/>
            <w:tcBorders>
              <w:top w:val="nil"/>
              <w:left w:val="nil"/>
              <w:bottom w:val="nil"/>
              <w:right w:val="nil"/>
            </w:tcBorders>
            <w:shd w:val="clear" w:color="FFFFFF" w:fill="FFFFFF"/>
            <w:noWrap/>
            <w:vAlign w:val="bottom"/>
            <w:hideMark/>
          </w:tcPr>
          <w:p w14:paraId="5BC99974" w14:textId="77777777" w:rsidR="00520333" w:rsidRPr="003203A1" w:rsidRDefault="00520333" w:rsidP="005E5E0C">
            <w:pPr>
              <w:spacing w:after="0"/>
              <w:rPr>
                <w:rFonts w:cs="Arial"/>
                <w:sz w:val="18"/>
                <w:szCs w:val="18"/>
              </w:rPr>
            </w:pPr>
            <w:r w:rsidRPr="003203A1">
              <w:rPr>
                <w:rFonts w:cs="Arial"/>
                <w:sz w:val="18"/>
                <w:szCs w:val="18"/>
              </w:rPr>
              <w:t> </w:t>
            </w:r>
          </w:p>
        </w:tc>
        <w:tc>
          <w:tcPr>
            <w:tcW w:w="236" w:type="dxa"/>
            <w:tcBorders>
              <w:top w:val="nil"/>
              <w:left w:val="nil"/>
              <w:bottom w:val="nil"/>
              <w:right w:val="nil"/>
            </w:tcBorders>
            <w:shd w:val="clear" w:color="FFFFFF" w:fill="FFFFFF"/>
            <w:noWrap/>
            <w:vAlign w:val="bottom"/>
            <w:hideMark/>
          </w:tcPr>
          <w:p w14:paraId="6010E4FC" w14:textId="77777777" w:rsidR="00520333" w:rsidRPr="003203A1" w:rsidRDefault="00520333" w:rsidP="005E5E0C">
            <w:pPr>
              <w:spacing w:after="0"/>
              <w:rPr>
                <w:rFonts w:cs="Arial"/>
                <w:sz w:val="18"/>
                <w:szCs w:val="18"/>
              </w:rPr>
            </w:pPr>
            <w:r w:rsidRPr="003203A1">
              <w:rPr>
                <w:rFonts w:cs="Arial"/>
                <w:sz w:val="18"/>
                <w:szCs w:val="18"/>
              </w:rPr>
              <w:t> </w:t>
            </w:r>
          </w:p>
        </w:tc>
        <w:tc>
          <w:tcPr>
            <w:tcW w:w="1225" w:type="dxa"/>
            <w:tcBorders>
              <w:top w:val="nil"/>
              <w:left w:val="nil"/>
              <w:bottom w:val="nil"/>
              <w:right w:val="nil"/>
            </w:tcBorders>
            <w:shd w:val="clear" w:color="FFFFFF" w:fill="FFFFFF"/>
            <w:noWrap/>
            <w:vAlign w:val="bottom"/>
            <w:hideMark/>
          </w:tcPr>
          <w:p w14:paraId="032D7C54" w14:textId="77777777" w:rsidR="00520333" w:rsidRPr="003203A1" w:rsidRDefault="00520333" w:rsidP="005E5E0C">
            <w:pPr>
              <w:spacing w:after="0"/>
              <w:rPr>
                <w:rFonts w:cs="Arial"/>
                <w:sz w:val="18"/>
                <w:szCs w:val="18"/>
              </w:rPr>
            </w:pPr>
            <w:r w:rsidRPr="003203A1">
              <w:rPr>
                <w:rFonts w:cs="Arial"/>
                <w:sz w:val="18"/>
                <w:szCs w:val="18"/>
              </w:rPr>
              <w:t> </w:t>
            </w:r>
          </w:p>
        </w:tc>
      </w:tr>
      <w:tr w:rsidR="00520333" w:rsidRPr="003203A1" w14:paraId="5D4A56EB" w14:textId="77777777" w:rsidTr="005E5E0C">
        <w:trPr>
          <w:trHeight w:val="250"/>
        </w:trPr>
        <w:tc>
          <w:tcPr>
            <w:tcW w:w="6366" w:type="dxa"/>
            <w:tcBorders>
              <w:top w:val="nil"/>
              <w:left w:val="nil"/>
              <w:bottom w:val="nil"/>
              <w:right w:val="nil"/>
            </w:tcBorders>
            <w:shd w:val="clear" w:color="FFFFFF" w:fill="FFFFFF"/>
            <w:noWrap/>
            <w:vAlign w:val="bottom"/>
            <w:hideMark/>
          </w:tcPr>
          <w:p w14:paraId="4D3E0EA5" w14:textId="77777777" w:rsidR="00520333" w:rsidRPr="003203A1" w:rsidRDefault="00520333" w:rsidP="005E5E0C">
            <w:pPr>
              <w:spacing w:after="0"/>
              <w:ind w:firstLineChars="100" w:firstLine="180"/>
              <w:rPr>
                <w:rFonts w:cs="Arial"/>
                <w:sz w:val="18"/>
                <w:szCs w:val="18"/>
              </w:rPr>
            </w:pPr>
            <w:r w:rsidRPr="003203A1">
              <w:rPr>
                <w:rFonts w:cs="Arial"/>
                <w:sz w:val="18"/>
                <w:szCs w:val="18"/>
              </w:rPr>
              <w:t>Short-term leases</w:t>
            </w:r>
          </w:p>
        </w:tc>
        <w:tc>
          <w:tcPr>
            <w:tcW w:w="1260" w:type="dxa"/>
            <w:tcBorders>
              <w:top w:val="nil"/>
              <w:left w:val="nil"/>
              <w:bottom w:val="nil"/>
              <w:right w:val="nil"/>
            </w:tcBorders>
            <w:shd w:val="clear" w:color="FFFFFF" w:fill="FFFFFF"/>
            <w:noWrap/>
            <w:vAlign w:val="bottom"/>
            <w:hideMark/>
          </w:tcPr>
          <w:p w14:paraId="60C49F22" w14:textId="77777777" w:rsidR="00520333" w:rsidRPr="003203A1" w:rsidRDefault="00520333" w:rsidP="005E5E0C">
            <w:pPr>
              <w:spacing w:after="0"/>
              <w:jc w:val="right"/>
              <w:rPr>
                <w:rFonts w:cs="Arial"/>
                <w:b/>
                <w:bCs/>
                <w:sz w:val="18"/>
                <w:szCs w:val="18"/>
              </w:rPr>
            </w:pPr>
            <w:r w:rsidRPr="003203A1">
              <w:rPr>
                <w:rFonts w:cs="Arial"/>
                <w:b/>
                <w:bCs/>
                <w:sz w:val="18"/>
                <w:szCs w:val="18"/>
              </w:rPr>
              <w:t>1,987</w:t>
            </w:r>
          </w:p>
        </w:tc>
        <w:tc>
          <w:tcPr>
            <w:tcW w:w="236" w:type="dxa"/>
            <w:tcBorders>
              <w:top w:val="nil"/>
              <w:left w:val="nil"/>
              <w:bottom w:val="nil"/>
              <w:right w:val="nil"/>
            </w:tcBorders>
            <w:shd w:val="clear" w:color="FFFFFF" w:fill="FFFFFF"/>
            <w:noWrap/>
            <w:vAlign w:val="bottom"/>
            <w:hideMark/>
          </w:tcPr>
          <w:p w14:paraId="7219D3AF" w14:textId="77777777" w:rsidR="00520333" w:rsidRPr="003203A1" w:rsidRDefault="00520333" w:rsidP="005E5E0C">
            <w:pPr>
              <w:spacing w:after="0"/>
              <w:rPr>
                <w:rFonts w:cs="Arial"/>
                <w:sz w:val="18"/>
                <w:szCs w:val="18"/>
              </w:rPr>
            </w:pPr>
            <w:r w:rsidRPr="003203A1">
              <w:rPr>
                <w:rFonts w:cs="Arial"/>
                <w:sz w:val="18"/>
                <w:szCs w:val="18"/>
              </w:rPr>
              <w:t> </w:t>
            </w:r>
          </w:p>
        </w:tc>
        <w:tc>
          <w:tcPr>
            <w:tcW w:w="1225" w:type="dxa"/>
            <w:tcBorders>
              <w:top w:val="nil"/>
              <w:left w:val="nil"/>
              <w:bottom w:val="nil"/>
              <w:right w:val="nil"/>
            </w:tcBorders>
            <w:shd w:val="clear" w:color="FFFFFF" w:fill="FFFFFF"/>
            <w:noWrap/>
            <w:vAlign w:val="bottom"/>
            <w:hideMark/>
          </w:tcPr>
          <w:p w14:paraId="63DAD5D6" w14:textId="77777777" w:rsidR="00520333" w:rsidRPr="003203A1" w:rsidRDefault="00520333" w:rsidP="005E5E0C">
            <w:pPr>
              <w:spacing w:after="0"/>
              <w:jc w:val="right"/>
              <w:rPr>
                <w:rFonts w:cs="Arial"/>
                <w:sz w:val="18"/>
                <w:szCs w:val="18"/>
              </w:rPr>
            </w:pPr>
            <w:r w:rsidRPr="003203A1">
              <w:rPr>
                <w:rFonts w:cs="Arial"/>
                <w:sz w:val="18"/>
                <w:szCs w:val="18"/>
              </w:rPr>
              <w:t>2,016</w:t>
            </w:r>
          </w:p>
        </w:tc>
      </w:tr>
      <w:tr w:rsidR="00520333" w:rsidRPr="003203A1" w14:paraId="34CE17C7" w14:textId="77777777" w:rsidTr="005E5E0C">
        <w:trPr>
          <w:trHeight w:val="250"/>
        </w:trPr>
        <w:tc>
          <w:tcPr>
            <w:tcW w:w="6366" w:type="dxa"/>
            <w:tcBorders>
              <w:top w:val="nil"/>
              <w:left w:val="nil"/>
              <w:bottom w:val="nil"/>
              <w:right w:val="nil"/>
            </w:tcBorders>
            <w:shd w:val="clear" w:color="FFFFFF" w:fill="FFFFFF"/>
            <w:vAlign w:val="bottom"/>
            <w:hideMark/>
          </w:tcPr>
          <w:p w14:paraId="07F56FF5" w14:textId="77777777" w:rsidR="00520333" w:rsidRPr="003203A1" w:rsidRDefault="00520333" w:rsidP="005E5E0C">
            <w:pPr>
              <w:spacing w:after="0"/>
              <w:ind w:firstLineChars="100" w:firstLine="180"/>
              <w:rPr>
                <w:rFonts w:cs="Arial"/>
                <w:sz w:val="18"/>
                <w:szCs w:val="18"/>
              </w:rPr>
            </w:pPr>
            <w:r w:rsidRPr="003203A1">
              <w:rPr>
                <w:rFonts w:cs="Arial"/>
                <w:sz w:val="18"/>
                <w:szCs w:val="18"/>
              </w:rPr>
              <w:t>Workers compensation expenses</w:t>
            </w:r>
          </w:p>
        </w:tc>
        <w:tc>
          <w:tcPr>
            <w:tcW w:w="1260" w:type="dxa"/>
            <w:tcBorders>
              <w:top w:val="nil"/>
              <w:left w:val="nil"/>
              <w:bottom w:val="nil"/>
              <w:right w:val="nil"/>
            </w:tcBorders>
            <w:shd w:val="clear" w:color="FFFFFF" w:fill="FFFFFF"/>
            <w:noWrap/>
            <w:vAlign w:val="bottom"/>
            <w:hideMark/>
          </w:tcPr>
          <w:p w14:paraId="6DD4C3C5" w14:textId="77777777" w:rsidR="00520333" w:rsidRPr="003203A1" w:rsidRDefault="00520333" w:rsidP="005E5E0C">
            <w:pPr>
              <w:spacing w:after="0"/>
              <w:jc w:val="right"/>
              <w:rPr>
                <w:rFonts w:cs="Arial"/>
                <w:b/>
                <w:bCs/>
                <w:sz w:val="18"/>
                <w:szCs w:val="18"/>
              </w:rPr>
            </w:pPr>
            <w:r w:rsidRPr="003203A1">
              <w:rPr>
                <w:rFonts w:cs="Arial"/>
                <w:b/>
                <w:bCs/>
                <w:sz w:val="18"/>
                <w:szCs w:val="18"/>
              </w:rPr>
              <w:t>10,093</w:t>
            </w:r>
          </w:p>
        </w:tc>
        <w:tc>
          <w:tcPr>
            <w:tcW w:w="236" w:type="dxa"/>
            <w:tcBorders>
              <w:top w:val="nil"/>
              <w:left w:val="nil"/>
              <w:bottom w:val="nil"/>
              <w:right w:val="nil"/>
            </w:tcBorders>
            <w:shd w:val="clear" w:color="FFFFFF" w:fill="FFFFFF"/>
            <w:noWrap/>
            <w:vAlign w:val="bottom"/>
            <w:hideMark/>
          </w:tcPr>
          <w:p w14:paraId="16675E7F" w14:textId="77777777" w:rsidR="00520333" w:rsidRPr="003203A1" w:rsidRDefault="00520333" w:rsidP="005E5E0C">
            <w:pPr>
              <w:spacing w:after="0"/>
              <w:rPr>
                <w:rFonts w:cs="Arial"/>
                <w:sz w:val="18"/>
                <w:szCs w:val="18"/>
              </w:rPr>
            </w:pPr>
            <w:r w:rsidRPr="003203A1">
              <w:rPr>
                <w:rFonts w:cs="Arial"/>
                <w:sz w:val="18"/>
                <w:szCs w:val="18"/>
              </w:rPr>
              <w:t> </w:t>
            </w:r>
          </w:p>
        </w:tc>
        <w:tc>
          <w:tcPr>
            <w:tcW w:w="1225" w:type="dxa"/>
            <w:tcBorders>
              <w:top w:val="nil"/>
              <w:left w:val="nil"/>
              <w:bottom w:val="nil"/>
              <w:right w:val="nil"/>
            </w:tcBorders>
            <w:shd w:val="clear" w:color="FFFFFF" w:fill="FFFFFF"/>
            <w:noWrap/>
            <w:vAlign w:val="bottom"/>
            <w:hideMark/>
          </w:tcPr>
          <w:p w14:paraId="16A0E06B" w14:textId="77777777" w:rsidR="00520333" w:rsidRPr="003203A1" w:rsidRDefault="00520333" w:rsidP="005E5E0C">
            <w:pPr>
              <w:spacing w:after="0"/>
              <w:jc w:val="right"/>
              <w:rPr>
                <w:rFonts w:cs="Arial"/>
                <w:sz w:val="18"/>
                <w:szCs w:val="18"/>
              </w:rPr>
            </w:pPr>
            <w:r w:rsidRPr="003203A1">
              <w:rPr>
                <w:rFonts w:cs="Arial"/>
                <w:sz w:val="18"/>
                <w:szCs w:val="18"/>
              </w:rPr>
              <w:t>7,888</w:t>
            </w:r>
          </w:p>
        </w:tc>
      </w:tr>
      <w:tr w:rsidR="00520333" w:rsidRPr="003203A1" w14:paraId="3A1D9E1B" w14:textId="77777777" w:rsidTr="005E5E0C">
        <w:trPr>
          <w:trHeight w:val="250"/>
        </w:trPr>
        <w:tc>
          <w:tcPr>
            <w:tcW w:w="6366" w:type="dxa"/>
            <w:tcBorders>
              <w:top w:val="nil"/>
              <w:left w:val="nil"/>
              <w:bottom w:val="nil"/>
              <w:right w:val="nil"/>
            </w:tcBorders>
            <w:shd w:val="clear" w:color="FFFFFF" w:fill="FFFFFF"/>
            <w:vAlign w:val="bottom"/>
            <w:hideMark/>
          </w:tcPr>
          <w:p w14:paraId="6172FBE4" w14:textId="77777777" w:rsidR="00520333" w:rsidRPr="003203A1" w:rsidRDefault="00520333" w:rsidP="005E5E0C">
            <w:pPr>
              <w:spacing w:after="0"/>
              <w:rPr>
                <w:rFonts w:cs="Arial"/>
                <w:b/>
                <w:bCs/>
                <w:sz w:val="18"/>
                <w:szCs w:val="18"/>
              </w:rPr>
            </w:pPr>
            <w:r w:rsidRPr="003203A1">
              <w:rPr>
                <w:rFonts w:cs="Arial"/>
                <w:b/>
                <w:bCs/>
                <w:sz w:val="18"/>
                <w:szCs w:val="18"/>
              </w:rPr>
              <w:t>Total other suppliers</w:t>
            </w:r>
          </w:p>
        </w:tc>
        <w:tc>
          <w:tcPr>
            <w:tcW w:w="1260" w:type="dxa"/>
            <w:tcBorders>
              <w:top w:val="single" w:sz="4" w:space="0" w:color="auto"/>
              <w:left w:val="nil"/>
              <w:bottom w:val="single" w:sz="4" w:space="0" w:color="auto"/>
              <w:right w:val="nil"/>
            </w:tcBorders>
            <w:shd w:val="clear" w:color="FFFFFF" w:fill="FFFFFF"/>
            <w:noWrap/>
            <w:vAlign w:val="bottom"/>
            <w:hideMark/>
          </w:tcPr>
          <w:p w14:paraId="1336486D" w14:textId="77777777" w:rsidR="00520333" w:rsidRPr="003203A1" w:rsidRDefault="00520333" w:rsidP="005E5E0C">
            <w:pPr>
              <w:spacing w:after="0"/>
              <w:jc w:val="right"/>
              <w:rPr>
                <w:rFonts w:cs="Arial"/>
                <w:b/>
                <w:bCs/>
                <w:sz w:val="18"/>
                <w:szCs w:val="18"/>
              </w:rPr>
            </w:pPr>
            <w:r w:rsidRPr="003203A1">
              <w:rPr>
                <w:rFonts w:cs="Arial"/>
                <w:b/>
                <w:bCs/>
                <w:sz w:val="18"/>
                <w:szCs w:val="18"/>
              </w:rPr>
              <w:t>12,080</w:t>
            </w:r>
          </w:p>
        </w:tc>
        <w:tc>
          <w:tcPr>
            <w:tcW w:w="236" w:type="dxa"/>
            <w:tcBorders>
              <w:top w:val="nil"/>
              <w:left w:val="nil"/>
              <w:bottom w:val="nil"/>
              <w:right w:val="nil"/>
            </w:tcBorders>
            <w:shd w:val="clear" w:color="FFFFFF" w:fill="FFFFFF"/>
            <w:noWrap/>
            <w:vAlign w:val="bottom"/>
            <w:hideMark/>
          </w:tcPr>
          <w:p w14:paraId="248534F9" w14:textId="77777777" w:rsidR="00520333" w:rsidRPr="003203A1" w:rsidRDefault="00520333" w:rsidP="005E5E0C">
            <w:pPr>
              <w:spacing w:after="0"/>
              <w:rPr>
                <w:rFonts w:cs="Arial"/>
                <w:sz w:val="18"/>
                <w:szCs w:val="18"/>
              </w:rPr>
            </w:pPr>
            <w:r w:rsidRPr="003203A1">
              <w:rPr>
                <w:rFonts w:cs="Arial"/>
                <w:sz w:val="18"/>
                <w:szCs w:val="18"/>
              </w:rPr>
              <w:t> </w:t>
            </w:r>
          </w:p>
        </w:tc>
        <w:tc>
          <w:tcPr>
            <w:tcW w:w="1225" w:type="dxa"/>
            <w:tcBorders>
              <w:top w:val="single" w:sz="4" w:space="0" w:color="auto"/>
              <w:left w:val="nil"/>
              <w:bottom w:val="single" w:sz="4" w:space="0" w:color="auto"/>
              <w:right w:val="nil"/>
            </w:tcBorders>
            <w:shd w:val="clear" w:color="FFFFFF" w:fill="FFFFFF"/>
            <w:noWrap/>
            <w:vAlign w:val="bottom"/>
            <w:hideMark/>
          </w:tcPr>
          <w:p w14:paraId="254DF0DA" w14:textId="77777777" w:rsidR="00520333" w:rsidRPr="003203A1" w:rsidRDefault="00520333" w:rsidP="005E5E0C">
            <w:pPr>
              <w:spacing w:after="0"/>
              <w:jc w:val="right"/>
              <w:rPr>
                <w:rFonts w:cs="Arial"/>
                <w:sz w:val="18"/>
                <w:szCs w:val="18"/>
              </w:rPr>
            </w:pPr>
            <w:r w:rsidRPr="003203A1">
              <w:rPr>
                <w:rFonts w:cs="Arial"/>
                <w:sz w:val="18"/>
                <w:szCs w:val="18"/>
              </w:rPr>
              <w:t>9,904</w:t>
            </w:r>
          </w:p>
        </w:tc>
      </w:tr>
      <w:tr w:rsidR="00520333" w:rsidRPr="003203A1" w14:paraId="46B130F7" w14:textId="77777777" w:rsidTr="005E5E0C">
        <w:trPr>
          <w:trHeight w:val="250"/>
        </w:trPr>
        <w:tc>
          <w:tcPr>
            <w:tcW w:w="6366" w:type="dxa"/>
            <w:tcBorders>
              <w:top w:val="nil"/>
              <w:left w:val="nil"/>
              <w:bottom w:val="nil"/>
              <w:right w:val="nil"/>
            </w:tcBorders>
            <w:shd w:val="clear" w:color="FFFFFF" w:fill="FFFFFF"/>
            <w:vAlign w:val="bottom"/>
            <w:hideMark/>
          </w:tcPr>
          <w:p w14:paraId="1D475384" w14:textId="77777777" w:rsidR="00520333" w:rsidRPr="003203A1" w:rsidRDefault="00520333" w:rsidP="005E5E0C">
            <w:pPr>
              <w:spacing w:after="0"/>
              <w:rPr>
                <w:rFonts w:cs="Arial"/>
                <w:b/>
                <w:bCs/>
                <w:sz w:val="18"/>
                <w:szCs w:val="18"/>
              </w:rPr>
            </w:pPr>
            <w:r w:rsidRPr="003203A1">
              <w:rPr>
                <w:rFonts w:cs="Arial"/>
                <w:b/>
                <w:bCs/>
                <w:sz w:val="18"/>
                <w:szCs w:val="18"/>
              </w:rPr>
              <w:t>Total suppliers</w:t>
            </w:r>
          </w:p>
        </w:tc>
        <w:tc>
          <w:tcPr>
            <w:tcW w:w="1260" w:type="dxa"/>
            <w:tcBorders>
              <w:top w:val="nil"/>
              <w:left w:val="nil"/>
              <w:bottom w:val="single" w:sz="4" w:space="0" w:color="auto"/>
              <w:right w:val="nil"/>
            </w:tcBorders>
            <w:shd w:val="clear" w:color="FFFFFF" w:fill="FFFFFF"/>
            <w:noWrap/>
            <w:vAlign w:val="bottom"/>
            <w:hideMark/>
          </w:tcPr>
          <w:p w14:paraId="545BC365" w14:textId="77777777" w:rsidR="00520333" w:rsidRPr="003203A1" w:rsidRDefault="00520333" w:rsidP="005E5E0C">
            <w:pPr>
              <w:spacing w:after="0"/>
              <w:jc w:val="right"/>
              <w:rPr>
                <w:rFonts w:cs="Arial"/>
                <w:b/>
                <w:bCs/>
                <w:sz w:val="18"/>
                <w:szCs w:val="18"/>
              </w:rPr>
            </w:pPr>
            <w:r w:rsidRPr="003203A1">
              <w:rPr>
                <w:rFonts w:cs="Arial"/>
                <w:b/>
                <w:bCs/>
                <w:sz w:val="18"/>
                <w:szCs w:val="18"/>
              </w:rPr>
              <w:t>653,950</w:t>
            </w:r>
          </w:p>
        </w:tc>
        <w:tc>
          <w:tcPr>
            <w:tcW w:w="236" w:type="dxa"/>
            <w:tcBorders>
              <w:top w:val="nil"/>
              <w:left w:val="nil"/>
              <w:bottom w:val="nil"/>
              <w:right w:val="nil"/>
            </w:tcBorders>
            <w:shd w:val="clear" w:color="FFFFFF" w:fill="FFFFFF"/>
            <w:noWrap/>
            <w:vAlign w:val="bottom"/>
            <w:hideMark/>
          </w:tcPr>
          <w:p w14:paraId="5F63EEBA" w14:textId="77777777" w:rsidR="00520333" w:rsidRPr="003203A1" w:rsidRDefault="00520333" w:rsidP="005E5E0C">
            <w:pPr>
              <w:spacing w:after="0"/>
              <w:rPr>
                <w:rFonts w:cs="Arial"/>
                <w:sz w:val="18"/>
                <w:szCs w:val="18"/>
              </w:rPr>
            </w:pPr>
            <w:r w:rsidRPr="003203A1">
              <w:rPr>
                <w:rFonts w:cs="Arial"/>
                <w:sz w:val="18"/>
                <w:szCs w:val="18"/>
              </w:rPr>
              <w:t> </w:t>
            </w:r>
          </w:p>
        </w:tc>
        <w:tc>
          <w:tcPr>
            <w:tcW w:w="1225" w:type="dxa"/>
            <w:tcBorders>
              <w:top w:val="nil"/>
              <w:left w:val="nil"/>
              <w:bottom w:val="single" w:sz="4" w:space="0" w:color="auto"/>
              <w:right w:val="nil"/>
            </w:tcBorders>
            <w:shd w:val="clear" w:color="FFFFFF" w:fill="FFFFFF"/>
            <w:noWrap/>
            <w:vAlign w:val="bottom"/>
            <w:hideMark/>
          </w:tcPr>
          <w:p w14:paraId="17CA4B23" w14:textId="77777777" w:rsidR="00520333" w:rsidRPr="003203A1" w:rsidRDefault="00520333" w:rsidP="005E5E0C">
            <w:pPr>
              <w:spacing w:after="0"/>
              <w:jc w:val="right"/>
              <w:rPr>
                <w:rFonts w:cs="Arial"/>
                <w:sz w:val="18"/>
                <w:szCs w:val="18"/>
              </w:rPr>
            </w:pPr>
            <w:r w:rsidRPr="003203A1">
              <w:rPr>
                <w:rFonts w:cs="Arial"/>
                <w:sz w:val="18"/>
                <w:szCs w:val="18"/>
              </w:rPr>
              <w:t>604,046</w:t>
            </w:r>
          </w:p>
        </w:tc>
      </w:tr>
    </w:tbl>
    <w:p w14:paraId="16B056DD" w14:textId="77777777" w:rsidR="00520333" w:rsidRPr="003203A1" w:rsidRDefault="00520333" w:rsidP="00520333">
      <w:pPr>
        <w:pStyle w:val="ContinuedNotesHeading-Level1"/>
        <w:rPr>
          <w:rFonts w:cs="Arial"/>
          <w:b w:val="0"/>
          <w:bCs/>
          <w:sz w:val="18"/>
          <w:szCs w:val="18"/>
        </w:rPr>
      </w:pPr>
    </w:p>
    <w:p w14:paraId="06011BAE" w14:textId="77777777" w:rsidR="00520333" w:rsidRPr="003203A1" w:rsidRDefault="00520333" w:rsidP="00520333">
      <w:pPr>
        <w:pStyle w:val="ContinuedNotesHeading-Level1"/>
        <w:rPr>
          <w:rFonts w:cs="Arial"/>
          <w:b w:val="0"/>
          <w:bCs/>
          <w:sz w:val="18"/>
          <w:szCs w:val="18"/>
        </w:rPr>
      </w:pPr>
      <w:r w:rsidRPr="003203A1">
        <w:rPr>
          <w:rFonts w:cs="Arial"/>
          <w:b w:val="0"/>
          <w:bCs/>
          <w:sz w:val="18"/>
          <w:szCs w:val="18"/>
        </w:rPr>
        <w:t>The above lease disclosures should be read in conjunction with the accompanying notes 1.1D, 1.2B, 2.2A &amp; 2.5.</w:t>
      </w:r>
    </w:p>
    <w:p w14:paraId="738F88F2" w14:textId="77777777" w:rsidR="00520333" w:rsidRPr="003203A1" w:rsidRDefault="00520333" w:rsidP="00520333">
      <w:pPr>
        <w:pStyle w:val="ContinuedNotesHeading-Level1"/>
        <w:rPr>
          <w:b w:val="0"/>
          <w:bCs/>
        </w:rPr>
      </w:pPr>
    </w:p>
    <w:p w14:paraId="6485A898" w14:textId="77777777" w:rsidR="00520333" w:rsidRDefault="00520333" w:rsidP="003203A1">
      <w:pPr>
        <w:spacing w:after="120" w:line="240" w:lineRule="auto"/>
        <w:rPr>
          <w:rFonts w:cs="Arial"/>
          <w:sz w:val="14"/>
          <w:szCs w:val="14"/>
        </w:rPr>
      </w:pPr>
      <w:r w:rsidRPr="00634BB9">
        <w:rPr>
          <w:rFonts w:cs="Arial"/>
          <w:sz w:val="16"/>
          <w:szCs w:val="16"/>
          <w:vertAlign w:val="superscript"/>
        </w:rPr>
        <w:t xml:space="preserve">1 </w:t>
      </w:r>
      <w:r w:rsidRPr="000E1853">
        <w:rPr>
          <w:rFonts w:cs="Arial"/>
          <w:sz w:val="14"/>
          <w:szCs w:val="14"/>
        </w:rPr>
        <w:t>Balance includes contractor and consultant related expenses.</w:t>
      </w:r>
      <w:r>
        <w:rPr>
          <w:rFonts w:cs="Arial"/>
          <w:sz w:val="14"/>
          <w:szCs w:val="14"/>
        </w:rPr>
        <w:t xml:space="preserve"> </w:t>
      </w:r>
    </w:p>
    <w:p w14:paraId="76A1B2A5" w14:textId="77777777" w:rsidR="00520333" w:rsidRDefault="00520333" w:rsidP="003203A1">
      <w:pPr>
        <w:spacing w:after="120" w:line="240" w:lineRule="auto"/>
        <w:rPr>
          <w:rFonts w:cs="Arial"/>
          <w:sz w:val="14"/>
          <w:szCs w:val="16"/>
        </w:rPr>
      </w:pPr>
      <w:r w:rsidRPr="008016CA">
        <w:rPr>
          <w:rFonts w:cs="Arial"/>
          <w:sz w:val="16"/>
          <w:szCs w:val="18"/>
          <w:vertAlign w:val="superscript"/>
        </w:rPr>
        <w:t>2</w:t>
      </w:r>
      <w:r w:rsidRPr="008016CA">
        <w:rPr>
          <w:rFonts w:cs="Arial"/>
          <w:sz w:val="16"/>
          <w:szCs w:val="18"/>
        </w:rPr>
        <w:t xml:space="preserve"> </w:t>
      </w:r>
      <w:r w:rsidRPr="008016CA">
        <w:rPr>
          <w:rFonts w:cs="Arial"/>
          <w:sz w:val="14"/>
          <w:szCs w:val="16"/>
        </w:rPr>
        <w:t xml:space="preserve">During </w:t>
      </w:r>
      <w:r w:rsidRPr="008016CA">
        <w:rPr>
          <w:rFonts w:cs="Arial"/>
          <w:sz w:val="14"/>
          <w:szCs w:val="16"/>
        </w:rPr>
        <w:fldChar w:fldCharType="begin"/>
      </w:r>
      <w:r w:rsidRPr="008016CA">
        <w:rPr>
          <w:rFonts w:cs="Arial"/>
          <w:sz w:val="14"/>
          <w:szCs w:val="16"/>
        </w:rPr>
        <w:instrText xml:space="preserve"> DOCPROPERTY  prYear  \* MERGEFORMAT </w:instrText>
      </w:r>
      <w:r w:rsidRPr="008016CA">
        <w:rPr>
          <w:rFonts w:cs="Arial"/>
          <w:sz w:val="14"/>
          <w:szCs w:val="16"/>
        </w:rPr>
        <w:fldChar w:fldCharType="separate"/>
      </w:r>
      <w:r w:rsidRPr="008016CA">
        <w:rPr>
          <w:rFonts w:cs="Arial"/>
          <w:sz w:val="14"/>
          <w:szCs w:val="16"/>
        </w:rPr>
        <w:t>2023</w:t>
      </w:r>
      <w:r w:rsidRPr="008016CA">
        <w:rPr>
          <w:rFonts w:cs="Arial"/>
          <w:sz w:val="14"/>
          <w:szCs w:val="16"/>
        </w:rPr>
        <w:fldChar w:fldCharType="end"/>
      </w:r>
      <w:r w:rsidRPr="008016CA">
        <w:rPr>
          <w:rFonts w:cs="Arial"/>
          <w:sz w:val="14"/>
          <w:szCs w:val="16"/>
        </w:rPr>
        <w:t>-24 the Agency had a Memorandum of Understanding in place that covered the provision of various administrative and operational support services provided by Services Australia.</w:t>
      </w:r>
      <w:r>
        <w:rPr>
          <w:rFonts w:cs="Arial"/>
          <w:sz w:val="14"/>
          <w:szCs w:val="16"/>
        </w:rPr>
        <w:br w:type="page"/>
      </w:r>
    </w:p>
    <w:p w14:paraId="585D9F18" w14:textId="77777777" w:rsidR="003203A1" w:rsidRPr="00C821EB" w:rsidRDefault="003203A1" w:rsidP="003203A1">
      <w:pPr>
        <w:spacing w:after="0" w:line="240" w:lineRule="auto"/>
        <w:rPr>
          <w:b/>
          <w:bCs/>
        </w:rPr>
      </w:pPr>
      <w:r w:rsidRPr="00C821EB">
        <w:rPr>
          <w:b/>
          <w:bCs/>
        </w:rPr>
        <w:lastRenderedPageBreak/>
        <w:t>National Disability Insurance Agency</w:t>
      </w:r>
    </w:p>
    <w:p w14:paraId="1AAD41B3" w14:textId="77777777" w:rsidR="003203A1" w:rsidRPr="00C821EB" w:rsidRDefault="003203A1" w:rsidP="003203A1">
      <w:pPr>
        <w:pBdr>
          <w:bottom w:val="single" w:sz="8" w:space="1" w:color="auto"/>
        </w:pBdr>
        <w:rPr>
          <w:b/>
          <w:bCs/>
        </w:rPr>
      </w:pPr>
      <w:r w:rsidRPr="00C821EB">
        <w:rPr>
          <w:b/>
          <w:bCs/>
        </w:rPr>
        <w:t>NOTES TO AND FORMING PART OF THE FINANCIAL STATEMENTS</w:t>
      </w:r>
    </w:p>
    <w:p w14:paraId="344F6592" w14:textId="22EB5447" w:rsidR="00520333" w:rsidRPr="003203A1" w:rsidRDefault="00520333" w:rsidP="00520333">
      <w:pPr>
        <w:pStyle w:val="PolicyheadingDept"/>
        <w:pBdr>
          <w:left w:val="single" w:sz="4" w:space="4" w:color="800080"/>
          <w:right w:val="single" w:sz="4" w:space="4" w:color="800080"/>
        </w:pBdr>
      </w:pPr>
      <w:r w:rsidRPr="003203A1">
        <w:t>Accounting Policy</w:t>
      </w:r>
    </w:p>
    <w:p w14:paraId="64F84ECE" w14:textId="77777777" w:rsidR="00520333" w:rsidRPr="003203A1" w:rsidRDefault="00520333" w:rsidP="00520333">
      <w:pPr>
        <w:pStyle w:val="PolicytextDept"/>
        <w:pBdr>
          <w:left w:val="single" w:sz="4" w:space="4" w:color="800080"/>
          <w:right w:val="single" w:sz="4" w:space="4" w:color="800080"/>
        </w:pBdr>
        <w:rPr>
          <w:u w:val="single"/>
        </w:rPr>
      </w:pPr>
      <w:r w:rsidRPr="003203A1">
        <w:rPr>
          <w:u w:val="single"/>
        </w:rPr>
        <w:t>Short-term leases and leases of low-value assets</w:t>
      </w:r>
    </w:p>
    <w:p w14:paraId="24F41A97" w14:textId="77777777" w:rsidR="00520333" w:rsidRPr="003203A1" w:rsidRDefault="00520333" w:rsidP="00520333">
      <w:pPr>
        <w:pStyle w:val="PolicytextDept"/>
        <w:pBdr>
          <w:left w:val="single" w:sz="4" w:space="4" w:color="800080"/>
          <w:right w:val="single" w:sz="4" w:space="4" w:color="800080"/>
        </w:pBdr>
        <w:rPr>
          <w:strike/>
        </w:rPr>
      </w:pPr>
      <w:r w:rsidRPr="003203A1">
        <w:t xml:space="preserve">The Agency has elected not to recognise right-of-use assets and lease liabilities for short-term leases of assets that have a lease term of 12 months or less and leases of low-value assets (less than $10,000 per asset). The Agency recognises the lease payments associated with these leases as an expense on a straight-line basis over the lease term. </w:t>
      </w:r>
    </w:p>
    <w:tbl>
      <w:tblPr>
        <w:tblW w:w="9087" w:type="dxa"/>
        <w:tblLayout w:type="fixed"/>
        <w:tblLook w:val="04A0" w:firstRow="1" w:lastRow="0" w:firstColumn="1" w:lastColumn="0" w:noHBand="0" w:noVBand="1"/>
      </w:tblPr>
      <w:tblGrid>
        <w:gridCol w:w="6351"/>
        <w:gridCol w:w="1259"/>
        <w:gridCol w:w="236"/>
        <w:gridCol w:w="1241"/>
      </w:tblGrid>
      <w:tr w:rsidR="00520333" w:rsidRPr="003203A1" w14:paraId="2C2E2571" w14:textId="77777777" w:rsidTr="005E5E0C">
        <w:trPr>
          <w:trHeight w:val="253"/>
        </w:trPr>
        <w:tc>
          <w:tcPr>
            <w:tcW w:w="6351" w:type="dxa"/>
            <w:tcBorders>
              <w:top w:val="nil"/>
              <w:left w:val="nil"/>
              <w:bottom w:val="nil"/>
              <w:right w:val="nil"/>
            </w:tcBorders>
            <w:shd w:val="clear" w:color="FFFFFF" w:fill="FFFFFF"/>
            <w:noWrap/>
            <w:vAlign w:val="bottom"/>
            <w:hideMark/>
          </w:tcPr>
          <w:p w14:paraId="43ACDFF5" w14:textId="77777777" w:rsidR="00520333" w:rsidRPr="003203A1" w:rsidRDefault="00520333" w:rsidP="005E5E0C">
            <w:pPr>
              <w:spacing w:after="0"/>
              <w:rPr>
                <w:rFonts w:cs="Arial"/>
                <w:sz w:val="18"/>
                <w:szCs w:val="18"/>
              </w:rPr>
            </w:pPr>
            <w:bookmarkStart w:id="150" w:name="Note_GRXTABLE1" w:colFirst="0" w:colLast="0"/>
            <w:r w:rsidRPr="003203A1">
              <w:rPr>
                <w:rFonts w:cs="Arial"/>
                <w:sz w:val="18"/>
                <w:szCs w:val="18"/>
              </w:rPr>
              <w:t> </w:t>
            </w:r>
          </w:p>
        </w:tc>
        <w:tc>
          <w:tcPr>
            <w:tcW w:w="1259" w:type="dxa"/>
            <w:tcBorders>
              <w:top w:val="nil"/>
              <w:left w:val="nil"/>
              <w:bottom w:val="nil"/>
              <w:right w:val="nil"/>
            </w:tcBorders>
            <w:shd w:val="clear" w:color="FFFFFF" w:fill="FFFFFF"/>
            <w:noWrap/>
            <w:vAlign w:val="bottom"/>
            <w:hideMark/>
          </w:tcPr>
          <w:p w14:paraId="5A189052" w14:textId="77777777" w:rsidR="00520333" w:rsidRPr="003203A1" w:rsidRDefault="00520333" w:rsidP="005E5E0C">
            <w:pPr>
              <w:spacing w:after="0"/>
              <w:jc w:val="right"/>
              <w:rPr>
                <w:rFonts w:cs="Arial"/>
                <w:b/>
                <w:bCs/>
                <w:sz w:val="18"/>
                <w:szCs w:val="18"/>
              </w:rPr>
            </w:pPr>
            <w:r w:rsidRPr="003203A1">
              <w:rPr>
                <w:rFonts w:cs="Arial"/>
                <w:b/>
                <w:bCs/>
                <w:sz w:val="18"/>
                <w:szCs w:val="18"/>
              </w:rPr>
              <w:t>2024</w:t>
            </w:r>
          </w:p>
        </w:tc>
        <w:tc>
          <w:tcPr>
            <w:tcW w:w="236" w:type="dxa"/>
            <w:tcBorders>
              <w:top w:val="nil"/>
              <w:left w:val="nil"/>
              <w:bottom w:val="nil"/>
              <w:right w:val="nil"/>
            </w:tcBorders>
            <w:shd w:val="clear" w:color="FFFFFF" w:fill="FFFFFF"/>
            <w:noWrap/>
            <w:vAlign w:val="bottom"/>
            <w:hideMark/>
          </w:tcPr>
          <w:p w14:paraId="7B657D37"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7F81A89A" w14:textId="77777777" w:rsidR="00520333" w:rsidRPr="003203A1" w:rsidRDefault="00520333" w:rsidP="005E5E0C">
            <w:pPr>
              <w:spacing w:after="0"/>
              <w:jc w:val="right"/>
              <w:rPr>
                <w:rFonts w:cs="Arial"/>
                <w:sz w:val="18"/>
                <w:szCs w:val="18"/>
              </w:rPr>
            </w:pPr>
            <w:r w:rsidRPr="003203A1">
              <w:rPr>
                <w:rFonts w:cs="Arial"/>
                <w:sz w:val="18"/>
                <w:szCs w:val="18"/>
              </w:rPr>
              <w:t>2023</w:t>
            </w:r>
          </w:p>
        </w:tc>
      </w:tr>
      <w:bookmarkEnd w:id="150"/>
      <w:tr w:rsidR="00520333" w:rsidRPr="003203A1" w14:paraId="026CF82B" w14:textId="77777777" w:rsidTr="005E5E0C">
        <w:trPr>
          <w:trHeight w:val="260"/>
        </w:trPr>
        <w:tc>
          <w:tcPr>
            <w:tcW w:w="6351" w:type="dxa"/>
            <w:tcBorders>
              <w:top w:val="nil"/>
              <w:left w:val="nil"/>
              <w:bottom w:val="nil"/>
              <w:right w:val="nil"/>
            </w:tcBorders>
            <w:shd w:val="clear" w:color="FFFFFF" w:fill="FFFFFF"/>
            <w:noWrap/>
            <w:vAlign w:val="bottom"/>
            <w:hideMark/>
          </w:tcPr>
          <w:p w14:paraId="015F1F85" w14:textId="77777777" w:rsidR="00520333" w:rsidRPr="003203A1" w:rsidRDefault="00520333" w:rsidP="005E5E0C">
            <w:pPr>
              <w:spacing w:after="0"/>
              <w:rPr>
                <w:rFonts w:cs="Arial"/>
                <w:b/>
                <w:bCs/>
                <w:sz w:val="18"/>
                <w:szCs w:val="18"/>
                <w:u w:val="single"/>
              </w:rPr>
            </w:pPr>
            <w:r w:rsidRPr="003203A1">
              <w:rPr>
                <w:rFonts w:cs="Arial"/>
                <w:b/>
                <w:bCs/>
                <w:sz w:val="18"/>
                <w:szCs w:val="18"/>
                <w:u w:val="single"/>
              </w:rPr>
              <w:t>Note 1.1C: Grants</w:t>
            </w:r>
          </w:p>
        </w:tc>
        <w:tc>
          <w:tcPr>
            <w:tcW w:w="1259" w:type="dxa"/>
            <w:tcBorders>
              <w:top w:val="nil"/>
              <w:left w:val="nil"/>
              <w:bottom w:val="nil"/>
              <w:right w:val="nil"/>
            </w:tcBorders>
            <w:shd w:val="clear" w:color="FFFFFF" w:fill="FFFFFF"/>
            <w:noWrap/>
            <w:vAlign w:val="bottom"/>
            <w:hideMark/>
          </w:tcPr>
          <w:p w14:paraId="3948DF06" w14:textId="77777777" w:rsidR="00520333" w:rsidRPr="003203A1" w:rsidRDefault="00520333" w:rsidP="005E5E0C">
            <w:pPr>
              <w:spacing w:after="0"/>
              <w:jc w:val="right"/>
              <w:rPr>
                <w:rFonts w:cs="Arial"/>
                <w:b/>
                <w:bCs/>
                <w:sz w:val="18"/>
                <w:szCs w:val="18"/>
              </w:rPr>
            </w:pPr>
            <w:r w:rsidRPr="003203A1">
              <w:rPr>
                <w:rFonts w:cs="Arial"/>
                <w:b/>
                <w:bCs/>
                <w:sz w:val="18"/>
                <w:szCs w:val="18"/>
              </w:rPr>
              <w:t>$'000</w:t>
            </w:r>
          </w:p>
        </w:tc>
        <w:tc>
          <w:tcPr>
            <w:tcW w:w="236" w:type="dxa"/>
            <w:tcBorders>
              <w:top w:val="nil"/>
              <w:left w:val="nil"/>
              <w:bottom w:val="nil"/>
              <w:right w:val="nil"/>
            </w:tcBorders>
            <w:shd w:val="clear" w:color="FFFFFF" w:fill="FFFFFF"/>
            <w:noWrap/>
            <w:vAlign w:val="bottom"/>
            <w:hideMark/>
          </w:tcPr>
          <w:p w14:paraId="3BA0BB61"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20414125" w14:textId="77777777" w:rsidR="00520333" w:rsidRPr="003203A1" w:rsidRDefault="00520333" w:rsidP="005E5E0C">
            <w:pPr>
              <w:spacing w:after="0"/>
              <w:jc w:val="right"/>
              <w:rPr>
                <w:rFonts w:cs="Arial"/>
                <w:sz w:val="18"/>
                <w:szCs w:val="18"/>
              </w:rPr>
            </w:pPr>
            <w:r w:rsidRPr="003203A1">
              <w:rPr>
                <w:rFonts w:cs="Arial"/>
                <w:sz w:val="18"/>
                <w:szCs w:val="18"/>
              </w:rPr>
              <w:t>$'000</w:t>
            </w:r>
          </w:p>
        </w:tc>
      </w:tr>
      <w:tr w:rsidR="00520333" w:rsidRPr="003203A1" w14:paraId="0F67A5BA" w14:textId="77777777" w:rsidTr="005E5E0C">
        <w:trPr>
          <w:trHeight w:val="250"/>
        </w:trPr>
        <w:tc>
          <w:tcPr>
            <w:tcW w:w="6351" w:type="dxa"/>
            <w:tcBorders>
              <w:top w:val="nil"/>
              <w:left w:val="nil"/>
              <w:bottom w:val="nil"/>
              <w:right w:val="nil"/>
            </w:tcBorders>
            <w:shd w:val="clear" w:color="FFFFFF" w:fill="FFFFFF"/>
            <w:noWrap/>
            <w:vAlign w:val="bottom"/>
            <w:hideMark/>
          </w:tcPr>
          <w:p w14:paraId="2979474A" w14:textId="77777777" w:rsidR="00520333" w:rsidRPr="003203A1" w:rsidRDefault="00520333" w:rsidP="005E5E0C">
            <w:pPr>
              <w:spacing w:after="0"/>
              <w:ind w:firstLineChars="100" w:firstLine="180"/>
              <w:rPr>
                <w:rFonts w:cs="Arial"/>
                <w:sz w:val="18"/>
                <w:szCs w:val="18"/>
              </w:rPr>
            </w:pPr>
            <w:r w:rsidRPr="003203A1">
              <w:rPr>
                <w:rFonts w:cs="Arial"/>
                <w:sz w:val="18"/>
                <w:szCs w:val="18"/>
              </w:rPr>
              <w:t>Private sector</w:t>
            </w:r>
          </w:p>
        </w:tc>
        <w:tc>
          <w:tcPr>
            <w:tcW w:w="1259" w:type="dxa"/>
            <w:tcBorders>
              <w:top w:val="nil"/>
              <w:left w:val="nil"/>
              <w:bottom w:val="nil"/>
              <w:right w:val="nil"/>
            </w:tcBorders>
            <w:shd w:val="clear" w:color="FFFFFF" w:fill="FFFFFF"/>
            <w:noWrap/>
            <w:vAlign w:val="bottom"/>
            <w:hideMark/>
          </w:tcPr>
          <w:p w14:paraId="2CB0A82B" w14:textId="77777777" w:rsidR="00520333" w:rsidRPr="003203A1" w:rsidRDefault="00520333" w:rsidP="005E5E0C">
            <w:pPr>
              <w:spacing w:after="0"/>
              <w:jc w:val="right"/>
              <w:rPr>
                <w:rFonts w:cs="Arial"/>
                <w:b/>
                <w:bCs/>
                <w:sz w:val="18"/>
                <w:szCs w:val="18"/>
              </w:rPr>
            </w:pPr>
            <w:r w:rsidRPr="003203A1">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103052A4"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28DF08F7" w14:textId="77777777" w:rsidR="00520333" w:rsidRPr="003203A1" w:rsidRDefault="00520333" w:rsidP="005E5E0C">
            <w:pPr>
              <w:spacing w:after="0"/>
              <w:jc w:val="right"/>
              <w:rPr>
                <w:rFonts w:cs="Arial"/>
                <w:sz w:val="18"/>
                <w:szCs w:val="18"/>
              </w:rPr>
            </w:pPr>
            <w:r w:rsidRPr="003203A1">
              <w:rPr>
                <w:rFonts w:cs="Arial"/>
                <w:sz w:val="18"/>
                <w:szCs w:val="18"/>
              </w:rPr>
              <w:t> </w:t>
            </w:r>
          </w:p>
        </w:tc>
      </w:tr>
      <w:tr w:rsidR="00520333" w:rsidRPr="003203A1" w14:paraId="7EFC0214" w14:textId="77777777" w:rsidTr="005E5E0C">
        <w:trPr>
          <w:trHeight w:val="268"/>
        </w:trPr>
        <w:tc>
          <w:tcPr>
            <w:tcW w:w="6351" w:type="dxa"/>
            <w:tcBorders>
              <w:top w:val="nil"/>
              <w:left w:val="nil"/>
              <w:bottom w:val="nil"/>
              <w:right w:val="nil"/>
            </w:tcBorders>
            <w:shd w:val="clear" w:color="FFFFFF" w:fill="FFFFFF"/>
            <w:noWrap/>
            <w:vAlign w:val="bottom"/>
            <w:hideMark/>
          </w:tcPr>
          <w:p w14:paraId="164D9AAD" w14:textId="77777777" w:rsidR="00520333" w:rsidRPr="003203A1" w:rsidRDefault="00520333" w:rsidP="005E5E0C">
            <w:pPr>
              <w:spacing w:after="0"/>
              <w:ind w:firstLineChars="200" w:firstLine="360"/>
              <w:rPr>
                <w:rFonts w:cs="Arial"/>
                <w:sz w:val="18"/>
                <w:szCs w:val="18"/>
              </w:rPr>
            </w:pPr>
            <w:r w:rsidRPr="003203A1">
              <w:rPr>
                <w:rFonts w:cs="Arial"/>
                <w:sz w:val="18"/>
                <w:szCs w:val="18"/>
              </w:rPr>
              <w:t>Not for profit organisations</w:t>
            </w:r>
          </w:p>
        </w:tc>
        <w:tc>
          <w:tcPr>
            <w:tcW w:w="1259" w:type="dxa"/>
            <w:tcBorders>
              <w:top w:val="nil"/>
              <w:left w:val="nil"/>
              <w:bottom w:val="nil"/>
              <w:right w:val="nil"/>
            </w:tcBorders>
            <w:shd w:val="clear" w:color="FFFFFF" w:fill="FFFFFF"/>
            <w:noWrap/>
            <w:vAlign w:val="bottom"/>
            <w:hideMark/>
          </w:tcPr>
          <w:p w14:paraId="3A33AAFA" w14:textId="77777777" w:rsidR="00520333" w:rsidRPr="003203A1" w:rsidRDefault="00520333" w:rsidP="005E5E0C">
            <w:pPr>
              <w:spacing w:after="0"/>
              <w:jc w:val="right"/>
              <w:rPr>
                <w:rFonts w:cs="Arial"/>
                <w:b/>
                <w:bCs/>
                <w:sz w:val="18"/>
                <w:szCs w:val="18"/>
              </w:rPr>
            </w:pPr>
            <w:r w:rsidRPr="003203A1">
              <w:rPr>
                <w:rFonts w:cs="Arial"/>
                <w:b/>
                <w:bCs/>
                <w:sz w:val="18"/>
                <w:szCs w:val="18"/>
              </w:rPr>
              <w:t>5,306</w:t>
            </w:r>
          </w:p>
        </w:tc>
        <w:tc>
          <w:tcPr>
            <w:tcW w:w="236" w:type="dxa"/>
            <w:tcBorders>
              <w:top w:val="nil"/>
              <w:left w:val="nil"/>
              <w:bottom w:val="nil"/>
              <w:right w:val="nil"/>
            </w:tcBorders>
            <w:shd w:val="clear" w:color="FFFFFF" w:fill="FFFFFF"/>
            <w:noWrap/>
            <w:vAlign w:val="bottom"/>
            <w:hideMark/>
          </w:tcPr>
          <w:p w14:paraId="6B330146"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1EC4CD13" w14:textId="77777777" w:rsidR="00520333" w:rsidRPr="003203A1" w:rsidRDefault="00520333" w:rsidP="005E5E0C">
            <w:pPr>
              <w:spacing w:after="0"/>
              <w:jc w:val="right"/>
              <w:rPr>
                <w:rFonts w:cs="Arial"/>
                <w:sz w:val="18"/>
                <w:szCs w:val="18"/>
              </w:rPr>
            </w:pPr>
            <w:r w:rsidRPr="003203A1">
              <w:rPr>
                <w:rFonts w:cs="Arial"/>
                <w:sz w:val="18"/>
                <w:szCs w:val="18"/>
              </w:rPr>
              <w:t>347</w:t>
            </w:r>
          </w:p>
        </w:tc>
      </w:tr>
      <w:tr w:rsidR="00520333" w:rsidRPr="003203A1" w14:paraId="5E934C53" w14:textId="77777777" w:rsidTr="005E5E0C">
        <w:trPr>
          <w:trHeight w:val="250"/>
        </w:trPr>
        <w:tc>
          <w:tcPr>
            <w:tcW w:w="6351" w:type="dxa"/>
            <w:tcBorders>
              <w:top w:val="nil"/>
              <w:left w:val="nil"/>
              <w:bottom w:val="nil"/>
              <w:right w:val="nil"/>
            </w:tcBorders>
            <w:shd w:val="clear" w:color="FFFFFF" w:fill="FFFFFF"/>
            <w:vAlign w:val="bottom"/>
            <w:hideMark/>
          </w:tcPr>
          <w:p w14:paraId="24E8B19A" w14:textId="77777777" w:rsidR="00520333" w:rsidRPr="003203A1" w:rsidRDefault="00520333" w:rsidP="005E5E0C">
            <w:pPr>
              <w:spacing w:after="0"/>
              <w:rPr>
                <w:rFonts w:cs="Arial"/>
                <w:b/>
                <w:bCs/>
                <w:sz w:val="18"/>
                <w:szCs w:val="18"/>
              </w:rPr>
            </w:pPr>
            <w:r w:rsidRPr="003203A1">
              <w:rPr>
                <w:rFonts w:cs="Arial"/>
                <w:b/>
                <w:bCs/>
                <w:sz w:val="18"/>
                <w:szCs w:val="18"/>
              </w:rPr>
              <w:t>Total grants</w:t>
            </w:r>
          </w:p>
        </w:tc>
        <w:tc>
          <w:tcPr>
            <w:tcW w:w="1259" w:type="dxa"/>
            <w:tcBorders>
              <w:top w:val="single" w:sz="4" w:space="0" w:color="auto"/>
              <w:left w:val="nil"/>
              <w:bottom w:val="single" w:sz="4" w:space="0" w:color="auto"/>
              <w:right w:val="nil"/>
            </w:tcBorders>
            <w:shd w:val="clear" w:color="FFFFFF" w:fill="FFFFFF"/>
            <w:noWrap/>
            <w:vAlign w:val="bottom"/>
            <w:hideMark/>
          </w:tcPr>
          <w:p w14:paraId="0DF22FFF" w14:textId="77777777" w:rsidR="00520333" w:rsidRPr="003203A1" w:rsidRDefault="00520333" w:rsidP="005E5E0C">
            <w:pPr>
              <w:spacing w:after="0"/>
              <w:jc w:val="right"/>
              <w:rPr>
                <w:rFonts w:cs="Arial"/>
                <w:b/>
                <w:bCs/>
                <w:sz w:val="18"/>
                <w:szCs w:val="18"/>
              </w:rPr>
            </w:pPr>
            <w:r w:rsidRPr="003203A1">
              <w:rPr>
                <w:rFonts w:cs="Arial"/>
                <w:b/>
                <w:bCs/>
                <w:sz w:val="18"/>
                <w:szCs w:val="18"/>
              </w:rPr>
              <w:t>5,306</w:t>
            </w:r>
          </w:p>
        </w:tc>
        <w:tc>
          <w:tcPr>
            <w:tcW w:w="236" w:type="dxa"/>
            <w:tcBorders>
              <w:top w:val="nil"/>
              <w:left w:val="nil"/>
              <w:bottom w:val="nil"/>
              <w:right w:val="nil"/>
            </w:tcBorders>
            <w:shd w:val="clear" w:color="FFFFFF" w:fill="FFFFFF"/>
            <w:noWrap/>
            <w:vAlign w:val="bottom"/>
            <w:hideMark/>
          </w:tcPr>
          <w:p w14:paraId="1F281551"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single" w:sz="4" w:space="0" w:color="auto"/>
              <w:left w:val="nil"/>
              <w:bottom w:val="single" w:sz="4" w:space="0" w:color="auto"/>
              <w:right w:val="nil"/>
            </w:tcBorders>
            <w:shd w:val="clear" w:color="FFFFFF" w:fill="FFFFFF"/>
            <w:noWrap/>
            <w:vAlign w:val="bottom"/>
            <w:hideMark/>
          </w:tcPr>
          <w:p w14:paraId="5FC6896F" w14:textId="77777777" w:rsidR="00520333" w:rsidRPr="003203A1" w:rsidRDefault="00520333" w:rsidP="005E5E0C">
            <w:pPr>
              <w:spacing w:after="0"/>
              <w:jc w:val="right"/>
              <w:rPr>
                <w:rFonts w:cs="Arial"/>
                <w:sz w:val="18"/>
                <w:szCs w:val="18"/>
              </w:rPr>
            </w:pPr>
            <w:r w:rsidRPr="003203A1">
              <w:rPr>
                <w:rFonts w:cs="Arial"/>
                <w:sz w:val="18"/>
                <w:szCs w:val="18"/>
              </w:rPr>
              <w:t>347</w:t>
            </w:r>
          </w:p>
        </w:tc>
      </w:tr>
      <w:tr w:rsidR="00520333" w:rsidRPr="003203A1" w14:paraId="279DF1D2" w14:textId="77777777" w:rsidTr="005E5E0C">
        <w:trPr>
          <w:trHeight w:val="250"/>
        </w:trPr>
        <w:tc>
          <w:tcPr>
            <w:tcW w:w="6351" w:type="dxa"/>
            <w:tcBorders>
              <w:top w:val="nil"/>
              <w:left w:val="nil"/>
              <w:bottom w:val="nil"/>
              <w:right w:val="nil"/>
            </w:tcBorders>
            <w:shd w:val="clear" w:color="FFFFFF" w:fill="FFFFFF"/>
            <w:vAlign w:val="bottom"/>
            <w:hideMark/>
          </w:tcPr>
          <w:p w14:paraId="53E406A9" w14:textId="77777777" w:rsidR="00520333" w:rsidRPr="003203A1" w:rsidRDefault="00520333" w:rsidP="005E5E0C">
            <w:pPr>
              <w:spacing w:after="0"/>
              <w:rPr>
                <w:rFonts w:cs="Arial"/>
                <w:b/>
                <w:bCs/>
                <w:sz w:val="18"/>
                <w:szCs w:val="18"/>
              </w:rPr>
            </w:pPr>
            <w:r w:rsidRPr="003203A1">
              <w:rPr>
                <w:rFonts w:cs="Arial"/>
                <w:b/>
                <w:bCs/>
                <w:sz w:val="18"/>
                <w:szCs w:val="18"/>
              </w:rPr>
              <w:t> </w:t>
            </w:r>
          </w:p>
        </w:tc>
        <w:tc>
          <w:tcPr>
            <w:tcW w:w="1259" w:type="dxa"/>
            <w:tcBorders>
              <w:top w:val="nil"/>
              <w:left w:val="nil"/>
              <w:bottom w:val="nil"/>
              <w:right w:val="nil"/>
            </w:tcBorders>
            <w:shd w:val="clear" w:color="FFFFFF" w:fill="FFFFFF"/>
            <w:noWrap/>
            <w:vAlign w:val="bottom"/>
            <w:hideMark/>
          </w:tcPr>
          <w:p w14:paraId="6DE05A8F" w14:textId="77777777" w:rsidR="00520333" w:rsidRPr="003203A1" w:rsidRDefault="00520333" w:rsidP="005E5E0C">
            <w:pPr>
              <w:spacing w:after="0"/>
              <w:jc w:val="right"/>
              <w:rPr>
                <w:rFonts w:cs="Arial"/>
                <w:b/>
                <w:bCs/>
                <w:sz w:val="18"/>
                <w:szCs w:val="18"/>
              </w:rPr>
            </w:pPr>
            <w:r w:rsidRPr="003203A1">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52FEFFA2"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1BA1C20B" w14:textId="77777777" w:rsidR="00520333" w:rsidRPr="003203A1" w:rsidRDefault="00520333" w:rsidP="005E5E0C">
            <w:pPr>
              <w:spacing w:after="0"/>
              <w:jc w:val="right"/>
              <w:rPr>
                <w:rFonts w:cs="Arial"/>
                <w:sz w:val="18"/>
                <w:szCs w:val="18"/>
              </w:rPr>
            </w:pPr>
            <w:r w:rsidRPr="003203A1">
              <w:rPr>
                <w:rFonts w:cs="Arial"/>
                <w:sz w:val="18"/>
                <w:szCs w:val="18"/>
              </w:rPr>
              <w:t> </w:t>
            </w:r>
          </w:p>
        </w:tc>
      </w:tr>
      <w:tr w:rsidR="00520333" w:rsidRPr="003203A1" w14:paraId="0F8C7199" w14:textId="77777777" w:rsidTr="005E5E0C">
        <w:trPr>
          <w:trHeight w:val="630"/>
        </w:trPr>
        <w:tc>
          <w:tcPr>
            <w:tcW w:w="9087" w:type="dxa"/>
            <w:gridSpan w:val="4"/>
            <w:tcBorders>
              <w:top w:val="nil"/>
              <w:left w:val="nil"/>
              <w:bottom w:val="nil"/>
              <w:right w:val="nil"/>
            </w:tcBorders>
            <w:shd w:val="clear" w:color="FFFFFF" w:fill="FFFFFF"/>
            <w:hideMark/>
          </w:tcPr>
          <w:p w14:paraId="7152C640" w14:textId="77777777" w:rsidR="00520333" w:rsidRPr="003203A1" w:rsidRDefault="00520333" w:rsidP="005E5E0C">
            <w:pPr>
              <w:spacing w:after="0"/>
              <w:rPr>
                <w:rFonts w:cs="Arial"/>
                <w:sz w:val="18"/>
                <w:szCs w:val="18"/>
              </w:rPr>
            </w:pPr>
            <w:r w:rsidRPr="003203A1">
              <w:rPr>
                <w:rFonts w:cs="Arial"/>
                <w:sz w:val="18"/>
                <w:szCs w:val="18"/>
              </w:rPr>
              <w:t>Grants relate to the Home and Living grants program designed to assist providers with establishment costs associated with Supported Independent Living demonstration projects and the Inklings grants program, commencing in 2023–24, developing a pre-emptive approach to support children with early signs of autism spectrum disorder.</w:t>
            </w:r>
          </w:p>
        </w:tc>
      </w:tr>
    </w:tbl>
    <w:p w14:paraId="19EEC73C" w14:textId="77777777" w:rsidR="00520333" w:rsidRPr="003203A1" w:rsidRDefault="00520333" w:rsidP="00520333">
      <w:pPr>
        <w:pStyle w:val="PolicytextDept"/>
        <w:rPr>
          <w:b/>
          <w:bCs w:val="0"/>
        </w:rPr>
      </w:pPr>
      <w:r w:rsidRPr="003203A1">
        <w:rPr>
          <w:b/>
          <w:bCs w:val="0"/>
        </w:rPr>
        <w:t>Accounting Policy</w:t>
      </w:r>
    </w:p>
    <w:p w14:paraId="785E1BAA" w14:textId="77777777" w:rsidR="00520333" w:rsidRPr="003203A1" w:rsidRDefault="00520333" w:rsidP="00520333">
      <w:pPr>
        <w:pStyle w:val="PolicytextDept"/>
        <w:rPr>
          <w:u w:val="single"/>
        </w:rPr>
      </w:pPr>
      <w:r w:rsidRPr="003203A1">
        <w:rPr>
          <w:u w:val="single"/>
        </w:rPr>
        <w:t>Grants</w:t>
      </w:r>
    </w:p>
    <w:p w14:paraId="4D5844EA" w14:textId="77777777" w:rsidR="00520333" w:rsidRPr="003203A1" w:rsidRDefault="00520333" w:rsidP="00520333">
      <w:pPr>
        <w:pStyle w:val="PolicytextDept"/>
      </w:pPr>
      <w:r w:rsidRPr="003203A1">
        <w:t>Grant liabilities are recognised to the extent that (i) the services required to be performed by the grantee have been performed or (ii) the grant eligibility criteria have been satisfied, but payments due have not been made.</w:t>
      </w:r>
    </w:p>
    <w:p w14:paraId="4E589E19" w14:textId="77777777" w:rsidR="00520333" w:rsidRPr="003203A1" w:rsidRDefault="00520333" w:rsidP="00520333">
      <w:pPr>
        <w:pStyle w:val="PolicytextDept"/>
      </w:pPr>
      <w:r w:rsidRPr="003203A1">
        <w:t>When the Agency enters into an agreement to make these grants and services, but services have not been performed or criteria satisfied, this is considered a commitment.</w:t>
      </w:r>
    </w:p>
    <w:tbl>
      <w:tblPr>
        <w:tblW w:w="9087" w:type="dxa"/>
        <w:tblLayout w:type="fixed"/>
        <w:tblLook w:val="04A0" w:firstRow="1" w:lastRow="0" w:firstColumn="1" w:lastColumn="0" w:noHBand="0" w:noVBand="1"/>
      </w:tblPr>
      <w:tblGrid>
        <w:gridCol w:w="6357"/>
        <w:gridCol w:w="1251"/>
        <w:gridCol w:w="236"/>
        <w:gridCol w:w="1243"/>
      </w:tblGrid>
      <w:tr w:rsidR="00520333" w:rsidRPr="003203A1" w14:paraId="368DC2D6" w14:textId="77777777" w:rsidTr="005E5E0C">
        <w:trPr>
          <w:trHeight w:val="210"/>
        </w:trPr>
        <w:tc>
          <w:tcPr>
            <w:tcW w:w="6357" w:type="dxa"/>
            <w:tcBorders>
              <w:top w:val="nil"/>
              <w:left w:val="nil"/>
              <w:bottom w:val="nil"/>
              <w:right w:val="nil"/>
            </w:tcBorders>
            <w:shd w:val="clear" w:color="FFFFFF" w:fill="FFFFFF"/>
            <w:noWrap/>
            <w:vAlign w:val="bottom"/>
            <w:hideMark/>
          </w:tcPr>
          <w:p w14:paraId="38B5FDCC" w14:textId="77777777" w:rsidR="00520333" w:rsidRPr="003203A1" w:rsidRDefault="00520333" w:rsidP="005E5E0C">
            <w:pPr>
              <w:spacing w:after="0"/>
              <w:rPr>
                <w:rFonts w:cs="Arial"/>
                <w:b/>
                <w:bCs/>
                <w:sz w:val="18"/>
                <w:szCs w:val="18"/>
                <w:u w:val="single"/>
              </w:rPr>
            </w:pPr>
            <w:bookmarkStart w:id="151" w:name="Note_FCETABLE1" w:colFirst="0" w:colLast="0"/>
            <w:r w:rsidRPr="003203A1">
              <w:rPr>
                <w:rFonts w:cs="Arial"/>
                <w:b/>
                <w:bCs/>
                <w:sz w:val="18"/>
                <w:szCs w:val="18"/>
                <w:u w:val="single"/>
              </w:rPr>
              <w:t>Note 1.1D: Finance costs</w:t>
            </w:r>
          </w:p>
        </w:tc>
        <w:tc>
          <w:tcPr>
            <w:tcW w:w="1251" w:type="dxa"/>
            <w:tcBorders>
              <w:top w:val="nil"/>
              <w:left w:val="nil"/>
              <w:bottom w:val="nil"/>
              <w:right w:val="nil"/>
            </w:tcBorders>
            <w:shd w:val="clear" w:color="FFFFFF" w:fill="FFFFFF"/>
            <w:noWrap/>
            <w:vAlign w:val="bottom"/>
            <w:hideMark/>
          </w:tcPr>
          <w:p w14:paraId="38D65759" w14:textId="77777777" w:rsidR="00520333" w:rsidRPr="003203A1" w:rsidRDefault="00520333" w:rsidP="005E5E0C">
            <w:pPr>
              <w:spacing w:after="0"/>
              <w:rPr>
                <w:rFonts w:cs="Arial"/>
                <w:sz w:val="18"/>
                <w:szCs w:val="18"/>
              </w:rPr>
            </w:pPr>
            <w:r w:rsidRPr="003203A1">
              <w:rPr>
                <w:rFonts w:cs="Arial"/>
                <w:sz w:val="18"/>
                <w:szCs w:val="18"/>
              </w:rPr>
              <w:t> </w:t>
            </w:r>
          </w:p>
        </w:tc>
        <w:tc>
          <w:tcPr>
            <w:tcW w:w="236" w:type="dxa"/>
            <w:tcBorders>
              <w:top w:val="nil"/>
              <w:left w:val="nil"/>
              <w:bottom w:val="nil"/>
              <w:right w:val="nil"/>
            </w:tcBorders>
            <w:shd w:val="clear" w:color="FFFFFF" w:fill="FFFFFF"/>
            <w:noWrap/>
            <w:vAlign w:val="bottom"/>
            <w:hideMark/>
          </w:tcPr>
          <w:p w14:paraId="11E1BBD0" w14:textId="77777777" w:rsidR="00520333" w:rsidRPr="003203A1" w:rsidRDefault="00520333" w:rsidP="005E5E0C">
            <w:pPr>
              <w:spacing w:after="0"/>
              <w:rPr>
                <w:rFonts w:cs="Arial"/>
                <w:sz w:val="18"/>
                <w:szCs w:val="18"/>
              </w:rPr>
            </w:pPr>
            <w:r w:rsidRPr="003203A1">
              <w:rPr>
                <w:rFonts w:cs="Arial"/>
                <w:sz w:val="18"/>
                <w:szCs w:val="18"/>
              </w:rPr>
              <w:t> </w:t>
            </w:r>
          </w:p>
        </w:tc>
        <w:tc>
          <w:tcPr>
            <w:tcW w:w="1243" w:type="dxa"/>
            <w:tcBorders>
              <w:top w:val="nil"/>
              <w:left w:val="nil"/>
              <w:bottom w:val="nil"/>
              <w:right w:val="nil"/>
            </w:tcBorders>
            <w:shd w:val="clear" w:color="FFFFFF" w:fill="FFFFFF"/>
            <w:noWrap/>
            <w:vAlign w:val="bottom"/>
            <w:hideMark/>
          </w:tcPr>
          <w:p w14:paraId="1BEEE32C" w14:textId="77777777" w:rsidR="00520333" w:rsidRPr="003203A1" w:rsidRDefault="00520333" w:rsidP="005E5E0C">
            <w:pPr>
              <w:spacing w:after="0"/>
              <w:rPr>
                <w:rFonts w:cs="Arial"/>
                <w:sz w:val="18"/>
                <w:szCs w:val="18"/>
              </w:rPr>
            </w:pPr>
            <w:r w:rsidRPr="003203A1">
              <w:rPr>
                <w:rFonts w:cs="Arial"/>
                <w:sz w:val="18"/>
                <w:szCs w:val="18"/>
              </w:rPr>
              <w:t> </w:t>
            </w:r>
          </w:p>
        </w:tc>
      </w:tr>
      <w:bookmarkEnd w:id="151"/>
      <w:tr w:rsidR="00520333" w:rsidRPr="003203A1" w14:paraId="6227C68F" w14:textId="77777777" w:rsidTr="005E5E0C">
        <w:trPr>
          <w:trHeight w:val="250"/>
        </w:trPr>
        <w:tc>
          <w:tcPr>
            <w:tcW w:w="6357" w:type="dxa"/>
            <w:tcBorders>
              <w:top w:val="nil"/>
              <w:left w:val="nil"/>
              <w:bottom w:val="nil"/>
              <w:right w:val="nil"/>
            </w:tcBorders>
            <w:shd w:val="clear" w:color="FFFFFF" w:fill="FFFFFF"/>
            <w:vAlign w:val="bottom"/>
            <w:hideMark/>
          </w:tcPr>
          <w:p w14:paraId="777859E4" w14:textId="77777777" w:rsidR="00520333" w:rsidRPr="003203A1" w:rsidRDefault="00520333" w:rsidP="005E5E0C">
            <w:pPr>
              <w:spacing w:after="0"/>
              <w:rPr>
                <w:rFonts w:cs="Arial"/>
                <w:sz w:val="18"/>
                <w:szCs w:val="18"/>
              </w:rPr>
            </w:pPr>
            <w:r w:rsidRPr="003203A1">
              <w:rPr>
                <w:rFonts w:cs="Arial"/>
                <w:sz w:val="18"/>
                <w:szCs w:val="18"/>
              </w:rPr>
              <w:t>Interest on lease liabilities</w:t>
            </w:r>
          </w:p>
        </w:tc>
        <w:tc>
          <w:tcPr>
            <w:tcW w:w="1251" w:type="dxa"/>
            <w:tcBorders>
              <w:top w:val="nil"/>
              <w:left w:val="nil"/>
              <w:bottom w:val="nil"/>
              <w:right w:val="nil"/>
            </w:tcBorders>
            <w:shd w:val="clear" w:color="FFFFFF" w:fill="FFFFFF"/>
            <w:noWrap/>
            <w:vAlign w:val="bottom"/>
            <w:hideMark/>
          </w:tcPr>
          <w:p w14:paraId="5F1D6AF9" w14:textId="77777777" w:rsidR="00520333" w:rsidRPr="003203A1" w:rsidRDefault="00520333" w:rsidP="005E5E0C">
            <w:pPr>
              <w:spacing w:after="0"/>
              <w:jc w:val="right"/>
              <w:rPr>
                <w:rFonts w:cs="Arial"/>
                <w:b/>
                <w:bCs/>
                <w:sz w:val="18"/>
                <w:szCs w:val="18"/>
              </w:rPr>
            </w:pPr>
            <w:r w:rsidRPr="003203A1">
              <w:rPr>
                <w:rFonts w:cs="Arial"/>
                <w:b/>
                <w:bCs/>
                <w:sz w:val="18"/>
                <w:szCs w:val="18"/>
              </w:rPr>
              <w:t>3,000</w:t>
            </w:r>
          </w:p>
        </w:tc>
        <w:tc>
          <w:tcPr>
            <w:tcW w:w="236" w:type="dxa"/>
            <w:tcBorders>
              <w:top w:val="nil"/>
              <w:left w:val="nil"/>
              <w:bottom w:val="nil"/>
              <w:right w:val="nil"/>
            </w:tcBorders>
            <w:shd w:val="clear" w:color="FFFFFF" w:fill="FFFFFF"/>
            <w:noWrap/>
            <w:vAlign w:val="bottom"/>
            <w:hideMark/>
          </w:tcPr>
          <w:p w14:paraId="069DC913" w14:textId="77777777" w:rsidR="00520333" w:rsidRPr="003203A1" w:rsidRDefault="00520333" w:rsidP="005E5E0C">
            <w:pPr>
              <w:spacing w:after="0"/>
              <w:rPr>
                <w:rFonts w:cs="Arial"/>
                <w:sz w:val="18"/>
                <w:szCs w:val="18"/>
              </w:rPr>
            </w:pPr>
            <w:r w:rsidRPr="003203A1">
              <w:rPr>
                <w:rFonts w:cs="Arial"/>
                <w:sz w:val="18"/>
                <w:szCs w:val="18"/>
              </w:rPr>
              <w:t> </w:t>
            </w:r>
          </w:p>
        </w:tc>
        <w:tc>
          <w:tcPr>
            <w:tcW w:w="1243" w:type="dxa"/>
            <w:tcBorders>
              <w:top w:val="nil"/>
              <w:left w:val="nil"/>
              <w:bottom w:val="nil"/>
              <w:right w:val="nil"/>
            </w:tcBorders>
            <w:shd w:val="clear" w:color="FFFFFF" w:fill="FFFFFF"/>
            <w:noWrap/>
            <w:vAlign w:val="bottom"/>
            <w:hideMark/>
          </w:tcPr>
          <w:p w14:paraId="6E377F9E" w14:textId="77777777" w:rsidR="00520333" w:rsidRPr="003203A1" w:rsidRDefault="00520333" w:rsidP="005E5E0C">
            <w:pPr>
              <w:spacing w:after="0"/>
              <w:jc w:val="right"/>
              <w:rPr>
                <w:rFonts w:cs="Arial"/>
                <w:sz w:val="18"/>
                <w:szCs w:val="18"/>
              </w:rPr>
            </w:pPr>
            <w:r w:rsidRPr="003203A1">
              <w:rPr>
                <w:rFonts w:cs="Arial"/>
                <w:sz w:val="18"/>
                <w:szCs w:val="18"/>
              </w:rPr>
              <w:t>1,555</w:t>
            </w:r>
          </w:p>
        </w:tc>
      </w:tr>
      <w:tr w:rsidR="00520333" w:rsidRPr="003203A1" w14:paraId="7D2EFD7A" w14:textId="77777777" w:rsidTr="005E5E0C">
        <w:trPr>
          <w:trHeight w:val="250"/>
        </w:trPr>
        <w:tc>
          <w:tcPr>
            <w:tcW w:w="6357" w:type="dxa"/>
            <w:tcBorders>
              <w:top w:val="nil"/>
              <w:left w:val="nil"/>
              <w:bottom w:val="nil"/>
              <w:right w:val="nil"/>
            </w:tcBorders>
            <w:shd w:val="clear" w:color="FFFFFF" w:fill="FFFFFF"/>
            <w:vAlign w:val="bottom"/>
            <w:hideMark/>
          </w:tcPr>
          <w:p w14:paraId="2AF94706" w14:textId="77777777" w:rsidR="00520333" w:rsidRPr="003203A1" w:rsidRDefault="00520333" w:rsidP="005E5E0C">
            <w:pPr>
              <w:spacing w:after="0"/>
              <w:rPr>
                <w:rFonts w:cs="Arial"/>
                <w:sz w:val="18"/>
                <w:szCs w:val="18"/>
              </w:rPr>
            </w:pPr>
            <w:r w:rsidRPr="003203A1">
              <w:rPr>
                <w:rFonts w:cs="Arial"/>
                <w:sz w:val="18"/>
                <w:szCs w:val="18"/>
              </w:rPr>
              <w:t>Unwinding of discount and discount rate movement</w:t>
            </w:r>
          </w:p>
        </w:tc>
        <w:tc>
          <w:tcPr>
            <w:tcW w:w="1251" w:type="dxa"/>
            <w:tcBorders>
              <w:top w:val="nil"/>
              <w:left w:val="nil"/>
              <w:bottom w:val="nil"/>
              <w:right w:val="nil"/>
            </w:tcBorders>
            <w:shd w:val="clear" w:color="FFFFFF" w:fill="FFFFFF"/>
            <w:noWrap/>
            <w:vAlign w:val="bottom"/>
            <w:hideMark/>
          </w:tcPr>
          <w:p w14:paraId="38267A4F" w14:textId="77777777" w:rsidR="00520333" w:rsidRPr="003203A1" w:rsidRDefault="00520333" w:rsidP="005E5E0C">
            <w:pPr>
              <w:spacing w:after="0"/>
              <w:jc w:val="right"/>
              <w:rPr>
                <w:rFonts w:cs="Arial"/>
                <w:b/>
                <w:bCs/>
                <w:sz w:val="18"/>
                <w:szCs w:val="18"/>
              </w:rPr>
            </w:pPr>
            <w:r w:rsidRPr="003203A1">
              <w:rPr>
                <w:rFonts w:cs="Arial"/>
                <w:b/>
                <w:bCs/>
                <w:sz w:val="18"/>
                <w:szCs w:val="18"/>
              </w:rPr>
              <w:t>1,342</w:t>
            </w:r>
          </w:p>
        </w:tc>
        <w:tc>
          <w:tcPr>
            <w:tcW w:w="236" w:type="dxa"/>
            <w:tcBorders>
              <w:top w:val="nil"/>
              <w:left w:val="nil"/>
              <w:bottom w:val="nil"/>
              <w:right w:val="nil"/>
            </w:tcBorders>
            <w:shd w:val="clear" w:color="FFFFFF" w:fill="FFFFFF"/>
            <w:noWrap/>
            <w:vAlign w:val="bottom"/>
            <w:hideMark/>
          </w:tcPr>
          <w:p w14:paraId="372F0D54" w14:textId="77777777" w:rsidR="00520333" w:rsidRPr="003203A1" w:rsidRDefault="00520333" w:rsidP="005E5E0C">
            <w:pPr>
              <w:spacing w:after="0"/>
              <w:rPr>
                <w:rFonts w:cs="Arial"/>
                <w:sz w:val="18"/>
                <w:szCs w:val="18"/>
              </w:rPr>
            </w:pPr>
            <w:r w:rsidRPr="003203A1">
              <w:rPr>
                <w:rFonts w:cs="Arial"/>
                <w:sz w:val="18"/>
                <w:szCs w:val="18"/>
              </w:rPr>
              <w:t> </w:t>
            </w:r>
          </w:p>
        </w:tc>
        <w:tc>
          <w:tcPr>
            <w:tcW w:w="1243" w:type="dxa"/>
            <w:tcBorders>
              <w:top w:val="nil"/>
              <w:left w:val="nil"/>
              <w:bottom w:val="nil"/>
              <w:right w:val="nil"/>
            </w:tcBorders>
            <w:shd w:val="clear" w:color="FFFFFF" w:fill="FFFFFF"/>
            <w:noWrap/>
            <w:vAlign w:val="bottom"/>
            <w:hideMark/>
          </w:tcPr>
          <w:p w14:paraId="231F272F" w14:textId="77777777" w:rsidR="00520333" w:rsidRPr="003203A1" w:rsidRDefault="00520333" w:rsidP="005E5E0C">
            <w:pPr>
              <w:spacing w:after="0"/>
              <w:jc w:val="right"/>
              <w:rPr>
                <w:rFonts w:cs="Arial"/>
                <w:sz w:val="18"/>
                <w:szCs w:val="18"/>
              </w:rPr>
            </w:pPr>
            <w:r w:rsidRPr="003203A1">
              <w:rPr>
                <w:rFonts w:cs="Arial"/>
                <w:sz w:val="18"/>
                <w:szCs w:val="18"/>
              </w:rPr>
              <w:t>393</w:t>
            </w:r>
          </w:p>
        </w:tc>
      </w:tr>
      <w:tr w:rsidR="00520333" w:rsidRPr="003203A1" w14:paraId="7A653DBA" w14:textId="77777777" w:rsidTr="005E5E0C">
        <w:trPr>
          <w:trHeight w:val="260"/>
        </w:trPr>
        <w:tc>
          <w:tcPr>
            <w:tcW w:w="6357" w:type="dxa"/>
            <w:tcBorders>
              <w:top w:val="nil"/>
              <w:left w:val="nil"/>
              <w:bottom w:val="nil"/>
              <w:right w:val="nil"/>
            </w:tcBorders>
            <w:shd w:val="clear" w:color="FFFFFF" w:fill="FFFFFF"/>
            <w:vAlign w:val="bottom"/>
            <w:hideMark/>
          </w:tcPr>
          <w:p w14:paraId="0EBF357F" w14:textId="77777777" w:rsidR="00520333" w:rsidRPr="003203A1" w:rsidRDefault="00520333" w:rsidP="005E5E0C">
            <w:pPr>
              <w:spacing w:after="0"/>
              <w:rPr>
                <w:rFonts w:cs="Arial"/>
                <w:b/>
                <w:bCs/>
                <w:sz w:val="18"/>
                <w:szCs w:val="18"/>
              </w:rPr>
            </w:pPr>
            <w:r w:rsidRPr="003203A1">
              <w:rPr>
                <w:rFonts w:cs="Arial"/>
                <w:b/>
                <w:bCs/>
                <w:sz w:val="18"/>
                <w:szCs w:val="18"/>
              </w:rPr>
              <w:t>Total finance costs</w:t>
            </w:r>
          </w:p>
        </w:tc>
        <w:tc>
          <w:tcPr>
            <w:tcW w:w="1251" w:type="dxa"/>
            <w:tcBorders>
              <w:top w:val="single" w:sz="4" w:space="0" w:color="auto"/>
              <w:left w:val="nil"/>
              <w:bottom w:val="single" w:sz="4" w:space="0" w:color="auto"/>
              <w:right w:val="nil"/>
            </w:tcBorders>
            <w:shd w:val="clear" w:color="FFFFFF" w:fill="FFFFFF"/>
            <w:noWrap/>
            <w:vAlign w:val="bottom"/>
            <w:hideMark/>
          </w:tcPr>
          <w:p w14:paraId="58740C7F" w14:textId="77777777" w:rsidR="00520333" w:rsidRPr="003203A1" w:rsidRDefault="00520333" w:rsidP="005E5E0C">
            <w:pPr>
              <w:spacing w:after="0"/>
              <w:jc w:val="right"/>
              <w:rPr>
                <w:rFonts w:cs="Arial"/>
                <w:b/>
                <w:bCs/>
                <w:sz w:val="18"/>
                <w:szCs w:val="18"/>
              </w:rPr>
            </w:pPr>
            <w:r w:rsidRPr="003203A1">
              <w:rPr>
                <w:rFonts w:cs="Arial"/>
                <w:b/>
                <w:bCs/>
                <w:sz w:val="18"/>
                <w:szCs w:val="18"/>
              </w:rPr>
              <w:t>4,342</w:t>
            </w:r>
          </w:p>
        </w:tc>
        <w:tc>
          <w:tcPr>
            <w:tcW w:w="236" w:type="dxa"/>
            <w:tcBorders>
              <w:top w:val="nil"/>
              <w:left w:val="nil"/>
              <w:bottom w:val="nil"/>
              <w:right w:val="nil"/>
            </w:tcBorders>
            <w:shd w:val="clear" w:color="FFFFFF" w:fill="FFFFFF"/>
            <w:noWrap/>
            <w:vAlign w:val="bottom"/>
            <w:hideMark/>
          </w:tcPr>
          <w:p w14:paraId="77104949" w14:textId="77777777" w:rsidR="00520333" w:rsidRPr="003203A1" w:rsidRDefault="00520333" w:rsidP="005E5E0C">
            <w:pPr>
              <w:spacing w:after="0"/>
              <w:rPr>
                <w:rFonts w:cs="Arial"/>
                <w:sz w:val="18"/>
                <w:szCs w:val="18"/>
              </w:rPr>
            </w:pPr>
            <w:r w:rsidRPr="003203A1">
              <w:rPr>
                <w:rFonts w:cs="Arial"/>
                <w:sz w:val="18"/>
                <w:szCs w:val="18"/>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46D87DF7" w14:textId="77777777" w:rsidR="00520333" w:rsidRPr="003203A1" w:rsidRDefault="00520333" w:rsidP="005E5E0C">
            <w:pPr>
              <w:spacing w:after="0"/>
              <w:jc w:val="right"/>
              <w:rPr>
                <w:rFonts w:cs="Arial"/>
                <w:sz w:val="18"/>
                <w:szCs w:val="18"/>
              </w:rPr>
            </w:pPr>
            <w:r w:rsidRPr="003203A1">
              <w:rPr>
                <w:rFonts w:cs="Arial"/>
                <w:sz w:val="18"/>
                <w:szCs w:val="18"/>
              </w:rPr>
              <w:t>1,948</w:t>
            </w:r>
          </w:p>
        </w:tc>
      </w:tr>
      <w:tr w:rsidR="00520333" w:rsidRPr="003203A1" w14:paraId="60EBF068" w14:textId="77777777" w:rsidTr="005E5E0C">
        <w:trPr>
          <w:trHeight w:val="585"/>
        </w:trPr>
        <w:tc>
          <w:tcPr>
            <w:tcW w:w="9087" w:type="dxa"/>
            <w:gridSpan w:val="4"/>
            <w:tcBorders>
              <w:top w:val="nil"/>
              <w:left w:val="nil"/>
              <w:bottom w:val="nil"/>
              <w:right w:val="nil"/>
            </w:tcBorders>
            <w:shd w:val="clear" w:color="FFFFFF" w:fill="FFFFFF"/>
            <w:vAlign w:val="center"/>
            <w:hideMark/>
          </w:tcPr>
          <w:p w14:paraId="18FDEFF9" w14:textId="77777777" w:rsidR="00520333" w:rsidRPr="003203A1" w:rsidRDefault="00520333" w:rsidP="005E5E0C">
            <w:pPr>
              <w:spacing w:after="0"/>
              <w:rPr>
                <w:rFonts w:cs="Arial"/>
                <w:sz w:val="18"/>
                <w:szCs w:val="18"/>
              </w:rPr>
            </w:pPr>
            <w:r w:rsidRPr="003203A1">
              <w:rPr>
                <w:rFonts w:cs="Arial"/>
                <w:sz w:val="18"/>
                <w:szCs w:val="18"/>
              </w:rPr>
              <w:t>The above lease disclosures should be read in conjunction with the accompanying notes 1.1B, 1.2B, 2.2A and 2.5.</w:t>
            </w:r>
          </w:p>
        </w:tc>
      </w:tr>
    </w:tbl>
    <w:p w14:paraId="5672B486" w14:textId="77777777" w:rsidR="00520333" w:rsidRPr="003203A1" w:rsidRDefault="00520333" w:rsidP="00520333">
      <w:pPr>
        <w:pStyle w:val="PolicyheadingDept"/>
        <w:pBdr>
          <w:left w:val="single" w:sz="4" w:space="4" w:color="800080"/>
          <w:right w:val="single" w:sz="4" w:space="4" w:color="800080"/>
        </w:pBdr>
      </w:pPr>
      <w:r w:rsidRPr="003203A1">
        <w:t>Accounting Policy</w:t>
      </w:r>
    </w:p>
    <w:p w14:paraId="0984645B" w14:textId="77777777" w:rsidR="00520333" w:rsidRPr="003203A1" w:rsidRDefault="00520333" w:rsidP="00520333">
      <w:pPr>
        <w:pStyle w:val="PolicyheadingDept"/>
        <w:pBdr>
          <w:left w:val="single" w:sz="4" w:space="4" w:color="800080"/>
          <w:right w:val="single" w:sz="4" w:space="4" w:color="800080"/>
        </w:pBdr>
      </w:pPr>
      <w:r w:rsidRPr="003203A1">
        <w:rPr>
          <w:b w:val="0"/>
        </w:rPr>
        <w:t>All borrowing costs are expensed as incurred</w:t>
      </w:r>
      <w:r w:rsidRPr="003203A1">
        <w:t xml:space="preserve">. </w:t>
      </w:r>
    </w:p>
    <w:tbl>
      <w:tblPr>
        <w:tblW w:w="9087" w:type="dxa"/>
        <w:tblLayout w:type="fixed"/>
        <w:tblLook w:val="04A0" w:firstRow="1" w:lastRow="0" w:firstColumn="1" w:lastColumn="0" w:noHBand="0" w:noVBand="1"/>
      </w:tblPr>
      <w:tblGrid>
        <w:gridCol w:w="6366"/>
        <w:gridCol w:w="1260"/>
        <w:gridCol w:w="236"/>
        <w:gridCol w:w="1225"/>
      </w:tblGrid>
      <w:tr w:rsidR="00520333" w:rsidRPr="003203A1" w14:paraId="03EE39DF" w14:textId="77777777" w:rsidTr="005E5E0C">
        <w:trPr>
          <w:trHeight w:val="260"/>
        </w:trPr>
        <w:tc>
          <w:tcPr>
            <w:tcW w:w="6366" w:type="dxa"/>
            <w:tcBorders>
              <w:top w:val="nil"/>
              <w:left w:val="nil"/>
              <w:bottom w:val="nil"/>
              <w:right w:val="nil"/>
            </w:tcBorders>
            <w:shd w:val="clear" w:color="FFFFFF" w:fill="FFFFFF"/>
            <w:noWrap/>
            <w:vAlign w:val="bottom"/>
            <w:hideMark/>
          </w:tcPr>
          <w:p w14:paraId="370AAB36" w14:textId="77777777" w:rsidR="00520333" w:rsidRPr="003203A1" w:rsidRDefault="00520333" w:rsidP="005E5E0C">
            <w:pPr>
              <w:spacing w:after="0"/>
              <w:rPr>
                <w:rFonts w:cs="Arial"/>
                <w:b/>
                <w:bCs/>
                <w:sz w:val="18"/>
                <w:szCs w:val="18"/>
                <w:u w:val="single"/>
              </w:rPr>
            </w:pPr>
            <w:bookmarkStart w:id="152" w:name="Note_WDATABLE1" w:colFirst="0" w:colLast="0"/>
            <w:r w:rsidRPr="003203A1">
              <w:rPr>
                <w:rFonts w:cs="Arial"/>
                <w:b/>
                <w:bCs/>
                <w:sz w:val="18"/>
                <w:szCs w:val="18"/>
                <w:u w:val="single"/>
              </w:rPr>
              <w:t>Note 1.1E: Write-down and impairment of other assets</w:t>
            </w:r>
          </w:p>
        </w:tc>
        <w:tc>
          <w:tcPr>
            <w:tcW w:w="1260" w:type="dxa"/>
            <w:tcBorders>
              <w:top w:val="nil"/>
              <w:left w:val="nil"/>
              <w:bottom w:val="nil"/>
              <w:right w:val="nil"/>
            </w:tcBorders>
            <w:shd w:val="clear" w:color="FFFFFF" w:fill="FFFFFF"/>
            <w:noWrap/>
            <w:vAlign w:val="bottom"/>
            <w:hideMark/>
          </w:tcPr>
          <w:p w14:paraId="2F56FA47" w14:textId="77777777" w:rsidR="00520333" w:rsidRPr="003203A1" w:rsidRDefault="00520333" w:rsidP="005E5E0C">
            <w:pPr>
              <w:spacing w:after="0"/>
              <w:jc w:val="right"/>
              <w:rPr>
                <w:rFonts w:cs="Arial"/>
                <w:b/>
                <w:bCs/>
                <w:sz w:val="18"/>
                <w:szCs w:val="18"/>
              </w:rPr>
            </w:pPr>
            <w:r w:rsidRPr="003203A1">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36CC5075" w14:textId="77777777" w:rsidR="00520333" w:rsidRPr="003203A1" w:rsidRDefault="00520333" w:rsidP="005E5E0C">
            <w:pPr>
              <w:spacing w:after="0"/>
              <w:rPr>
                <w:rFonts w:cs="Arial"/>
                <w:sz w:val="18"/>
                <w:szCs w:val="18"/>
              </w:rPr>
            </w:pPr>
            <w:r w:rsidRPr="003203A1">
              <w:rPr>
                <w:rFonts w:cs="Arial"/>
                <w:sz w:val="18"/>
                <w:szCs w:val="18"/>
              </w:rPr>
              <w:t> </w:t>
            </w:r>
          </w:p>
        </w:tc>
        <w:tc>
          <w:tcPr>
            <w:tcW w:w="1225" w:type="dxa"/>
            <w:tcBorders>
              <w:top w:val="nil"/>
              <w:left w:val="nil"/>
              <w:bottom w:val="nil"/>
              <w:right w:val="nil"/>
            </w:tcBorders>
            <w:shd w:val="clear" w:color="FFFFFF" w:fill="FFFFFF"/>
            <w:noWrap/>
            <w:vAlign w:val="bottom"/>
            <w:hideMark/>
          </w:tcPr>
          <w:p w14:paraId="57376A1A" w14:textId="77777777" w:rsidR="00520333" w:rsidRPr="003203A1" w:rsidRDefault="00520333" w:rsidP="005E5E0C">
            <w:pPr>
              <w:spacing w:after="0"/>
              <w:jc w:val="right"/>
              <w:rPr>
                <w:rFonts w:cs="Arial"/>
                <w:sz w:val="18"/>
                <w:szCs w:val="18"/>
              </w:rPr>
            </w:pPr>
            <w:r w:rsidRPr="003203A1">
              <w:rPr>
                <w:rFonts w:cs="Arial"/>
                <w:sz w:val="18"/>
                <w:szCs w:val="18"/>
              </w:rPr>
              <w:t> </w:t>
            </w:r>
          </w:p>
        </w:tc>
      </w:tr>
      <w:bookmarkEnd w:id="152"/>
      <w:tr w:rsidR="00520333" w:rsidRPr="003203A1" w14:paraId="61F221D9" w14:textId="77777777" w:rsidTr="005E5E0C">
        <w:trPr>
          <w:trHeight w:val="250"/>
        </w:trPr>
        <w:tc>
          <w:tcPr>
            <w:tcW w:w="6366" w:type="dxa"/>
            <w:tcBorders>
              <w:top w:val="nil"/>
              <w:left w:val="nil"/>
              <w:bottom w:val="nil"/>
              <w:right w:val="nil"/>
            </w:tcBorders>
            <w:shd w:val="clear" w:color="FFFFFF" w:fill="FFFFFF"/>
            <w:noWrap/>
            <w:vAlign w:val="bottom"/>
            <w:hideMark/>
          </w:tcPr>
          <w:p w14:paraId="652ECBFE" w14:textId="77777777" w:rsidR="00520333" w:rsidRPr="003203A1" w:rsidRDefault="00520333" w:rsidP="005E5E0C">
            <w:pPr>
              <w:spacing w:after="0"/>
              <w:rPr>
                <w:rFonts w:cs="Arial"/>
                <w:sz w:val="18"/>
                <w:szCs w:val="18"/>
              </w:rPr>
            </w:pPr>
            <w:r w:rsidRPr="003203A1">
              <w:rPr>
                <w:rFonts w:cs="Arial"/>
                <w:sz w:val="18"/>
                <w:szCs w:val="18"/>
              </w:rPr>
              <w:t>Buildings, plant and equipment</w:t>
            </w:r>
          </w:p>
        </w:tc>
        <w:tc>
          <w:tcPr>
            <w:tcW w:w="1260" w:type="dxa"/>
            <w:tcBorders>
              <w:top w:val="nil"/>
              <w:left w:val="nil"/>
              <w:bottom w:val="nil"/>
              <w:right w:val="nil"/>
            </w:tcBorders>
            <w:shd w:val="clear" w:color="FFFFFF" w:fill="FFFFFF"/>
            <w:noWrap/>
            <w:vAlign w:val="bottom"/>
            <w:hideMark/>
          </w:tcPr>
          <w:p w14:paraId="4F54C104" w14:textId="77777777" w:rsidR="00520333" w:rsidRPr="003203A1" w:rsidRDefault="00520333" w:rsidP="005E5E0C">
            <w:pPr>
              <w:spacing w:after="0"/>
              <w:jc w:val="right"/>
              <w:rPr>
                <w:rFonts w:cs="Arial"/>
                <w:b/>
                <w:bCs/>
                <w:sz w:val="18"/>
                <w:szCs w:val="18"/>
              </w:rPr>
            </w:pPr>
            <w:r w:rsidRPr="003203A1">
              <w:rPr>
                <w:rFonts w:cs="Arial"/>
                <w:b/>
                <w:bCs/>
                <w:sz w:val="18"/>
                <w:szCs w:val="18"/>
              </w:rPr>
              <w:t>-</w:t>
            </w:r>
          </w:p>
        </w:tc>
        <w:tc>
          <w:tcPr>
            <w:tcW w:w="236" w:type="dxa"/>
            <w:tcBorders>
              <w:top w:val="nil"/>
              <w:left w:val="nil"/>
              <w:bottom w:val="nil"/>
              <w:right w:val="nil"/>
            </w:tcBorders>
            <w:shd w:val="clear" w:color="FFFFFF" w:fill="FFFFFF"/>
            <w:noWrap/>
            <w:vAlign w:val="bottom"/>
            <w:hideMark/>
          </w:tcPr>
          <w:p w14:paraId="017D85F5" w14:textId="77777777" w:rsidR="00520333" w:rsidRPr="003203A1" w:rsidRDefault="00520333" w:rsidP="005E5E0C">
            <w:pPr>
              <w:spacing w:after="0"/>
              <w:rPr>
                <w:rFonts w:cs="Arial"/>
                <w:sz w:val="18"/>
                <w:szCs w:val="18"/>
              </w:rPr>
            </w:pPr>
            <w:r w:rsidRPr="003203A1">
              <w:rPr>
                <w:rFonts w:cs="Arial"/>
                <w:sz w:val="18"/>
                <w:szCs w:val="18"/>
              </w:rPr>
              <w:t> </w:t>
            </w:r>
          </w:p>
        </w:tc>
        <w:tc>
          <w:tcPr>
            <w:tcW w:w="1225" w:type="dxa"/>
            <w:tcBorders>
              <w:top w:val="nil"/>
              <w:left w:val="nil"/>
              <w:bottom w:val="nil"/>
              <w:right w:val="nil"/>
            </w:tcBorders>
            <w:shd w:val="clear" w:color="FFFFFF" w:fill="FFFFFF"/>
            <w:noWrap/>
            <w:vAlign w:val="bottom"/>
            <w:hideMark/>
          </w:tcPr>
          <w:p w14:paraId="4788B0C4" w14:textId="77777777" w:rsidR="00520333" w:rsidRPr="003203A1" w:rsidRDefault="00520333" w:rsidP="005E5E0C">
            <w:pPr>
              <w:spacing w:after="0"/>
              <w:jc w:val="right"/>
              <w:rPr>
                <w:rFonts w:cs="Arial"/>
                <w:sz w:val="18"/>
                <w:szCs w:val="18"/>
              </w:rPr>
            </w:pPr>
            <w:r w:rsidRPr="003203A1">
              <w:rPr>
                <w:rFonts w:cs="Arial"/>
                <w:sz w:val="18"/>
                <w:szCs w:val="18"/>
              </w:rPr>
              <w:t>3,653</w:t>
            </w:r>
          </w:p>
        </w:tc>
      </w:tr>
      <w:tr w:rsidR="00520333" w:rsidRPr="003203A1" w14:paraId="60F1BFB4" w14:textId="77777777" w:rsidTr="005E5E0C">
        <w:trPr>
          <w:trHeight w:val="250"/>
        </w:trPr>
        <w:tc>
          <w:tcPr>
            <w:tcW w:w="6366" w:type="dxa"/>
            <w:tcBorders>
              <w:top w:val="nil"/>
              <w:left w:val="nil"/>
              <w:bottom w:val="nil"/>
              <w:right w:val="nil"/>
            </w:tcBorders>
            <w:shd w:val="clear" w:color="FFFFFF" w:fill="FFFFFF"/>
            <w:noWrap/>
            <w:vAlign w:val="bottom"/>
            <w:hideMark/>
          </w:tcPr>
          <w:p w14:paraId="2109748D" w14:textId="77777777" w:rsidR="00520333" w:rsidRPr="003203A1" w:rsidRDefault="00520333" w:rsidP="005E5E0C">
            <w:pPr>
              <w:spacing w:after="0"/>
              <w:rPr>
                <w:rFonts w:cs="Arial"/>
                <w:sz w:val="18"/>
                <w:szCs w:val="18"/>
              </w:rPr>
            </w:pPr>
            <w:r w:rsidRPr="003203A1">
              <w:rPr>
                <w:rFonts w:cs="Arial"/>
                <w:sz w:val="18"/>
                <w:szCs w:val="18"/>
              </w:rPr>
              <w:t>Goods and Services - external parties</w:t>
            </w:r>
          </w:p>
        </w:tc>
        <w:tc>
          <w:tcPr>
            <w:tcW w:w="1260" w:type="dxa"/>
            <w:tcBorders>
              <w:top w:val="nil"/>
              <w:left w:val="nil"/>
              <w:bottom w:val="nil"/>
              <w:right w:val="nil"/>
            </w:tcBorders>
            <w:shd w:val="clear" w:color="FFFFFF" w:fill="FFFFFF"/>
            <w:noWrap/>
            <w:vAlign w:val="bottom"/>
            <w:hideMark/>
          </w:tcPr>
          <w:p w14:paraId="02C8FC39" w14:textId="77777777" w:rsidR="00520333" w:rsidRPr="003203A1" w:rsidRDefault="00520333" w:rsidP="005E5E0C">
            <w:pPr>
              <w:spacing w:after="0"/>
              <w:jc w:val="right"/>
              <w:rPr>
                <w:rFonts w:cs="Arial"/>
                <w:b/>
                <w:bCs/>
                <w:sz w:val="18"/>
                <w:szCs w:val="18"/>
              </w:rPr>
            </w:pPr>
            <w:r w:rsidRPr="003203A1">
              <w:rPr>
                <w:rFonts w:cs="Arial"/>
                <w:b/>
                <w:bCs/>
                <w:sz w:val="18"/>
                <w:szCs w:val="18"/>
              </w:rPr>
              <w:t>35,939</w:t>
            </w:r>
          </w:p>
        </w:tc>
        <w:tc>
          <w:tcPr>
            <w:tcW w:w="236" w:type="dxa"/>
            <w:tcBorders>
              <w:top w:val="nil"/>
              <w:left w:val="nil"/>
              <w:bottom w:val="nil"/>
              <w:right w:val="nil"/>
            </w:tcBorders>
            <w:shd w:val="clear" w:color="FFFFFF" w:fill="FFFFFF"/>
            <w:noWrap/>
            <w:vAlign w:val="bottom"/>
            <w:hideMark/>
          </w:tcPr>
          <w:p w14:paraId="7380D69E" w14:textId="77777777" w:rsidR="00520333" w:rsidRPr="003203A1" w:rsidRDefault="00520333" w:rsidP="005E5E0C">
            <w:pPr>
              <w:spacing w:after="0"/>
              <w:rPr>
                <w:rFonts w:cs="Arial"/>
                <w:sz w:val="18"/>
                <w:szCs w:val="18"/>
              </w:rPr>
            </w:pPr>
            <w:r w:rsidRPr="003203A1">
              <w:rPr>
                <w:rFonts w:cs="Arial"/>
                <w:sz w:val="18"/>
                <w:szCs w:val="18"/>
              </w:rPr>
              <w:t> </w:t>
            </w:r>
          </w:p>
        </w:tc>
        <w:tc>
          <w:tcPr>
            <w:tcW w:w="1225" w:type="dxa"/>
            <w:tcBorders>
              <w:top w:val="nil"/>
              <w:left w:val="nil"/>
              <w:bottom w:val="nil"/>
              <w:right w:val="nil"/>
            </w:tcBorders>
            <w:shd w:val="clear" w:color="FFFFFF" w:fill="FFFFFF"/>
            <w:noWrap/>
            <w:vAlign w:val="bottom"/>
            <w:hideMark/>
          </w:tcPr>
          <w:p w14:paraId="30B66948" w14:textId="77777777" w:rsidR="00520333" w:rsidRPr="003203A1" w:rsidRDefault="00520333" w:rsidP="005E5E0C">
            <w:pPr>
              <w:spacing w:after="0"/>
              <w:jc w:val="right"/>
              <w:rPr>
                <w:rFonts w:cs="Arial"/>
                <w:sz w:val="18"/>
                <w:szCs w:val="18"/>
              </w:rPr>
            </w:pPr>
            <w:r w:rsidRPr="003203A1">
              <w:rPr>
                <w:rFonts w:cs="Arial"/>
                <w:sz w:val="18"/>
                <w:szCs w:val="18"/>
              </w:rPr>
              <w:t>-</w:t>
            </w:r>
          </w:p>
        </w:tc>
      </w:tr>
      <w:tr w:rsidR="00520333" w:rsidRPr="003203A1" w14:paraId="7797E4AD" w14:textId="77777777" w:rsidTr="005E5E0C">
        <w:trPr>
          <w:trHeight w:val="250"/>
        </w:trPr>
        <w:tc>
          <w:tcPr>
            <w:tcW w:w="6366" w:type="dxa"/>
            <w:tcBorders>
              <w:top w:val="nil"/>
              <w:left w:val="nil"/>
              <w:bottom w:val="nil"/>
              <w:right w:val="nil"/>
            </w:tcBorders>
            <w:shd w:val="clear" w:color="FFFFFF" w:fill="FFFFFF"/>
            <w:noWrap/>
            <w:vAlign w:val="bottom"/>
            <w:hideMark/>
          </w:tcPr>
          <w:p w14:paraId="35544059" w14:textId="77777777" w:rsidR="00520333" w:rsidRPr="003203A1" w:rsidRDefault="00520333" w:rsidP="005E5E0C">
            <w:pPr>
              <w:spacing w:after="0"/>
              <w:rPr>
                <w:rFonts w:cs="Arial"/>
                <w:sz w:val="18"/>
                <w:szCs w:val="18"/>
              </w:rPr>
            </w:pPr>
            <w:r w:rsidRPr="003203A1">
              <w:rPr>
                <w:rFonts w:cs="Arial"/>
                <w:sz w:val="18"/>
                <w:szCs w:val="18"/>
              </w:rPr>
              <w:t>Participant and provider receivables</w:t>
            </w:r>
          </w:p>
        </w:tc>
        <w:tc>
          <w:tcPr>
            <w:tcW w:w="1260" w:type="dxa"/>
            <w:tcBorders>
              <w:top w:val="nil"/>
              <w:left w:val="nil"/>
              <w:bottom w:val="nil"/>
              <w:right w:val="nil"/>
            </w:tcBorders>
            <w:shd w:val="clear" w:color="FFFFFF" w:fill="FFFFFF"/>
            <w:noWrap/>
            <w:vAlign w:val="bottom"/>
            <w:hideMark/>
          </w:tcPr>
          <w:p w14:paraId="7C3555A5" w14:textId="77777777" w:rsidR="00520333" w:rsidRPr="003203A1" w:rsidRDefault="00520333" w:rsidP="005E5E0C">
            <w:pPr>
              <w:spacing w:after="0"/>
              <w:jc w:val="right"/>
              <w:rPr>
                <w:rFonts w:cs="Arial"/>
                <w:b/>
                <w:bCs/>
                <w:sz w:val="18"/>
                <w:szCs w:val="18"/>
              </w:rPr>
            </w:pPr>
            <w:r w:rsidRPr="003203A1">
              <w:rPr>
                <w:rFonts w:cs="Arial"/>
                <w:b/>
                <w:bCs/>
                <w:sz w:val="18"/>
                <w:szCs w:val="18"/>
              </w:rPr>
              <w:t>6,761</w:t>
            </w:r>
          </w:p>
        </w:tc>
        <w:tc>
          <w:tcPr>
            <w:tcW w:w="236" w:type="dxa"/>
            <w:tcBorders>
              <w:top w:val="nil"/>
              <w:left w:val="nil"/>
              <w:bottom w:val="nil"/>
              <w:right w:val="nil"/>
            </w:tcBorders>
            <w:shd w:val="clear" w:color="FFFFFF" w:fill="FFFFFF"/>
            <w:noWrap/>
            <w:vAlign w:val="bottom"/>
            <w:hideMark/>
          </w:tcPr>
          <w:p w14:paraId="25238771" w14:textId="77777777" w:rsidR="00520333" w:rsidRPr="003203A1" w:rsidRDefault="00520333" w:rsidP="005E5E0C">
            <w:pPr>
              <w:spacing w:after="0"/>
              <w:rPr>
                <w:rFonts w:cs="Arial"/>
                <w:sz w:val="18"/>
                <w:szCs w:val="18"/>
              </w:rPr>
            </w:pPr>
            <w:r w:rsidRPr="003203A1">
              <w:rPr>
                <w:rFonts w:cs="Arial"/>
                <w:sz w:val="18"/>
                <w:szCs w:val="18"/>
              </w:rPr>
              <w:t> </w:t>
            </w:r>
          </w:p>
        </w:tc>
        <w:tc>
          <w:tcPr>
            <w:tcW w:w="1225" w:type="dxa"/>
            <w:tcBorders>
              <w:top w:val="nil"/>
              <w:left w:val="nil"/>
              <w:bottom w:val="nil"/>
              <w:right w:val="nil"/>
            </w:tcBorders>
            <w:shd w:val="clear" w:color="FFFFFF" w:fill="FFFFFF"/>
            <w:noWrap/>
            <w:vAlign w:val="bottom"/>
            <w:hideMark/>
          </w:tcPr>
          <w:p w14:paraId="5F0FAE20" w14:textId="77777777" w:rsidR="00520333" w:rsidRPr="003203A1" w:rsidRDefault="00520333" w:rsidP="005E5E0C">
            <w:pPr>
              <w:spacing w:after="0"/>
              <w:jc w:val="right"/>
              <w:rPr>
                <w:rFonts w:cs="Arial"/>
                <w:sz w:val="18"/>
                <w:szCs w:val="18"/>
              </w:rPr>
            </w:pPr>
            <w:r w:rsidRPr="003203A1">
              <w:rPr>
                <w:rFonts w:cs="Arial"/>
                <w:sz w:val="18"/>
                <w:szCs w:val="18"/>
              </w:rPr>
              <w:t>3,173</w:t>
            </w:r>
          </w:p>
        </w:tc>
      </w:tr>
      <w:tr w:rsidR="00520333" w:rsidRPr="003203A1" w14:paraId="486DFBDE" w14:textId="77777777" w:rsidTr="005E5E0C">
        <w:trPr>
          <w:trHeight w:val="250"/>
        </w:trPr>
        <w:tc>
          <w:tcPr>
            <w:tcW w:w="6366" w:type="dxa"/>
            <w:tcBorders>
              <w:top w:val="nil"/>
              <w:left w:val="nil"/>
              <w:bottom w:val="nil"/>
              <w:right w:val="nil"/>
            </w:tcBorders>
            <w:shd w:val="clear" w:color="FFFFFF" w:fill="FFFFFF"/>
            <w:noWrap/>
            <w:vAlign w:val="bottom"/>
            <w:hideMark/>
          </w:tcPr>
          <w:p w14:paraId="192CC5FF" w14:textId="77777777" w:rsidR="00520333" w:rsidRPr="003203A1" w:rsidRDefault="00520333" w:rsidP="005E5E0C">
            <w:pPr>
              <w:spacing w:after="0"/>
              <w:rPr>
                <w:rFonts w:cs="Arial"/>
                <w:sz w:val="18"/>
                <w:szCs w:val="18"/>
              </w:rPr>
            </w:pPr>
            <w:r w:rsidRPr="003203A1">
              <w:rPr>
                <w:rFonts w:cs="Arial"/>
                <w:sz w:val="18"/>
                <w:szCs w:val="18"/>
              </w:rPr>
              <w:t>Other receivables</w:t>
            </w:r>
          </w:p>
        </w:tc>
        <w:tc>
          <w:tcPr>
            <w:tcW w:w="1260" w:type="dxa"/>
            <w:tcBorders>
              <w:top w:val="nil"/>
              <w:left w:val="nil"/>
              <w:bottom w:val="nil"/>
              <w:right w:val="nil"/>
            </w:tcBorders>
            <w:shd w:val="clear" w:color="FFFFFF" w:fill="FFFFFF"/>
            <w:noWrap/>
            <w:vAlign w:val="bottom"/>
            <w:hideMark/>
          </w:tcPr>
          <w:p w14:paraId="65B498EF" w14:textId="77777777" w:rsidR="00520333" w:rsidRPr="003203A1" w:rsidRDefault="00520333" w:rsidP="005E5E0C">
            <w:pPr>
              <w:spacing w:after="0"/>
              <w:jc w:val="right"/>
              <w:rPr>
                <w:rFonts w:cs="Arial"/>
                <w:b/>
                <w:bCs/>
                <w:sz w:val="18"/>
                <w:szCs w:val="18"/>
              </w:rPr>
            </w:pPr>
            <w:r w:rsidRPr="003203A1">
              <w:rPr>
                <w:rFonts w:cs="Arial"/>
                <w:b/>
                <w:bCs/>
                <w:sz w:val="18"/>
                <w:szCs w:val="18"/>
              </w:rPr>
              <w:t>17</w:t>
            </w:r>
          </w:p>
        </w:tc>
        <w:tc>
          <w:tcPr>
            <w:tcW w:w="236" w:type="dxa"/>
            <w:tcBorders>
              <w:top w:val="nil"/>
              <w:left w:val="nil"/>
              <w:bottom w:val="nil"/>
              <w:right w:val="nil"/>
            </w:tcBorders>
            <w:shd w:val="clear" w:color="FFFFFF" w:fill="FFFFFF"/>
            <w:noWrap/>
            <w:vAlign w:val="bottom"/>
            <w:hideMark/>
          </w:tcPr>
          <w:p w14:paraId="5C5BE5BC" w14:textId="77777777" w:rsidR="00520333" w:rsidRPr="003203A1" w:rsidRDefault="00520333" w:rsidP="005E5E0C">
            <w:pPr>
              <w:spacing w:after="0"/>
              <w:rPr>
                <w:rFonts w:cs="Arial"/>
                <w:sz w:val="18"/>
                <w:szCs w:val="18"/>
              </w:rPr>
            </w:pPr>
            <w:r w:rsidRPr="003203A1">
              <w:rPr>
                <w:rFonts w:cs="Arial"/>
                <w:sz w:val="18"/>
                <w:szCs w:val="18"/>
              </w:rPr>
              <w:t> </w:t>
            </w:r>
          </w:p>
        </w:tc>
        <w:tc>
          <w:tcPr>
            <w:tcW w:w="1225" w:type="dxa"/>
            <w:tcBorders>
              <w:top w:val="nil"/>
              <w:left w:val="nil"/>
              <w:bottom w:val="nil"/>
              <w:right w:val="nil"/>
            </w:tcBorders>
            <w:shd w:val="clear" w:color="FFFFFF" w:fill="FFFFFF"/>
            <w:noWrap/>
            <w:vAlign w:val="bottom"/>
            <w:hideMark/>
          </w:tcPr>
          <w:p w14:paraId="4C894020" w14:textId="77777777" w:rsidR="00520333" w:rsidRPr="003203A1" w:rsidRDefault="00520333" w:rsidP="005E5E0C">
            <w:pPr>
              <w:spacing w:after="0"/>
              <w:jc w:val="right"/>
              <w:rPr>
                <w:rFonts w:cs="Arial"/>
                <w:sz w:val="18"/>
                <w:szCs w:val="18"/>
              </w:rPr>
            </w:pPr>
            <w:r w:rsidRPr="003203A1">
              <w:rPr>
                <w:rFonts w:cs="Arial"/>
                <w:sz w:val="18"/>
                <w:szCs w:val="18"/>
              </w:rPr>
              <w:t>2,468</w:t>
            </w:r>
          </w:p>
        </w:tc>
      </w:tr>
      <w:tr w:rsidR="00520333" w:rsidRPr="003203A1" w14:paraId="5CEEED32" w14:textId="77777777" w:rsidTr="005E5E0C">
        <w:trPr>
          <w:trHeight w:val="250"/>
        </w:trPr>
        <w:tc>
          <w:tcPr>
            <w:tcW w:w="6366" w:type="dxa"/>
            <w:tcBorders>
              <w:top w:val="nil"/>
              <w:left w:val="nil"/>
              <w:bottom w:val="nil"/>
              <w:right w:val="nil"/>
            </w:tcBorders>
            <w:shd w:val="clear" w:color="FFFFFF" w:fill="FFFFFF"/>
            <w:vAlign w:val="bottom"/>
            <w:hideMark/>
          </w:tcPr>
          <w:p w14:paraId="3E64513C" w14:textId="77777777" w:rsidR="00520333" w:rsidRPr="003203A1" w:rsidRDefault="00520333" w:rsidP="005E5E0C">
            <w:pPr>
              <w:spacing w:after="0"/>
              <w:rPr>
                <w:rFonts w:cs="Arial"/>
                <w:b/>
                <w:bCs/>
                <w:sz w:val="18"/>
                <w:szCs w:val="18"/>
              </w:rPr>
            </w:pPr>
            <w:r w:rsidRPr="003203A1">
              <w:rPr>
                <w:rFonts w:cs="Arial"/>
                <w:b/>
                <w:bCs/>
                <w:sz w:val="18"/>
                <w:szCs w:val="18"/>
              </w:rPr>
              <w:t>Total write-down and impairment of other assets</w:t>
            </w:r>
          </w:p>
        </w:tc>
        <w:tc>
          <w:tcPr>
            <w:tcW w:w="1260" w:type="dxa"/>
            <w:tcBorders>
              <w:top w:val="single" w:sz="4" w:space="0" w:color="auto"/>
              <w:left w:val="nil"/>
              <w:bottom w:val="single" w:sz="4" w:space="0" w:color="auto"/>
              <w:right w:val="nil"/>
            </w:tcBorders>
            <w:shd w:val="clear" w:color="FFFFFF" w:fill="FFFFFF"/>
            <w:noWrap/>
            <w:vAlign w:val="bottom"/>
            <w:hideMark/>
          </w:tcPr>
          <w:p w14:paraId="298D3F9E" w14:textId="77777777" w:rsidR="00520333" w:rsidRPr="003203A1" w:rsidRDefault="00520333" w:rsidP="005E5E0C">
            <w:pPr>
              <w:spacing w:after="0"/>
              <w:jc w:val="right"/>
              <w:rPr>
                <w:rFonts w:cs="Arial"/>
                <w:b/>
                <w:bCs/>
                <w:sz w:val="18"/>
                <w:szCs w:val="18"/>
              </w:rPr>
            </w:pPr>
            <w:r w:rsidRPr="003203A1">
              <w:rPr>
                <w:rFonts w:cs="Arial"/>
                <w:b/>
                <w:bCs/>
                <w:sz w:val="18"/>
                <w:szCs w:val="18"/>
              </w:rPr>
              <w:t>42,717</w:t>
            </w:r>
          </w:p>
        </w:tc>
        <w:tc>
          <w:tcPr>
            <w:tcW w:w="236" w:type="dxa"/>
            <w:tcBorders>
              <w:top w:val="nil"/>
              <w:left w:val="nil"/>
              <w:bottom w:val="nil"/>
              <w:right w:val="nil"/>
            </w:tcBorders>
            <w:shd w:val="clear" w:color="FFFFFF" w:fill="FFFFFF"/>
            <w:noWrap/>
            <w:vAlign w:val="bottom"/>
            <w:hideMark/>
          </w:tcPr>
          <w:p w14:paraId="2ACE5B8E" w14:textId="77777777" w:rsidR="00520333" w:rsidRPr="003203A1" w:rsidRDefault="00520333" w:rsidP="005E5E0C">
            <w:pPr>
              <w:spacing w:after="0"/>
              <w:rPr>
                <w:rFonts w:cs="Arial"/>
                <w:sz w:val="18"/>
                <w:szCs w:val="18"/>
              </w:rPr>
            </w:pPr>
            <w:r w:rsidRPr="003203A1">
              <w:rPr>
                <w:rFonts w:cs="Arial"/>
                <w:sz w:val="18"/>
                <w:szCs w:val="18"/>
              </w:rPr>
              <w:t> </w:t>
            </w:r>
          </w:p>
        </w:tc>
        <w:tc>
          <w:tcPr>
            <w:tcW w:w="1225" w:type="dxa"/>
            <w:tcBorders>
              <w:top w:val="single" w:sz="4" w:space="0" w:color="auto"/>
              <w:left w:val="nil"/>
              <w:bottom w:val="single" w:sz="4" w:space="0" w:color="auto"/>
              <w:right w:val="nil"/>
            </w:tcBorders>
            <w:shd w:val="clear" w:color="FFFFFF" w:fill="FFFFFF"/>
            <w:noWrap/>
            <w:vAlign w:val="bottom"/>
            <w:hideMark/>
          </w:tcPr>
          <w:p w14:paraId="499B112E" w14:textId="77777777" w:rsidR="00520333" w:rsidRPr="003203A1" w:rsidRDefault="00520333" w:rsidP="005E5E0C">
            <w:pPr>
              <w:spacing w:after="0"/>
              <w:jc w:val="right"/>
              <w:rPr>
                <w:rFonts w:cs="Arial"/>
                <w:sz w:val="18"/>
                <w:szCs w:val="18"/>
              </w:rPr>
            </w:pPr>
            <w:r w:rsidRPr="003203A1">
              <w:rPr>
                <w:rFonts w:cs="Arial"/>
                <w:sz w:val="18"/>
                <w:szCs w:val="18"/>
              </w:rPr>
              <w:t>9,294</w:t>
            </w:r>
          </w:p>
        </w:tc>
      </w:tr>
    </w:tbl>
    <w:p w14:paraId="550E8F0C" w14:textId="77777777" w:rsidR="00520333" w:rsidRPr="003203A1" w:rsidRDefault="00520333" w:rsidP="00520333">
      <w:pPr>
        <w:pStyle w:val="PolicytextDept"/>
        <w:pBdr>
          <w:top w:val="none" w:sz="0" w:space="0" w:color="auto"/>
          <w:left w:val="none" w:sz="0" w:space="0" w:color="auto"/>
          <w:bottom w:val="none" w:sz="0" w:space="0" w:color="auto"/>
          <w:right w:val="none" w:sz="0" w:space="0" w:color="auto"/>
        </w:pBdr>
        <w:rPr>
          <w:b/>
        </w:rPr>
      </w:pPr>
    </w:p>
    <w:tbl>
      <w:tblPr>
        <w:tblW w:w="9087" w:type="dxa"/>
        <w:tblLayout w:type="fixed"/>
        <w:tblLook w:val="04A0" w:firstRow="1" w:lastRow="0" w:firstColumn="1" w:lastColumn="0" w:noHBand="0" w:noVBand="1"/>
      </w:tblPr>
      <w:tblGrid>
        <w:gridCol w:w="6351"/>
        <w:gridCol w:w="1259"/>
        <w:gridCol w:w="236"/>
        <w:gridCol w:w="1241"/>
      </w:tblGrid>
      <w:tr w:rsidR="00520333" w:rsidRPr="003203A1" w14:paraId="2E941C6A" w14:textId="77777777" w:rsidTr="005E5E0C">
        <w:trPr>
          <w:trHeight w:val="253"/>
        </w:trPr>
        <w:tc>
          <w:tcPr>
            <w:tcW w:w="6351" w:type="dxa"/>
            <w:tcBorders>
              <w:top w:val="nil"/>
              <w:left w:val="nil"/>
              <w:bottom w:val="nil"/>
              <w:right w:val="nil"/>
            </w:tcBorders>
            <w:shd w:val="clear" w:color="FFFFFF" w:fill="FFFFFF"/>
            <w:noWrap/>
            <w:vAlign w:val="bottom"/>
            <w:hideMark/>
          </w:tcPr>
          <w:p w14:paraId="2A92B12D" w14:textId="77777777" w:rsidR="00520333" w:rsidRPr="003203A1" w:rsidRDefault="00520333" w:rsidP="005E5E0C">
            <w:pPr>
              <w:spacing w:after="0"/>
              <w:rPr>
                <w:rFonts w:cs="Arial"/>
                <w:b/>
                <w:bCs/>
                <w:sz w:val="18"/>
                <w:szCs w:val="18"/>
                <w:u w:val="single"/>
              </w:rPr>
            </w:pPr>
            <w:bookmarkStart w:id="153" w:name="Note_SCCTABLE1" w:colFirst="0" w:colLast="0"/>
            <w:r w:rsidRPr="003203A1">
              <w:rPr>
                <w:rFonts w:cs="Arial"/>
                <w:b/>
                <w:bCs/>
                <w:sz w:val="18"/>
                <w:szCs w:val="18"/>
                <w:u w:val="single"/>
              </w:rPr>
              <w:t>Note 1.1F: Community partnership costs</w:t>
            </w:r>
          </w:p>
        </w:tc>
        <w:tc>
          <w:tcPr>
            <w:tcW w:w="1259" w:type="dxa"/>
            <w:tcBorders>
              <w:top w:val="nil"/>
              <w:left w:val="nil"/>
              <w:bottom w:val="nil"/>
              <w:right w:val="nil"/>
            </w:tcBorders>
            <w:shd w:val="clear" w:color="FFFFFF" w:fill="FFFFFF"/>
            <w:noWrap/>
            <w:vAlign w:val="bottom"/>
            <w:hideMark/>
          </w:tcPr>
          <w:p w14:paraId="58A3E1D0" w14:textId="77777777" w:rsidR="00520333" w:rsidRPr="003203A1" w:rsidRDefault="00520333" w:rsidP="005E5E0C">
            <w:pPr>
              <w:spacing w:after="0"/>
              <w:rPr>
                <w:rFonts w:cs="Arial"/>
                <w:sz w:val="18"/>
                <w:szCs w:val="18"/>
              </w:rPr>
            </w:pPr>
            <w:r w:rsidRPr="003203A1">
              <w:rPr>
                <w:rFonts w:cs="Arial"/>
                <w:sz w:val="18"/>
                <w:szCs w:val="18"/>
              </w:rPr>
              <w:t> </w:t>
            </w:r>
          </w:p>
        </w:tc>
        <w:tc>
          <w:tcPr>
            <w:tcW w:w="236" w:type="dxa"/>
            <w:tcBorders>
              <w:top w:val="nil"/>
              <w:left w:val="nil"/>
              <w:bottom w:val="nil"/>
              <w:right w:val="nil"/>
            </w:tcBorders>
            <w:shd w:val="clear" w:color="FFFFFF" w:fill="FFFFFF"/>
            <w:noWrap/>
            <w:vAlign w:val="bottom"/>
            <w:hideMark/>
          </w:tcPr>
          <w:p w14:paraId="221AD9EE"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7B27527A" w14:textId="77777777" w:rsidR="00520333" w:rsidRPr="003203A1" w:rsidRDefault="00520333" w:rsidP="005E5E0C">
            <w:pPr>
              <w:spacing w:after="0"/>
              <w:rPr>
                <w:rFonts w:cs="Arial"/>
                <w:sz w:val="18"/>
                <w:szCs w:val="18"/>
              </w:rPr>
            </w:pPr>
            <w:r w:rsidRPr="003203A1">
              <w:rPr>
                <w:rFonts w:cs="Arial"/>
                <w:sz w:val="18"/>
                <w:szCs w:val="18"/>
              </w:rPr>
              <w:t> </w:t>
            </w:r>
          </w:p>
        </w:tc>
      </w:tr>
      <w:bookmarkEnd w:id="153"/>
      <w:tr w:rsidR="00520333" w:rsidRPr="003203A1" w14:paraId="35ECF667" w14:textId="77777777" w:rsidTr="005E5E0C">
        <w:trPr>
          <w:trHeight w:val="253"/>
        </w:trPr>
        <w:tc>
          <w:tcPr>
            <w:tcW w:w="6351" w:type="dxa"/>
            <w:tcBorders>
              <w:top w:val="nil"/>
              <w:left w:val="nil"/>
              <w:bottom w:val="nil"/>
              <w:right w:val="nil"/>
            </w:tcBorders>
            <w:shd w:val="clear" w:color="FFFFFF" w:fill="FFFFFF"/>
            <w:vAlign w:val="bottom"/>
            <w:hideMark/>
          </w:tcPr>
          <w:p w14:paraId="0312DF5C" w14:textId="77777777" w:rsidR="00520333" w:rsidRPr="003203A1" w:rsidRDefault="00520333" w:rsidP="005E5E0C">
            <w:pPr>
              <w:spacing w:after="0"/>
              <w:rPr>
                <w:rFonts w:cs="Arial"/>
                <w:sz w:val="18"/>
                <w:szCs w:val="18"/>
              </w:rPr>
            </w:pPr>
            <w:r w:rsidRPr="003203A1">
              <w:rPr>
                <w:rFonts w:cs="Arial"/>
                <w:sz w:val="18"/>
                <w:szCs w:val="18"/>
              </w:rPr>
              <w:t>Early Childhood costs</w:t>
            </w:r>
          </w:p>
        </w:tc>
        <w:tc>
          <w:tcPr>
            <w:tcW w:w="1259" w:type="dxa"/>
            <w:tcBorders>
              <w:top w:val="nil"/>
              <w:left w:val="nil"/>
              <w:bottom w:val="nil"/>
              <w:right w:val="nil"/>
            </w:tcBorders>
            <w:shd w:val="clear" w:color="FFFFFF" w:fill="FFFFFF"/>
            <w:noWrap/>
            <w:vAlign w:val="bottom"/>
            <w:hideMark/>
          </w:tcPr>
          <w:p w14:paraId="060F7F87" w14:textId="77777777" w:rsidR="00520333" w:rsidRPr="003203A1" w:rsidRDefault="00520333" w:rsidP="005E5E0C">
            <w:pPr>
              <w:spacing w:after="0"/>
              <w:jc w:val="right"/>
              <w:rPr>
                <w:rFonts w:cs="Arial"/>
                <w:b/>
                <w:bCs/>
                <w:sz w:val="18"/>
                <w:szCs w:val="18"/>
              </w:rPr>
            </w:pPr>
            <w:r w:rsidRPr="003203A1">
              <w:rPr>
                <w:rFonts w:cs="Arial"/>
                <w:b/>
                <w:bCs/>
                <w:sz w:val="18"/>
                <w:szCs w:val="18"/>
              </w:rPr>
              <w:t>211,281</w:t>
            </w:r>
          </w:p>
        </w:tc>
        <w:tc>
          <w:tcPr>
            <w:tcW w:w="236" w:type="dxa"/>
            <w:tcBorders>
              <w:top w:val="nil"/>
              <w:left w:val="nil"/>
              <w:bottom w:val="nil"/>
              <w:right w:val="nil"/>
            </w:tcBorders>
            <w:shd w:val="clear" w:color="FFFFFF" w:fill="FFFFFF"/>
            <w:noWrap/>
            <w:vAlign w:val="bottom"/>
            <w:hideMark/>
          </w:tcPr>
          <w:p w14:paraId="1B9C0CE1" w14:textId="77777777" w:rsidR="00520333" w:rsidRPr="003203A1" w:rsidRDefault="00520333" w:rsidP="005E5E0C">
            <w:pPr>
              <w:spacing w:after="0"/>
              <w:rPr>
                <w:rFonts w:cs="Arial"/>
                <w:b/>
                <w:bCs/>
                <w:sz w:val="18"/>
                <w:szCs w:val="18"/>
              </w:rPr>
            </w:pPr>
            <w:r w:rsidRPr="003203A1">
              <w:rPr>
                <w:rFonts w:cs="Arial"/>
                <w:b/>
                <w:bCs/>
                <w:sz w:val="18"/>
                <w:szCs w:val="18"/>
              </w:rPr>
              <w:t> </w:t>
            </w:r>
          </w:p>
        </w:tc>
        <w:tc>
          <w:tcPr>
            <w:tcW w:w="1241" w:type="dxa"/>
            <w:tcBorders>
              <w:top w:val="nil"/>
              <w:left w:val="nil"/>
              <w:bottom w:val="nil"/>
              <w:right w:val="nil"/>
            </w:tcBorders>
            <w:shd w:val="clear" w:color="FFFFFF" w:fill="FFFFFF"/>
            <w:noWrap/>
            <w:vAlign w:val="bottom"/>
            <w:hideMark/>
          </w:tcPr>
          <w:p w14:paraId="4CA6CC00" w14:textId="77777777" w:rsidR="00520333" w:rsidRPr="003203A1" w:rsidRDefault="00520333" w:rsidP="005E5E0C">
            <w:pPr>
              <w:spacing w:after="0"/>
              <w:jc w:val="right"/>
              <w:rPr>
                <w:rFonts w:cs="Arial"/>
                <w:sz w:val="18"/>
                <w:szCs w:val="18"/>
              </w:rPr>
            </w:pPr>
            <w:r w:rsidRPr="003203A1">
              <w:rPr>
                <w:rFonts w:cs="Arial"/>
                <w:sz w:val="18"/>
                <w:szCs w:val="18"/>
              </w:rPr>
              <w:t>197,762</w:t>
            </w:r>
          </w:p>
        </w:tc>
      </w:tr>
      <w:tr w:rsidR="00520333" w:rsidRPr="003203A1" w14:paraId="1FBC9246" w14:textId="77777777" w:rsidTr="005E5E0C">
        <w:trPr>
          <w:trHeight w:val="253"/>
        </w:trPr>
        <w:tc>
          <w:tcPr>
            <w:tcW w:w="6351" w:type="dxa"/>
            <w:tcBorders>
              <w:top w:val="nil"/>
              <w:left w:val="nil"/>
              <w:bottom w:val="nil"/>
              <w:right w:val="nil"/>
            </w:tcBorders>
            <w:shd w:val="clear" w:color="FFFFFF" w:fill="FFFFFF"/>
            <w:vAlign w:val="bottom"/>
            <w:hideMark/>
          </w:tcPr>
          <w:p w14:paraId="5EB599D8" w14:textId="77777777" w:rsidR="00520333" w:rsidRPr="003203A1" w:rsidRDefault="00520333" w:rsidP="005E5E0C">
            <w:pPr>
              <w:spacing w:after="0"/>
              <w:rPr>
                <w:rFonts w:cs="Arial"/>
                <w:sz w:val="18"/>
                <w:szCs w:val="18"/>
              </w:rPr>
            </w:pPr>
            <w:r w:rsidRPr="003203A1">
              <w:rPr>
                <w:rFonts w:cs="Arial"/>
                <w:sz w:val="18"/>
                <w:szCs w:val="18"/>
              </w:rPr>
              <w:t>Exceptionally Complex Support Needs costs</w:t>
            </w:r>
          </w:p>
        </w:tc>
        <w:tc>
          <w:tcPr>
            <w:tcW w:w="1259" w:type="dxa"/>
            <w:tcBorders>
              <w:top w:val="nil"/>
              <w:left w:val="nil"/>
              <w:bottom w:val="nil"/>
              <w:right w:val="nil"/>
            </w:tcBorders>
            <w:shd w:val="clear" w:color="FFFFFF" w:fill="FFFFFF"/>
            <w:noWrap/>
            <w:vAlign w:val="bottom"/>
            <w:hideMark/>
          </w:tcPr>
          <w:p w14:paraId="77DBD7CB" w14:textId="77777777" w:rsidR="00520333" w:rsidRPr="003203A1" w:rsidRDefault="00520333" w:rsidP="005E5E0C">
            <w:pPr>
              <w:spacing w:after="0"/>
              <w:jc w:val="right"/>
              <w:rPr>
                <w:rFonts w:cs="Arial"/>
                <w:b/>
                <w:bCs/>
                <w:sz w:val="18"/>
                <w:szCs w:val="18"/>
              </w:rPr>
            </w:pPr>
            <w:r w:rsidRPr="003203A1">
              <w:rPr>
                <w:rFonts w:cs="Arial"/>
                <w:b/>
                <w:bCs/>
                <w:sz w:val="18"/>
                <w:szCs w:val="18"/>
              </w:rPr>
              <w:t>-</w:t>
            </w:r>
          </w:p>
        </w:tc>
        <w:tc>
          <w:tcPr>
            <w:tcW w:w="236" w:type="dxa"/>
            <w:tcBorders>
              <w:top w:val="nil"/>
              <w:left w:val="nil"/>
              <w:bottom w:val="nil"/>
              <w:right w:val="nil"/>
            </w:tcBorders>
            <w:shd w:val="clear" w:color="FFFFFF" w:fill="FFFFFF"/>
            <w:noWrap/>
            <w:vAlign w:val="bottom"/>
            <w:hideMark/>
          </w:tcPr>
          <w:p w14:paraId="47F28F44" w14:textId="77777777" w:rsidR="00520333" w:rsidRPr="003203A1" w:rsidRDefault="00520333" w:rsidP="005E5E0C">
            <w:pPr>
              <w:spacing w:after="0"/>
              <w:rPr>
                <w:rFonts w:cs="Arial"/>
                <w:b/>
                <w:bCs/>
                <w:sz w:val="18"/>
                <w:szCs w:val="18"/>
              </w:rPr>
            </w:pPr>
            <w:r w:rsidRPr="003203A1">
              <w:rPr>
                <w:rFonts w:cs="Arial"/>
                <w:b/>
                <w:bCs/>
                <w:sz w:val="18"/>
                <w:szCs w:val="18"/>
              </w:rPr>
              <w:t> </w:t>
            </w:r>
          </w:p>
        </w:tc>
        <w:tc>
          <w:tcPr>
            <w:tcW w:w="1241" w:type="dxa"/>
            <w:tcBorders>
              <w:top w:val="nil"/>
              <w:left w:val="nil"/>
              <w:bottom w:val="nil"/>
              <w:right w:val="nil"/>
            </w:tcBorders>
            <w:shd w:val="clear" w:color="FFFFFF" w:fill="FFFFFF"/>
            <w:noWrap/>
            <w:vAlign w:val="bottom"/>
            <w:hideMark/>
          </w:tcPr>
          <w:p w14:paraId="3F6EFBBF" w14:textId="77777777" w:rsidR="00520333" w:rsidRPr="003203A1" w:rsidRDefault="00520333" w:rsidP="005E5E0C">
            <w:pPr>
              <w:spacing w:after="0"/>
              <w:jc w:val="right"/>
              <w:rPr>
                <w:rFonts w:cs="Arial"/>
                <w:sz w:val="18"/>
                <w:szCs w:val="18"/>
              </w:rPr>
            </w:pPr>
            <w:r w:rsidRPr="003203A1">
              <w:rPr>
                <w:rFonts w:cs="Arial"/>
                <w:sz w:val="18"/>
                <w:szCs w:val="18"/>
              </w:rPr>
              <w:t>57</w:t>
            </w:r>
          </w:p>
        </w:tc>
      </w:tr>
      <w:tr w:rsidR="00520333" w:rsidRPr="003203A1" w14:paraId="7EF2970E" w14:textId="77777777" w:rsidTr="005E5E0C">
        <w:trPr>
          <w:trHeight w:val="253"/>
        </w:trPr>
        <w:tc>
          <w:tcPr>
            <w:tcW w:w="6351" w:type="dxa"/>
            <w:tcBorders>
              <w:top w:val="nil"/>
              <w:left w:val="nil"/>
              <w:bottom w:val="nil"/>
              <w:right w:val="nil"/>
            </w:tcBorders>
            <w:shd w:val="clear" w:color="FFFFFF" w:fill="FFFFFF"/>
            <w:vAlign w:val="bottom"/>
            <w:hideMark/>
          </w:tcPr>
          <w:p w14:paraId="204450A3" w14:textId="77777777" w:rsidR="00520333" w:rsidRPr="003203A1" w:rsidRDefault="00520333" w:rsidP="005E5E0C">
            <w:pPr>
              <w:spacing w:after="0"/>
              <w:rPr>
                <w:rFonts w:cs="Arial"/>
                <w:sz w:val="18"/>
                <w:szCs w:val="18"/>
              </w:rPr>
            </w:pPr>
            <w:r w:rsidRPr="003203A1">
              <w:rPr>
                <w:rFonts w:cs="Arial"/>
                <w:sz w:val="18"/>
                <w:szCs w:val="18"/>
              </w:rPr>
              <w:t>Local Area Coordination costs</w:t>
            </w:r>
          </w:p>
        </w:tc>
        <w:tc>
          <w:tcPr>
            <w:tcW w:w="1259" w:type="dxa"/>
            <w:tcBorders>
              <w:top w:val="nil"/>
              <w:left w:val="nil"/>
              <w:bottom w:val="nil"/>
              <w:right w:val="nil"/>
            </w:tcBorders>
            <w:shd w:val="clear" w:color="FFFFFF" w:fill="FFFFFF"/>
            <w:noWrap/>
            <w:vAlign w:val="bottom"/>
            <w:hideMark/>
          </w:tcPr>
          <w:p w14:paraId="77D64272" w14:textId="77777777" w:rsidR="00520333" w:rsidRPr="003203A1" w:rsidRDefault="00520333" w:rsidP="005E5E0C">
            <w:pPr>
              <w:spacing w:after="0"/>
              <w:jc w:val="right"/>
              <w:rPr>
                <w:rFonts w:cs="Arial"/>
                <w:b/>
                <w:bCs/>
                <w:sz w:val="18"/>
                <w:szCs w:val="18"/>
              </w:rPr>
            </w:pPr>
            <w:r w:rsidRPr="003203A1">
              <w:rPr>
                <w:rFonts w:cs="Arial"/>
                <w:b/>
                <w:bCs/>
                <w:sz w:val="18"/>
                <w:szCs w:val="18"/>
              </w:rPr>
              <w:t>394,458</w:t>
            </w:r>
          </w:p>
        </w:tc>
        <w:tc>
          <w:tcPr>
            <w:tcW w:w="236" w:type="dxa"/>
            <w:tcBorders>
              <w:top w:val="nil"/>
              <w:left w:val="nil"/>
              <w:bottom w:val="nil"/>
              <w:right w:val="nil"/>
            </w:tcBorders>
            <w:shd w:val="clear" w:color="FFFFFF" w:fill="FFFFFF"/>
            <w:noWrap/>
            <w:vAlign w:val="bottom"/>
            <w:hideMark/>
          </w:tcPr>
          <w:p w14:paraId="71C00952" w14:textId="77777777" w:rsidR="00520333" w:rsidRPr="003203A1" w:rsidRDefault="00520333" w:rsidP="005E5E0C">
            <w:pPr>
              <w:spacing w:after="0"/>
              <w:rPr>
                <w:rFonts w:cs="Arial"/>
                <w:b/>
                <w:bCs/>
                <w:sz w:val="18"/>
                <w:szCs w:val="18"/>
              </w:rPr>
            </w:pPr>
            <w:r w:rsidRPr="003203A1">
              <w:rPr>
                <w:rFonts w:cs="Arial"/>
                <w:b/>
                <w:bCs/>
                <w:sz w:val="18"/>
                <w:szCs w:val="18"/>
              </w:rPr>
              <w:t> </w:t>
            </w:r>
          </w:p>
        </w:tc>
        <w:tc>
          <w:tcPr>
            <w:tcW w:w="1241" w:type="dxa"/>
            <w:tcBorders>
              <w:top w:val="nil"/>
              <w:left w:val="nil"/>
              <w:bottom w:val="nil"/>
              <w:right w:val="nil"/>
            </w:tcBorders>
            <w:shd w:val="clear" w:color="FFFFFF" w:fill="FFFFFF"/>
            <w:noWrap/>
            <w:vAlign w:val="bottom"/>
            <w:hideMark/>
          </w:tcPr>
          <w:p w14:paraId="6F327D02" w14:textId="77777777" w:rsidR="00520333" w:rsidRPr="003203A1" w:rsidRDefault="00520333" w:rsidP="005E5E0C">
            <w:pPr>
              <w:spacing w:after="0"/>
              <w:jc w:val="right"/>
              <w:rPr>
                <w:rFonts w:cs="Arial"/>
                <w:sz w:val="18"/>
                <w:szCs w:val="18"/>
              </w:rPr>
            </w:pPr>
            <w:r w:rsidRPr="003203A1">
              <w:rPr>
                <w:rFonts w:cs="Arial"/>
                <w:sz w:val="18"/>
                <w:szCs w:val="18"/>
              </w:rPr>
              <w:t>406,527</w:t>
            </w:r>
          </w:p>
        </w:tc>
      </w:tr>
      <w:tr w:rsidR="00520333" w:rsidRPr="003203A1" w14:paraId="3CC6A476" w14:textId="77777777" w:rsidTr="005E5E0C">
        <w:trPr>
          <w:trHeight w:val="253"/>
        </w:trPr>
        <w:tc>
          <w:tcPr>
            <w:tcW w:w="6351" w:type="dxa"/>
            <w:tcBorders>
              <w:top w:val="nil"/>
              <w:left w:val="nil"/>
              <w:bottom w:val="nil"/>
              <w:right w:val="nil"/>
            </w:tcBorders>
            <w:shd w:val="clear" w:color="FFFFFF" w:fill="FFFFFF"/>
            <w:vAlign w:val="bottom"/>
            <w:hideMark/>
          </w:tcPr>
          <w:p w14:paraId="3B99F27E" w14:textId="77777777" w:rsidR="00520333" w:rsidRPr="003203A1" w:rsidRDefault="00520333" w:rsidP="005E5E0C">
            <w:pPr>
              <w:spacing w:after="0"/>
              <w:rPr>
                <w:rFonts w:cs="Arial"/>
                <w:b/>
                <w:bCs/>
                <w:sz w:val="18"/>
                <w:szCs w:val="18"/>
              </w:rPr>
            </w:pPr>
            <w:r w:rsidRPr="003203A1">
              <w:rPr>
                <w:rFonts w:cs="Arial"/>
                <w:b/>
                <w:bCs/>
                <w:sz w:val="18"/>
                <w:szCs w:val="18"/>
              </w:rPr>
              <w:t>Total Community partnership costs</w:t>
            </w:r>
          </w:p>
        </w:tc>
        <w:tc>
          <w:tcPr>
            <w:tcW w:w="1259" w:type="dxa"/>
            <w:tcBorders>
              <w:top w:val="single" w:sz="4" w:space="0" w:color="auto"/>
              <w:left w:val="nil"/>
              <w:bottom w:val="single" w:sz="4" w:space="0" w:color="auto"/>
              <w:right w:val="nil"/>
            </w:tcBorders>
            <w:shd w:val="clear" w:color="FFFFFF" w:fill="FFFFFF"/>
            <w:noWrap/>
            <w:vAlign w:val="bottom"/>
            <w:hideMark/>
          </w:tcPr>
          <w:p w14:paraId="1BF88FBC" w14:textId="77777777" w:rsidR="00520333" w:rsidRPr="003203A1" w:rsidRDefault="00520333" w:rsidP="005E5E0C">
            <w:pPr>
              <w:spacing w:after="0"/>
              <w:jc w:val="right"/>
              <w:rPr>
                <w:rFonts w:cs="Arial"/>
                <w:b/>
                <w:bCs/>
                <w:sz w:val="18"/>
                <w:szCs w:val="18"/>
              </w:rPr>
            </w:pPr>
            <w:r w:rsidRPr="003203A1">
              <w:rPr>
                <w:rFonts w:cs="Arial"/>
                <w:b/>
                <w:bCs/>
                <w:sz w:val="18"/>
                <w:szCs w:val="18"/>
              </w:rPr>
              <w:t>605,739</w:t>
            </w:r>
          </w:p>
        </w:tc>
        <w:tc>
          <w:tcPr>
            <w:tcW w:w="236" w:type="dxa"/>
            <w:tcBorders>
              <w:top w:val="nil"/>
              <w:left w:val="nil"/>
              <w:bottom w:val="nil"/>
              <w:right w:val="nil"/>
            </w:tcBorders>
            <w:shd w:val="clear" w:color="FFFFFF" w:fill="FFFFFF"/>
            <w:noWrap/>
            <w:vAlign w:val="bottom"/>
            <w:hideMark/>
          </w:tcPr>
          <w:p w14:paraId="29AEEF79"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single" w:sz="4" w:space="0" w:color="auto"/>
              <w:left w:val="nil"/>
              <w:bottom w:val="single" w:sz="4" w:space="0" w:color="auto"/>
              <w:right w:val="nil"/>
            </w:tcBorders>
            <w:shd w:val="clear" w:color="FFFFFF" w:fill="FFFFFF"/>
            <w:noWrap/>
            <w:vAlign w:val="bottom"/>
            <w:hideMark/>
          </w:tcPr>
          <w:p w14:paraId="3725B612" w14:textId="77777777" w:rsidR="00520333" w:rsidRPr="003203A1" w:rsidRDefault="00520333" w:rsidP="005E5E0C">
            <w:pPr>
              <w:spacing w:after="0"/>
              <w:jc w:val="right"/>
              <w:rPr>
                <w:rFonts w:cs="Arial"/>
                <w:sz w:val="18"/>
                <w:szCs w:val="18"/>
              </w:rPr>
            </w:pPr>
            <w:r w:rsidRPr="003203A1">
              <w:rPr>
                <w:rFonts w:cs="Arial"/>
                <w:sz w:val="18"/>
                <w:szCs w:val="18"/>
              </w:rPr>
              <w:t>604,346</w:t>
            </w:r>
          </w:p>
        </w:tc>
      </w:tr>
    </w:tbl>
    <w:p w14:paraId="23B041B7" w14:textId="77777777" w:rsidR="003203A1" w:rsidRPr="00C821EB" w:rsidRDefault="00D66A40" w:rsidP="003203A1">
      <w:pPr>
        <w:spacing w:after="0" w:line="240" w:lineRule="auto"/>
        <w:rPr>
          <w:b/>
          <w:bCs/>
        </w:rPr>
      </w:pPr>
      <w:r>
        <w:rPr>
          <w:b/>
        </w:rPr>
        <w:br w:type="page"/>
      </w:r>
      <w:r w:rsidR="003203A1" w:rsidRPr="00C821EB">
        <w:rPr>
          <w:b/>
          <w:bCs/>
        </w:rPr>
        <w:lastRenderedPageBreak/>
        <w:t>National Disability Insurance Agency</w:t>
      </w:r>
    </w:p>
    <w:p w14:paraId="3BD5D755" w14:textId="77777777" w:rsidR="003203A1" w:rsidRPr="00C821EB" w:rsidRDefault="003203A1" w:rsidP="003203A1">
      <w:pPr>
        <w:pBdr>
          <w:bottom w:val="single" w:sz="8" w:space="1" w:color="auto"/>
        </w:pBdr>
        <w:rPr>
          <w:b/>
          <w:bCs/>
        </w:rPr>
      </w:pPr>
      <w:r w:rsidRPr="00C821EB">
        <w:rPr>
          <w:b/>
          <w:bCs/>
        </w:rPr>
        <w:t>NOTES TO AND FORMING PART OF THE FINANCIAL STATEMENTS</w:t>
      </w:r>
    </w:p>
    <w:p w14:paraId="353E42AC" w14:textId="15B2A728" w:rsidR="00520333" w:rsidRPr="003203A1" w:rsidRDefault="00520333" w:rsidP="00520333">
      <w:pPr>
        <w:pStyle w:val="PolicytextDept"/>
        <w:pBdr>
          <w:top w:val="none" w:sz="0" w:space="0" w:color="auto"/>
          <w:left w:val="none" w:sz="0" w:space="0" w:color="auto"/>
          <w:bottom w:val="none" w:sz="0" w:space="0" w:color="auto"/>
          <w:right w:val="none" w:sz="0" w:space="0" w:color="auto"/>
        </w:pBdr>
        <w:rPr>
          <w:b/>
        </w:rPr>
      </w:pPr>
      <w:r w:rsidRPr="003203A1">
        <w:rPr>
          <w:b/>
        </w:rPr>
        <w:t>Early Childhood Costs</w:t>
      </w:r>
    </w:p>
    <w:p w14:paraId="3090977A" w14:textId="77777777" w:rsidR="00520333" w:rsidRPr="003203A1" w:rsidRDefault="00520333" w:rsidP="0047225D">
      <w:pPr>
        <w:pStyle w:val="PolicytextDept"/>
        <w:pBdr>
          <w:top w:val="none" w:sz="0" w:space="0" w:color="auto"/>
          <w:left w:val="none" w:sz="0" w:space="0" w:color="auto"/>
          <w:bottom w:val="none" w:sz="0" w:space="0" w:color="auto"/>
          <w:right w:val="none" w:sz="0" w:space="0" w:color="auto"/>
        </w:pBdr>
        <w:spacing w:after="0"/>
      </w:pPr>
      <w:r w:rsidRPr="003203A1">
        <w:t xml:space="preserve">This reflects the costs incurred by the Agency of engaging early childhood partners to provide supports to children younger than 9 who have a disability or significantly impaired development. </w:t>
      </w:r>
    </w:p>
    <w:p w14:paraId="1DC64733" w14:textId="77777777" w:rsidR="00520333" w:rsidRPr="003203A1" w:rsidRDefault="00520333" w:rsidP="00520333">
      <w:pPr>
        <w:pStyle w:val="PolicytextDept"/>
        <w:pBdr>
          <w:top w:val="none" w:sz="0" w:space="0" w:color="auto"/>
          <w:left w:val="none" w:sz="0" w:space="0" w:color="auto"/>
          <w:bottom w:val="none" w:sz="0" w:space="0" w:color="auto"/>
          <w:right w:val="none" w:sz="0" w:space="0" w:color="auto"/>
        </w:pBdr>
        <w:rPr>
          <w:b/>
        </w:rPr>
      </w:pPr>
      <w:r w:rsidRPr="003203A1">
        <w:rPr>
          <w:b/>
          <w:bCs w:val="0"/>
        </w:rPr>
        <w:t>Exceptionally Complex Support Needs costs</w:t>
      </w:r>
      <w:r w:rsidRPr="003203A1">
        <w:rPr>
          <w:b/>
        </w:rPr>
        <w:t xml:space="preserve"> </w:t>
      </w:r>
    </w:p>
    <w:p w14:paraId="5AA62F84" w14:textId="77777777" w:rsidR="00520333" w:rsidRPr="003203A1" w:rsidRDefault="00520333" w:rsidP="0047225D">
      <w:pPr>
        <w:pStyle w:val="PolicytextDept"/>
        <w:pBdr>
          <w:top w:val="none" w:sz="0" w:space="0" w:color="auto"/>
          <w:left w:val="none" w:sz="0" w:space="0" w:color="auto"/>
          <w:bottom w:val="none" w:sz="0" w:space="0" w:color="auto"/>
          <w:right w:val="none" w:sz="0" w:space="0" w:color="auto"/>
        </w:pBdr>
        <w:spacing w:after="0"/>
      </w:pPr>
      <w:r w:rsidRPr="003203A1">
        <w:t>The Exceptionally Complex Support Needs (ECSN) program was a 2 year program that delivered sector capability and development workshops and related services. The ECSN program completed in 2021–22, however, payments were finalised in 2022–23.</w:t>
      </w:r>
    </w:p>
    <w:p w14:paraId="3479B970" w14:textId="77777777" w:rsidR="00520333" w:rsidRPr="003203A1" w:rsidRDefault="00520333" w:rsidP="00520333">
      <w:pPr>
        <w:pStyle w:val="PolicytextDept"/>
        <w:pBdr>
          <w:top w:val="none" w:sz="0" w:space="0" w:color="auto"/>
          <w:left w:val="none" w:sz="0" w:space="0" w:color="auto"/>
          <w:bottom w:val="none" w:sz="0" w:space="0" w:color="auto"/>
          <w:right w:val="none" w:sz="0" w:space="0" w:color="auto"/>
        </w:pBdr>
        <w:rPr>
          <w:b/>
        </w:rPr>
      </w:pPr>
      <w:r w:rsidRPr="003203A1">
        <w:rPr>
          <w:b/>
        </w:rPr>
        <w:t xml:space="preserve">Local Area Coordination Costs </w:t>
      </w:r>
    </w:p>
    <w:p w14:paraId="3CCBD966" w14:textId="77777777" w:rsidR="00520333" w:rsidRPr="003203A1" w:rsidRDefault="00520333" w:rsidP="00520333">
      <w:pPr>
        <w:pStyle w:val="PolicytextDept"/>
        <w:pBdr>
          <w:top w:val="none" w:sz="0" w:space="0" w:color="auto"/>
          <w:left w:val="none" w:sz="0" w:space="0" w:color="auto"/>
          <w:bottom w:val="none" w:sz="0" w:space="0" w:color="auto"/>
          <w:right w:val="none" w:sz="0" w:space="0" w:color="auto"/>
        </w:pBdr>
      </w:pPr>
      <w:r w:rsidRPr="003203A1">
        <w:t xml:space="preserve">This reflects the costs incurred in funding local area coordination services. </w:t>
      </w:r>
    </w:p>
    <w:p w14:paraId="7360047B" w14:textId="77777777" w:rsidR="00520333" w:rsidRPr="003203A1" w:rsidRDefault="00520333" w:rsidP="00520333">
      <w:pPr>
        <w:pStyle w:val="PolicytextDept"/>
        <w:pBdr>
          <w:top w:val="none" w:sz="0" w:space="0" w:color="auto"/>
          <w:left w:val="none" w:sz="0" w:space="0" w:color="auto"/>
          <w:bottom w:val="none" w:sz="0" w:space="0" w:color="auto"/>
          <w:right w:val="none" w:sz="0" w:space="0" w:color="auto"/>
        </w:pBdr>
        <w:spacing w:after="0" w:line="240" w:lineRule="auto"/>
      </w:pPr>
      <w:r w:rsidRPr="003203A1">
        <w:t>Local Area Coordinators deliver the following services:</w:t>
      </w:r>
    </w:p>
    <w:p w14:paraId="4598C823" w14:textId="77777777" w:rsidR="00520333" w:rsidRPr="003203A1" w:rsidRDefault="00520333" w:rsidP="00520333">
      <w:pPr>
        <w:pStyle w:val="PolicytextDept"/>
        <w:numPr>
          <w:ilvl w:val="0"/>
          <w:numId w:val="32"/>
        </w:numPr>
        <w:pBdr>
          <w:top w:val="none" w:sz="0" w:space="0" w:color="auto"/>
          <w:left w:val="none" w:sz="0" w:space="0" w:color="auto"/>
          <w:bottom w:val="none" w:sz="0" w:space="0" w:color="auto"/>
          <w:right w:val="none" w:sz="0" w:space="0" w:color="auto"/>
        </w:pBdr>
        <w:spacing w:after="0" w:line="240" w:lineRule="auto"/>
      </w:pPr>
      <w:r w:rsidRPr="003203A1">
        <w:t>provision of support and community awareness to prospective participants and local communities to engage with the Scheme;</w:t>
      </w:r>
    </w:p>
    <w:p w14:paraId="1142BE76" w14:textId="77777777" w:rsidR="00520333" w:rsidRPr="003203A1" w:rsidRDefault="00520333" w:rsidP="00520333">
      <w:pPr>
        <w:pStyle w:val="PolicytextDept"/>
        <w:numPr>
          <w:ilvl w:val="0"/>
          <w:numId w:val="32"/>
        </w:numPr>
        <w:pBdr>
          <w:top w:val="none" w:sz="0" w:space="0" w:color="auto"/>
          <w:left w:val="none" w:sz="0" w:space="0" w:color="auto"/>
          <w:bottom w:val="none" w:sz="0" w:space="0" w:color="auto"/>
          <w:right w:val="none" w:sz="0" w:space="0" w:color="auto"/>
        </w:pBdr>
        <w:spacing w:after="0" w:line="240" w:lineRule="auto"/>
      </w:pPr>
      <w:r w:rsidRPr="003203A1">
        <w:t>support Scheme participants with the implementation of their plans; and</w:t>
      </w:r>
    </w:p>
    <w:p w14:paraId="48915CE1" w14:textId="77777777" w:rsidR="00520333" w:rsidRPr="003203A1" w:rsidRDefault="00520333" w:rsidP="00520333">
      <w:pPr>
        <w:pStyle w:val="PolicytextDept"/>
        <w:numPr>
          <w:ilvl w:val="0"/>
          <w:numId w:val="32"/>
        </w:numPr>
        <w:pBdr>
          <w:top w:val="none" w:sz="0" w:space="0" w:color="auto"/>
          <w:left w:val="none" w:sz="0" w:space="0" w:color="auto"/>
          <w:bottom w:val="none" w:sz="0" w:space="0" w:color="auto"/>
          <w:right w:val="none" w:sz="0" w:space="0" w:color="auto"/>
        </w:pBdr>
        <w:spacing w:after="0" w:line="240" w:lineRule="auto"/>
      </w:pPr>
      <w:r w:rsidRPr="003203A1">
        <w:t>support Scheme participants with full scheme planning and plan reviews.</w:t>
      </w:r>
    </w:p>
    <w:p w14:paraId="0BA4FD6E" w14:textId="77777777" w:rsidR="00520333" w:rsidRPr="003203A1" w:rsidRDefault="00520333" w:rsidP="00520333">
      <w:pPr>
        <w:spacing w:line="240" w:lineRule="auto"/>
        <w:rPr>
          <w:rFonts w:cs="Arial"/>
          <w:sz w:val="18"/>
          <w:szCs w:val="18"/>
        </w:rPr>
      </w:pPr>
    </w:p>
    <w:p w14:paraId="539B28B2" w14:textId="77777777" w:rsidR="00520333" w:rsidRPr="003203A1" w:rsidRDefault="00520333" w:rsidP="00520333">
      <w:pPr>
        <w:pStyle w:val="PolicyheadingDept"/>
        <w:pBdr>
          <w:left w:val="single" w:sz="4" w:space="4" w:color="800080"/>
          <w:right w:val="single" w:sz="4" w:space="4" w:color="800080"/>
        </w:pBdr>
      </w:pPr>
      <w:r w:rsidRPr="003203A1">
        <w:t>Accounting Policy</w:t>
      </w:r>
    </w:p>
    <w:p w14:paraId="0275164D" w14:textId="77777777" w:rsidR="00520333" w:rsidRPr="003203A1" w:rsidRDefault="00520333" w:rsidP="00520333">
      <w:pPr>
        <w:pStyle w:val="PolicytextDept"/>
        <w:pBdr>
          <w:left w:val="single" w:sz="4" w:space="4" w:color="800080"/>
          <w:right w:val="single" w:sz="4" w:space="4" w:color="800080"/>
        </w:pBdr>
      </w:pPr>
      <w:r w:rsidRPr="003203A1">
        <w:t>The costs associated with community partnerships are recognised in accordance with contractual arrangements.</w:t>
      </w:r>
    </w:p>
    <w:tbl>
      <w:tblPr>
        <w:tblW w:w="9087" w:type="dxa"/>
        <w:tblLayout w:type="fixed"/>
        <w:tblLook w:val="04A0" w:firstRow="1" w:lastRow="0" w:firstColumn="1" w:lastColumn="0" w:noHBand="0" w:noVBand="1"/>
      </w:tblPr>
      <w:tblGrid>
        <w:gridCol w:w="6351"/>
        <w:gridCol w:w="1259"/>
        <w:gridCol w:w="236"/>
        <w:gridCol w:w="1241"/>
      </w:tblGrid>
      <w:tr w:rsidR="00520333" w:rsidRPr="003203A1" w14:paraId="5F0B4922" w14:textId="77777777" w:rsidTr="005E5E0C">
        <w:trPr>
          <w:trHeight w:val="253"/>
        </w:trPr>
        <w:tc>
          <w:tcPr>
            <w:tcW w:w="6351" w:type="dxa"/>
            <w:tcBorders>
              <w:top w:val="nil"/>
              <w:left w:val="nil"/>
              <w:bottom w:val="nil"/>
              <w:right w:val="nil"/>
            </w:tcBorders>
            <w:shd w:val="clear" w:color="FFFFFF" w:fill="FFFFFF"/>
            <w:noWrap/>
            <w:vAlign w:val="bottom"/>
            <w:hideMark/>
          </w:tcPr>
          <w:p w14:paraId="60E52F15" w14:textId="77777777" w:rsidR="00520333" w:rsidRPr="003203A1" w:rsidRDefault="00520333" w:rsidP="005E5E0C">
            <w:pPr>
              <w:spacing w:after="0"/>
              <w:rPr>
                <w:rFonts w:cs="Arial"/>
                <w:sz w:val="18"/>
                <w:szCs w:val="18"/>
              </w:rPr>
            </w:pPr>
            <w:bookmarkStart w:id="154" w:name="Note_PAETABLE1" w:colFirst="0" w:colLast="0"/>
            <w:r w:rsidRPr="003203A1">
              <w:rPr>
                <w:rFonts w:cs="Arial"/>
                <w:sz w:val="18"/>
                <w:szCs w:val="18"/>
              </w:rPr>
              <w:t> </w:t>
            </w:r>
          </w:p>
        </w:tc>
        <w:tc>
          <w:tcPr>
            <w:tcW w:w="1259" w:type="dxa"/>
            <w:tcBorders>
              <w:top w:val="nil"/>
              <w:left w:val="nil"/>
              <w:bottom w:val="nil"/>
              <w:right w:val="nil"/>
            </w:tcBorders>
            <w:shd w:val="clear" w:color="FFFFFF" w:fill="FFFFFF"/>
            <w:noWrap/>
            <w:vAlign w:val="bottom"/>
            <w:hideMark/>
          </w:tcPr>
          <w:p w14:paraId="534C31CA" w14:textId="77777777" w:rsidR="00520333" w:rsidRPr="003203A1" w:rsidRDefault="00520333" w:rsidP="005E5E0C">
            <w:pPr>
              <w:spacing w:after="0"/>
              <w:jc w:val="right"/>
              <w:rPr>
                <w:rFonts w:cs="Arial"/>
                <w:b/>
                <w:bCs/>
                <w:sz w:val="18"/>
                <w:szCs w:val="18"/>
              </w:rPr>
            </w:pPr>
            <w:r w:rsidRPr="003203A1">
              <w:rPr>
                <w:rFonts w:cs="Arial"/>
                <w:b/>
                <w:bCs/>
                <w:sz w:val="18"/>
                <w:szCs w:val="18"/>
              </w:rPr>
              <w:t>2024</w:t>
            </w:r>
          </w:p>
        </w:tc>
        <w:tc>
          <w:tcPr>
            <w:tcW w:w="236" w:type="dxa"/>
            <w:tcBorders>
              <w:top w:val="nil"/>
              <w:left w:val="nil"/>
              <w:bottom w:val="nil"/>
              <w:right w:val="nil"/>
            </w:tcBorders>
            <w:shd w:val="clear" w:color="FFFFFF" w:fill="FFFFFF"/>
            <w:noWrap/>
            <w:vAlign w:val="bottom"/>
            <w:hideMark/>
          </w:tcPr>
          <w:p w14:paraId="2D1EF836"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182503B1" w14:textId="77777777" w:rsidR="00520333" w:rsidRPr="003203A1" w:rsidRDefault="00520333" w:rsidP="005E5E0C">
            <w:pPr>
              <w:spacing w:after="0"/>
              <w:jc w:val="right"/>
              <w:rPr>
                <w:rFonts w:cs="Arial"/>
                <w:sz w:val="18"/>
                <w:szCs w:val="18"/>
              </w:rPr>
            </w:pPr>
            <w:r w:rsidRPr="003203A1">
              <w:rPr>
                <w:rFonts w:cs="Arial"/>
                <w:sz w:val="18"/>
                <w:szCs w:val="18"/>
              </w:rPr>
              <w:t>2023</w:t>
            </w:r>
          </w:p>
        </w:tc>
      </w:tr>
      <w:bookmarkEnd w:id="154"/>
      <w:tr w:rsidR="00520333" w:rsidRPr="003203A1" w14:paraId="3FAB38C7" w14:textId="77777777" w:rsidTr="005E5E0C">
        <w:trPr>
          <w:trHeight w:val="253"/>
        </w:trPr>
        <w:tc>
          <w:tcPr>
            <w:tcW w:w="6351" w:type="dxa"/>
            <w:tcBorders>
              <w:top w:val="nil"/>
              <w:left w:val="nil"/>
              <w:bottom w:val="nil"/>
              <w:right w:val="nil"/>
            </w:tcBorders>
            <w:shd w:val="clear" w:color="FFFFFF" w:fill="FFFFFF"/>
            <w:noWrap/>
            <w:vAlign w:val="bottom"/>
            <w:hideMark/>
          </w:tcPr>
          <w:p w14:paraId="4F018128" w14:textId="77777777" w:rsidR="00520333" w:rsidRPr="003203A1" w:rsidRDefault="00520333" w:rsidP="005E5E0C">
            <w:pPr>
              <w:spacing w:after="0"/>
              <w:rPr>
                <w:rFonts w:cs="Arial"/>
                <w:sz w:val="18"/>
                <w:szCs w:val="18"/>
              </w:rPr>
            </w:pPr>
            <w:r w:rsidRPr="003203A1">
              <w:rPr>
                <w:rFonts w:cs="Arial"/>
                <w:sz w:val="18"/>
                <w:szCs w:val="18"/>
              </w:rPr>
              <w:t> </w:t>
            </w:r>
          </w:p>
        </w:tc>
        <w:tc>
          <w:tcPr>
            <w:tcW w:w="1259" w:type="dxa"/>
            <w:tcBorders>
              <w:top w:val="nil"/>
              <w:left w:val="nil"/>
              <w:bottom w:val="nil"/>
              <w:right w:val="nil"/>
            </w:tcBorders>
            <w:shd w:val="clear" w:color="FFFFFF" w:fill="FFFFFF"/>
            <w:noWrap/>
            <w:vAlign w:val="bottom"/>
            <w:hideMark/>
          </w:tcPr>
          <w:p w14:paraId="07C4B347" w14:textId="77777777" w:rsidR="00520333" w:rsidRPr="003203A1" w:rsidRDefault="00520333" w:rsidP="005E5E0C">
            <w:pPr>
              <w:spacing w:after="0"/>
              <w:jc w:val="right"/>
              <w:rPr>
                <w:rFonts w:cs="Arial"/>
                <w:b/>
                <w:bCs/>
                <w:sz w:val="18"/>
                <w:szCs w:val="18"/>
              </w:rPr>
            </w:pPr>
            <w:r w:rsidRPr="003203A1">
              <w:rPr>
                <w:rFonts w:cs="Arial"/>
                <w:b/>
                <w:bCs/>
                <w:sz w:val="18"/>
                <w:szCs w:val="18"/>
              </w:rPr>
              <w:t>$'000</w:t>
            </w:r>
          </w:p>
        </w:tc>
        <w:tc>
          <w:tcPr>
            <w:tcW w:w="236" w:type="dxa"/>
            <w:tcBorders>
              <w:top w:val="nil"/>
              <w:left w:val="nil"/>
              <w:bottom w:val="nil"/>
              <w:right w:val="nil"/>
            </w:tcBorders>
            <w:shd w:val="clear" w:color="FFFFFF" w:fill="FFFFFF"/>
            <w:noWrap/>
            <w:vAlign w:val="bottom"/>
            <w:hideMark/>
          </w:tcPr>
          <w:p w14:paraId="201E52CF"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465B8286" w14:textId="77777777" w:rsidR="00520333" w:rsidRPr="003203A1" w:rsidRDefault="00520333" w:rsidP="005E5E0C">
            <w:pPr>
              <w:spacing w:after="0"/>
              <w:jc w:val="right"/>
              <w:rPr>
                <w:rFonts w:cs="Arial"/>
                <w:sz w:val="18"/>
                <w:szCs w:val="18"/>
              </w:rPr>
            </w:pPr>
            <w:r w:rsidRPr="003203A1">
              <w:rPr>
                <w:rFonts w:cs="Arial"/>
                <w:sz w:val="18"/>
                <w:szCs w:val="18"/>
              </w:rPr>
              <w:t>$'000</w:t>
            </w:r>
          </w:p>
        </w:tc>
      </w:tr>
      <w:tr w:rsidR="00520333" w:rsidRPr="003203A1" w14:paraId="2EA9BAB4" w14:textId="77777777" w:rsidTr="005E5E0C">
        <w:trPr>
          <w:trHeight w:val="260"/>
        </w:trPr>
        <w:tc>
          <w:tcPr>
            <w:tcW w:w="6351" w:type="dxa"/>
            <w:tcBorders>
              <w:top w:val="nil"/>
              <w:left w:val="nil"/>
              <w:bottom w:val="nil"/>
              <w:right w:val="nil"/>
            </w:tcBorders>
            <w:shd w:val="clear" w:color="FFFFFF" w:fill="FFFFFF"/>
            <w:noWrap/>
            <w:vAlign w:val="bottom"/>
            <w:hideMark/>
          </w:tcPr>
          <w:p w14:paraId="26AE0BED" w14:textId="77777777" w:rsidR="00520333" w:rsidRPr="003203A1" w:rsidRDefault="00520333" w:rsidP="005E5E0C">
            <w:pPr>
              <w:spacing w:after="0"/>
              <w:rPr>
                <w:rFonts w:cs="Arial"/>
                <w:b/>
                <w:bCs/>
                <w:sz w:val="18"/>
                <w:szCs w:val="18"/>
                <w:u w:val="single"/>
              </w:rPr>
            </w:pPr>
            <w:r w:rsidRPr="003203A1">
              <w:rPr>
                <w:rFonts w:cs="Arial"/>
                <w:b/>
                <w:bCs/>
                <w:sz w:val="18"/>
                <w:szCs w:val="18"/>
                <w:u w:val="single"/>
              </w:rPr>
              <w:t>Note 1.1G: Participant plan expenses</w:t>
            </w:r>
          </w:p>
        </w:tc>
        <w:tc>
          <w:tcPr>
            <w:tcW w:w="1259" w:type="dxa"/>
            <w:tcBorders>
              <w:top w:val="nil"/>
              <w:left w:val="nil"/>
              <w:bottom w:val="nil"/>
              <w:right w:val="nil"/>
            </w:tcBorders>
            <w:shd w:val="clear" w:color="FFFFFF" w:fill="FFFFFF"/>
            <w:noWrap/>
            <w:vAlign w:val="bottom"/>
            <w:hideMark/>
          </w:tcPr>
          <w:p w14:paraId="7E0C5092" w14:textId="77777777" w:rsidR="00520333" w:rsidRPr="003203A1" w:rsidRDefault="00520333" w:rsidP="005E5E0C">
            <w:pPr>
              <w:spacing w:after="0"/>
              <w:rPr>
                <w:rFonts w:cs="Arial"/>
                <w:sz w:val="18"/>
                <w:szCs w:val="18"/>
              </w:rPr>
            </w:pPr>
            <w:r w:rsidRPr="003203A1">
              <w:rPr>
                <w:rFonts w:cs="Arial"/>
                <w:sz w:val="18"/>
                <w:szCs w:val="18"/>
              </w:rPr>
              <w:t> </w:t>
            </w:r>
          </w:p>
        </w:tc>
        <w:tc>
          <w:tcPr>
            <w:tcW w:w="236" w:type="dxa"/>
            <w:tcBorders>
              <w:top w:val="nil"/>
              <w:left w:val="nil"/>
              <w:bottom w:val="nil"/>
              <w:right w:val="nil"/>
            </w:tcBorders>
            <w:shd w:val="clear" w:color="FFFFFF" w:fill="FFFFFF"/>
            <w:noWrap/>
            <w:vAlign w:val="bottom"/>
            <w:hideMark/>
          </w:tcPr>
          <w:p w14:paraId="397BEA33"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61D4756D" w14:textId="77777777" w:rsidR="00520333" w:rsidRPr="003203A1" w:rsidRDefault="00520333" w:rsidP="005E5E0C">
            <w:pPr>
              <w:spacing w:after="0"/>
              <w:rPr>
                <w:rFonts w:cs="Arial"/>
                <w:sz w:val="18"/>
                <w:szCs w:val="18"/>
              </w:rPr>
            </w:pPr>
            <w:r w:rsidRPr="003203A1">
              <w:rPr>
                <w:rFonts w:cs="Arial"/>
                <w:sz w:val="18"/>
                <w:szCs w:val="18"/>
              </w:rPr>
              <w:t> </w:t>
            </w:r>
          </w:p>
        </w:tc>
      </w:tr>
      <w:tr w:rsidR="00520333" w:rsidRPr="003203A1" w14:paraId="48E05AE0" w14:textId="77777777" w:rsidTr="005E5E0C">
        <w:trPr>
          <w:trHeight w:val="253"/>
        </w:trPr>
        <w:tc>
          <w:tcPr>
            <w:tcW w:w="6351" w:type="dxa"/>
            <w:tcBorders>
              <w:top w:val="nil"/>
              <w:left w:val="nil"/>
              <w:bottom w:val="nil"/>
              <w:right w:val="nil"/>
            </w:tcBorders>
            <w:shd w:val="clear" w:color="FFFFFF" w:fill="FFFFFF"/>
            <w:vAlign w:val="bottom"/>
            <w:hideMark/>
          </w:tcPr>
          <w:p w14:paraId="406C58A4" w14:textId="77777777" w:rsidR="00520333" w:rsidRPr="003203A1" w:rsidRDefault="00520333" w:rsidP="005E5E0C">
            <w:pPr>
              <w:spacing w:after="0"/>
              <w:rPr>
                <w:rFonts w:cs="Arial"/>
                <w:sz w:val="18"/>
                <w:szCs w:val="18"/>
              </w:rPr>
            </w:pPr>
            <w:r w:rsidRPr="003203A1">
              <w:rPr>
                <w:rFonts w:cs="Arial"/>
                <w:sz w:val="18"/>
                <w:szCs w:val="18"/>
              </w:rPr>
              <w:t>Claims received from participants and providers</w:t>
            </w:r>
          </w:p>
        </w:tc>
        <w:tc>
          <w:tcPr>
            <w:tcW w:w="1259" w:type="dxa"/>
            <w:tcBorders>
              <w:top w:val="nil"/>
              <w:left w:val="nil"/>
              <w:bottom w:val="nil"/>
              <w:right w:val="nil"/>
            </w:tcBorders>
            <w:shd w:val="clear" w:color="FFFFFF" w:fill="FFFFFF"/>
            <w:noWrap/>
            <w:vAlign w:val="bottom"/>
            <w:hideMark/>
          </w:tcPr>
          <w:p w14:paraId="17916FD6" w14:textId="77777777" w:rsidR="00520333" w:rsidRPr="003203A1" w:rsidRDefault="00520333" w:rsidP="005E5E0C">
            <w:pPr>
              <w:spacing w:after="0"/>
              <w:jc w:val="right"/>
              <w:rPr>
                <w:rFonts w:cs="Arial"/>
                <w:b/>
                <w:bCs/>
                <w:sz w:val="18"/>
                <w:szCs w:val="18"/>
              </w:rPr>
            </w:pPr>
            <w:r w:rsidRPr="003203A1">
              <w:rPr>
                <w:rFonts w:cs="Arial"/>
                <w:b/>
                <w:bCs/>
                <w:sz w:val="18"/>
                <w:szCs w:val="18"/>
              </w:rPr>
              <w:t>40,775,754</w:t>
            </w:r>
          </w:p>
        </w:tc>
        <w:tc>
          <w:tcPr>
            <w:tcW w:w="236" w:type="dxa"/>
            <w:tcBorders>
              <w:top w:val="nil"/>
              <w:left w:val="nil"/>
              <w:bottom w:val="nil"/>
              <w:right w:val="nil"/>
            </w:tcBorders>
            <w:shd w:val="clear" w:color="FFFFFF" w:fill="FFFFFF"/>
            <w:noWrap/>
            <w:vAlign w:val="bottom"/>
            <w:hideMark/>
          </w:tcPr>
          <w:p w14:paraId="417C1991" w14:textId="77777777" w:rsidR="00520333" w:rsidRPr="003203A1" w:rsidRDefault="00520333" w:rsidP="005E5E0C">
            <w:pPr>
              <w:spacing w:after="0"/>
              <w:rPr>
                <w:rFonts w:cs="Arial"/>
                <w:b/>
                <w:bCs/>
                <w:sz w:val="18"/>
                <w:szCs w:val="18"/>
              </w:rPr>
            </w:pPr>
            <w:r w:rsidRPr="003203A1">
              <w:rPr>
                <w:rFonts w:cs="Arial"/>
                <w:b/>
                <w:bCs/>
                <w:sz w:val="18"/>
                <w:szCs w:val="18"/>
              </w:rPr>
              <w:t> </w:t>
            </w:r>
          </w:p>
        </w:tc>
        <w:tc>
          <w:tcPr>
            <w:tcW w:w="1241" w:type="dxa"/>
            <w:tcBorders>
              <w:top w:val="nil"/>
              <w:left w:val="nil"/>
              <w:bottom w:val="nil"/>
              <w:right w:val="nil"/>
            </w:tcBorders>
            <w:shd w:val="clear" w:color="FFFFFF" w:fill="FFFFFF"/>
            <w:noWrap/>
            <w:vAlign w:val="bottom"/>
            <w:hideMark/>
          </w:tcPr>
          <w:p w14:paraId="50EDABB0" w14:textId="77777777" w:rsidR="00520333" w:rsidRPr="003203A1" w:rsidRDefault="00520333" w:rsidP="005E5E0C">
            <w:pPr>
              <w:spacing w:after="0"/>
              <w:jc w:val="right"/>
              <w:rPr>
                <w:rFonts w:cs="Arial"/>
                <w:sz w:val="18"/>
                <w:szCs w:val="18"/>
              </w:rPr>
            </w:pPr>
            <w:r w:rsidRPr="003203A1">
              <w:rPr>
                <w:rFonts w:cs="Arial"/>
                <w:sz w:val="18"/>
                <w:szCs w:val="18"/>
              </w:rPr>
              <w:t>34,133,839</w:t>
            </w:r>
          </w:p>
        </w:tc>
      </w:tr>
      <w:tr w:rsidR="00520333" w:rsidRPr="003203A1" w14:paraId="5FB19A9D" w14:textId="77777777" w:rsidTr="005E5E0C">
        <w:trPr>
          <w:trHeight w:val="253"/>
        </w:trPr>
        <w:tc>
          <w:tcPr>
            <w:tcW w:w="6351" w:type="dxa"/>
            <w:tcBorders>
              <w:top w:val="nil"/>
              <w:left w:val="nil"/>
              <w:bottom w:val="nil"/>
              <w:right w:val="nil"/>
            </w:tcBorders>
            <w:shd w:val="clear" w:color="FFFFFF" w:fill="FFFFFF"/>
            <w:vAlign w:val="bottom"/>
            <w:hideMark/>
          </w:tcPr>
          <w:p w14:paraId="620B1858" w14:textId="77777777" w:rsidR="00520333" w:rsidRPr="003203A1" w:rsidRDefault="00520333" w:rsidP="005E5E0C">
            <w:pPr>
              <w:spacing w:after="0"/>
              <w:rPr>
                <w:rFonts w:cs="Arial"/>
                <w:sz w:val="18"/>
                <w:szCs w:val="18"/>
              </w:rPr>
            </w:pPr>
            <w:r w:rsidRPr="003203A1">
              <w:rPr>
                <w:rFonts w:cs="Arial"/>
                <w:sz w:val="18"/>
                <w:szCs w:val="18"/>
              </w:rPr>
              <w:t>Cost of services received in-kind</w:t>
            </w:r>
          </w:p>
        </w:tc>
        <w:tc>
          <w:tcPr>
            <w:tcW w:w="1259" w:type="dxa"/>
            <w:tcBorders>
              <w:top w:val="nil"/>
              <w:left w:val="nil"/>
              <w:bottom w:val="nil"/>
              <w:right w:val="nil"/>
            </w:tcBorders>
            <w:shd w:val="clear" w:color="FFFFFF" w:fill="FFFFFF"/>
            <w:noWrap/>
            <w:vAlign w:val="bottom"/>
            <w:hideMark/>
          </w:tcPr>
          <w:p w14:paraId="5EB1C10F" w14:textId="77777777" w:rsidR="00520333" w:rsidRPr="003203A1" w:rsidRDefault="00520333" w:rsidP="005E5E0C">
            <w:pPr>
              <w:spacing w:after="0"/>
              <w:jc w:val="right"/>
              <w:rPr>
                <w:rFonts w:cs="Arial"/>
                <w:b/>
                <w:bCs/>
                <w:sz w:val="18"/>
                <w:szCs w:val="18"/>
              </w:rPr>
            </w:pPr>
            <w:r w:rsidRPr="003203A1">
              <w:rPr>
                <w:rFonts w:cs="Arial"/>
                <w:b/>
                <w:bCs/>
                <w:sz w:val="18"/>
                <w:szCs w:val="18"/>
              </w:rPr>
              <w:t>952,388</w:t>
            </w:r>
          </w:p>
        </w:tc>
        <w:tc>
          <w:tcPr>
            <w:tcW w:w="236" w:type="dxa"/>
            <w:tcBorders>
              <w:top w:val="nil"/>
              <w:left w:val="nil"/>
              <w:bottom w:val="nil"/>
              <w:right w:val="nil"/>
            </w:tcBorders>
            <w:shd w:val="clear" w:color="FFFFFF" w:fill="FFFFFF"/>
            <w:noWrap/>
            <w:vAlign w:val="bottom"/>
            <w:hideMark/>
          </w:tcPr>
          <w:p w14:paraId="6448352A" w14:textId="77777777" w:rsidR="00520333" w:rsidRPr="003203A1" w:rsidRDefault="00520333" w:rsidP="005E5E0C">
            <w:pPr>
              <w:spacing w:after="0"/>
              <w:rPr>
                <w:rFonts w:cs="Arial"/>
                <w:b/>
                <w:bCs/>
                <w:sz w:val="18"/>
                <w:szCs w:val="18"/>
              </w:rPr>
            </w:pPr>
            <w:r w:rsidRPr="003203A1">
              <w:rPr>
                <w:rFonts w:cs="Arial"/>
                <w:b/>
                <w:bCs/>
                <w:sz w:val="18"/>
                <w:szCs w:val="18"/>
              </w:rPr>
              <w:t> </w:t>
            </w:r>
          </w:p>
        </w:tc>
        <w:tc>
          <w:tcPr>
            <w:tcW w:w="1241" w:type="dxa"/>
            <w:tcBorders>
              <w:top w:val="nil"/>
              <w:left w:val="nil"/>
              <w:bottom w:val="nil"/>
              <w:right w:val="nil"/>
            </w:tcBorders>
            <w:shd w:val="clear" w:color="FFFFFF" w:fill="FFFFFF"/>
            <w:noWrap/>
            <w:vAlign w:val="bottom"/>
            <w:hideMark/>
          </w:tcPr>
          <w:p w14:paraId="412C687F" w14:textId="77777777" w:rsidR="00520333" w:rsidRPr="003203A1" w:rsidRDefault="00520333" w:rsidP="005E5E0C">
            <w:pPr>
              <w:spacing w:after="0"/>
              <w:jc w:val="right"/>
              <w:rPr>
                <w:rFonts w:cs="Arial"/>
                <w:sz w:val="18"/>
                <w:szCs w:val="18"/>
              </w:rPr>
            </w:pPr>
            <w:r w:rsidRPr="003203A1">
              <w:rPr>
                <w:rFonts w:cs="Arial"/>
                <w:sz w:val="18"/>
                <w:szCs w:val="18"/>
              </w:rPr>
              <w:t>1,088,142</w:t>
            </w:r>
          </w:p>
        </w:tc>
      </w:tr>
      <w:tr w:rsidR="00520333" w:rsidRPr="003203A1" w14:paraId="75B255A0" w14:textId="77777777" w:rsidTr="005E5E0C">
        <w:trPr>
          <w:trHeight w:val="253"/>
        </w:trPr>
        <w:tc>
          <w:tcPr>
            <w:tcW w:w="6351" w:type="dxa"/>
            <w:tcBorders>
              <w:top w:val="nil"/>
              <w:left w:val="nil"/>
              <w:bottom w:val="nil"/>
              <w:right w:val="nil"/>
            </w:tcBorders>
            <w:shd w:val="clear" w:color="FFFFFF" w:fill="FFFFFF"/>
            <w:vAlign w:val="bottom"/>
            <w:hideMark/>
          </w:tcPr>
          <w:p w14:paraId="3B856801" w14:textId="77777777" w:rsidR="00520333" w:rsidRPr="003203A1" w:rsidRDefault="00520333" w:rsidP="005E5E0C">
            <w:pPr>
              <w:spacing w:after="0"/>
              <w:rPr>
                <w:rFonts w:cs="Arial"/>
                <w:sz w:val="18"/>
                <w:szCs w:val="18"/>
              </w:rPr>
            </w:pPr>
            <w:r w:rsidRPr="003203A1">
              <w:rPr>
                <w:rFonts w:cs="Arial"/>
                <w:sz w:val="18"/>
                <w:szCs w:val="18"/>
              </w:rPr>
              <w:t xml:space="preserve">Other changes to participant plan provisions </w:t>
            </w:r>
          </w:p>
        </w:tc>
        <w:tc>
          <w:tcPr>
            <w:tcW w:w="1259" w:type="dxa"/>
            <w:tcBorders>
              <w:top w:val="nil"/>
              <w:left w:val="nil"/>
              <w:bottom w:val="nil"/>
              <w:right w:val="nil"/>
            </w:tcBorders>
            <w:shd w:val="clear" w:color="FFFFFF" w:fill="FFFFFF"/>
            <w:noWrap/>
            <w:vAlign w:val="bottom"/>
            <w:hideMark/>
          </w:tcPr>
          <w:p w14:paraId="07F3C895" w14:textId="77777777" w:rsidR="00520333" w:rsidRPr="003203A1" w:rsidRDefault="00520333" w:rsidP="005E5E0C">
            <w:pPr>
              <w:spacing w:after="0"/>
              <w:jc w:val="right"/>
              <w:rPr>
                <w:rFonts w:cs="Arial"/>
                <w:b/>
                <w:bCs/>
                <w:sz w:val="18"/>
                <w:szCs w:val="18"/>
              </w:rPr>
            </w:pPr>
            <w:r w:rsidRPr="003203A1">
              <w:rPr>
                <w:rFonts w:cs="Arial"/>
                <w:b/>
                <w:bCs/>
                <w:sz w:val="18"/>
                <w:szCs w:val="18"/>
              </w:rPr>
              <w:t>117,515</w:t>
            </w:r>
          </w:p>
        </w:tc>
        <w:tc>
          <w:tcPr>
            <w:tcW w:w="236" w:type="dxa"/>
            <w:tcBorders>
              <w:top w:val="nil"/>
              <w:left w:val="nil"/>
              <w:bottom w:val="nil"/>
              <w:right w:val="nil"/>
            </w:tcBorders>
            <w:shd w:val="clear" w:color="FFFFFF" w:fill="FFFFFF"/>
            <w:noWrap/>
            <w:vAlign w:val="bottom"/>
            <w:hideMark/>
          </w:tcPr>
          <w:p w14:paraId="2E62A3EB" w14:textId="77777777" w:rsidR="00520333" w:rsidRPr="003203A1" w:rsidRDefault="00520333" w:rsidP="005E5E0C">
            <w:pPr>
              <w:spacing w:after="0"/>
              <w:rPr>
                <w:rFonts w:cs="Arial"/>
                <w:b/>
                <w:bCs/>
                <w:sz w:val="18"/>
                <w:szCs w:val="18"/>
              </w:rPr>
            </w:pPr>
            <w:r w:rsidRPr="003203A1">
              <w:rPr>
                <w:rFonts w:cs="Arial"/>
                <w:b/>
                <w:bCs/>
                <w:sz w:val="18"/>
                <w:szCs w:val="18"/>
              </w:rPr>
              <w:t> </w:t>
            </w:r>
          </w:p>
        </w:tc>
        <w:tc>
          <w:tcPr>
            <w:tcW w:w="1241" w:type="dxa"/>
            <w:tcBorders>
              <w:top w:val="nil"/>
              <w:left w:val="nil"/>
              <w:bottom w:val="nil"/>
              <w:right w:val="nil"/>
            </w:tcBorders>
            <w:shd w:val="clear" w:color="FFFFFF" w:fill="FFFFFF"/>
            <w:noWrap/>
            <w:vAlign w:val="bottom"/>
            <w:hideMark/>
          </w:tcPr>
          <w:p w14:paraId="19373328" w14:textId="77777777" w:rsidR="00520333" w:rsidRPr="003203A1" w:rsidRDefault="00520333" w:rsidP="005E5E0C">
            <w:pPr>
              <w:spacing w:after="0"/>
              <w:jc w:val="right"/>
              <w:rPr>
                <w:rFonts w:cs="Arial"/>
                <w:sz w:val="18"/>
                <w:szCs w:val="18"/>
              </w:rPr>
            </w:pPr>
            <w:r w:rsidRPr="003203A1">
              <w:rPr>
                <w:rFonts w:cs="Arial"/>
                <w:sz w:val="18"/>
                <w:szCs w:val="18"/>
              </w:rPr>
              <w:t>(28,554)</w:t>
            </w:r>
          </w:p>
        </w:tc>
      </w:tr>
      <w:tr w:rsidR="00520333" w:rsidRPr="003203A1" w14:paraId="7F31C9DB" w14:textId="77777777" w:rsidTr="005E5E0C">
        <w:trPr>
          <w:trHeight w:val="253"/>
        </w:trPr>
        <w:tc>
          <w:tcPr>
            <w:tcW w:w="6351" w:type="dxa"/>
            <w:tcBorders>
              <w:top w:val="nil"/>
              <w:left w:val="nil"/>
              <w:bottom w:val="nil"/>
              <w:right w:val="nil"/>
            </w:tcBorders>
            <w:shd w:val="clear" w:color="FFFFFF" w:fill="FFFFFF"/>
            <w:vAlign w:val="bottom"/>
            <w:hideMark/>
          </w:tcPr>
          <w:p w14:paraId="558BE1FF" w14:textId="77777777" w:rsidR="00520333" w:rsidRPr="003203A1" w:rsidRDefault="00520333" w:rsidP="005E5E0C">
            <w:pPr>
              <w:spacing w:after="0"/>
              <w:rPr>
                <w:rFonts w:cs="Arial"/>
                <w:b/>
                <w:bCs/>
                <w:sz w:val="18"/>
                <w:szCs w:val="18"/>
              </w:rPr>
            </w:pPr>
            <w:r w:rsidRPr="003203A1">
              <w:rPr>
                <w:rFonts w:cs="Arial"/>
                <w:b/>
                <w:bCs/>
                <w:sz w:val="18"/>
                <w:szCs w:val="18"/>
              </w:rPr>
              <w:t>Total participant plan expenses</w:t>
            </w:r>
          </w:p>
        </w:tc>
        <w:tc>
          <w:tcPr>
            <w:tcW w:w="1259" w:type="dxa"/>
            <w:tcBorders>
              <w:top w:val="single" w:sz="4" w:space="0" w:color="auto"/>
              <w:left w:val="nil"/>
              <w:bottom w:val="single" w:sz="4" w:space="0" w:color="auto"/>
              <w:right w:val="nil"/>
            </w:tcBorders>
            <w:shd w:val="clear" w:color="FFFFFF" w:fill="FFFFFF"/>
            <w:noWrap/>
            <w:vAlign w:val="bottom"/>
            <w:hideMark/>
          </w:tcPr>
          <w:p w14:paraId="7269CBAD" w14:textId="77777777" w:rsidR="00520333" w:rsidRPr="003203A1" w:rsidRDefault="00520333" w:rsidP="005E5E0C">
            <w:pPr>
              <w:spacing w:after="0"/>
              <w:jc w:val="right"/>
              <w:rPr>
                <w:rFonts w:cs="Arial"/>
                <w:b/>
                <w:bCs/>
                <w:sz w:val="18"/>
                <w:szCs w:val="18"/>
              </w:rPr>
            </w:pPr>
            <w:r w:rsidRPr="003203A1">
              <w:rPr>
                <w:rFonts w:cs="Arial"/>
                <w:b/>
                <w:bCs/>
                <w:sz w:val="18"/>
                <w:szCs w:val="18"/>
              </w:rPr>
              <w:t>41,845,657</w:t>
            </w:r>
          </w:p>
        </w:tc>
        <w:tc>
          <w:tcPr>
            <w:tcW w:w="236" w:type="dxa"/>
            <w:tcBorders>
              <w:top w:val="nil"/>
              <w:left w:val="nil"/>
              <w:bottom w:val="nil"/>
              <w:right w:val="nil"/>
            </w:tcBorders>
            <w:shd w:val="clear" w:color="FFFFFF" w:fill="FFFFFF"/>
            <w:noWrap/>
            <w:vAlign w:val="bottom"/>
            <w:hideMark/>
          </w:tcPr>
          <w:p w14:paraId="5FB79618"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single" w:sz="4" w:space="0" w:color="auto"/>
              <w:left w:val="nil"/>
              <w:bottom w:val="single" w:sz="4" w:space="0" w:color="auto"/>
              <w:right w:val="nil"/>
            </w:tcBorders>
            <w:shd w:val="clear" w:color="FFFFFF" w:fill="FFFFFF"/>
            <w:noWrap/>
            <w:vAlign w:val="bottom"/>
            <w:hideMark/>
          </w:tcPr>
          <w:p w14:paraId="21060670" w14:textId="77777777" w:rsidR="00520333" w:rsidRPr="003203A1" w:rsidRDefault="00520333" w:rsidP="005E5E0C">
            <w:pPr>
              <w:spacing w:after="0"/>
              <w:jc w:val="right"/>
              <w:rPr>
                <w:rFonts w:cs="Arial"/>
                <w:sz w:val="18"/>
                <w:szCs w:val="18"/>
              </w:rPr>
            </w:pPr>
            <w:r w:rsidRPr="003203A1">
              <w:rPr>
                <w:rFonts w:cs="Arial"/>
                <w:sz w:val="18"/>
                <w:szCs w:val="18"/>
              </w:rPr>
              <w:t>35,193,427</w:t>
            </w:r>
          </w:p>
        </w:tc>
      </w:tr>
    </w:tbl>
    <w:p w14:paraId="3419C83A" w14:textId="77777777" w:rsidR="00520333" w:rsidRPr="003203A1" w:rsidRDefault="00520333" w:rsidP="00520333">
      <w:pPr>
        <w:spacing w:line="240" w:lineRule="auto"/>
        <w:rPr>
          <w:rFonts w:cs="Arial"/>
          <w:sz w:val="18"/>
          <w:szCs w:val="18"/>
        </w:rPr>
      </w:pPr>
      <w:bookmarkStart w:id="155" w:name="OLE_LINK13"/>
      <w:bookmarkStart w:id="156" w:name="OLE_LINK12"/>
    </w:p>
    <w:p w14:paraId="5C2321AD" w14:textId="77777777" w:rsidR="00520333" w:rsidRPr="003203A1" w:rsidRDefault="00520333" w:rsidP="00520333">
      <w:pPr>
        <w:pStyle w:val="PolicyheadingDept"/>
        <w:pBdr>
          <w:top w:val="single" w:sz="4" w:space="0" w:color="800080"/>
          <w:left w:val="single" w:sz="4" w:space="4" w:color="800080"/>
          <w:right w:val="single" w:sz="4" w:space="4" w:color="800080"/>
        </w:pBdr>
      </w:pPr>
      <w:r w:rsidRPr="003203A1">
        <w:t>Accounting Policy</w:t>
      </w:r>
    </w:p>
    <w:p w14:paraId="4ACFC410" w14:textId="77777777" w:rsidR="00520333" w:rsidRPr="003203A1" w:rsidRDefault="00520333" w:rsidP="00520333">
      <w:pPr>
        <w:pStyle w:val="PolicyheadingDept"/>
        <w:pBdr>
          <w:top w:val="single" w:sz="4" w:space="0" w:color="800080"/>
          <w:left w:val="single" w:sz="4" w:space="4" w:color="800080"/>
          <w:right w:val="single" w:sz="4" w:space="4" w:color="800080"/>
        </w:pBdr>
        <w:rPr>
          <w:b w:val="0"/>
        </w:rPr>
      </w:pPr>
      <w:r w:rsidRPr="003203A1">
        <w:rPr>
          <w:b w:val="0"/>
        </w:rPr>
        <w:t>The costs associated with participant plan expenses are recognised as and when the Agency receives claims from participants and providers. Accounting policies for expenses resulting from adjustment to the participant plan provision are contained in Section 2.6 – Provisions.</w:t>
      </w:r>
    </w:p>
    <w:p w14:paraId="1FA167F7" w14:textId="77777777" w:rsidR="00520333" w:rsidRPr="003203A1" w:rsidRDefault="00520333" w:rsidP="00520333">
      <w:pPr>
        <w:pStyle w:val="PolicytextDept"/>
        <w:pBdr>
          <w:top w:val="none" w:sz="0" w:space="0" w:color="auto"/>
          <w:left w:val="none" w:sz="0" w:space="0" w:color="auto"/>
          <w:bottom w:val="none" w:sz="0" w:space="0" w:color="auto"/>
          <w:right w:val="none" w:sz="0" w:space="0" w:color="auto"/>
        </w:pBdr>
        <w:rPr>
          <w:b/>
        </w:rPr>
      </w:pPr>
      <w:bookmarkStart w:id="157" w:name="_Hlk111208298"/>
      <w:r w:rsidRPr="003203A1">
        <w:rPr>
          <w:b/>
        </w:rPr>
        <w:t>Participant plan expenses</w:t>
      </w:r>
    </w:p>
    <w:p w14:paraId="0E1E3385" w14:textId="73776FD7" w:rsidR="00520333" w:rsidRPr="003203A1" w:rsidRDefault="00520333" w:rsidP="0047225D">
      <w:pPr>
        <w:spacing w:after="0"/>
        <w:rPr>
          <w:rFonts w:cs="Arial"/>
          <w:bCs/>
          <w:sz w:val="18"/>
          <w:szCs w:val="18"/>
        </w:rPr>
      </w:pPr>
      <w:bookmarkStart w:id="158" w:name="_Hlk176947070"/>
      <w:r w:rsidRPr="003203A1">
        <w:rPr>
          <w:rFonts w:cs="Arial"/>
          <w:bCs/>
          <w:sz w:val="18"/>
          <w:szCs w:val="18"/>
        </w:rPr>
        <w:t>The Agency makes payments to registered providers and participants with self-managed plans for supports delivered in line with a participant’s approved plan. Registered providers (for plan- and Agency-Managed plans) and self-managing participants can access NDIS portals to submit payment claims for delivered supports.</w:t>
      </w:r>
      <w:r w:rsidR="00681953">
        <w:rPr>
          <w:rFonts w:cs="Arial"/>
          <w:bCs/>
          <w:sz w:val="18"/>
          <w:szCs w:val="18"/>
        </w:rPr>
        <w:t xml:space="preserve"> </w:t>
      </w:r>
      <w:r w:rsidRPr="003203A1">
        <w:rPr>
          <w:rFonts w:cs="Arial"/>
          <w:bCs/>
          <w:sz w:val="18"/>
          <w:szCs w:val="18"/>
        </w:rPr>
        <w:t>Self-lodgement of claims from providers and participants can lead to payments that are inconsistent with Agency guidance, even where no deliberate fraud is intended by the claimant. To mitigate this risk and to assess the potential financial impact, the Agency maintains an assurance testing program, with monthly reviews completed throughout the corresponding financial year. The methodology for calculating and reporting errors will be periodically reviewed.</w:t>
      </w:r>
      <w:bookmarkEnd w:id="158"/>
    </w:p>
    <w:p w14:paraId="37AB1F0D" w14:textId="77777777" w:rsidR="00520333" w:rsidRPr="003203A1" w:rsidRDefault="00520333" w:rsidP="0047225D">
      <w:pPr>
        <w:spacing w:after="0"/>
        <w:rPr>
          <w:rFonts w:cs="Arial"/>
          <w:bCs/>
          <w:sz w:val="18"/>
          <w:szCs w:val="18"/>
        </w:rPr>
      </w:pPr>
      <w:bookmarkStart w:id="159" w:name="_Hlk176947138"/>
      <w:r w:rsidRPr="003203A1">
        <w:rPr>
          <w:rFonts w:cs="Arial"/>
          <w:bCs/>
          <w:sz w:val="18"/>
          <w:szCs w:val="18"/>
        </w:rPr>
        <w:t xml:space="preserve">Errors identified in the review process can be either critical (having a potential financial impact) or non-critical (having no direct financial impact e.g. keying errors like incomplete ABN, provider name or date of service etc). All critical errors are subject to further validation, with recovery action, where required and considered to be economical, undertaken in accordance with the Agency’s Debt Management Procedures. The outcomes of this testing are extrapolated to indicate an annualised potential financial impact. </w:t>
      </w:r>
    </w:p>
    <w:p w14:paraId="3AD3163B" w14:textId="77777777" w:rsidR="00520333" w:rsidRPr="003203A1" w:rsidRDefault="00520333" w:rsidP="0047225D">
      <w:pPr>
        <w:spacing w:after="0"/>
        <w:rPr>
          <w:rFonts w:cs="Arial"/>
          <w:bCs/>
          <w:sz w:val="18"/>
          <w:szCs w:val="18"/>
        </w:rPr>
      </w:pPr>
      <w:r w:rsidRPr="003203A1">
        <w:rPr>
          <w:rFonts w:cs="Arial"/>
          <w:bCs/>
          <w:sz w:val="18"/>
          <w:szCs w:val="18"/>
        </w:rPr>
        <w:t xml:space="preserve">For </w:t>
      </w:r>
      <w:r w:rsidRPr="003203A1">
        <w:rPr>
          <w:rFonts w:cs="Arial"/>
          <w:bCs/>
          <w:sz w:val="18"/>
          <w:szCs w:val="18"/>
        </w:rPr>
        <w:fldChar w:fldCharType="begin"/>
      </w:r>
      <w:r w:rsidRPr="003203A1">
        <w:rPr>
          <w:rFonts w:cs="Arial"/>
          <w:bCs/>
          <w:sz w:val="18"/>
          <w:szCs w:val="18"/>
        </w:rPr>
        <w:instrText xml:space="preserve"> DOCPROPERTY  prYear  \* MERGEFORMAT </w:instrText>
      </w:r>
      <w:r w:rsidRPr="003203A1">
        <w:rPr>
          <w:rFonts w:cs="Arial"/>
          <w:bCs/>
          <w:sz w:val="18"/>
          <w:szCs w:val="18"/>
        </w:rPr>
        <w:fldChar w:fldCharType="separate"/>
      </w:r>
      <w:r w:rsidRPr="003203A1">
        <w:rPr>
          <w:rFonts w:cs="Arial"/>
          <w:bCs/>
          <w:sz w:val="18"/>
          <w:szCs w:val="18"/>
        </w:rPr>
        <w:t>2023</w:t>
      </w:r>
      <w:r w:rsidRPr="003203A1">
        <w:rPr>
          <w:rFonts w:cs="Arial"/>
          <w:bCs/>
          <w:sz w:val="18"/>
          <w:szCs w:val="18"/>
        </w:rPr>
        <w:fldChar w:fldCharType="end"/>
      </w:r>
      <w:r w:rsidRPr="003203A1">
        <w:rPr>
          <w:rFonts w:cs="Arial"/>
          <w:bCs/>
          <w:sz w:val="18"/>
          <w:szCs w:val="18"/>
        </w:rPr>
        <w:t xml:space="preserve">–24, the estimated potential financial impact of the provider (plan- and Agency-managed) critical error rates was assessed as being $1,688.2m (4.7% of total provider payments) compared to $1,174.3m (4.0% of total provider payments) in 2022–23. </w:t>
      </w:r>
    </w:p>
    <w:p w14:paraId="71BBA30C" w14:textId="466AF480" w:rsidR="003203A1" w:rsidRDefault="00520333" w:rsidP="003203A1">
      <w:pPr>
        <w:spacing w:after="0"/>
        <w:rPr>
          <w:rFonts w:cs="Arial"/>
          <w:bCs/>
          <w:sz w:val="18"/>
          <w:szCs w:val="18"/>
        </w:rPr>
      </w:pPr>
      <w:r w:rsidRPr="003203A1">
        <w:rPr>
          <w:rFonts w:cs="Arial"/>
          <w:bCs/>
          <w:sz w:val="18"/>
          <w:szCs w:val="18"/>
        </w:rPr>
        <w:t>The estimated potential financial impact of the participant self-managed plan critical error rates was assessed as being $312.6m (6.7% of total self-managed participant payments) compared to $228.2m (5.4% of total self-managed participant payments) in 2022–23. </w:t>
      </w:r>
      <w:r w:rsidR="003203A1">
        <w:rPr>
          <w:rFonts w:cs="Arial"/>
          <w:bCs/>
          <w:sz w:val="18"/>
          <w:szCs w:val="18"/>
        </w:rPr>
        <w:br w:type="page"/>
      </w:r>
    </w:p>
    <w:p w14:paraId="465EA870" w14:textId="77777777" w:rsidR="003203A1" w:rsidRPr="00C821EB" w:rsidRDefault="003203A1" w:rsidP="003203A1">
      <w:pPr>
        <w:spacing w:after="0" w:line="240" w:lineRule="auto"/>
        <w:rPr>
          <w:b/>
          <w:bCs/>
        </w:rPr>
      </w:pPr>
      <w:r w:rsidRPr="00C821EB">
        <w:rPr>
          <w:b/>
          <w:bCs/>
        </w:rPr>
        <w:lastRenderedPageBreak/>
        <w:t>National Disability Insurance Agency</w:t>
      </w:r>
    </w:p>
    <w:p w14:paraId="3870AE80" w14:textId="77777777" w:rsidR="003203A1" w:rsidRPr="00C821EB" w:rsidRDefault="003203A1" w:rsidP="003203A1">
      <w:pPr>
        <w:pBdr>
          <w:bottom w:val="single" w:sz="8" w:space="1" w:color="auto"/>
        </w:pBdr>
        <w:rPr>
          <w:b/>
          <w:bCs/>
        </w:rPr>
      </w:pPr>
      <w:r w:rsidRPr="00C821EB">
        <w:rPr>
          <w:b/>
          <w:bCs/>
        </w:rPr>
        <w:t>NOTES TO AND FORMING PART OF THE FINANCIAL STATEMENTS</w:t>
      </w:r>
    </w:p>
    <w:p w14:paraId="1AF3E535" w14:textId="105D98CD" w:rsidR="00520333" w:rsidRPr="003203A1" w:rsidRDefault="00520333" w:rsidP="0047225D">
      <w:pPr>
        <w:spacing w:after="0"/>
        <w:rPr>
          <w:rFonts w:cs="Arial"/>
          <w:bCs/>
          <w:sz w:val="18"/>
          <w:szCs w:val="18"/>
        </w:rPr>
      </w:pPr>
      <w:r w:rsidRPr="003203A1">
        <w:rPr>
          <w:rFonts w:cs="Arial"/>
          <w:bCs/>
          <w:sz w:val="18"/>
          <w:szCs w:val="18"/>
        </w:rPr>
        <w:t>For provider (plan- and Agency-managed) and self-managed payments, the primary factor driving the increase in estimated error value is the increase in the number of errors found together with the proportional increase in the average error value over the sample group applied against the total value of payments made by the Agency in 2023–24.</w:t>
      </w:r>
      <w:bookmarkEnd w:id="159"/>
    </w:p>
    <w:p w14:paraId="19ACEB76" w14:textId="77777777" w:rsidR="00520333" w:rsidRPr="003203A1" w:rsidRDefault="00520333" w:rsidP="003203A1">
      <w:pPr>
        <w:pStyle w:val="SubHeading"/>
        <w:shd w:val="clear" w:color="auto" w:fill="000000" w:themeFill="accent6"/>
        <w:ind w:right="-285"/>
        <w:rPr>
          <w:sz w:val="18"/>
          <w:szCs w:val="18"/>
        </w:rPr>
      </w:pPr>
      <w:bookmarkStart w:id="160" w:name="_Toc443469524"/>
      <w:bookmarkStart w:id="161" w:name="_Toc444065773"/>
      <w:bookmarkStart w:id="162" w:name="_Toc444077334"/>
      <w:bookmarkStart w:id="163" w:name="_Toc447030537"/>
      <w:bookmarkStart w:id="164" w:name="_Toc447030689"/>
      <w:bookmarkStart w:id="165" w:name="_Toc447030782"/>
      <w:bookmarkStart w:id="166" w:name="_Toc65742845"/>
      <w:bookmarkStart w:id="167" w:name="_Toc173417292"/>
      <w:bookmarkEnd w:id="155"/>
      <w:bookmarkEnd w:id="156"/>
      <w:bookmarkEnd w:id="157"/>
      <w:r w:rsidRPr="003203A1">
        <w:rPr>
          <w:sz w:val="18"/>
          <w:szCs w:val="18"/>
        </w:rPr>
        <w:t>Own-Source Revenue and Gains</w:t>
      </w:r>
      <w:bookmarkEnd w:id="160"/>
      <w:bookmarkEnd w:id="161"/>
      <w:bookmarkEnd w:id="162"/>
      <w:bookmarkEnd w:id="163"/>
      <w:bookmarkEnd w:id="164"/>
      <w:bookmarkEnd w:id="165"/>
      <w:bookmarkEnd w:id="166"/>
      <w:bookmarkEnd w:id="167"/>
    </w:p>
    <w:p w14:paraId="19D1D31B" w14:textId="77777777" w:rsidR="00520333" w:rsidRPr="003203A1" w:rsidRDefault="00520333" w:rsidP="00520333">
      <w:pPr>
        <w:rPr>
          <w:rFonts w:cs="Arial"/>
          <w:sz w:val="18"/>
          <w:szCs w:val="18"/>
        </w:rPr>
      </w:pPr>
    </w:p>
    <w:tbl>
      <w:tblPr>
        <w:tblW w:w="9371" w:type="dxa"/>
        <w:tblLayout w:type="fixed"/>
        <w:tblLook w:val="04A0" w:firstRow="1" w:lastRow="0" w:firstColumn="1" w:lastColumn="0" w:noHBand="0" w:noVBand="1"/>
      </w:tblPr>
      <w:tblGrid>
        <w:gridCol w:w="6545"/>
        <w:gridCol w:w="1317"/>
        <w:gridCol w:w="243"/>
        <w:gridCol w:w="1266"/>
      </w:tblGrid>
      <w:tr w:rsidR="00520333" w:rsidRPr="003203A1" w14:paraId="1704844D" w14:textId="77777777" w:rsidTr="005E5E0C">
        <w:trPr>
          <w:trHeight w:val="254"/>
        </w:trPr>
        <w:tc>
          <w:tcPr>
            <w:tcW w:w="6545" w:type="dxa"/>
            <w:tcBorders>
              <w:top w:val="nil"/>
              <w:left w:val="nil"/>
              <w:bottom w:val="nil"/>
              <w:right w:val="nil"/>
            </w:tcBorders>
            <w:shd w:val="clear" w:color="FFFFFF" w:fill="FFFFFF"/>
            <w:vAlign w:val="bottom"/>
            <w:hideMark/>
          </w:tcPr>
          <w:p w14:paraId="219C5FFE" w14:textId="77777777" w:rsidR="00520333" w:rsidRPr="003203A1" w:rsidRDefault="00520333" w:rsidP="005E5E0C">
            <w:pPr>
              <w:spacing w:after="0"/>
              <w:rPr>
                <w:rFonts w:cs="Arial"/>
                <w:b/>
                <w:bCs/>
                <w:sz w:val="18"/>
                <w:szCs w:val="18"/>
              </w:rPr>
            </w:pPr>
            <w:r w:rsidRPr="003203A1">
              <w:rPr>
                <w:rFonts w:cs="Arial"/>
                <w:b/>
                <w:bCs/>
                <w:sz w:val="18"/>
                <w:szCs w:val="18"/>
              </w:rPr>
              <w:t>OWN SOURCE REVENUE</w:t>
            </w:r>
          </w:p>
        </w:tc>
        <w:tc>
          <w:tcPr>
            <w:tcW w:w="1317" w:type="dxa"/>
            <w:tcBorders>
              <w:top w:val="nil"/>
              <w:left w:val="nil"/>
              <w:bottom w:val="nil"/>
              <w:right w:val="nil"/>
            </w:tcBorders>
            <w:shd w:val="clear" w:color="FFFFFF" w:fill="FFFFFF"/>
            <w:noWrap/>
            <w:vAlign w:val="bottom"/>
            <w:hideMark/>
          </w:tcPr>
          <w:p w14:paraId="071B5B0F" w14:textId="77777777" w:rsidR="00520333" w:rsidRPr="003203A1" w:rsidRDefault="00520333" w:rsidP="005E5E0C">
            <w:pPr>
              <w:spacing w:after="0"/>
              <w:jc w:val="right"/>
              <w:rPr>
                <w:rFonts w:cs="Arial"/>
                <w:b/>
                <w:bCs/>
                <w:sz w:val="18"/>
                <w:szCs w:val="18"/>
              </w:rPr>
            </w:pPr>
            <w:r w:rsidRPr="003203A1">
              <w:rPr>
                <w:rFonts w:cs="Arial"/>
                <w:b/>
                <w:bCs/>
                <w:sz w:val="18"/>
                <w:szCs w:val="18"/>
              </w:rPr>
              <w:t>2024</w:t>
            </w:r>
          </w:p>
        </w:tc>
        <w:tc>
          <w:tcPr>
            <w:tcW w:w="243" w:type="dxa"/>
            <w:tcBorders>
              <w:top w:val="nil"/>
              <w:left w:val="nil"/>
              <w:bottom w:val="nil"/>
              <w:right w:val="nil"/>
            </w:tcBorders>
            <w:shd w:val="clear" w:color="FFFFFF" w:fill="FFFFFF"/>
            <w:noWrap/>
            <w:vAlign w:val="bottom"/>
            <w:hideMark/>
          </w:tcPr>
          <w:p w14:paraId="3F810260" w14:textId="77777777" w:rsidR="00520333" w:rsidRPr="003203A1" w:rsidRDefault="00520333" w:rsidP="005E5E0C">
            <w:pPr>
              <w:spacing w:after="0"/>
              <w:rPr>
                <w:rFonts w:cs="Arial"/>
                <w:sz w:val="18"/>
                <w:szCs w:val="18"/>
              </w:rPr>
            </w:pPr>
            <w:r w:rsidRPr="003203A1">
              <w:rPr>
                <w:rFonts w:cs="Arial"/>
                <w:sz w:val="18"/>
                <w:szCs w:val="18"/>
              </w:rPr>
              <w:t> </w:t>
            </w:r>
          </w:p>
        </w:tc>
        <w:tc>
          <w:tcPr>
            <w:tcW w:w="1266" w:type="dxa"/>
            <w:tcBorders>
              <w:top w:val="nil"/>
              <w:left w:val="nil"/>
              <w:bottom w:val="nil"/>
              <w:right w:val="nil"/>
            </w:tcBorders>
            <w:shd w:val="clear" w:color="FFFFFF" w:fill="FFFFFF"/>
            <w:noWrap/>
            <w:vAlign w:val="bottom"/>
            <w:hideMark/>
          </w:tcPr>
          <w:p w14:paraId="5344F1FE" w14:textId="77777777" w:rsidR="00520333" w:rsidRPr="003203A1" w:rsidRDefault="00520333" w:rsidP="005E5E0C">
            <w:pPr>
              <w:spacing w:after="0"/>
              <w:jc w:val="right"/>
              <w:rPr>
                <w:rFonts w:cs="Arial"/>
                <w:sz w:val="18"/>
                <w:szCs w:val="18"/>
              </w:rPr>
            </w:pPr>
            <w:r w:rsidRPr="003203A1">
              <w:rPr>
                <w:rFonts w:cs="Arial"/>
                <w:sz w:val="18"/>
                <w:szCs w:val="18"/>
              </w:rPr>
              <w:t>2023</w:t>
            </w:r>
          </w:p>
        </w:tc>
      </w:tr>
      <w:tr w:rsidR="00520333" w:rsidRPr="003203A1" w14:paraId="0CFB8664" w14:textId="77777777" w:rsidTr="005E5E0C">
        <w:trPr>
          <w:trHeight w:val="254"/>
        </w:trPr>
        <w:tc>
          <w:tcPr>
            <w:tcW w:w="6545" w:type="dxa"/>
            <w:tcBorders>
              <w:top w:val="nil"/>
              <w:left w:val="nil"/>
              <w:bottom w:val="nil"/>
              <w:right w:val="nil"/>
            </w:tcBorders>
            <w:shd w:val="clear" w:color="FFFFFF" w:fill="FFFFFF"/>
            <w:vAlign w:val="bottom"/>
            <w:hideMark/>
          </w:tcPr>
          <w:p w14:paraId="23544E73" w14:textId="77777777" w:rsidR="00520333" w:rsidRPr="003203A1" w:rsidRDefault="00520333" w:rsidP="005E5E0C">
            <w:pPr>
              <w:spacing w:after="0"/>
              <w:rPr>
                <w:rFonts w:cs="Arial"/>
                <w:b/>
                <w:bCs/>
                <w:sz w:val="18"/>
                <w:szCs w:val="18"/>
              </w:rPr>
            </w:pPr>
            <w:r w:rsidRPr="003203A1">
              <w:rPr>
                <w:rFonts w:cs="Arial"/>
                <w:b/>
                <w:bCs/>
                <w:sz w:val="18"/>
                <w:szCs w:val="18"/>
              </w:rPr>
              <w:t> </w:t>
            </w:r>
          </w:p>
        </w:tc>
        <w:tc>
          <w:tcPr>
            <w:tcW w:w="1317" w:type="dxa"/>
            <w:tcBorders>
              <w:top w:val="nil"/>
              <w:left w:val="nil"/>
              <w:bottom w:val="nil"/>
              <w:right w:val="nil"/>
            </w:tcBorders>
            <w:shd w:val="clear" w:color="FFFFFF" w:fill="FFFFFF"/>
            <w:noWrap/>
            <w:vAlign w:val="bottom"/>
            <w:hideMark/>
          </w:tcPr>
          <w:p w14:paraId="74524866" w14:textId="77777777" w:rsidR="00520333" w:rsidRPr="003203A1" w:rsidRDefault="00520333" w:rsidP="005E5E0C">
            <w:pPr>
              <w:spacing w:after="0"/>
              <w:jc w:val="right"/>
              <w:rPr>
                <w:rFonts w:cs="Arial"/>
                <w:b/>
                <w:bCs/>
                <w:sz w:val="18"/>
                <w:szCs w:val="18"/>
              </w:rPr>
            </w:pPr>
            <w:r w:rsidRPr="003203A1">
              <w:rPr>
                <w:rFonts w:cs="Arial"/>
                <w:b/>
                <w:bCs/>
                <w:sz w:val="18"/>
                <w:szCs w:val="18"/>
              </w:rPr>
              <w:t>$'000</w:t>
            </w:r>
          </w:p>
        </w:tc>
        <w:tc>
          <w:tcPr>
            <w:tcW w:w="243" w:type="dxa"/>
            <w:tcBorders>
              <w:top w:val="nil"/>
              <w:left w:val="nil"/>
              <w:bottom w:val="nil"/>
              <w:right w:val="nil"/>
            </w:tcBorders>
            <w:shd w:val="clear" w:color="FFFFFF" w:fill="FFFFFF"/>
            <w:noWrap/>
            <w:vAlign w:val="bottom"/>
            <w:hideMark/>
          </w:tcPr>
          <w:p w14:paraId="13B05ADB" w14:textId="77777777" w:rsidR="00520333" w:rsidRPr="003203A1" w:rsidRDefault="00520333" w:rsidP="005E5E0C">
            <w:pPr>
              <w:spacing w:after="0"/>
              <w:rPr>
                <w:rFonts w:cs="Arial"/>
                <w:sz w:val="18"/>
                <w:szCs w:val="18"/>
              </w:rPr>
            </w:pPr>
            <w:r w:rsidRPr="003203A1">
              <w:rPr>
                <w:rFonts w:cs="Arial"/>
                <w:sz w:val="18"/>
                <w:szCs w:val="18"/>
              </w:rPr>
              <w:t> </w:t>
            </w:r>
          </w:p>
        </w:tc>
        <w:tc>
          <w:tcPr>
            <w:tcW w:w="1266" w:type="dxa"/>
            <w:tcBorders>
              <w:top w:val="nil"/>
              <w:left w:val="nil"/>
              <w:bottom w:val="nil"/>
              <w:right w:val="nil"/>
            </w:tcBorders>
            <w:shd w:val="clear" w:color="FFFFFF" w:fill="FFFFFF"/>
            <w:noWrap/>
            <w:vAlign w:val="bottom"/>
            <w:hideMark/>
          </w:tcPr>
          <w:p w14:paraId="6F9A4950" w14:textId="77777777" w:rsidR="00520333" w:rsidRPr="003203A1" w:rsidRDefault="00520333" w:rsidP="005E5E0C">
            <w:pPr>
              <w:spacing w:after="0"/>
              <w:jc w:val="right"/>
              <w:rPr>
                <w:rFonts w:cs="Arial"/>
                <w:sz w:val="18"/>
                <w:szCs w:val="18"/>
              </w:rPr>
            </w:pPr>
            <w:r w:rsidRPr="003203A1">
              <w:rPr>
                <w:rFonts w:cs="Arial"/>
                <w:sz w:val="18"/>
                <w:szCs w:val="18"/>
              </w:rPr>
              <w:t>$'000</w:t>
            </w:r>
          </w:p>
        </w:tc>
      </w:tr>
      <w:tr w:rsidR="00520333" w:rsidRPr="003203A1" w14:paraId="7F526C6B" w14:textId="77777777" w:rsidTr="005E5E0C">
        <w:trPr>
          <w:trHeight w:val="264"/>
        </w:trPr>
        <w:tc>
          <w:tcPr>
            <w:tcW w:w="6545" w:type="dxa"/>
            <w:tcBorders>
              <w:top w:val="nil"/>
              <w:left w:val="nil"/>
              <w:bottom w:val="nil"/>
              <w:right w:val="nil"/>
            </w:tcBorders>
            <w:shd w:val="clear" w:color="FFFFFF" w:fill="FFFFFF"/>
            <w:noWrap/>
            <w:vAlign w:val="bottom"/>
            <w:hideMark/>
          </w:tcPr>
          <w:p w14:paraId="285F556A" w14:textId="77777777" w:rsidR="00520333" w:rsidRPr="003203A1" w:rsidRDefault="00520333" w:rsidP="005E5E0C">
            <w:pPr>
              <w:spacing w:after="0"/>
              <w:rPr>
                <w:rFonts w:cs="Arial"/>
                <w:b/>
                <w:bCs/>
                <w:sz w:val="18"/>
                <w:szCs w:val="18"/>
                <w:u w:val="single"/>
              </w:rPr>
            </w:pPr>
            <w:r w:rsidRPr="003203A1">
              <w:rPr>
                <w:rFonts w:cs="Arial"/>
                <w:b/>
                <w:bCs/>
                <w:sz w:val="18"/>
                <w:szCs w:val="18"/>
                <w:u w:val="single"/>
              </w:rPr>
              <w:t>Note 1.2A: Rendering of services</w:t>
            </w:r>
          </w:p>
        </w:tc>
        <w:tc>
          <w:tcPr>
            <w:tcW w:w="1317" w:type="dxa"/>
            <w:tcBorders>
              <w:top w:val="nil"/>
              <w:left w:val="nil"/>
              <w:bottom w:val="nil"/>
              <w:right w:val="nil"/>
            </w:tcBorders>
            <w:shd w:val="clear" w:color="FFFFFF" w:fill="FFFFFF"/>
            <w:noWrap/>
            <w:vAlign w:val="bottom"/>
            <w:hideMark/>
          </w:tcPr>
          <w:p w14:paraId="6C5C87FD" w14:textId="77777777" w:rsidR="00520333" w:rsidRPr="003203A1" w:rsidRDefault="00520333" w:rsidP="005E5E0C">
            <w:pPr>
              <w:spacing w:after="0"/>
              <w:jc w:val="right"/>
              <w:rPr>
                <w:rFonts w:cs="Arial"/>
                <w:b/>
                <w:bCs/>
                <w:sz w:val="18"/>
                <w:szCs w:val="18"/>
              </w:rPr>
            </w:pPr>
            <w:r w:rsidRPr="003203A1">
              <w:rPr>
                <w:rFonts w:cs="Arial"/>
                <w:b/>
                <w:bCs/>
                <w:sz w:val="18"/>
                <w:szCs w:val="18"/>
              </w:rPr>
              <w:t> </w:t>
            </w:r>
          </w:p>
        </w:tc>
        <w:tc>
          <w:tcPr>
            <w:tcW w:w="243" w:type="dxa"/>
            <w:tcBorders>
              <w:top w:val="nil"/>
              <w:left w:val="nil"/>
              <w:bottom w:val="nil"/>
              <w:right w:val="nil"/>
            </w:tcBorders>
            <w:shd w:val="clear" w:color="FFFFFF" w:fill="FFFFFF"/>
            <w:noWrap/>
            <w:vAlign w:val="bottom"/>
            <w:hideMark/>
          </w:tcPr>
          <w:p w14:paraId="34D9F5DD" w14:textId="77777777" w:rsidR="00520333" w:rsidRPr="003203A1" w:rsidRDefault="00520333" w:rsidP="005E5E0C">
            <w:pPr>
              <w:spacing w:after="0"/>
              <w:rPr>
                <w:rFonts w:cs="Arial"/>
                <w:sz w:val="18"/>
                <w:szCs w:val="18"/>
              </w:rPr>
            </w:pPr>
            <w:r w:rsidRPr="003203A1">
              <w:rPr>
                <w:rFonts w:cs="Arial"/>
                <w:sz w:val="18"/>
                <w:szCs w:val="18"/>
              </w:rPr>
              <w:t> </w:t>
            </w:r>
          </w:p>
        </w:tc>
        <w:tc>
          <w:tcPr>
            <w:tcW w:w="1266" w:type="dxa"/>
            <w:tcBorders>
              <w:top w:val="nil"/>
              <w:left w:val="nil"/>
              <w:bottom w:val="nil"/>
              <w:right w:val="nil"/>
            </w:tcBorders>
            <w:shd w:val="clear" w:color="FFFFFF" w:fill="FFFFFF"/>
            <w:noWrap/>
            <w:vAlign w:val="bottom"/>
            <w:hideMark/>
          </w:tcPr>
          <w:p w14:paraId="28B9E9FE" w14:textId="77777777" w:rsidR="00520333" w:rsidRPr="003203A1" w:rsidRDefault="00520333" w:rsidP="005E5E0C">
            <w:pPr>
              <w:spacing w:after="0"/>
              <w:jc w:val="right"/>
              <w:rPr>
                <w:rFonts w:cs="Arial"/>
                <w:sz w:val="18"/>
                <w:szCs w:val="18"/>
              </w:rPr>
            </w:pPr>
            <w:r w:rsidRPr="003203A1">
              <w:rPr>
                <w:rFonts w:cs="Arial"/>
                <w:sz w:val="18"/>
                <w:szCs w:val="18"/>
              </w:rPr>
              <w:t> </w:t>
            </w:r>
          </w:p>
        </w:tc>
      </w:tr>
      <w:tr w:rsidR="00520333" w:rsidRPr="003203A1" w14:paraId="12F30D60" w14:textId="77777777" w:rsidTr="005E5E0C">
        <w:trPr>
          <w:trHeight w:val="264"/>
        </w:trPr>
        <w:tc>
          <w:tcPr>
            <w:tcW w:w="6545" w:type="dxa"/>
            <w:tcBorders>
              <w:top w:val="nil"/>
              <w:left w:val="nil"/>
              <w:bottom w:val="nil"/>
              <w:right w:val="nil"/>
            </w:tcBorders>
            <w:shd w:val="clear" w:color="FFFFFF" w:fill="FFFFFF"/>
            <w:noWrap/>
            <w:vAlign w:val="bottom"/>
            <w:hideMark/>
          </w:tcPr>
          <w:p w14:paraId="18163916" w14:textId="77777777" w:rsidR="00520333" w:rsidRPr="003203A1" w:rsidRDefault="00520333" w:rsidP="005E5E0C">
            <w:pPr>
              <w:spacing w:after="0"/>
              <w:ind w:firstLineChars="100" w:firstLine="181"/>
              <w:rPr>
                <w:rFonts w:cs="Arial"/>
                <w:b/>
                <w:bCs/>
                <w:sz w:val="18"/>
                <w:szCs w:val="18"/>
              </w:rPr>
            </w:pPr>
            <w:r w:rsidRPr="003203A1">
              <w:rPr>
                <w:rFonts w:cs="Arial"/>
                <w:b/>
                <w:bCs/>
                <w:sz w:val="18"/>
                <w:szCs w:val="18"/>
              </w:rPr>
              <w:t xml:space="preserve">Rendering of services in connection with: </w:t>
            </w:r>
          </w:p>
        </w:tc>
        <w:tc>
          <w:tcPr>
            <w:tcW w:w="1317" w:type="dxa"/>
            <w:tcBorders>
              <w:top w:val="nil"/>
              <w:left w:val="nil"/>
              <w:bottom w:val="nil"/>
              <w:right w:val="nil"/>
            </w:tcBorders>
            <w:shd w:val="clear" w:color="FFFFFF" w:fill="FFFFFF"/>
            <w:noWrap/>
            <w:vAlign w:val="bottom"/>
            <w:hideMark/>
          </w:tcPr>
          <w:p w14:paraId="2798D058" w14:textId="77777777" w:rsidR="00520333" w:rsidRPr="003203A1" w:rsidRDefault="00520333" w:rsidP="005E5E0C">
            <w:pPr>
              <w:spacing w:after="0"/>
              <w:jc w:val="right"/>
              <w:rPr>
                <w:rFonts w:cs="Arial"/>
                <w:b/>
                <w:bCs/>
                <w:sz w:val="18"/>
                <w:szCs w:val="18"/>
              </w:rPr>
            </w:pPr>
            <w:r w:rsidRPr="003203A1">
              <w:rPr>
                <w:rFonts w:cs="Arial"/>
                <w:b/>
                <w:bCs/>
                <w:sz w:val="18"/>
                <w:szCs w:val="18"/>
              </w:rPr>
              <w:t> </w:t>
            </w:r>
          </w:p>
        </w:tc>
        <w:tc>
          <w:tcPr>
            <w:tcW w:w="243" w:type="dxa"/>
            <w:tcBorders>
              <w:top w:val="nil"/>
              <w:left w:val="nil"/>
              <w:bottom w:val="nil"/>
              <w:right w:val="nil"/>
            </w:tcBorders>
            <w:shd w:val="clear" w:color="FFFFFF" w:fill="FFFFFF"/>
            <w:noWrap/>
            <w:vAlign w:val="bottom"/>
            <w:hideMark/>
          </w:tcPr>
          <w:p w14:paraId="2C7D8128" w14:textId="77777777" w:rsidR="00520333" w:rsidRPr="003203A1" w:rsidRDefault="00520333" w:rsidP="005E5E0C">
            <w:pPr>
              <w:spacing w:after="0"/>
              <w:rPr>
                <w:rFonts w:cs="Arial"/>
                <w:sz w:val="18"/>
                <w:szCs w:val="18"/>
              </w:rPr>
            </w:pPr>
            <w:r w:rsidRPr="003203A1">
              <w:rPr>
                <w:rFonts w:cs="Arial"/>
                <w:sz w:val="18"/>
                <w:szCs w:val="18"/>
              </w:rPr>
              <w:t> </w:t>
            </w:r>
          </w:p>
        </w:tc>
        <w:tc>
          <w:tcPr>
            <w:tcW w:w="1266" w:type="dxa"/>
            <w:tcBorders>
              <w:top w:val="nil"/>
              <w:left w:val="nil"/>
              <w:bottom w:val="nil"/>
              <w:right w:val="nil"/>
            </w:tcBorders>
            <w:shd w:val="clear" w:color="FFFFFF" w:fill="FFFFFF"/>
            <w:noWrap/>
            <w:vAlign w:val="bottom"/>
            <w:hideMark/>
          </w:tcPr>
          <w:p w14:paraId="65D0B66B" w14:textId="77777777" w:rsidR="00520333" w:rsidRPr="003203A1" w:rsidRDefault="00520333" w:rsidP="005E5E0C">
            <w:pPr>
              <w:spacing w:after="0"/>
              <w:jc w:val="right"/>
              <w:rPr>
                <w:rFonts w:cs="Arial"/>
                <w:sz w:val="18"/>
                <w:szCs w:val="18"/>
              </w:rPr>
            </w:pPr>
            <w:r w:rsidRPr="003203A1">
              <w:rPr>
                <w:rFonts w:cs="Arial"/>
                <w:sz w:val="18"/>
                <w:szCs w:val="18"/>
              </w:rPr>
              <w:t> </w:t>
            </w:r>
          </w:p>
        </w:tc>
      </w:tr>
      <w:tr w:rsidR="00520333" w:rsidRPr="003203A1" w14:paraId="5A0F7C26" w14:textId="77777777" w:rsidTr="005E5E0C">
        <w:trPr>
          <w:trHeight w:val="254"/>
        </w:trPr>
        <w:tc>
          <w:tcPr>
            <w:tcW w:w="6545" w:type="dxa"/>
            <w:tcBorders>
              <w:top w:val="nil"/>
              <w:left w:val="nil"/>
              <w:bottom w:val="nil"/>
              <w:right w:val="nil"/>
            </w:tcBorders>
            <w:shd w:val="clear" w:color="FFFFFF" w:fill="FFFFFF"/>
            <w:vAlign w:val="bottom"/>
            <w:hideMark/>
          </w:tcPr>
          <w:p w14:paraId="1154E1F0" w14:textId="77777777" w:rsidR="00520333" w:rsidRPr="003203A1" w:rsidRDefault="00520333" w:rsidP="005E5E0C">
            <w:pPr>
              <w:spacing w:after="0"/>
              <w:ind w:firstLineChars="200" w:firstLine="360"/>
              <w:rPr>
                <w:rFonts w:cs="Arial"/>
                <w:sz w:val="18"/>
                <w:szCs w:val="18"/>
              </w:rPr>
            </w:pPr>
            <w:r w:rsidRPr="003203A1">
              <w:rPr>
                <w:rFonts w:cs="Arial"/>
                <w:sz w:val="18"/>
                <w:szCs w:val="18"/>
              </w:rPr>
              <w:t>Related parties - contributions from Department of Social Services (DSS)</w:t>
            </w:r>
          </w:p>
        </w:tc>
        <w:tc>
          <w:tcPr>
            <w:tcW w:w="1317" w:type="dxa"/>
            <w:tcBorders>
              <w:top w:val="nil"/>
              <w:left w:val="nil"/>
              <w:bottom w:val="nil"/>
              <w:right w:val="nil"/>
            </w:tcBorders>
            <w:shd w:val="clear" w:color="FFFFFF" w:fill="FFFFFF"/>
            <w:noWrap/>
            <w:vAlign w:val="bottom"/>
            <w:hideMark/>
          </w:tcPr>
          <w:p w14:paraId="006C614C" w14:textId="77777777" w:rsidR="00520333" w:rsidRPr="003203A1" w:rsidRDefault="00520333" w:rsidP="005E5E0C">
            <w:pPr>
              <w:spacing w:after="0"/>
              <w:jc w:val="right"/>
              <w:rPr>
                <w:rFonts w:cs="Arial"/>
                <w:b/>
                <w:bCs/>
                <w:sz w:val="18"/>
                <w:szCs w:val="18"/>
              </w:rPr>
            </w:pPr>
            <w:r w:rsidRPr="003203A1">
              <w:rPr>
                <w:rFonts w:cs="Arial"/>
                <w:b/>
                <w:bCs/>
                <w:sz w:val="18"/>
                <w:szCs w:val="18"/>
              </w:rPr>
              <w:t>30,279,923</w:t>
            </w:r>
          </w:p>
        </w:tc>
        <w:tc>
          <w:tcPr>
            <w:tcW w:w="243" w:type="dxa"/>
            <w:tcBorders>
              <w:top w:val="nil"/>
              <w:left w:val="nil"/>
              <w:bottom w:val="nil"/>
              <w:right w:val="nil"/>
            </w:tcBorders>
            <w:shd w:val="clear" w:color="FFFFFF" w:fill="FFFFFF"/>
            <w:noWrap/>
            <w:vAlign w:val="bottom"/>
            <w:hideMark/>
          </w:tcPr>
          <w:p w14:paraId="58DD616C" w14:textId="77777777" w:rsidR="00520333" w:rsidRPr="003203A1" w:rsidRDefault="00520333" w:rsidP="005E5E0C">
            <w:pPr>
              <w:spacing w:after="0"/>
              <w:rPr>
                <w:rFonts w:cs="Arial"/>
                <w:sz w:val="18"/>
                <w:szCs w:val="18"/>
              </w:rPr>
            </w:pPr>
            <w:r w:rsidRPr="003203A1">
              <w:rPr>
                <w:rFonts w:cs="Arial"/>
                <w:sz w:val="18"/>
                <w:szCs w:val="18"/>
              </w:rPr>
              <w:t> </w:t>
            </w:r>
          </w:p>
        </w:tc>
        <w:tc>
          <w:tcPr>
            <w:tcW w:w="1266" w:type="dxa"/>
            <w:tcBorders>
              <w:top w:val="nil"/>
              <w:left w:val="nil"/>
              <w:bottom w:val="nil"/>
              <w:right w:val="nil"/>
            </w:tcBorders>
            <w:shd w:val="clear" w:color="FFFFFF" w:fill="FFFFFF"/>
            <w:noWrap/>
            <w:vAlign w:val="bottom"/>
            <w:hideMark/>
          </w:tcPr>
          <w:p w14:paraId="3FEF4AA5" w14:textId="77777777" w:rsidR="00520333" w:rsidRPr="003203A1" w:rsidRDefault="00520333" w:rsidP="005E5E0C">
            <w:pPr>
              <w:spacing w:after="0"/>
              <w:jc w:val="right"/>
              <w:rPr>
                <w:rFonts w:cs="Arial"/>
                <w:sz w:val="18"/>
                <w:szCs w:val="18"/>
              </w:rPr>
            </w:pPr>
            <w:r w:rsidRPr="003203A1">
              <w:rPr>
                <w:rFonts w:cs="Arial"/>
                <w:sz w:val="18"/>
                <w:szCs w:val="18"/>
              </w:rPr>
              <w:t>23,635,070</w:t>
            </w:r>
          </w:p>
        </w:tc>
      </w:tr>
      <w:tr w:rsidR="00520333" w:rsidRPr="003203A1" w14:paraId="780F1635" w14:textId="77777777" w:rsidTr="005E5E0C">
        <w:trPr>
          <w:trHeight w:val="254"/>
        </w:trPr>
        <w:tc>
          <w:tcPr>
            <w:tcW w:w="6545" w:type="dxa"/>
            <w:tcBorders>
              <w:top w:val="nil"/>
              <w:left w:val="nil"/>
              <w:bottom w:val="nil"/>
              <w:right w:val="nil"/>
            </w:tcBorders>
            <w:shd w:val="clear" w:color="FFFFFF" w:fill="FFFFFF"/>
            <w:vAlign w:val="bottom"/>
            <w:hideMark/>
          </w:tcPr>
          <w:p w14:paraId="1F1AA056" w14:textId="77777777" w:rsidR="00520333" w:rsidRPr="003203A1" w:rsidRDefault="00520333" w:rsidP="005E5E0C">
            <w:pPr>
              <w:spacing w:after="0"/>
              <w:ind w:firstLineChars="200" w:firstLine="360"/>
              <w:rPr>
                <w:rFonts w:cs="Arial"/>
                <w:sz w:val="18"/>
                <w:szCs w:val="18"/>
              </w:rPr>
            </w:pPr>
            <w:r w:rsidRPr="003203A1">
              <w:rPr>
                <w:rFonts w:cs="Arial"/>
                <w:sz w:val="18"/>
                <w:szCs w:val="18"/>
              </w:rPr>
              <w:t>External parties - contributions from state and territory governments</w:t>
            </w:r>
          </w:p>
        </w:tc>
        <w:tc>
          <w:tcPr>
            <w:tcW w:w="1317" w:type="dxa"/>
            <w:tcBorders>
              <w:top w:val="nil"/>
              <w:left w:val="nil"/>
              <w:bottom w:val="nil"/>
              <w:right w:val="nil"/>
            </w:tcBorders>
            <w:shd w:val="clear" w:color="FFFFFF" w:fill="FFFFFF"/>
            <w:noWrap/>
            <w:vAlign w:val="bottom"/>
            <w:hideMark/>
          </w:tcPr>
          <w:p w14:paraId="5B85D79C" w14:textId="77777777" w:rsidR="00520333" w:rsidRPr="003203A1" w:rsidRDefault="00520333" w:rsidP="005E5E0C">
            <w:pPr>
              <w:spacing w:after="0"/>
              <w:jc w:val="right"/>
              <w:rPr>
                <w:rFonts w:cs="Arial"/>
                <w:b/>
                <w:bCs/>
                <w:sz w:val="18"/>
                <w:szCs w:val="18"/>
              </w:rPr>
            </w:pPr>
            <w:r w:rsidRPr="003203A1">
              <w:rPr>
                <w:rFonts w:cs="Arial"/>
                <w:b/>
                <w:bCs/>
                <w:sz w:val="18"/>
                <w:szCs w:val="18"/>
              </w:rPr>
              <w:t>11,149,138</w:t>
            </w:r>
          </w:p>
        </w:tc>
        <w:tc>
          <w:tcPr>
            <w:tcW w:w="243" w:type="dxa"/>
            <w:tcBorders>
              <w:top w:val="nil"/>
              <w:left w:val="nil"/>
              <w:bottom w:val="nil"/>
              <w:right w:val="nil"/>
            </w:tcBorders>
            <w:shd w:val="clear" w:color="FFFFFF" w:fill="FFFFFF"/>
            <w:noWrap/>
            <w:vAlign w:val="bottom"/>
            <w:hideMark/>
          </w:tcPr>
          <w:p w14:paraId="38AD69BE" w14:textId="77777777" w:rsidR="00520333" w:rsidRPr="003203A1" w:rsidRDefault="00520333" w:rsidP="005E5E0C">
            <w:pPr>
              <w:spacing w:after="0"/>
              <w:rPr>
                <w:rFonts w:cs="Arial"/>
                <w:sz w:val="18"/>
                <w:szCs w:val="18"/>
              </w:rPr>
            </w:pPr>
            <w:r w:rsidRPr="003203A1">
              <w:rPr>
                <w:rFonts w:cs="Arial"/>
                <w:sz w:val="18"/>
                <w:szCs w:val="18"/>
              </w:rPr>
              <w:t> </w:t>
            </w:r>
          </w:p>
        </w:tc>
        <w:tc>
          <w:tcPr>
            <w:tcW w:w="1266" w:type="dxa"/>
            <w:tcBorders>
              <w:top w:val="nil"/>
              <w:left w:val="nil"/>
              <w:bottom w:val="nil"/>
              <w:right w:val="nil"/>
            </w:tcBorders>
            <w:shd w:val="clear" w:color="FFFFFF" w:fill="FFFFFF"/>
            <w:noWrap/>
            <w:vAlign w:val="bottom"/>
            <w:hideMark/>
          </w:tcPr>
          <w:p w14:paraId="6FBE7157" w14:textId="77777777" w:rsidR="00520333" w:rsidRPr="003203A1" w:rsidRDefault="00520333" w:rsidP="005E5E0C">
            <w:pPr>
              <w:spacing w:after="0"/>
              <w:jc w:val="right"/>
              <w:rPr>
                <w:rFonts w:cs="Arial"/>
                <w:sz w:val="18"/>
                <w:szCs w:val="18"/>
              </w:rPr>
            </w:pPr>
            <w:r w:rsidRPr="003203A1">
              <w:rPr>
                <w:rFonts w:cs="Arial"/>
                <w:sz w:val="18"/>
                <w:szCs w:val="18"/>
              </w:rPr>
              <w:t>10,476,771</w:t>
            </w:r>
          </w:p>
        </w:tc>
      </w:tr>
      <w:tr w:rsidR="00520333" w:rsidRPr="003203A1" w14:paraId="5CC790DA" w14:textId="77777777" w:rsidTr="005E5E0C">
        <w:trPr>
          <w:trHeight w:val="254"/>
        </w:trPr>
        <w:tc>
          <w:tcPr>
            <w:tcW w:w="6545" w:type="dxa"/>
            <w:tcBorders>
              <w:top w:val="nil"/>
              <w:left w:val="nil"/>
              <w:bottom w:val="nil"/>
              <w:right w:val="nil"/>
            </w:tcBorders>
            <w:shd w:val="clear" w:color="FFFFFF" w:fill="FFFFFF"/>
            <w:vAlign w:val="bottom"/>
            <w:hideMark/>
          </w:tcPr>
          <w:p w14:paraId="75D3D5FA" w14:textId="77777777" w:rsidR="00520333" w:rsidRPr="003203A1" w:rsidRDefault="00520333" w:rsidP="005E5E0C">
            <w:pPr>
              <w:spacing w:after="0"/>
              <w:rPr>
                <w:rFonts w:cs="Arial"/>
                <w:b/>
                <w:bCs/>
                <w:sz w:val="18"/>
                <w:szCs w:val="18"/>
              </w:rPr>
            </w:pPr>
            <w:r w:rsidRPr="003203A1">
              <w:rPr>
                <w:rFonts w:cs="Arial"/>
                <w:b/>
                <w:bCs/>
                <w:sz w:val="18"/>
                <w:szCs w:val="18"/>
              </w:rPr>
              <w:t>Total revenue from rendering of services</w:t>
            </w:r>
          </w:p>
        </w:tc>
        <w:tc>
          <w:tcPr>
            <w:tcW w:w="1317" w:type="dxa"/>
            <w:tcBorders>
              <w:top w:val="single" w:sz="4" w:space="0" w:color="auto"/>
              <w:left w:val="nil"/>
              <w:bottom w:val="single" w:sz="4" w:space="0" w:color="auto"/>
              <w:right w:val="nil"/>
            </w:tcBorders>
            <w:shd w:val="clear" w:color="FFFFFF" w:fill="FFFFFF"/>
            <w:noWrap/>
            <w:vAlign w:val="bottom"/>
            <w:hideMark/>
          </w:tcPr>
          <w:p w14:paraId="5AC4D938" w14:textId="77777777" w:rsidR="00520333" w:rsidRPr="003203A1" w:rsidRDefault="00520333" w:rsidP="005E5E0C">
            <w:pPr>
              <w:spacing w:after="0"/>
              <w:jc w:val="right"/>
              <w:rPr>
                <w:rFonts w:cs="Arial"/>
                <w:b/>
                <w:bCs/>
                <w:sz w:val="18"/>
                <w:szCs w:val="18"/>
              </w:rPr>
            </w:pPr>
            <w:r w:rsidRPr="003203A1">
              <w:rPr>
                <w:rFonts w:cs="Arial"/>
                <w:b/>
                <w:bCs/>
                <w:sz w:val="18"/>
                <w:szCs w:val="18"/>
              </w:rPr>
              <w:t>41,429,061</w:t>
            </w:r>
          </w:p>
        </w:tc>
        <w:tc>
          <w:tcPr>
            <w:tcW w:w="243" w:type="dxa"/>
            <w:tcBorders>
              <w:top w:val="nil"/>
              <w:left w:val="nil"/>
              <w:bottom w:val="nil"/>
              <w:right w:val="nil"/>
            </w:tcBorders>
            <w:shd w:val="clear" w:color="FFFFFF" w:fill="FFFFFF"/>
            <w:noWrap/>
            <w:vAlign w:val="bottom"/>
            <w:hideMark/>
          </w:tcPr>
          <w:p w14:paraId="4CCE2DDB" w14:textId="77777777" w:rsidR="00520333" w:rsidRPr="003203A1" w:rsidRDefault="00520333" w:rsidP="005E5E0C">
            <w:pPr>
              <w:spacing w:after="0"/>
              <w:rPr>
                <w:rFonts w:cs="Arial"/>
                <w:sz w:val="18"/>
                <w:szCs w:val="18"/>
              </w:rPr>
            </w:pPr>
            <w:r w:rsidRPr="003203A1">
              <w:rPr>
                <w:rFonts w:cs="Arial"/>
                <w:sz w:val="18"/>
                <w:szCs w:val="18"/>
              </w:rPr>
              <w:t> </w:t>
            </w:r>
          </w:p>
        </w:tc>
        <w:tc>
          <w:tcPr>
            <w:tcW w:w="1266" w:type="dxa"/>
            <w:tcBorders>
              <w:top w:val="single" w:sz="4" w:space="0" w:color="auto"/>
              <w:left w:val="nil"/>
              <w:bottom w:val="single" w:sz="4" w:space="0" w:color="auto"/>
              <w:right w:val="nil"/>
            </w:tcBorders>
            <w:shd w:val="clear" w:color="FFFFFF" w:fill="FFFFFF"/>
            <w:noWrap/>
            <w:vAlign w:val="bottom"/>
            <w:hideMark/>
          </w:tcPr>
          <w:p w14:paraId="1CC215B5" w14:textId="77777777" w:rsidR="00520333" w:rsidRPr="003203A1" w:rsidRDefault="00520333" w:rsidP="005E5E0C">
            <w:pPr>
              <w:spacing w:after="0"/>
              <w:jc w:val="right"/>
              <w:rPr>
                <w:rFonts w:cs="Arial"/>
                <w:sz w:val="18"/>
                <w:szCs w:val="18"/>
              </w:rPr>
            </w:pPr>
            <w:r w:rsidRPr="003203A1">
              <w:rPr>
                <w:rFonts w:cs="Arial"/>
                <w:sz w:val="18"/>
                <w:szCs w:val="18"/>
              </w:rPr>
              <w:t>34,111,841</w:t>
            </w:r>
          </w:p>
        </w:tc>
      </w:tr>
    </w:tbl>
    <w:p w14:paraId="6F0CDBB3" w14:textId="77777777" w:rsidR="00520333" w:rsidRPr="003203A1" w:rsidRDefault="00520333" w:rsidP="00520333">
      <w:pPr>
        <w:spacing w:line="240" w:lineRule="auto"/>
        <w:rPr>
          <w:rFonts w:cs="Arial"/>
          <w:sz w:val="18"/>
          <w:szCs w:val="18"/>
        </w:rPr>
      </w:pPr>
    </w:p>
    <w:p w14:paraId="5B55606E" w14:textId="77777777" w:rsidR="00520333" w:rsidRPr="003203A1" w:rsidRDefault="00520333" w:rsidP="00520333">
      <w:pPr>
        <w:pStyle w:val="PolicytextDept"/>
        <w:pBdr>
          <w:top w:val="single" w:sz="4" w:space="0" w:color="800080"/>
          <w:left w:val="single" w:sz="4" w:space="4" w:color="800080"/>
          <w:right w:val="single" w:sz="4" w:space="4" w:color="800080"/>
        </w:pBdr>
        <w:rPr>
          <w:b/>
        </w:rPr>
      </w:pPr>
      <w:bookmarkStart w:id="168" w:name="_Hlk109999023"/>
      <w:r w:rsidRPr="003203A1">
        <w:rPr>
          <w:b/>
        </w:rPr>
        <w:t>Accounting Policy</w:t>
      </w:r>
    </w:p>
    <w:bookmarkEnd w:id="168"/>
    <w:p w14:paraId="75614648" w14:textId="77777777" w:rsidR="00520333" w:rsidRPr="003203A1" w:rsidRDefault="00520333" w:rsidP="00520333">
      <w:pPr>
        <w:pStyle w:val="PolicytextDept"/>
        <w:pBdr>
          <w:top w:val="single" w:sz="4" w:space="0" w:color="800080"/>
          <w:left w:val="single" w:sz="4" w:space="4" w:color="800080"/>
          <w:right w:val="single" w:sz="4" w:space="4" w:color="800080"/>
        </w:pBdr>
      </w:pPr>
      <w:r w:rsidRPr="003203A1">
        <w:t>Payments to the Agency from the Commonwealth, state and territory governments are recognised as revenue when they become payable to the Agency under the relevant signed agreement. These include payments outlined in the bilateral agreements for the funding of the Scheme. Payments received in advance and any outstanding offsets to be deducted from future period receipts are treated as unearned revenue (refer note 2.4).</w:t>
      </w:r>
    </w:p>
    <w:p w14:paraId="2FD22EB2" w14:textId="77777777" w:rsidR="00520333" w:rsidRPr="003203A1" w:rsidRDefault="00520333" w:rsidP="00520333">
      <w:pPr>
        <w:pStyle w:val="PolicytextDept"/>
        <w:pBdr>
          <w:top w:val="single" w:sz="4" w:space="0" w:color="800080"/>
          <w:left w:val="single" w:sz="4" w:space="4" w:color="800080"/>
          <w:right w:val="single" w:sz="4" w:space="4" w:color="800080"/>
        </w:pBdr>
      </w:pPr>
      <w:r w:rsidRPr="003203A1">
        <w:t>The transaction price for the Scheme contributions is the total amount payable by the jurisdictions to fund the Scheme under their bilateral agreements. The bilateral agreements have annual performance obligations.</w:t>
      </w:r>
    </w:p>
    <w:p w14:paraId="2D5623EE" w14:textId="480A8DA1" w:rsidR="00520333" w:rsidRPr="003203A1" w:rsidRDefault="00520333" w:rsidP="00520333">
      <w:pPr>
        <w:pStyle w:val="PolicytextDept"/>
        <w:pBdr>
          <w:top w:val="single" w:sz="4" w:space="0" w:color="800080"/>
          <w:left w:val="single" w:sz="4" w:space="4" w:color="800080"/>
          <w:right w:val="single" w:sz="4" w:space="4" w:color="800080"/>
        </w:pBdr>
        <w:rPr>
          <w:highlight w:val="yellow"/>
        </w:rPr>
      </w:pPr>
      <w:r w:rsidRPr="003203A1">
        <w:t>Total contributions revenue from state and territories governments comprises cash and non-cash components. Non-cash contributions (i.e. In-kind) are reported as non-cash revenue in Note 1.2D Other gains. In-Kind contributions reduce the total cash contributions payable by state and territory governments to the Scheme under the bilateral agreements.</w:t>
      </w:r>
      <w:r w:rsidRPr="003203A1">
        <w:tab/>
        <w:t xml:space="preserve"> </w:t>
      </w:r>
    </w:p>
    <w:tbl>
      <w:tblPr>
        <w:tblW w:w="9087" w:type="dxa"/>
        <w:tblLayout w:type="fixed"/>
        <w:tblLook w:val="04A0" w:firstRow="1" w:lastRow="0" w:firstColumn="1" w:lastColumn="0" w:noHBand="0" w:noVBand="1"/>
      </w:tblPr>
      <w:tblGrid>
        <w:gridCol w:w="6351"/>
        <w:gridCol w:w="1259"/>
        <w:gridCol w:w="236"/>
        <w:gridCol w:w="1241"/>
      </w:tblGrid>
      <w:tr w:rsidR="00520333" w:rsidRPr="003203A1" w14:paraId="4848FB1E" w14:textId="77777777" w:rsidTr="005E5E0C">
        <w:trPr>
          <w:trHeight w:val="260"/>
        </w:trPr>
        <w:tc>
          <w:tcPr>
            <w:tcW w:w="6351" w:type="dxa"/>
            <w:tcBorders>
              <w:top w:val="nil"/>
              <w:left w:val="nil"/>
              <w:bottom w:val="nil"/>
              <w:right w:val="nil"/>
            </w:tcBorders>
            <w:shd w:val="clear" w:color="FFFFFF" w:fill="FFFFFF"/>
            <w:noWrap/>
            <w:vAlign w:val="bottom"/>
            <w:hideMark/>
          </w:tcPr>
          <w:p w14:paraId="5CAD1CF4" w14:textId="77777777" w:rsidR="00520333" w:rsidRPr="003203A1" w:rsidRDefault="00520333" w:rsidP="005E5E0C">
            <w:pPr>
              <w:spacing w:after="0"/>
              <w:rPr>
                <w:rFonts w:cs="Arial"/>
                <w:b/>
                <w:bCs/>
                <w:sz w:val="18"/>
                <w:szCs w:val="18"/>
                <w:u w:val="single"/>
              </w:rPr>
            </w:pPr>
            <w:bookmarkStart w:id="169" w:name="Note_RRVTABLE1" w:colFirst="0" w:colLast="0"/>
            <w:r w:rsidRPr="003203A1">
              <w:rPr>
                <w:rFonts w:cs="Arial"/>
                <w:b/>
                <w:bCs/>
                <w:sz w:val="18"/>
                <w:szCs w:val="18"/>
                <w:u w:val="single"/>
              </w:rPr>
              <w:t>Note 1.2B: Rental Income</w:t>
            </w:r>
          </w:p>
        </w:tc>
        <w:tc>
          <w:tcPr>
            <w:tcW w:w="1259" w:type="dxa"/>
            <w:tcBorders>
              <w:top w:val="nil"/>
              <w:left w:val="nil"/>
              <w:bottom w:val="nil"/>
              <w:right w:val="nil"/>
            </w:tcBorders>
            <w:shd w:val="clear" w:color="FFFFFF" w:fill="FFFFFF"/>
            <w:vAlign w:val="bottom"/>
            <w:hideMark/>
          </w:tcPr>
          <w:p w14:paraId="783C9F05" w14:textId="77777777" w:rsidR="00520333" w:rsidRPr="003203A1" w:rsidRDefault="00520333" w:rsidP="005E5E0C">
            <w:pPr>
              <w:spacing w:after="0"/>
              <w:jc w:val="right"/>
              <w:rPr>
                <w:rFonts w:cs="Arial"/>
                <w:b/>
                <w:bCs/>
                <w:sz w:val="18"/>
                <w:szCs w:val="18"/>
              </w:rPr>
            </w:pPr>
            <w:r w:rsidRPr="003203A1">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48AD6F9D"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vAlign w:val="bottom"/>
            <w:hideMark/>
          </w:tcPr>
          <w:p w14:paraId="409FA9FC" w14:textId="77777777" w:rsidR="00520333" w:rsidRPr="003203A1" w:rsidRDefault="00520333" w:rsidP="005E5E0C">
            <w:pPr>
              <w:spacing w:after="0"/>
              <w:jc w:val="right"/>
              <w:rPr>
                <w:rFonts w:cs="Arial"/>
                <w:sz w:val="18"/>
                <w:szCs w:val="18"/>
              </w:rPr>
            </w:pPr>
            <w:r w:rsidRPr="003203A1">
              <w:rPr>
                <w:rFonts w:cs="Arial"/>
                <w:sz w:val="18"/>
                <w:szCs w:val="18"/>
              </w:rPr>
              <w:t> </w:t>
            </w:r>
          </w:p>
        </w:tc>
      </w:tr>
      <w:bookmarkEnd w:id="169"/>
      <w:tr w:rsidR="00520333" w:rsidRPr="003203A1" w14:paraId="3A41649B" w14:textId="77777777" w:rsidTr="005E5E0C">
        <w:trPr>
          <w:trHeight w:val="260"/>
        </w:trPr>
        <w:tc>
          <w:tcPr>
            <w:tcW w:w="6351" w:type="dxa"/>
            <w:tcBorders>
              <w:top w:val="nil"/>
              <w:left w:val="nil"/>
              <w:bottom w:val="nil"/>
              <w:right w:val="nil"/>
            </w:tcBorders>
            <w:shd w:val="clear" w:color="FFFFFF" w:fill="FFFFFF"/>
            <w:vAlign w:val="bottom"/>
            <w:hideMark/>
          </w:tcPr>
          <w:p w14:paraId="32D68E2F" w14:textId="77777777" w:rsidR="00520333" w:rsidRPr="003203A1" w:rsidRDefault="00520333" w:rsidP="005E5E0C">
            <w:pPr>
              <w:spacing w:after="0"/>
              <w:rPr>
                <w:rFonts w:cs="Arial"/>
                <w:b/>
                <w:bCs/>
                <w:sz w:val="18"/>
                <w:szCs w:val="18"/>
              </w:rPr>
            </w:pPr>
            <w:r w:rsidRPr="003203A1">
              <w:rPr>
                <w:rFonts w:cs="Arial"/>
                <w:b/>
                <w:bCs/>
                <w:sz w:val="18"/>
                <w:szCs w:val="18"/>
              </w:rPr>
              <w:t>Operating lease:</w:t>
            </w:r>
          </w:p>
        </w:tc>
        <w:tc>
          <w:tcPr>
            <w:tcW w:w="1259" w:type="dxa"/>
            <w:tcBorders>
              <w:top w:val="nil"/>
              <w:left w:val="nil"/>
              <w:bottom w:val="nil"/>
              <w:right w:val="nil"/>
            </w:tcBorders>
            <w:shd w:val="clear" w:color="FFFFFF" w:fill="FFFFFF"/>
            <w:noWrap/>
            <w:vAlign w:val="bottom"/>
            <w:hideMark/>
          </w:tcPr>
          <w:p w14:paraId="6C196435" w14:textId="77777777" w:rsidR="00520333" w:rsidRPr="003203A1" w:rsidRDefault="00520333" w:rsidP="005E5E0C">
            <w:pPr>
              <w:spacing w:after="0"/>
              <w:jc w:val="right"/>
              <w:rPr>
                <w:rFonts w:cs="Arial"/>
                <w:b/>
                <w:bCs/>
                <w:sz w:val="18"/>
                <w:szCs w:val="18"/>
              </w:rPr>
            </w:pPr>
            <w:r w:rsidRPr="003203A1">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25263BDE"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46D37BCE" w14:textId="77777777" w:rsidR="00520333" w:rsidRPr="003203A1" w:rsidRDefault="00520333" w:rsidP="005E5E0C">
            <w:pPr>
              <w:spacing w:after="0"/>
              <w:jc w:val="right"/>
              <w:rPr>
                <w:rFonts w:cs="Arial"/>
                <w:sz w:val="18"/>
                <w:szCs w:val="18"/>
              </w:rPr>
            </w:pPr>
            <w:r w:rsidRPr="003203A1">
              <w:rPr>
                <w:rFonts w:cs="Arial"/>
                <w:sz w:val="18"/>
                <w:szCs w:val="18"/>
              </w:rPr>
              <w:t> </w:t>
            </w:r>
          </w:p>
        </w:tc>
      </w:tr>
      <w:tr w:rsidR="00520333" w:rsidRPr="003203A1" w14:paraId="204424E0" w14:textId="77777777" w:rsidTr="005E5E0C">
        <w:trPr>
          <w:trHeight w:val="250"/>
        </w:trPr>
        <w:tc>
          <w:tcPr>
            <w:tcW w:w="6351" w:type="dxa"/>
            <w:tcBorders>
              <w:top w:val="nil"/>
              <w:left w:val="nil"/>
              <w:bottom w:val="nil"/>
              <w:right w:val="nil"/>
            </w:tcBorders>
            <w:shd w:val="clear" w:color="FFFFFF" w:fill="FFFFFF"/>
            <w:vAlign w:val="bottom"/>
            <w:hideMark/>
          </w:tcPr>
          <w:p w14:paraId="79BD4ED2" w14:textId="77777777" w:rsidR="00520333" w:rsidRPr="003203A1" w:rsidRDefault="00520333" w:rsidP="005E5E0C">
            <w:pPr>
              <w:spacing w:after="0"/>
              <w:ind w:firstLineChars="100" w:firstLine="180"/>
              <w:rPr>
                <w:rFonts w:cs="Arial"/>
                <w:sz w:val="18"/>
                <w:szCs w:val="18"/>
              </w:rPr>
            </w:pPr>
            <w:r w:rsidRPr="003203A1">
              <w:rPr>
                <w:rFonts w:cs="Arial"/>
                <w:sz w:val="18"/>
                <w:szCs w:val="18"/>
              </w:rPr>
              <w:t>Subleasing right-of-use assets</w:t>
            </w:r>
          </w:p>
        </w:tc>
        <w:tc>
          <w:tcPr>
            <w:tcW w:w="1259" w:type="dxa"/>
            <w:tcBorders>
              <w:top w:val="nil"/>
              <w:left w:val="nil"/>
              <w:bottom w:val="nil"/>
              <w:right w:val="nil"/>
            </w:tcBorders>
            <w:shd w:val="clear" w:color="FFFFFF" w:fill="FFFFFF"/>
            <w:noWrap/>
            <w:vAlign w:val="bottom"/>
            <w:hideMark/>
          </w:tcPr>
          <w:p w14:paraId="6E85B730" w14:textId="77777777" w:rsidR="00520333" w:rsidRPr="003203A1" w:rsidRDefault="00520333" w:rsidP="005E5E0C">
            <w:pPr>
              <w:spacing w:after="0"/>
              <w:jc w:val="right"/>
              <w:rPr>
                <w:rFonts w:cs="Arial"/>
                <w:b/>
                <w:bCs/>
                <w:sz w:val="18"/>
                <w:szCs w:val="18"/>
              </w:rPr>
            </w:pPr>
            <w:r w:rsidRPr="003203A1">
              <w:rPr>
                <w:rFonts w:cs="Arial"/>
                <w:b/>
                <w:bCs/>
                <w:sz w:val="18"/>
                <w:szCs w:val="18"/>
              </w:rPr>
              <w:t>478</w:t>
            </w:r>
          </w:p>
        </w:tc>
        <w:tc>
          <w:tcPr>
            <w:tcW w:w="236" w:type="dxa"/>
            <w:tcBorders>
              <w:top w:val="nil"/>
              <w:left w:val="nil"/>
              <w:bottom w:val="nil"/>
              <w:right w:val="nil"/>
            </w:tcBorders>
            <w:shd w:val="clear" w:color="FFFFFF" w:fill="FFFFFF"/>
            <w:noWrap/>
            <w:vAlign w:val="bottom"/>
            <w:hideMark/>
          </w:tcPr>
          <w:p w14:paraId="1AD191AB"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74CE0FE1" w14:textId="77777777" w:rsidR="00520333" w:rsidRPr="003203A1" w:rsidRDefault="00520333" w:rsidP="005E5E0C">
            <w:pPr>
              <w:spacing w:after="0"/>
              <w:jc w:val="right"/>
              <w:rPr>
                <w:rFonts w:cs="Arial"/>
                <w:sz w:val="18"/>
                <w:szCs w:val="18"/>
              </w:rPr>
            </w:pPr>
            <w:r w:rsidRPr="003203A1">
              <w:rPr>
                <w:rFonts w:cs="Arial"/>
                <w:sz w:val="18"/>
                <w:szCs w:val="18"/>
              </w:rPr>
              <w:t>704</w:t>
            </w:r>
          </w:p>
        </w:tc>
      </w:tr>
      <w:tr w:rsidR="00520333" w:rsidRPr="003203A1" w14:paraId="2E420938" w14:textId="77777777" w:rsidTr="005E5E0C">
        <w:trPr>
          <w:trHeight w:val="260"/>
        </w:trPr>
        <w:tc>
          <w:tcPr>
            <w:tcW w:w="6351" w:type="dxa"/>
            <w:tcBorders>
              <w:top w:val="nil"/>
              <w:left w:val="nil"/>
              <w:bottom w:val="nil"/>
              <w:right w:val="nil"/>
            </w:tcBorders>
            <w:shd w:val="clear" w:color="FFFFFF" w:fill="FFFFFF"/>
            <w:vAlign w:val="bottom"/>
            <w:hideMark/>
          </w:tcPr>
          <w:p w14:paraId="71475BD8" w14:textId="77777777" w:rsidR="00520333" w:rsidRPr="003203A1" w:rsidRDefault="00520333" w:rsidP="005E5E0C">
            <w:pPr>
              <w:spacing w:after="0"/>
              <w:rPr>
                <w:rFonts w:cs="Arial"/>
                <w:b/>
                <w:bCs/>
                <w:sz w:val="18"/>
                <w:szCs w:val="18"/>
              </w:rPr>
            </w:pPr>
            <w:r w:rsidRPr="003203A1">
              <w:rPr>
                <w:rFonts w:cs="Arial"/>
                <w:b/>
                <w:bCs/>
                <w:sz w:val="18"/>
                <w:szCs w:val="18"/>
              </w:rPr>
              <w:t>Total rental income</w:t>
            </w:r>
          </w:p>
        </w:tc>
        <w:tc>
          <w:tcPr>
            <w:tcW w:w="1259" w:type="dxa"/>
            <w:tcBorders>
              <w:top w:val="single" w:sz="4" w:space="0" w:color="auto"/>
              <w:left w:val="nil"/>
              <w:bottom w:val="single" w:sz="4" w:space="0" w:color="auto"/>
              <w:right w:val="nil"/>
            </w:tcBorders>
            <w:shd w:val="clear" w:color="FFFFFF" w:fill="FFFFFF"/>
            <w:noWrap/>
            <w:vAlign w:val="bottom"/>
            <w:hideMark/>
          </w:tcPr>
          <w:p w14:paraId="599B6FB1" w14:textId="77777777" w:rsidR="00520333" w:rsidRPr="003203A1" w:rsidRDefault="00520333" w:rsidP="005E5E0C">
            <w:pPr>
              <w:spacing w:after="0"/>
              <w:jc w:val="right"/>
              <w:rPr>
                <w:rFonts w:cs="Arial"/>
                <w:b/>
                <w:bCs/>
                <w:sz w:val="18"/>
                <w:szCs w:val="18"/>
              </w:rPr>
            </w:pPr>
            <w:r w:rsidRPr="003203A1">
              <w:rPr>
                <w:rFonts w:cs="Arial"/>
                <w:b/>
                <w:bCs/>
                <w:sz w:val="18"/>
                <w:szCs w:val="18"/>
              </w:rPr>
              <w:t>478</w:t>
            </w:r>
          </w:p>
        </w:tc>
        <w:tc>
          <w:tcPr>
            <w:tcW w:w="236" w:type="dxa"/>
            <w:tcBorders>
              <w:top w:val="nil"/>
              <w:left w:val="nil"/>
              <w:bottom w:val="nil"/>
              <w:right w:val="nil"/>
            </w:tcBorders>
            <w:shd w:val="clear" w:color="FFFFFF" w:fill="FFFFFF"/>
            <w:noWrap/>
            <w:vAlign w:val="bottom"/>
            <w:hideMark/>
          </w:tcPr>
          <w:p w14:paraId="3B18CDD1"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single" w:sz="4" w:space="0" w:color="auto"/>
              <w:left w:val="nil"/>
              <w:bottom w:val="single" w:sz="4" w:space="0" w:color="auto"/>
              <w:right w:val="nil"/>
            </w:tcBorders>
            <w:shd w:val="clear" w:color="FFFFFF" w:fill="FFFFFF"/>
            <w:noWrap/>
            <w:vAlign w:val="bottom"/>
            <w:hideMark/>
          </w:tcPr>
          <w:p w14:paraId="419C8FB6" w14:textId="77777777" w:rsidR="00520333" w:rsidRPr="003203A1" w:rsidRDefault="00520333" w:rsidP="005E5E0C">
            <w:pPr>
              <w:spacing w:after="0"/>
              <w:jc w:val="right"/>
              <w:rPr>
                <w:rFonts w:cs="Arial"/>
                <w:sz w:val="18"/>
                <w:szCs w:val="18"/>
              </w:rPr>
            </w:pPr>
            <w:r w:rsidRPr="003203A1">
              <w:rPr>
                <w:rFonts w:cs="Arial"/>
                <w:sz w:val="18"/>
                <w:szCs w:val="18"/>
              </w:rPr>
              <w:t>704</w:t>
            </w:r>
          </w:p>
        </w:tc>
      </w:tr>
    </w:tbl>
    <w:p w14:paraId="3668637D" w14:textId="77777777" w:rsidR="00520333" w:rsidRPr="003203A1" w:rsidRDefault="00520333" w:rsidP="00520333">
      <w:pPr>
        <w:spacing w:line="240" w:lineRule="auto"/>
        <w:rPr>
          <w:rFonts w:cs="Arial"/>
          <w:sz w:val="18"/>
          <w:szCs w:val="18"/>
          <w:vertAlign w:val="superscript"/>
        </w:rPr>
      </w:pPr>
    </w:p>
    <w:p w14:paraId="5DBD8A73" w14:textId="77777777" w:rsidR="00520333" w:rsidRPr="003203A1" w:rsidRDefault="00520333" w:rsidP="00520333">
      <w:pPr>
        <w:rPr>
          <w:rFonts w:cs="Arial"/>
          <w:sz w:val="18"/>
          <w:szCs w:val="18"/>
        </w:rPr>
      </w:pPr>
      <w:r w:rsidRPr="003203A1">
        <w:rPr>
          <w:rFonts w:cs="Arial"/>
          <w:b/>
          <w:bCs/>
          <w:sz w:val="18"/>
          <w:szCs w:val="18"/>
        </w:rPr>
        <w:t>Operating Leases</w:t>
      </w:r>
    </w:p>
    <w:p w14:paraId="4B754806" w14:textId="77777777" w:rsidR="00520333" w:rsidRPr="003203A1" w:rsidRDefault="00520333" w:rsidP="00520333">
      <w:pPr>
        <w:spacing w:line="240" w:lineRule="auto"/>
        <w:rPr>
          <w:rFonts w:cs="Arial"/>
          <w:sz w:val="18"/>
          <w:szCs w:val="18"/>
          <w:vertAlign w:val="superscript"/>
        </w:rPr>
      </w:pPr>
      <w:r w:rsidRPr="003203A1">
        <w:rPr>
          <w:rFonts w:cs="Arial"/>
          <w:sz w:val="18"/>
          <w:szCs w:val="18"/>
        </w:rPr>
        <w:t>The NDIA entered into agreements with DSS, the Department of Health and Aged Care and the National Indigenous Australians Agency to occupy some of the NDIA’s properties. The NDIA retains the rights and risks in underlying assets associated with these leases. There are established risk management processes and a governance structure for escalation of issues. As the sublet arrangements are Commonwealth entity to Commonwealth entity, the risk was deemed to be low and could be facilitated through the existing relationship with these entities.</w:t>
      </w:r>
    </w:p>
    <w:tbl>
      <w:tblPr>
        <w:tblW w:w="9087" w:type="dxa"/>
        <w:tblLayout w:type="fixed"/>
        <w:tblLook w:val="04A0" w:firstRow="1" w:lastRow="0" w:firstColumn="1" w:lastColumn="0" w:noHBand="0" w:noVBand="1"/>
      </w:tblPr>
      <w:tblGrid>
        <w:gridCol w:w="6351"/>
        <w:gridCol w:w="1259"/>
        <w:gridCol w:w="236"/>
        <w:gridCol w:w="1241"/>
      </w:tblGrid>
      <w:tr w:rsidR="00520333" w:rsidRPr="003203A1" w14:paraId="5F51F83E" w14:textId="77777777" w:rsidTr="005E5E0C">
        <w:trPr>
          <w:trHeight w:val="250"/>
        </w:trPr>
        <w:tc>
          <w:tcPr>
            <w:tcW w:w="6351" w:type="dxa"/>
            <w:tcBorders>
              <w:top w:val="nil"/>
              <w:left w:val="nil"/>
              <w:bottom w:val="nil"/>
              <w:right w:val="nil"/>
            </w:tcBorders>
            <w:shd w:val="clear" w:color="FFFFFF" w:fill="FFFFFF"/>
            <w:vAlign w:val="bottom"/>
            <w:hideMark/>
          </w:tcPr>
          <w:p w14:paraId="0A0B73FD" w14:textId="77777777" w:rsidR="00520333" w:rsidRPr="003203A1" w:rsidRDefault="00520333" w:rsidP="005E5E0C">
            <w:pPr>
              <w:spacing w:after="0"/>
              <w:rPr>
                <w:rFonts w:cs="Arial"/>
                <w:b/>
                <w:bCs/>
                <w:sz w:val="18"/>
                <w:szCs w:val="18"/>
              </w:rPr>
            </w:pPr>
            <w:bookmarkStart w:id="170" w:name="Note_RRVTABLE2" w:colFirst="0" w:colLast="0"/>
            <w:r w:rsidRPr="003203A1">
              <w:rPr>
                <w:rFonts w:cs="Arial"/>
                <w:b/>
                <w:bCs/>
                <w:sz w:val="18"/>
                <w:szCs w:val="18"/>
              </w:rPr>
              <w:t>Maturity analysis of operating lease receivables</w:t>
            </w:r>
          </w:p>
        </w:tc>
        <w:tc>
          <w:tcPr>
            <w:tcW w:w="1259" w:type="dxa"/>
            <w:tcBorders>
              <w:top w:val="nil"/>
              <w:left w:val="nil"/>
              <w:bottom w:val="nil"/>
              <w:right w:val="nil"/>
            </w:tcBorders>
            <w:shd w:val="clear" w:color="FFFFFF" w:fill="FFFFFF"/>
            <w:noWrap/>
            <w:vAlign w:val="bottom"/>
            <w:hideMark/>
          </w:tcPr>
          <w:p w14:paraId="746D5E17" w14:textId="77777777" w:rsidR="00520333" w:rsidRPr="003203A1" w:rsidRDefault="00520333" w:rsidP="005E5E0C">
            <w:pPr>
              <w:spacing w:after="0"/>
              <w:rPr>
                <w:rFonts w:cs="Arial"/>
                <w:sz w:val="18"/>
                <w:szCs w:val="18"/>
              </w:rPr>
            </w:pPr>
            <w:r w:rsidRPr="003203A1">
              <w:rPr>
                <w:rFonts w:cs="Arial"/>
                <w:sz w:val="18"/>
                <w:szCs w:val="18"/>
              </w:rPr>
              <w:t> </w:t>
            </w:r>
          </w:p>
        </w:tc>
        <w:tc>
          <w:tcPr>
            <w:tcW w:w="236" w:type="dxa"/>
            <w:tcBorders>
              <w:top w:val="nil"/>
              <w:left w:val="nil"/>
              <w:bottom w:val="nil"/>
              <w:right w:val="nil"/>
            </w:tcBorders>
            <w:shd w:val="clear" w:color="FFFFFF" w:fill="FFFFFF"/>
            <w:noWrap/>
            <w:vAlign w:val="bottom"/>
            <w:hideMark/>
          </w:tcPr>
          <w:p w14:paraId="22BF8681"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2897B6F1" w14:textId="77777777" w:rsidR="00520333" w:rsidRPr="003203A1" w:rsidRDefault="00520333" w:rsidP="005E5E0C">
            <w:pPr>
              <w:spacing w:after="0"/>
              <w:rPr>
                <w:rFonts w:cs="Arial"/>
                <w:sz w:val="18"/>
                <w:szCs w:val="18"/>
              </w:rPr>
            </w:pPr>
            <w:r w:rsidRPr="003203A1">
              <w:rPr>
                <w:rFonts w:cs="Arial"/>
                <w:sz w:val="18"/>
                <w:szCs w:val="18"/>
              </w:rPr>
              <w:t> </w:t>
            </w:r>
          </w:p>
        </w:tc>
      </w:tr>
      <w:bookmarkEnd w:id="170"/>
      <w:tr w:rsidR="00520333" w:rsidRPr="003203A1" w14:paraId="4EA387FA" w14:textId="77777777" w:rsidTr="005E5E0C">
        <w:trPr>
          <w:trHeight w:val="250"/>
        </w:trPr>
        <w:tc>
          <w:tcPr>
            <w:tcW w:w="6351" w:type="dxa"/>
            <w:tcBorders>
              <w:top w:val="nil"/>
              <w:left w:val="nil"/>
              <w:bottom w:val="nil"/>
              <w:right w:val="nil"/>
            </w:tcBorders>
            <w:shd w:val="clear" w:color="FFFFFF" w:fill="FFFFFF"/>
            <w:vAlign w:val="bottom"/>
            <w:hideMark/>
          </w:tcPr>
          <w:p w14:paraId="66AD414E" w14:textId="77777777" w:rsidR="00520333" w:rsidRPr="003203A1" w:rsidRDefault="00520333" w:rsidP="005E5E0C">
            <w:pPr>
              <w:spacing w:after="0"/>
              <w:ind w:firstLineChars="100" w:firstLine="180"/>
              <w:rPr>
                <w:rFonts w:cs="Arial"/>
                <w:sz w:val="18"/>
                <w:szCs w:val="18"/>
              </w:rPr>
            </w:pPr>
            <w:r w:rsidRPr="003203A1">
              <w:rPr>
                <w:rFonts w:cs="Arial"/>
                <w:sz w:val="18"/>
                <w:szCs w:val="18"/>
              </w:rPr>
              <w:t>Within one year</w:t>
            </w:r>
          </w:p>
        </w:tc>
        <w:tc>
          <w:tcPr>
            <w:tcW w:w="1259" w:type="dxa"/>
            <w:tcBorders>
              <w:top w:val="nil"/>
              <w:left w:val="nil"/>
              <w:bottom w:val="nil"/>
              <w:right w:val="nil"/>
            </w:tcBorders>
            <w:shd w:val="clear" w:color="FFFFFF" w:fill="FFFFFF"/>
            <w:noWrap/>
            <w:vAlign w:val="bottom"/>
            <w:hideMark/>
          </w:tcPr>
          <w:p w14:paraId="1FAF44EC" w14:textId="77777777" w:rsidR="00520333" w:rsidRPr="003203A1" w:rsidRDefault="00520333" w:rsidP="005E5E0C">
            <w:pPr>
              <w:spacing w:after="0"/>
              <w:jc w:val="right"/>
              <w:rPr>
                <w:rFonts w:cs="Arial"/>
                <w:b/>
                <w:bCs/>
                <w:sz w:val="18"/>
                <w:szCs w:val="18"/>
              </w:rPr>
            </w:pPr>
            <w:r w:rsidRPr="003203A1">
              <w:rPr>
                <w:rFonts w:cs="Arial"/>
                <w:b/>
                <w:bCs/>
                <w:sz w:val="18"/>
                <w:szCs w:val="18"/>
              </w:rPr>
              <w:t>468</w:t>
            </w:r>
          </w:p>
        </w:tc>
        <w:tc>
          <w:tcPr>
            <w:tcW w:w="236" w:type="dxa"/>
            <w:tcBorders>
              <w:top w:val="nil"/>
              <w:left w:val="nil"/>
              <w:bottom w:val="nil"/>
              <w:right w:val="nil"/>
            </w:tcBorders>
            <w:shd w:val="clear" w:color="FFFFFF" w:fill="FFFFFF"/>
            <w:noWrap/>
            <w:vAlign w:val="bottom"/>
            <w:hideMark/>
          </w:tcPr>
          <w:p w14:paraId="21F3E7AE"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250BBECD" w14:textId="77777777" w:rsidR="00520333" w:rsidRPr="003203A1" w:rsidRDefault="00520333" w:rsidP="005E5E0C">
            <w:pPr>
              <w:spacing w:after="0"/>
              <w:jc w:val="right"/>
              <w:rPr>
                <w:rFonts w:cs="Arial"/>
                <w:sz w:val="18"/>
                <w:szCs w:val="18"/>
              </w:rPr>
            </w:pPr>
            <w:r w:rsidRPr="003203A1">
              <w:rPr>
                <w:rFonts w:cs="Arial"/>
                <w:sz w:val="18"/>
                <w:szCs w:val="18"/>
              </w:rPr>
              <w:t>558</w:t>
            </w:r>
          </w:p>
        </w:tc>
      </w:tr>
      <w:tr w:rsidR="00520333" w:rsidRPr="003203A1" w14:paraId="6C3C275A" w14:textId="77777777" w:rsidTr="005E5E0C">
        <w:trPr>
          <w:trHeight w:val="250"/>
        </w:trPr>
        <w:tc>
          <w:tcPr>
            <w:tcW w:w="6351" w:type="dxa"/>
            <w:tcBorders>
              <w:top w:val="nil"/>
              <w:left w:val="nil"/>
              <w:bottom w:val="nil"/>
              <w:right w:val="nil"/>
            </w:tcBorders>
            <w:shd w:val="clear" w:color="FFFFFF" w:fill="FFFFFF"/>
            <w:vAlign w:val="bottom"/>
            <w:hideMark/>
          </w:tcPr>
          <w:p w14:paraId="72A462ED" w14:textId="77777777" w:rsidR="00520333" w:rsidRPr="003203A1" w:rsidRDefault="00520333" w:rsidP="005E5E0C">
            <w:pPr>
              <w:spacing w:after="0"/>
              <w:ind w:firstLineChars="100" w:firstLine="180"/>
              <w:rPr>
                <w:rFonts w:cs="Arial"/>
                <w:sz w:val="18"/>
                <w:szCs w:val="18"/>
              </w:rPr>
            </w:pPr>
            <w:r w:rsidRPr="003203A1">
              <w:rPr>
                <w:rFonts w:cs="Arial"/>
                <w:sz w:val="18"/>
                <w:szCs w:val="18"/>
              </w:rPr>
              <w:t>One to two years</w:t>
            </w:r>
          </w:p>
        </w:tc>
        <w:tc>
          <w:tcPr>
            <w:tcW w:w="1259" w:type="dxa"/>
            <w:tcBorders>
              <w:top w:val="nil"/>
              <w:left w:val="nil"/>
              <w:bottom w:val="nil"/>
              <w:right w:val="nil"/>
            </w:tcBorders>
            <w:shd w:val="clear" w:color="FFFFFF" w:fill="FFFFFF"/>
            <w:noWrap/>
            <w:vAlign w:val="bottom"/>
            <w:hideMark/>
          </w:tcPr>
          <w:p w14:paraId="27740786" w14:textId="77777777" w:rsidR="00520333" w:rsidRPr="003203A1" w:rsidRDefault="00520333" w:rsidP="005E5E0C">
            <w:pPr>
              <w:spacing w:after="0"/>
              <w:jc w:val="right"/>
              <w:rPr>
                <w:rFonts w:cs="Arial"/>
                <w:b/>
                <w:bCs/>
                <w:sz w:val="18"/>
                <w:szCs w:val="18"/>
              </w:rPr>
            </w:pPr>
            <w:r w:rsidRPr="003203A1">
              <w:rPr>
                <w:rFonts w:cs="Arial"/>
                <w:b/>
                <w:bCs/>
                <w:sz w:val="18"/>
                <w:szCs w:val="18"/>
              </w:rPr>
              <w:t>257</w:t>
            </w:r>
          </w:p>
        </w:tc>
        <w:tc>
          <w:tcPr>
            <w:tcW w:w="236" w:type="dxa"/>
            <w:tcBorders>
              <w:top w:val="nil"/>
              <w:left w:val="nil"/>
              <w:bottom w:val="nil"/>
              <w:right w:val="nil"/>
            </w:tcBorders>
            <w:shd w:val="clear" w:color="FFFFFF" w:fill="FFFFFF"/>
            <w:noWrap/>
            <w:vAlign w:val="bottom"/>
            <w:hideMark/>
          </w:tcPr>
          <w:p w14:paraId="29516909"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33375171" w14:textId="77777777" w:rsidR="00520333" w:rsidRPr="003203A1" w:rsidRDefault="00520333" w:rsidP="005E5E0C">
            <w:pPr>
              <w:spacing w:after="0"/>
              <w:jc w:val="right"/>
              <w:rPr>
                <w:rFonts w:cs="Arial"/>
                <w:sz w:val="18"/>
                <w:szCs w:val="18"/>
              </w:rPr>
            </w:pPr>
            <w:r w:rsidRPr="003203A1">
              <w:rPr>
                <w:rFonts w:cs="Arial"/>
                <w:sz w:val="18"/>
                <w:szCs w:val="18"/>
              </w:rPr>
              <w:t>235</w:t>
            </w:r>
          </w:p>
        </w:tc>
      </w:tr>
      <w:tr w:rsidR="00520333" w:rsidRPr="003203A1" w14:paraId="7026953B" w14:textId="77777777" w:rsidTr="005E5E0C">
        <w:trPr>
          <w:trHeight w:val="250"/>
        </w:trPr>
        <w:tc>
          <w:tcPr>
            <w:tcW w:w="6351" w:type="dxa"/>
            <w:tcBorders>
              <w:top w:val="nil"/>
              <w:left w:val="nil"/>
              <w:bottom w:val="nil"/>
              <w:right w:val="nil"/>
            </w:tcBorders>
            <w:shd w:val="clear" w:color="FFFFFF" w:fill="FFFFFF"/>
            <w:vAlign w:val="bottom"/>
            <w:hideMark/>
          </w:tcPr>
          <w:p w14:paraId="5ABE9696" w14:textId="77777777" w:rsidR="00520333" w:rsidRPr="003203A1" w:rsidRDefault="00520333" w:rsidP="005E5E0C">
            <w:pPr>
              <w:spacing w:after="0"/>
              <w:ind w:firstLineChars="100" w:firstLine="180"/>
              <w:rPr>
                <w:rFonts w:cs="Arial"/>
                <w:sz w:val="18"/>
                <w:szCs w:val="18"/>
              </w:rPr>
            </w:pPr>
            <w:r w:rsidRPr="003203A1">
              <w:rPr>
                <w:rFonts w:cs="Arial"/>
                <w:sz w:val="18"/>
                <w:szCs w:val="18"/>
              </w:rPr>
              <w:t>Two to three years</w:t>
            </w:r>
          </w:p>
        </w:tc>
        <w:tc>
          <w:tcPr>
            <w:tcW w:w="1259" w:type="dxa"/>
            <w:tcBorders>
              <w:top w:val="nil"/>
              <w:left w:val="nil"/>
              <w:bottom w:val="nil"/>
              <w:right w:val="nil"/>
            </w:tcBorders>
            <w:shd w:val="clear" w:color="FFFFFF" w:fill="FFFFFF"/>
            <w:noWrap/>
            <w:vAlign w:val="bottom"/>
            <w:hideMark/>
          </w:tcPr>
          <w:p w14:paraId="5CA3F219" w14:textId="77777777" w:rsidR="00520333" w:rsidRPr="003203A1" w:rsidRDefault="00520333" w:rsidP="005E5E0C">
            <w:pPr>
              <w:spacing w:after="0"/>
              <w:jc w:val="right"/>
              <w:rPr>
                <w:rFonts w:cs="Arial"/>
                <w:b/>
                <w:bCs/>
                <w:sz w:val="18"/>
                <w:szCs w:val="18"/>
              </w:rPr>
            </w:pPr>
            <w:r w:rsidRPr="003203A1">
              <w:rPr>
                <w:rFonts w:cs="Arial"/>
                <w:b/>
                <w:bCs/>
                <w:sz w:val="18"/>
                <w:szCs w:val="18"/>
              </w:rPr>
              <w:t xml:space="preserve"> -</w:t>
            </w:r>
          </w:p>
        </w:tc>
        <w:tc>
          <w:tcPr>
            <w:tcW w:w="236" w:type="dxa"/>
            <w:tcBorders>
              <w:top w:val="nil"/>
              <w:left w:val="nil"/>
              <w:bottom w:val="nil"/>
              <w:right w:val="nil"/>
            </w:tcBorders>
            <w:shd w:val="clear" w:color="FFFFFF" w:fill="FFFFFF"/>
            <w:noWrap/>
            <w:vAlign w:val="bottom"/>
            <w:hideMark/>
          </w:tcPr>
          <w:p w14:paraId="188BA1B8"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3FC7D441" w14:textId="77777777" w:rsidR="00520333" w:rsidRPr="003203A1" w:rsidRDefault="00520333" w:rsidP="005E5E0C">
            <w:pPr>
              <w:spacing w:after="0"/>
              <w:jc w:val="right"/>
              <w:rPr>
                <w:rFonts w:cs="Arial"/>
                <w:sz w:val="18"/>
                <w:szCs w:val="18"/>
              </w:rPr>
            </w:pPr>
            <w:r w:rsidRPr="003203A1">
              <w:rPr>
                <w:rFonts w:cs="Arial"/>
                <w:sz w:val="18"/>
                <w:szCs w:val="18"/>
              </w:rPr>
              <w:t>167</w:t>
            </w:r>
          </w:p>
        </w:tc>
      </w:tr>
      <w:tr w:rsidR="00520333" w:rsidRPr="003203A1" w14:paraId="323FAE5D" w14:textId="77777777" w:rsidTr="005E5E0C">
        <w:trPr>
          <w:trHeight w:val="250"/>
        </w:trPr>
        <w:tc>
          <w:tcPr>
            <w:tcW w:w="6351" w:type="dxa"/>
            <w:tcBorders>
              <w:top w:val="nil"/>
              <w:left w:val="nil"/>
              <w:bottom w:val="nil"/>
              <w:right w:val="nil"/>
            </w:tcBorders>
            <w:shd w:val="clear" w:color="FFFFFF" w:fill="FFFFFF"/>
            <w:vAlign w:val="bottom"/>
            <w:hideMark/>
          </w:tcPr>
          <w:p w14:paraId="1337ED8D" w14:textId="77777777" w:rsidR="00520333" w:rsidRPr="003203A1" w:rsidRDefault="00520333" w:rsidP="005E5E0C">
            <w:pPr>
              <w:spacing w:after="0"/>
              <w:ind w:firstLineChars="100" w:firstLine="180"/>
              <w:rPr>
                <w:rFonts w:cs="Arial"/>
                <w:sz w:val="18"/>
                <w:szCs w:val="18"/>
              </w:rPr>
            </w:pPr>
            <w:r w:rsidRPr="003203A1">
              <w:rPr>
                <w:rFonts w:cs="Arial"/>
                <w:sz w:val="18"/>
                <w:szCs w:val="18"/>
              </w:rPr>
              <w:t>Three to four years</w:t>
            </w:r>
          </w:p>
        </w:tc>
        <w:tc>
          <w:tcPr>
            <w:tcW w:w="1259" w:type="dxa"/>
            <w:tcBorders>
              <w:top w:val="nil"/>
              <w:left w:val="nil"/>
              <w:bottom w:val="nil"/>
              <w:right w:val="nil"/>
            </w:tcBorders>
            <w:shd w:val="clear" w:color="FFFFFF" w:fill="FFFFFF"/>
            <w:noWrap/>
            <w:vAlign w:val="bottom"/>
            <w:hideMark/>
          </w:tcPr>
          <w:p w14:paraId="63A0EA1A" w14:textId="77777777" w:rsidR="00520333" w:rsidRPr="003203A1" w:rsidRDefault="00520333" w:rsidP="005E5E0C">
            <w:pPr>
              <w:spacing w:after="0"/>
              <w:jc w:val="right"/>
              <w:rPr>
                <w:rFonts w:cs="Arial"/>
                <w:b/>
                <w:bCs/>
                <w:sz w:val="18"/>
                <w:szCs w:val="18"/>
              </w:rPr>
            </w:pPr>
            <w:r w:rsidRPr="003203A1">
              <w:rPr>
                <w:rFonts w:cs="Arial"/>
                <w:b/>
                <w:bCs/>
                <w:sz w:val="18"/>
                <w:szCs w:val="18"/>
              </w:rPr>
              <w:t xml:space="preserve"> -</w:t>
            </w:r>
          </w:p>
        </w:tc>
        <w:tc>
          <w:tcPr>
            <w:tcW w:w="236" w:type="dxa"/>
            <w:tcBorders>
              <w:top w:val="nil"/>
              <w:left w:val="nil"/>
              <w:bottom w:val="nil"/>
              <w:right w:val="nil"/>
            </w:tcBorders>
            <w:shd w:val="clear" w:color="FFFFFF" w:fill="FFFFFF"/>
            <w:noWrap/>
            <w:vAlign w:val="bottom"/>
            <w:hideMark/>
          </w:tcPr>
          <w:p w14:paraId="2F41C3E8"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09057AAB" w14:textId="77777777" w:rsidR="00520333" w:rsidRPr="003203A1" w:rsidRDefault="00520333" w:rsidP="005E5E0C">
            <w:pPr>
              <w:spacing w:after="0"/>
              <w:jc w:val="right"/>
              <w:rPr>
                <w:rFonts w:cs="Arial"/>
                <w:sz w:val="18"/>
                <w:szCs w:val="18"/>
              </w:rPr>
            </w:pPr>
            <w:r w:rsidRPr="003203A1">
              <w:rPr>
                <w:rFonts w:cs="Arial"/>
                <w:sz w:val="18"/>
                <w:szCs w:val="18"/>
              </w:rPr>
              <w:t>70</w:t>
            </w:r>
          </w:p>
        </w:tc>
      </w:tr>
      <w:tr w:rsidR="00520333" w:rsidRPr="003203A1" w14:paraId="1D9F33B5" w14:textId="77777777" w:rsidTr="005E5E0C">
        <w:trPr>
          <w:trHeight w:val="250"/>
        </w:trPr>
        <w:tc>
          <w:tcPr>
            <w:tcW w:w="6351" w:type="dxa"/>
            <w:tcBorders>
              <w:top w:val="nil"/>
              <w:left w:val="nil"/>
              <w:bottom w:val="nil"/>
              <w:right w:val="nil"/>
            </w:tcBorders>
            <w:shd w:val="clear" w:color="FFFFFF" w:fill="FFFFFF"/>
            <w:vAlign w:val="bottom"/>
            <w:hideMark/>
          </w:tcPr>
          <w:p w14:paraId="5011011F" w14:textId="77777777" w:rsidR="00520333" w:rsidRPr="003203A1" w:rsidRDefault="00520333" w:rsidP="005E5E0C">
            <w:pPr>
              <w:spacing w:after="0"/>
              <w:rPr>
                <w:rFonts w:cs="Arial"/>
                <w:b/>
                <w:bCs/>
                <w:sz w:val="18"/>
                <w:szCs w:val="18"/>
              </w:rPr>
            </w:pPr>
            <w:r w:rsidRPr="003203A1">
              <w:rPr>
                <w:rFonts w:cs="Arial"/>
                <w:b/>
                <w:bCs/>
                <w:sz w:val="18"/>
                <w:szCs w:val="18"/>
              </w:rPr>
              <w:t>Total undiscounted lease payments receivable</w:t>
            </w:r>
          </w:p>
        </w:tc>
        <w:tc>
          <w:tcPr>
            <w:tcW w:w="1259" w:type="dxa"/>
            <w:tcBorders>
              <w:top w:val="single" w:sz="4" w:space="0" w:color="auto"/>
              <w:left w:val="nil"/>
              <w:bottom w:val="single" w:sz="4" w:space="0" w:color="auto"/>
              <w:right w:val="nil"/>
            </w:tcBorders>
            <w:shd w:val="clear" w:color="FFFFFF" w:fill="FFFFFF"/>
            <w:noWrap/>
            <w:vAlign w:val="bottom"/>
            <w:hideMark/>
          </w:tcPr>
          <w:p w14:paraId="3764EC36" w14:textId="77777777" w:rsidR="00520333" w:rsidRPr="003203A1" w:rsidRDefault="00520333" w:rsidP="005E5E0C">
            <w:pPr>
              <w:spacing w:after="0"/>
              <w:jc w:val="right"/>
              <w:rPr>
                <w:rFonts w:cs="Arial"/>
                <w:b/>
                <w:bCs/>
                <w:sz w:val="18"/>
                <w:szCs w:val="18"/>
              </w:rPr>
            </w:pPr>
            <w:r w:rsidRPr="003203A1">
              <w:rPr>
                <w:rFonts w:cs="Arial"/>
                <w:b/>
                <w:bCs/>
                <w:sz w:val="18"/>
                <w:szCs w:val="18"/>
              </w:rPr>
              <w:t>725</w:t>
            </w:r>
          </w:p>
        </w:tc>
        <w:tc>
          <w:tcPr>
            <w:tcW w:w="236" w:type="dxa"/>
            <w:tcBorders>
              <w:top w:val="nil"/>
              <w:left w:val="nil"/>
              <w:bottom w:val="nil"/>
              <w:right w:val="nil"/>
            </w:tcBorders>
            <w:shd w:val="clear" w:color="FFFFFF" w:fill="FFFFFF"/>
            <w:noWrap/>
            <w:vAlign w:val="bottom"/>
            <w:hideMark/>
          </w:tcPr>
          <w:p w14:paraId="35C6A750"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single" w:sz="4" w:space="0" w:color="auto"/>
              <w:left w:val="nil"/>
              <w:bottom w:val="single" w:sz="4" w:space="0" w:color="auto"/>
              <w:right w:val="nil"/>
            </w:tcBorders>
            <w:shd w:val="clear" w:color="FFFFFF" w:fill="FFFFFF"/>
            <w:noWrap/>
            <w:vAlign w:val="bottom"/>
            <w:hideMark/>
          </w:tcPr>
          <w:p w14:paraId="210D7DC8" w14:textId="77777777" w:rsidR="00520333" w:rsidRPr="003203A1" w:rsidRDefault="00520333" w:rsidP="005E5E0C">
            <w:pPr>
              <w:spacing w:after="0"/>
              <w:jc w:val="right"/>
              <w:rPr>
                <w:rFonts w:cs="Arial"/>
                <w:sz w:val="18"/>
                <w:szCs w:val="18"/>
              </w:rPr>
            </w:pPr>
            <w:r w:rsidRPr="003203A1">
              <w:rPr>
                <w:rFonts w:cs="Arial"/>
                <w:sz w:val="18"/>
                <w:szCs w:val="18"/>
              </w:rPr>
              <w:t>1,030</w:t>
            </w:r>
          </w:p>
        </w:tc>
      </w:tr>
    </w:tbl>
    <w:p w14:paraId="7F8F5641" w14:textId="77777777" w:rsidR="00520333" w:rsidRPr="003203A1" w:rsidRDefault="00520333" w:rsidP="00520333">
      <w:pPr>
        <w:spacing w:before="60"/>
        <w:rPr>
          <w:rFonts w:cs="Arial"/>
          <w:sz w:val="18"/>
          <w:szCs w:val="18"/>
        </w:rPr>
      </w:pPr>
      <w:r w:rsidRPr="003203A1">
        <w:rPr>
          <w:rFonts w:cs="Arial"/>
          <w:sz w:val="18"/>
          <w:szCs w:val="18"/>
        </w:rPr>
        <w:t>The above lease disclosures should be read in conjunction with the accompanying notes 1.1B, 1.1D, 2.2A &amp; 2.5.</w:t>
      </w:r>
    </w:p>
    <w:p w14:paraId="38ED01F6" w14:textId="55E327DC" w:rsidR="003203A1" w:rsidRDefault="003203A1">
      <w:pPr>
        <w:spacing w:after="0" w:line="240" w:lineRule="auto"/>
        <w:rPr>
          <w:rFonts w:cs="Arial"/>
          <w:sz w:val="18"/>
          <w:szCs w:val="18"/>
        </w:rPr>
      </w:pPr>
      <w:r>
        <w:rPr>
          <w:rFonts w:cs="Arial"/>
          <w:sz w:val="18"/>
          <w:szCs w:val="18"/>
        </w:rPr>
        <w:br w:type="page"/>
      </w:r>
    </w:p>
    <w:p w14:paraId="05ABA2FD" w14:textId="77777777" w:rsidR="003203A1" w:rsidRPr="00C821EB" w:rsidRDefault="003203A1" w:rsidP="003203A1">
      <w:pPr>
        <w:spacing w:after="0" w:line="240" w:lineRule="auto"/>
        <w:rPr>
          <w:b/>
          <w:bCs/>
        </w:rPr>
      </w:pPr>
      <w:r w:rsidRPr="00C821EB">
        <w:rPr>
          <w:b/>
          <w:bCs/>
        </w:rPr>
        <w:lastRenderedPageBreak/>
        <w:t>National Disability Insurance Agency</w:t>
      </w:r>
    </w:p>
    <w:p w14:paraId="24986E79" w14:textId="77777777" w:rsidR="003203A1" w:rsidRPr="00C821EB" w:rsidRDefault="003203A1" w:rsidP="003203A1">
      <w:pPr>
        <w:pBdr>
          <w:bottom w:val="single" w:sz="8" w:space="1" w:color="auto"/>
        </w:pBdr>
        <w:rPr>
          <w:b/>
          <w:bCs/>
        </w:rPr>
      </w:pPr>
      <w:r w:rsidRPr="00C821EB">
        <w:rPr>
          <w:b/>
          <w:bCs/>
        </w:rPr>
        <w:t>NOTES TO AND FORMING PART OF THE FINANCIAL STATEMENTS</w:t>
      </w:r>
    </w:p>
    <w:tbl>
      <w:tblPr>
        <w:tblW w:w="9087" w:type="dxa"/>
        <w:tblLayout w:type="fixed"/>
        <w:tblLook w:val="04A0" w:firstRow="1" w:lastRow="0" w:firstColumn="1" w:lastColumn="0" w:noHBand="0" w:noVBand="1"/>
      </w:tblPr>
      <w:tblGrid>
        <w:gridCol w:w="6351"/>
        <w:gridCol w:w="1259"/>
        <w:gridCol w:w="236"/>
        <w:gridCol w:w="1241"/>
      </w:tblGrid>
      <w:tr w:rsidR="00520333" w:rsidRPr="003203A1" w14:paraId="0A1ED758" w14:textId="77777777" w:rsidTr="005E5E0C">
        <w:trPr>
          <w:trHeight w:val="260"/>
        </w:trPr>
        <w:tc>
          <w:tcPr>
            <w:tcW w:w="6351" w:type="dxa"/>
            <w:tcBorders>
              <w:top w:val="nil"/>
              <w:left w:val="nil"/>
              <w:bottom w:val="nil"/>
              <w:right w:val="nil"/>
            </w:tcBorders>
            <w:shd w:val="clear" w:color="FFFFFF" w:fill="FFFFFF"/>
            <w:noWrap/>
            <w:vAlign w:val="bottom"/>
            <w:hideMark/>
          </w:tcPr>
          <w:p w14:paraId="77710811" w14:textId="77777777" w:rsidR="00520333" w:rsidRPr="003203A1" w:rsidRDefault="00520333" w:rsidP="005E5E0C">
            <w:pPr>
              <w:spacing w:after="0"/>
              <w:rPr>
                <w:rFonts w:cs="Arial"/>
                <w:sz w:val="18"/>
                <w:szCs w:val="18"/>
              </w:rPr>
            </w:pPr>
            <w:bookmarkStart w:id="171" w:name="Note_ORVTABLE1" w:colFirst="0" w:colLast="0"/>
            <w:r w:rsidRPr="003203A1">
              <w:rPr>
                <w:rFonts w:cs="Arial"/>
                <w:sz w:val="18"/>
                <w:szCs w:val="18"/>
              </w:rPr>
              <w:t> </w:t>
            </w:r>
          </w:p>
        </w:tc>
        <w:tc>
          <w:tcPr>
            <w:tcW w:w="1259" w:type="dxa"/>
            <w:tcBorders>
              <w:top w:val="nil"/>
              <w:left w:val="nil"/>
              <w:bottom w:val="nil"/>
              <w:right w:val="nil"/>
            </w:tcBorders>
            <w:shd w:val="clear" w:color="FFFFFF" w:fill="FFFFFF"/>
            <w:vAlign w:val="bottom"/>
            <w:hideMark/>
          </w:tcPr>
          <w:p w14:paraId="464F5BE0" w14:textId="77777777" w:rsidR="00520333" w:rsidRPr="003203A1" w:rsidRDefault="00520333" w:rsidP="005E5E0C">
            <w:pPr>
              <w:spacing w:after="0"/>
              <w:jc w:val="right"/>
              <w:rPr>
                <w:rFonts w:cs="Arial"/>
                <w:b/>
                <w:bCs/>
                <w:sz w:val="18"/>
                <w:szCs w:val="18"/>
              </w:rPr>
            </w:pPr>
            <w:r w:rsidRPr="003203A1">
              <w:rPr>
                <w:rFonts w:cs="Arial"/>
                <w:b/>
                <w:bCs/>
                <w:sz w:val="18"/>
                <w:szCs w:val="18"/>
              </w:rPr>
              <w:t>2024</w:t>
            </w:r>
          </w:p>
        </w:tc>
        <w:tc>
          <w:tcPr>
            <w:tcW w:w="236" w:type="dxa"/>
            <w:tcBorders>
              <w:top w:val="nil"/>
              <w:left w:val="nil"/>
              <w:bottom w:val="nil"/>
              <w:right w:val="nil"/>
            </w:tcBorders>
            <w:shd w:val="clear" w:color="FFFFFF" w:fill="FFFFFF"/>
            <w:noWrap/>
            <w:vAlign w:val="bottom"/>
            <w:hideMark/>
          </w:tcPr>
          <w:p w14:paraId="6D848932"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vAlign w:val="bottom"/>
            <w:hideMark/>
          </w:tcPr>
          <w:p w14:paraId="109047CA" w14:textId="77777777" w:rsidR="00520333" w:rsidRPr="003203A1" w:rsidRDefault="00520333" w:rsidP="005E5E0C">
            <w:pPr>
              <w:spacing w:after="0"/>
              <w:jc w:val="right"/>
              <w:rPr>
                <w:rFonts w:cs="Arial"/>
                <w:sz w:val="18"/>
                <w:szCs w:val="18"/>
              </w:rPr>
            </w:pPr>
            <w:r w:rsidRPr="003203A1">
              <w:rPr>
                <w:rFonts w:cs="Arial"/>
                <w:sz w:val="18"/>
                <w:szCs w:val="18"/>
              </w:rPr>
              <w:t>2023</w:t>
            </w:r>
          </w:p>
        </w:tc>
      </w:tr>
      <w:bookmarkEnd w:id="171"/>
      <w:tr w:rsidR="00520333" w:rsidRPr="003203A1" w14:paraId="5710CB5A" w14:textId="77777777" w:rsidTr="005E5E0C">
        <w:trPr>
          <w:trHeight w:val="250"/>
        </w:trPr>
        <w:tc>
          <w:tcPr>
            <w:tcW w:w="6351" w:type="dxa"/>
            <w:tcBorders>
              <w:top w:val="nil"/>
              <w:left w:val="nil"/>
              <w:bottom w:val="nil"/>
              <w:right w:val="nil"/>
            </w:tcBorders>
            <w:shd w:val="clear" w:color="FFFFFF" w:fill="FFFFFF"/>
            <w:noWrap/>
            <w:vAlign w:val="bottom"/>
            <w:hideMark/>
          </w:tcPr>
          <w:p w14:paraId="5C37FEF8" w14:textId="77777777" w:rsidR="00520333" w:rsidRPr="003203A1" w:rsidRDefault="00520333" w:rsidP="005E5E0C">
            <w:pPr>
              <w:spacing w:after="0"/>
              <w:rPr>
                <w:rFonts w:cs="Arial"/>
                <w:sz w:val="18"/>
                <w:szCs w:val="18"/>
              </w:rPr>
            </w:pPr>
            <w:r w:rsidRPr="003203A1">
              <w:rPr>
                <w:rFonts w:cs="Arial"/>
                <w:sz w:val="18"/>
                <w:szCs w:val="18"/>
              </w:rPr>
              <w:t> </w:t>
            </w:r>
          </w:p>
        </w:tc>
        <w:tc>
          <w:tcPr>
            <w:tcW w:w="1259" w:type="dxa"/>
            <w:tcBorders>
              <w:top w:val="nil"/>
              <w:left w:val="nil"/>
              <w:bottom w:val="nil"/>
              <w:right w:val="nil"/>
            </w:tcBorders>
            <w:shd w:val="clear" w:color="FFFFFF" w:fill="FFFFFF"/>
            <w:vAlign w:val="bottom"/>
            <w:hideMark/>
          </w:tcPr>
          <w:p w14:paraId="6B3D4C2E" w14:textId="77777777" w:rsidR="00520333" w:rsidRPr="003203A1" w:rsidRDefault="00520333" w:rsidP="005E5E0C">
            <w:pPr>
              <w:spacing w:after="0"/>
              <w:jc w:val="right"/>
              <w:rPr>
                <w:rFonts w:cs="Arial"/>
                <w:b/>
                <w:bCs/>
                <w:sz w:val="18"/>
                <w:szCs w:val="18"/>
              </w:rPr>
            </w:pPr>
            <w:r w:rsidRPr="003203A1">
              <w:rPr>
                <w:rFonts w:cs="Arial"/>
                <w:b/>
                <w:bCs/>
                <w:sz w:val="18"/>
                <w:szCs w:val="18"/>
              </w:rPr>
              <w:t>$'000</w:t>
            </w:r>
          </w:p>
        </w:tc>
        <w:tc>
          <w:tcPr>
            <w:tcW w:w="236" w:type="dxa"/>
            <w:tcBorders>
              <w:top w:val="nil"/>
              <w:left w:val="nil"/>
              <w:bottom w:val="nil"/>
              <w:right w:val="nil"/>
            </w:tcBorders>
            <w:shd w:val="clear" w:color="FFFFFF" w:fill="FFFFFF"/>
            <w:noWrap/>
            <w:vAlign w:val="bottom"/>
            <w:hideMark/>
          </w:tcPr>
          <w:p w14:paraId="29A0639E"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vAlign w:val="bottom"/>
            <w:hideMark/>
          </w:tcPr>
          <w:p w14:paraId="091A7540" w14:textId="77777777" w:rsidR="00520333" w:rsidRPr="003203A1" w:rsidRDefault="00520333" w:rsidP="005E5E0C">
            <w:pPr>
              <w:spacing w:after="0"/>
              <w:jc w:val="right"/>
              <w:rPr>
                <w:rFonts w:cs="Arial"/>
                <w:sz w:val="18"/>
                <w:szCs w:val="18"/>
              </w:rPr>
            </w:pPr>
            <w:r w:rsidRPr="003203A1">
              <w:rPr>
                <w:rFonts w:cs="Arial"/>
                <w:sz w:val="18"/>
                <w:szCs w:val="18"/>
              </w:rPr>
              <w:t>$'000</w:t>
            </w:r>
          </w:p>
        </w:tc>
      </w:tr>
      <w:tr w:rsidR="00520333" w:rsidRPr="003203A1" w14:paraId="15F1D9AC" w14:textId="77777777" w:rsidTr="005E5E0C">
        <w:trPr>
          <w:trHeight w:val="250"/>
        </w:trPr>
        <w:tc>
          <w:tcPr>
            <w:tcW w:w="6351" w:type="dxa"/>
            <w:tcBorders>
              <w:top w:val="nil"/>
              <w:left w:val="nil"/>
              <w:bottom w:val="nil"/>
              <w:right w:val="nil"/>
            </w:tcBorders>
            <w:shd w:val="clear" w:color="FFFFFF" w:fill="FFFFFF"/>
            <w:noWrap/>
            <w:vAlign w:val="bottom"/>
            <w:hideMark/>
          </w:tcPr>
          <w:p w14:paraId="3A5610E4" w14:textId="77777777" w:rsidR="00520333" w:rsidRPr="003203A1" w:rsidRDefault="00520333" w:rsidP="005E5E0C">
            <w:pPr>
              <w:spacing w:after="0"/>
              <w:rPr>
                <w:rFonts w:cs="Arial"/>
                <w:b/>
                <w:bCs/>
                <w:sz w:val="18"/>
                <w:szCs w:val="18"/>
                <w:u w:val="single"/>
              </w:rPr>
            </w:pPr>
            <w:r w:rsidRPr="003203A1">
              <w:rPr>
                <w:rFonts w:cs="Arial"/>
                <w:b/>
                <w:bCs/>
                <w:sz w:val="18"/>
                <w:szCs w:val="18"/>
                <w:u w:val="single"/>
              </w:rPr>
              <w:t>Note 1.2C: Other revenue</w:t>
            </w:r>
          </w:p>
        </w:tc>
        <w:tc>
          <w:tcPr>
            <w:tcW w:w="1259" w:type="dxa"/>
            <w:tcBorders>
              <w:top w:val="nil"/>
              <w:left w:val="nil"/>
              <w:bottom w:val="nil"/>
              <w:right w:val="nil"/>
            </w:tcBorders>
            <w:shd w:val="clear" w:color="FFFFFF" w:fill="FFFFFF"/>
            <w:noWrap/>
            <w:vAlign w:val="bottom"/>
            <w:hideMark/>
          </w:tcPr>
          <w:p w14:paraId="12D2C276" w14:textId="77777777" w:rsidR="00520333" w:rsidRPr="003203A1" w:rsidRDefault="00520333" w:rsidP="005E5E0C">
            <w:pPr>
              <w:spacing w:after="0"/>
              <w:jc w:val="right"/>
              <w:rPr>
                <w:rFonts w:cs="Arial"/>
                <w:b/>
                <w:bCs/>
                <w:sz w:val="18"/>
                <w:szCs w:val="18"/>
              </w:rPr>
            </w:pPr>
            <w:r w:rsidRPr="003203A1">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3A7AF538"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1A1E42B5" w14:textId="77777777" w:rsidR="00520333" w:rsidRPr="003203A1" w:rsidRDefault="00520333" w:rsidP="005E5E0C">
            <w:pPr>
              <w:spacing w:after="0"/>
              <w:jc w:val="right"/>
              <w:rPr>
                <w:rFonts w:cs="Arial"/>
                <w:sz w:val="18"/>
                <w:szCs w:val="18"/>
              </w:rPr>
            </w:pPr>
            <w:r w:rsidRPr="003203A1">
              <w:rPr>
                <w:rFonts w:cs="Arial"/>
                <w:sz w:val="18"/>
                <w:szCs w:val="18"/>
              </w:rPr>
              <w:t> </w:t>
            </w:r>
          </w:p>
        </w:tc>
      </w:tr>
      <w:tr w:rsidR="00520333" w:rsidRPr="003203A1" w14:paraId="1A9E14FD" w14:textId="77777777" w:rsidTr="005E5E0C">
        <w:trPr>
          <w:trHeight w:val="250"/>
        </w:trPr>
        <w:tc>
          <w:tcPr>
            <w:tcW w:w="6351" w:type="dxa"/>
            <w:tcBorders>
              <w:top w:val="nil"/>
              <w:left w:val="nil"/>
              <w:bottom w:val="nil"/>
              <w:right w:val="nil"/>
            </w:tcBorders>
            <w:shd w:val="clear" w:color="FFFFFF" w:fill="FFFFFF"/>
            <w:vAlign w:val="bottom"/>
            <w:hideMark/>
          </w:tcPr>
          <w:p w14:paraId="7A384CA2" w14:textId="77777777" w:rsidR="00520333" w:rsidRPr="003203A1" w:rsidRDefault="00520333" w:rsidP="005E5E0C">
            <w:pPr>
              <w:spacing w:after="0"/>
              <w:rPr>
                <w:rFonts w:cs="Arial"/>
                <w:sz w:val="18"/>
                <w:szCs w:val="18"/>
              </w:rPr>
            </w:pPr>
            <w:r w:rsidRPr="003203A1">
              <w:rPr>
                <w:rFonts w:cs="Arial"/>
                <w:sz w:val="18"/>
                <w:szCs w:val="18"/>
              </w:rPr>
              <w:t>Compensation receipts</w:t>
            </w:r>
          </w:p>
        </w:tc>
        <w:tc>
          <w:tcPr>
            <w:tcW w:w="1259" w:type="dxa"/>
            <w:tcBorders>
              <w:top w:val="nil"/>
              <w:left w:val="nil"/>
              <w:bottom w:val="nil"/>
              <w:right w:val="nil"/>
            </w:tcBorders>
            <w:shd w:val="clear" w:color="FFFFFF" w:fill="FFFFFF"/>
            <w:noWrap/>
            <w:vAlign w:val="bottom"/>
            <w:hideMark/>
          </w:tcPr>
          <w:p w14:paraId="5CE0E90C" w14:textId="77777777" w:rsidR="00520333" w:rsidRPr="003203A1" w:rsidRDefault="00520333" w:rsidP="005E5E0C">
            <w:pPr>
              <w:spacing w:after="0"/>
              <w:jc w:val="right"/>
              <w:rPr>
                <w:rFonts w:cs="Arial"/>
                <w:b/>
                <w:bCs/>
                <w:sz w:val="18"/>
                <w:szCs w:val="18"/>
              </w:rPr>
            </w:pPr>
            <w:r w:rsidRPr="003203A1">
              <w:rPr>
                <w:rFonts w:cs="Arial"/>
                <w:b/>
                <w:bCs/>
                <w:sz w:val="18"/>
                <w:szCs w:val="18"/>
              </w:rPr>
              <w:t>48,140</w:t>
            </w:r>
          </w:p>
        </w:tc>
        <w:tc>
          <w:tcPr>
            <w:tcW w:w="236" w:type="dxa"/>
            <w:tcBorders>
              <w:top w:val="nil"/>
              <w:left w:val="nil"/>
              <w:bottom w:val="nil"/>
              <w:right w:val="nil"/>
            </w:tcBorders>
            <w:shd w:val="clear" w:color="FFFFFF" w:fill="FFFFFF"/>
            <w:noWrap/>
            <w:vAlign w:val="bottom"/>
            <w:hideMark/>
          </w:tcPr>
          <w:p w14:paraId="3B59577D"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6D7E1FFD" w14:textId="77777777" w:rsidR="00520333" w:rsidRPr="003203A1" w:rsidRDefault="00520333" w:rsidP="005E5E0C">
            <w:pPr>
              <w:spacing w:after="0"/>
              <w:jc w:val="right"/>
              <w:rPr>
                <w:rFonts w:cs="Arial"/>
                <w:sz w:val="18"/>
                <w:szCs w:val="18"/>
              </w:rPr>
            </w:pPr>
            <w:r w:rsidRPr="003203A1">
              <w:rPr>
                <w:rFonts w:cs="Arial"/>
                <w:sz w:val="18"/>
                <w:szCs w:val="18"/>
              </w:rPr>
              <w:t>29,132</w:t>
            </w:r>
          </w:p>
        </w:tc>
      </w:tr>
      <w:tr w:rsidR="00520333" w:rsidRPr="003203A1" w14:paraId="27A3B459" w14:textId="77777777" w:rsidTr="005E5E0C">
        <w:trPr>
          <w:trHeight w:val="250"/>
        </w:trPr>
        <w:tc>
          <w:tcPr>
            <w:tcW w:w="6351" w:type="dxa"/>
            <w:tcBorders>
              <w:top w:val="nil"/>
              <w:left w:val="nil"/>
              <w:bottom w:val="nil"/>
              <w:right w:val="nil"/>
            </w:tcBorders>
            <w:shd w:val="clear" w:color="FFFFFF" w:fill="FFFFFF"/>
            <w:vAlign w:val="bottom"/>
            <w:hideMark/>
          </w:tcPr>
          <w:p w14:paraId="3D97ECED" w14:textId="77777777" w:rsidR="00520333" w:rsidRPr="003203A1" w:rsidRDefault="00520333" w:rsidP="005E5E0C">
            <w:pPr>
              <w:spacing w:after="0"/>
              <w:rPr>
                <w:rFonts w:cs="Arial"/>
                <w:sz w:val="18"/>
                <w:szCs w:val="18"/>
              </w:rPr>
            </w:pPr>
            <w:r w:rsidRPr="003203A1">
              <w:rPr>
                <w:rFonts w:cs="Arial"/>
                <w:sz w:val="18"/>
                <w:szCs w:val="18"/>
              </w:rPr>
              <w:t>Cost recoveries</w:t>
            </w:r>
          </w:p>
        </w:tc>
        <w:tc>
          <w:tcPr>
            <w:tcW w:w="1259" w:type="dxa"/>
            <w:tcBorders>
              <w:top w:val="nil"/>
              <w:left w:val="nil"/>
              <w:bottom w:val="nil"/>
              <w:right w:val="nil"/>
            </w:tcBorders>
            <w:shd w:val="clear" w:color="FFFFFF" w:fill="FFFFFF"/>
            <w:noWrap/>
            <w:vAlign w:val="bottom"/>
            <w:hideMark/>
          </w:tcPr>
          <w:p w14:paraId="086910B9" w14:textId="77777777" w:rsidR="00520333" w:rsidRPr="003203A1" w:rsidRDefault="00520333" w:rsidP="005E5E0C">
            <w:pPr>
              <w:spacing w:after="0"/>
              <w:jc w:val="right"/>
              <w:rPr>
                <w:rFonts w:cs="Arial"/>
                <w:b/>
                <w:bCs/>
                <w:sz w:val="18"/>
                <w:szCs w:val="18"/>
              </w:rPr>
            </w:pPr>
            <w:r w:rsidRPr="003203A1">
              <w:rPr>
                <w:rFonts w:cs="Arial"/>
                <w:b/>
                <w:bCs/>
                <w:sz w:val="18"/>
                <w:szCs w:val="18"/>
              </w:rPr>
              <w:t>6</w:t>
            </w:r>
          </w:p>
        </w:tc>
        <w:tc>
          <w:tcPr>
            <w:tcW w:w="236" w:type="dxa"/>
            <w:tcBorders>
              <w:top w:val="nil"/>
              <w:left w:val="nil"/>
              <w:bottom w:val="nil"/>
              <w:right w:val="nil"/>
            </w:tcBorders>
            <w:shd w:val="clear" w:color="FFFFFF" w:fill="FFFFFF"/>
            <w:noWrap/>
            <w:vAlign w:val="bottom"/>
            <w:hideMark/>
          </w:tcPr>
          <w:p w14:paraId="41B34DC4"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16BB39C3" w14:textId="77777777" w:rsidR="00520333" w:rsidRPr="003203A1" w:rsidRDefault="00520333" w:rsidP="005E5E0C">
            <w:pPr>
              <w:spacing w:after="0"/>
              <w:jc w:val="right"/>
              <w:rPr>
                <w:rFonts w:cs="Arial"/>
                <w:sz w:val="18"/>
                <w:szCs w:val="18"/>
              </w:rPr>
            </w:pPr>
            <w:r w:rsidRPr="003203A1">
              <w:rPr>
                <w:rFonts w:cs="Arial"/>
                <w:sz w:val="18"/>
                <w:szCs w:val="18"/>
              </w:rPr>
              <w:t>13</w:t>
            </w:r>
          </w:p>
        </w:tc>
      </w:tr>
      <w:tr w:rsidR="00520333" w:rsidRPr="003203A1" w14:paraId="45D42B4E" w14:textId="77777777" w:rsidTr="005E5E0C">
        <w:trPr>
          <w:trHeight w:val="250"/>
        </w:trPr>
        <w:tc>
          <w:tcPr>
            <w:tcW w:w="6351" w:type="dxa"/>
            <w:tcBorders>
              <w:top w:val="nil"/>
              <w:left w:val="nil"/>
              <w:bottom w:val="nil"/>
              <w:right w:val="nil"/>
            </w:tcBorders>
            <w:shd w:val="clear" w:color="FFFFFF" w:fill="FFFFFF"/>
            <w:vAlign w:val="bottom"/>
            <w:hideMark/>
          </w:tcPr>
          <w:p w14:paraId="4E4A9140" w14:textId="77777777" w:rsidR="00520333" w:rsidRPr="003203A1" w:rsidRDefault="00520333" w:rsidP="005E5E0C">
            <w:pPr>
              <w:spacing w:after="0"/>
              <w:rPr>
                <w:rFonts w:cs="Arial"/>
                <w:sz w:val="18"/>
                <w:szCs w:val="18"/>
              </w:rPr>
            </w:pPr>
            <w:r w:rsidRPr="003203A1">
              <w:rPr>
                <w:rFonts w:cs="Arial"/>
                <w:sz w:val="18"/>
                <w:szCs w:val="18"/>
              </w:rPr>
              <w:t>NDIS Trial Blended Payments Model</w:t>
            </w:r>
          </w:p>
        </w:tc>
        <w:tc>
          <w:tcPr>
            <w:tcW w:w="1259" w:type="dxa"/>
            <w:tcBorders>
              <w:top w:val="nil"/>
              <w:left w:val="nil"/>
              <w:bottom w:val="nil"/>
              <w:right w:val="nil"/>
            </w:tcBorders>
            <w:shd w:val="clear" w:color="FFFFFF" w:fill="FFFFFF"/>
            <w:noWrap/>
            <w:vAlign w:val="bottom"/>
            <w:hideMark/>
          </w:tcPr>
          <w:p w14:paraId="1DB312B4" w14:textId="77777777" w:rsidR="00520333" w:rsidRPr="003203A1" w:rsidRDefault="00520333" w:rsidP="005E5E0C">
            <w:pPr>
              <w:spacing w:after="0"/>
              <w:jc w:val="right"/>
              <w:rPr>
                <w:rFonts w:cs="Arial"/>
                <w:b/>
                <w:bCs/>
                <w:sz w:val="18"/>
                <w:szCs w:val="18"/>
              </w:rPr>
            </w:pPr>
            <w:r w:rsidRPr="003203A1">
              <w:rPr>
                <w:rFonts w:cs="Arial"/>
                <w:b/>
                <w:bCs/>
                <w:sz w:val="18"/>
                <w:szCs w:val="18"/>
              </w:rPr>
              <w:t>512</w:t>
            </w:r>
          </w:p>
        </w:tc>
        <w:tc>
          <w:tcPr>
            <w:tcW w:w="236" w:type="dxa"/>
            <w:tcBorders>
              <w:top w:val="nil"/>
              <w:left w:val="nil"/>
              <w:bottom w:val="nil"/>
              <w:right w:val="nil"/>
            </w:tcBorders>
            <w:shd w:val="clear" w:color="FFFFFF" w:fill="FFFFFF"/>
            <w:noWrap/>
            <w:vAlign w:val="bottom"/>
            <w:hideMark/>
          </w:tcPr>
          <w:p w14:paraId="79E13DAE"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5108488D" w14:textId="77777777" w:rsidR="00520333" w:rsidRPr="003203A1" w:rsidRDefault="00520333" w:rsidP="005E5E0C">
            <w:pPr>
              <w:spacing w:after="0"/>
              <w:jc w:val="right"/>
              <w:rPr>
                <w:rFonts w:cs="Arial"/>
                <w:sz w:val="18"/>
                <w:szCs w:val="18"/>
              </w:rPr>
            </w:pPr>
            <w:r w:rsidRPr="003203A1">
              <w:rPr>
                <w:rFonts w:cs="Arial"/>
                <w:sz w:val="18"/>
                <w:szCs w:val="18"/>
              </w:rPr>
              <w:t>-</w:t>
            </w:r>
          </w:p>
        </w:tc>
      </w:tr>
      <w:tr w:rsidR="00520333" w:rsidRPr="003203A1" w14:paraId="3B975491" w14:textId="77777777" w:rsidTr="005E5E0C">
        <w:trPr>
          <w:trHeight w:val="250"/>
        </w:trPr>
        <w:tc>
          <w:tcPr>
            <w:tcW w:w="6351" w:type="dxa"/>
            <w:tcBorders>
              <w:top w:val="nil"/>
              <w:left w:val="nil"/>
              <w:bottom w:val="nil"/>
              <w:right w:val="nil"/>
            </w:tcBorders>
            <w:shd w:val="clear" w:color="FFFFFF" w:fill="FFFFFF"/>
            <w:vAlign w:val="bottom"/>
            <w:hideMark/>
          </w:tcPr>
          <w:p w14:paraId="778E2041" w14:textId="77777777" w:rsidR="00520333" w:rsidRPr="003203A1" w:rsidRDefault="00520333" w:rsidP="005E5E0C">
            <w:pPr>
              <w:spacing w:after="0"/>
              <w:rPr>
                <w:rFonts w:cs="Arial"/>
                <w:sz w:val="18"/>
                <w:szCs w:val="18"/>
              </w:rPr>
            </w:pPr>
            <w:r w:rsidRPr="003203A1">
              <w:rPr>
                <w:rFonts w:cs="Arial"/>
                <w:sz w:val="18"/>
                <w:szCs w:val="18"/>
              </w:rPr>
              <w:t xml:space="preserve">Other miscellaneous revenue </w:t>
            </w:r>
          </w:p>
        </w:tc>
        <w:tc>
          <w:tcPr>
            <w:tcW w:w="1259" w:type="dxa"/>
            <w:tcBorders>
              <w:top w:val="nil"/>
              <w:left w:val="nil"/>
              <w:bottom w:val="nil"/>
              <w:right w:val="nil"/>
            </w:tcBorders>
            <w:shd w:val="clear" w:color="FFFFFF" w:fill="FFFFFF"/>
            <w:noWrap/>
            <w:vAlign w:val="bottom"/>
            <w:hideMark/>
          </w:tcPr>
          <w:p w14:paraId="22786469" w14:textId="77777777" w:rsidR="00520333" w:rsidRPr="003203A1" w:rsidRDefault="00520333" w:rsidP="005E5E0C">
            <w:pPr>
              <w:spacing w:after="0"/>
              <w:jc w:val="right"/>
              <w:rPr>
                <w:rFonts w:cs="Arial"/>
                <w:b/>
                <w:bCs/>
                <w:sz w:val="18"/>
                <w:szCs w:val="18"/>
              </w:rPr>
            </w:pPr>
            <w:r w:rsidRPr="003203A1">
              <w:rPr>
                <w:rFonts w:cs="Arial"/>
                <w:b/>
                <w:bCs/>
                <w:sz w:val="18"/>
                <w:szCs w:val="18"/>
              </w:rPr>
              <w:t>134</w:t>
            </w:r>
          </w:p>
        </w:tc>
        <w:tc>
          <w:tcPr>
            <w:tcW w:w="236" w:type="dxa"/>
            <w:tcBorders>
              <w:top w:val="nil"/>
              <w:left w:val="nil"/>
              <w:bottom w:val="nil"/>
              <w:right w:val="nil"/>
            </w:tcBorders>
            <w:shd w:val="clear" w:color="FFFFFF" w:fill="FFFFFF"/>
            <w:noWrap/>
            <w:vAlign w:val="bottom"/>
            <w:hideMark/>
          </w:tcPr>
          <w:p w14:paraId="7FB0E14A"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3FBFC939" w14:textId="77777777" w:rsidR="00520333" w:rsidRPr="003203A1" w:rsidRDefault="00520333" w:rsidP="005E5E0C">
            <w:pPr>
              <w:spacing w:after="0"/>
              <w:jc w:val="right"/>
              <w:rPr>
                <w:rFonts w:cs="Arial"/>
                <w:sz w:val="18"/>
                <w:szCs w:val="18"/>
              </w:rPr>
            </w:pPr>
            <w:r w:rsidRPr="003203A1">
              <w:rPr>
                <w:rFonts w:cs="Arial"/>
                <w:sz w:val="18"/>
                <w:szCs w:val="18"/>
              </w:rPr>
              <w:t>275</w:t>
            </w:r>
          </w:p>
        </w:tc>
      </w:tr>
      <w:tr w:rsidR="00520333" w:rsidRPr="003203A1" w14:paraId="535A4DCF" w14:textId="77777777" w:rsidTr="005E5E0C">
        <w:trPr>
          <w:trHeight w:val="250"/>
        </w:trPr>
        <w:tc>
          <w:tcPr>
            <w:tcW w:w="6351" w:type="dxa"/>
            <w:tcBorders>
              <w:top w:val="nil"/>
              <w:left w:val="nil"/>
              <w:bottom w:val="nil"/>
              <w:right w:val="nil"/>
            </w:tcBorders>
            <w:shd w:val="clear" w:color="FFFFFF" w:fill="FFFFFF"/>
            <w:vAlign w:val="bottom"/>
            <w:hideMark/>
          </w:tcPr>
          <w:p w14:paraId="379415BE" w14:textId="77777777" w:rsidR="00520333" w:rsidRPr="003203A1" w:rsidRDefault="00520333" w:rsidP="005E5E0C">
            <w:pPr>
              <w:spacing w:after="0"/>
              <w:rPr>
                <w:rFonts w:cs="Arial"/>
                <w:b/>
                <w:bCs/>
                <w:sz w:val="18"/>
                <w:szCs w:val="18"/>
              </w:rPr>
            </w:pPr>
            <w:r w:rsidRPr="003203A1">
              <w:rPr>
                <w:rFonts w:cs="Arial"/>
                <w:b/>
                <w:bCs/>
                <w:sz w:val="18"/>
                <w:szCs w:val="18"/>
              </w:rPr>
              <w:t>Total other revenue</w:t>
            </w:r>
          </w:p>
        </w:tc>
        <w:tc>
          <w:tcPr>
            <w:tcW w:w="1259" w:type="dxa"/>
            <w:tcBorders>
              <w:top w:val="single" w:sz="4" w:space="0" w:color="auto"/>
              <w:left w:val="nil"/>
              <w:bottom w:val="single" w:sz="4" w:space="0" w:color="auto"/>
              <w:right w:val="nil"/>
            </w:tcBorders>
            <w:shd w:val="clear" w:color="FFFFFF" w:fill="FFFFFF"/>
            <w:noWrap/>
            <w:vAlign w:val="bottom"/>
            <w:hideMark/>
          </w:tcPr>
          <w:p w14:paraId="4712F669" w14:textId="77777777" w:rsidR="00520333" w:rsidRPr="003203A1" w:rsidRDefault="00520333" w:rsidP="005E5E0C">
            <w:pPr>
              <w:spacing w:after="0"/>
              <w:jc w:val="right"/>
              <w:rPr>
                <w:rFonts w:cs="Arial"/>
                <w:b/>
                <w:bCs/>
                <w:sz w:val="18"/>
                <w:szCs w:val="18"/>
              </w:rPr>
            </w:pPr>
            <w:r w:rsidRPr="003203A1">
              <w:rPr>
                <w:rFonts w:cs="Arial"/>
                <w:b/>
                <w:bCs/>
                <w:sz w:val="18"/>
                <w:szCs w:val="18"/>
              </w:rPr>
              <w:t>48,792</w:t>
            </w:r>
          </w:p>
        </w:tc>
        <w:tc>
          <w:tcPr>
            <w:tcW w:w="236" w:type="dxa"/>
            <w:tcBorders>
              <w:top w:val="nil"/>
              <w:left w:val="nil"/>
              <w:bottom w:val="nil"/>
              <w:right w:val="nil"/>
            </w:tcBorders>
            <w:shd w:val="clear" w:color="FFFFFF" w:fill="FFFFFF"/>
            <w:noWrap/>
            <w:vAlign w:val="bottom"/>
            <w:hideMark/>
          </w:tcPr>
          <w:p w14:paraId="3D83F28F"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single" w:sz="4" w:space="0" w:color="auto"/>
              <w:left w:val="nil"/>
              <w:bottom w:val="single" w:sz="4" w:space="0" w:color="auto"/>
              <w:right w:val="nil"/>
            </w:tcBorders>
            <w:shd w:val="clear" w:color="FFFFFF" w:fill="FFFFFF"/>
            <w:noWrap/>
            <w:vAlign w:val="bottom"/>
            <w:hideMark/>
          </w:tcPr>
          <w:p w14:paraId="09FD3EAE" w14:textId="77777777" w:rsidR="00520333" w:rsidRPr="003203A1" w:rsidRDefault="00520333" w:rsidP="005E5E0C">
            <w:pPr>
              <w:spacing w:after="0"/>
              <w:jc w:val="right"/>
              <w:rPr>
                <w:rFonts w:cs="Arial"/>
                <w:sz w:val="18"/>
                <w:szCs w:val="18"/>
              </w:rPr>
            </w:pPr>
            <w:r w:rsidRPr="003203A1">
              <w:rPr>
                <w:rFonts w:cs="Arial"/>
                <w:sz w:val="18"/>
                <w:szCs w:val="18"/>
              </w:rPr>
              <w:t>29,420</w:t>
            </w:r>
          </w:p>
        </w:tc>
      </w:tr>
    </w:tbl>
    <w:p w14:paraId="4A67EBAB" w14:textId="77777777" w:rsidR="00520333" w:rsidRPr="003203A1" w:rsidRDefault="00520333" w:rsidP="00520333">
      <w:pPr>
        <w:pStyle w:val="ContinuedNotesHeading-Level1"/>
        <w:rPr>
          <w:rFonts w:cs="Arial"/>
          <w:sz w:val="18"/>
          <w:szCs w:val="18"/>
        </w:rPr>
      </w:pPr>
    </w:p>
    <w:p w14:paraId="0FC8E76D" w14:textId="77777777" w:rsidR="00520333" w:rsidRPr="003203A1" w:rsidRDefault="00520333" w:rsidP="00520333">
      <w:pPr>
        <w:pStyle w:val="PolicytextDept"/>
        <w:pBdr>
          <w:left w:val="single" w:sz="4" w:space="4" w:color="800080"/>
          <w:right w:val="single" w:sz="4" w:space="4" w:color="800080"/>
        </w:pBdr>
        <w:rPr>
          <w:b/>
          <w:bCs w:val="0"/>
          <w:iCs/>
        </w:rPr>
      </w:pPr>
      <w:r w:rsidRPr="003203A1">
        <w:rPr>
          <w:b/>
          <w:bCs w:val="0"/>
          <w:iCs/>
        </w:rPr>
        <w:t>Accounting Policy</w:t>
      </w:r>
    </w:p>
    <w:p w14:paraId="2962EE15" w14:textId="77777777" w:rsidR="00520333" w:rsidRPr="003203A1" w:rsidRDefault="00520333" w:rsidP="00520333">
      <w:pPr>
        <w:pStyle w:val="PolicytextDept"/>
        <w:pBdr>
          <w:left w:val="single" w:sz="4" w:space="4" w:color="800080"/>
          <w:right w:val="single" w:sz="4" w:space="4" w:color="800080"/>
        </w:pBdr>
        <w:rPr>
          <w:i/>
          <w:u w:val="single"/>
        </w:rPr>
      </w:pPr>
      <w:r w:rsidRPr="003203A1">
        <w:rPr>
          <w:i/>
          <w:u w:val="single"/>
        </w:rPr>
        <w:t>Compensation</w:t>
      </w:r>
    </w:p>
    <w:p w14:paraId="535458EB" w14:textId="77777777" w:rsidR="00520333" w:rsidRPr="003203A1" w:rsidRDefault="00520333" w:rsidP="00520333">
      <w:pPr>
        <w:pStyle w:val="PolicytextDept"/>
        <w:pBdr>
          <w:left w:val="single" w:sz="4" w:space="4" w:color="800080"/>
          <w:right w:val="single" w:sz="4" w:space="4" w:color="800080"/>
        </w:pBdr>
      </w:pPr>
      <w:r w:rsidRPr="003203A1">
        <w:t xml:space="preserve">The Agency has powers set out in the NDIS Act and the NDIS Compensation Rules to recover compensation settlements that have been made to participants in certain circumstances. This legislation and its interaction with general compensation law is highly complex. As a result, the Agency’s entitlement to, and the value of, compensation revenue cannot be reliably determined until the circumstances of each case are fully analysed. The legislation also provides the Agency with the option to apply a compensation reduction amount (CRA) to participant plans in lieu of recovering the compensation in a lump sum. Where the Agency elects to apply a CRA to a participant’s plan, a lower level of supports will be provided to the participant in future periods, resulting in a reduction in future participant plan expenses, rather than the recognition of compensation revenue. </w:t>
      </w:r>
    </w:p>
    <w:p w14:paraId="65E41F89" w14:textId="77777777" w:rsidR="00520333" w:rsidRPr="003203A1" w:rsidRDefault="00520333" w:rsidP="00520333">
      <w:pPr>
        <w:pStyle w:val="PolicytextDept"/>
        <w:pBdr>
          <w:left w:val="single" w:sz="4" w:space="4" w:color="800080"/>
          <w:right w:val="single" w:sz="4" w:space="4" w:color="800080"/>
        </w:pBdr>
      </w:pPr>
      <w:r w:rsidRPr="003203A1">
        <w:t xml:space="preserve">Compensation revenue is therefore recognised when the delegate determines that a specified debt recovery amount is appropriate. </w:t>
      </w:r>
    </w:p>
    <w:p w14:paraId="7B9AC7BF" w14:textId="77777777" w:rsidR="00520333" w:rsidRPr="003203A1" w:rsidRDefault="00520333" w:rsidP="00520333">
      <w:pPr>
        <w:pStyle w:val="PolicytextDept"/>
        <w:pBdr>
          <w:left w:val="single" w:sz="4" w:space="4" w:color="800080"/>
          <w:right w:val="single" w:sz="4" w:space="4" w:color="800080"/>
        </w:pBdr>
      </w:pPr>
      <w:r w:rsidRPr="003203A1">
        <w:t>From time to time, some compensation debt recovery amounts are subject to the reviewable decisions under section 100 of the NDIS Act and which result in partial or full refunds of the compensation receipts. If a refund is related to compensation receipts initially raised in a previous financial year, the amount is reported in Note 1.1E: Write-down and impairment of other assets, instead of a reversal of compensation receipts in Note 1.2C: Other Revenue.</w:t>
      </w:r>
    </w:p>
    <w:p w14:paraId="7BEDE9B0" w14:textId="77777777" w:rsidR="00520333" w:rsidRPr="003203A1" w:rsidRDefault="00520333" w:rsidP="00520333">
      <w:pPr>
        <w:pStyle w:val="PolicytextDept"/>
        <w:pBdr>
          <w:left w:val="single" w:sz="4" w:space="4" w:color="800080"/>
          <w:right w:val="single" w:sz="4" w:space="4" w:color="800080"/>
        </w:pBdr>
      </w:pPr>
      <w:r w:rsidRPr="003203A1">
        <w:t>Further discussion on the recognition and valuation of compensation recoveries is included in Section 4 Managing Uncertainties.</w:t>
      </w:r>
    </w:p>
    <w:p w14:paraId="712AF627" w14:textId="77777777" w:rsidR="00520333" w:rsidRPr="003203A1" w:rsidRDefault="00520333" w:rsidP="00520333">
      <w:pPr>
        <w:pStyle w:val="PolicytextDept"/>
        <w:pBdr>
          <w:left w:val="single" w:sz="4" w:space="4" w:color="800080"/>
          <w:right w:val="single" w:sz="4" w:space="4" w:color="800080"/>
        </w:pBdr>
      </w:pPr>
    </w:p>
    <w:tbl>
      <w:tblPr>
        <w:tblW w:w="9087" w:type="dxa"/>
        <w:tblLayout w:type="fixed"/>
        <w:tblLook w:val="04A0" w:firstRow="1" w:lastRow="0" w:firstColumn="1" w:lastColumn="0" w:noHBand="0" w:noVBand="1"/>
      </w:tblPr>
      <w:tblGrid>
        <w:gridCol w:w="6351"/>
        <w:gridCol w:w="1259"/>
        <w:gridCol w:w="236"/>
        <w:gridCol w:w="1241"/>
      </w:tblGrid>
      <w:tr w:rsidR="00520333" w:rsidRPr="003203A1" w14:paraId="567709B1" w14:textId="77777777" w:rsidTr="005E5E0C">
        <w:trPr>
          <w:trHeight w:val="253"/>
        </w:trPr>
        <w:tc>
          <w:tcPr>
            <w:tcW w:w="6351" w:type="dxa"/>
            <w:tcBorders>
              <w:top w:val="nil"/>
              <w:left w:val="nil"/>
              <w:bottom w:val="nil"/>
              <w:right w:val="nil"/>
            </w:tcBorders>
            <w:shd w:val="clear" w:color="FFFFFF" w:fill="FFFFFF"/>
            <w:noWrap/>
            <w:vAlign w:val="bottom"/>
            <w:hideMark/>
          </w:tcPr>
          <w:p w14:paraId="183221B1" w14:textId="77777777" w:rsidR="00520333" w:rsidRPr="003203A1" w:rsidRDefault="00520333" w:rsidP="005E5E0C">
            <w:pPr>
              <w:spacing w:after="0"/>
              <w:rPr>
                <w:rFonts w:cs="Arial"/>
                <w:b/>
                <w:bCs/>
                <w:sz w:val="18"/>
                <w:szCs w:val="18"/>
                <w:u w:val="single"/>
              </w:rPr>
            </w:pPr>
            <w:bookmarkStart w:id="172" w:name="Note_RFCTABLE1" w:colFirst="0" w:colLast="0"/>
            <w:r w:rsidRPr="003203A1">
              <w:rPr>
                <w:rFonts w:cs="Arial"/>
                <w:b/>
                <w:bCs/>
                <w:sz w:val="18"/>
                <w:szCs w:val="18"/>
                <w:u w:val="single"/>
              </w:rPr>
              <w:t>Note 1.2D: Other gains</w:t>
            </w:r>
          </w:p>
        </w:tc>
        <w:tc>
          <w:tcPr>
            <w:tcW w:w="1259" w:type="dxa"/>
            <w:tcBorders>
              <w:top w:val="nil"/>
              <w:left w:val="nil"/>
              <w:bottom w:val="nil"/>
              <w:right w:val="nil"/>
            </w:tcBorders>
            <w:shd w:val="clear" w:color="FFFFFF" w:fill="FFFFFF"/>
            <w:noWrap/>
            <w:vAlign w:val="bottom"/>
            <w:hideMark/>
          </w:tcPr>
          <w:p w14:paraId="56434FF4" w14:textId="77777777" w:rsidR="00520333" w:rsidRPr="003203A1" w:rsidRDefault="00520333" w:rsidP="005E5E0C">
            <w:pPr>
              <w:spacing w:after="0"/>
              <w:rPr>
                <w:rFonts w:cs="Arial"/>
                <w:sz w:val="18"/>
                <w:szCs w:val="18"/>
              </w:rPr>
            </w:pPr>
            <w:r w:rsidRPr="003203A1">
              <w:rPr>
                <w:rFonts w:cs="Arial"/>
                <w:sz w:val="18"/>
                <w:szCs w:val="18"/>
              </w:rPr>
              <w:t> </w:t>
            </w:r>
          </w:p>
        </w:tc>
        <w:tc>
          <w:tcPr>
            <w:tcW w:w="236" w:type="dxa"/>
            <w:tcBorders>
              <w:top w:val="nil"/>
              <w:left w:val="nil"/>
              <w:bottom w:val="nil"/>
              <w:right w:val="nil"/>
            </w:tcBorders>
            <w:shd w:val="clear" w:color="FFFFFF" w:fill="FFFFFF"/>
            <w:noWrap/>
            <w:vAlign w:val="bottom"/>
            <w:hideMark/>
          </w:tcPr>
          <w:p w14:paraId="6F5F1682"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2DEF7562" w14:textId="77777777" w:rsidR="00520333" w:rsidRPr="003203A1" w:rsidRDefault="00520333" w:rsidP="005E5E0C">
            <w:pPr>
              <w:spacing w:after="0"/>
              <w:rPr>
                <w:rFonts w:cs="Arial"/>
                <w:sz w:val="18"/>
                <w:szCs w:val="18"/>
              </w:rPr>
            </w:pPr>
            <w:r w:rsidRPr="003203A1">
              <w:rPr>
                <w:rFonts w:cs="Arial"/>
                <w:sz w:val="18"/>
                <w:szCs w:val="18"/>
              </w:rPr>
              <w:t> </w:t>
            </w:r>
          </w:p>
        </w:tc>
      </w:tr>
      <w:bookmarkEnd w:id="172"/>
      <w:tr w:rsidR="00520333" w:rsidRPr="003203A1" w14:paraId="4B0AFE8E" w14:textId="77777777" w:rsidTr="005E5E0C">
        <w:trPr>
          <w:trHeight w:val="255"/>
        </w:trPr>
        <w:tc>
          <w:tcPr>
            <w:tcW w:w="6351" w:type="dxa"/>
            <w:tcBorders>
              <w:top w:val="nil"/>
              <w:left w:val="nil"/>
              <w:bottom w:val="nil"/>
              <w:right w:val="nil"/>
            </w:tcBorders>
            <w:shd w:val="clear" w:color="FFFFFF" w:fill="FFFFFF"/>
            <w:hideMark/>
          </w:tcPr>
          <w:p w14:paraId="2FBBA404" w14:textId="77777777" w:rsidR="00520333" w:rsidRPr="003203A1" w:rsidRDefault="00520333" w:rsidP="005E5E0C">
            <w:pPr>
              <w:spacing w:after="0"/>
              <w:rPr>
                <w:rFonts w:cs="Arial"/>
                <w:sz w:val="18"/>
                <w:szCs w:val="18"/>
              </w:rPr>
            </w:pPr>
            <w:r w:rsidRPr="003203A1">
              <w:rPr>
                <w:rFonts w:cs="Arial"/>
                <w:sz w:val="18"/>
                <w:szCs w:val="18"/>
              </w:rPr>
              <w:t>Reversal/write back of provisions</w:t>
            </w:r>
          </w:p>
        </w:tc>
        <w:tc>
          <w:tcPr>
            <w:tcW w:w="1259" w:type="dxa"/>
            <w:tcBorders>
              <w:top w:val="nil"/>
              <w:left w:val="nil"/>
              <w:bottom w:val="nil"/>
              <w:right w:val="nil"/>
            </w:tcBorders>
            <w:shd w:val="clear" w:color="FFFFFF" w:fill="FFFFFF"/>
            <w:noWrap/>
            <w:vAlign w:val="bottom"/>
            <w:hideMark/>
          </w:tcPr>
          <w:p w14:paraId="4C9009B0" w14:textId="77777777" w:rsidR="00520333" w:rsidRPr="003203A1" w:rsidRDefault="00520333" w:rsidP="005E5E0C">
            <w:pPr>
              <w:spacing w:after="0"/>
              <w:jc w:val="right"/>
              <w:rPr>
                <w:rFonts w:cs="Arial"/>
                <w:b/>
                <w:bCs/>
                <w:sz w:val="18"/>
                <w:szCs w:val="18"/>
              </w:rPr>
            </w:pPr>
            <w:r w:rsidRPr="003203A1">
              <w:rPr>
                <w:rFonts w:cs="Arial"/>
                <w:b/>
                <w:bCs/>
                <w:sz w:val="18"/>
                <w:szCs w:val="18"/>
              </w:rPr>
              <w:t>227</w:t>
            </w:r>
          </w:p>
        </w:tc>
        <w:tc>
          <w:tcPr>
            <w:tcW w:w="236" w:type="dxa"/>
            <w:tcBorders>
              <w:top w:val="nil"/>
              <w:left w:val="nil"/>
              <w:bottom w:val="nil"/>
              <w:right w:val="nil"/>
            </w:tcBorders>
            <w:shd w:val="clear" w:color="FFFFFF" w:fill="FFFFFF"/>
            <w:noWrap/>
            <w:vAlign w:val="bottom"/>
            <w:hideMark/>
          </w:tcPr>
          <w:p w14:paraId="4CD095C7"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790EE242" w14:textId="77777777" w:rsidR="00520333" w:rsidRPr="003203A1" w:rsidRDefault="00520333" w:rsidP="005E5E0C">
            <w:pPr>
              <w:spacing w:after="0"/>
              <w:jc w:val="right"/>
              <w:rPr>
                <w:rFonts w:cs="Arial"/>
                <w:sz w:val="18"/>
                <w:szCs w:val="18"/>
              </w:rPr>
            </w:pPr>
            <w:r w:rsidRPr="003203A1">
              <w:rPr>
                <w:rFonts w:cs="Arial"/>
                <w:sz w:val="18"/>
                <w:szCs w:val="18"/>
              </w:rPr>
              <w:t>1,001</w:t>
            </w:r>
          </w:p>
        </w:tc>
      </w:tr>
      <w:tr w:rsidR="00520333" w:rsidRPr="003203A1" w14:paraId="21032FE8" w14:textId="77777777" w:rsidTr="005E5E0C">
        <w:trPr>
          <w:trHeight w:val="253"/>
        </w:trPr>
        <w:tc>
          <w:tcPr>
            <w:tcW w:w="6351" w:type="dxa"/>
            <w:tcBorders>
              <w:top w:val="nil"/>
              <w:left w:val="nil"/>
              <w:bottom w:val="nil"/>
              <w:right w:val="nil"/>
            </w:tcBorders>
            <w:shd w:val="clear" w:color="FFFFFF" w:fill="FFFFFF"/>
            <w:hideMark/>
          </w:tcPr>
          <w:p w14:paraId="7FD45BBC" w14:textId="77777777" w:rsidR="00520333" w:rsidRPr="003203A1" w:rsidRDefault="00520333" w:rsidP="005E5E0C">
            <w:pPr>
              <w:spacing w:after="0"/>
              <w:rPr>
                <w:rFonts w:cs="Arial"/>
                <w:sz w:val="18"/>
                <w:szCs w:val="18"/>
              </w:rPr>
            </w:pPr>
            <w:r w:rsidRPr="003203A1">
              <w:rPr>
                <w:rFonts w:cs="Arial"/>
                <w:sz w:val="18"/>
                <w:szCs w:val="18"/>
              </w:rPr>
              <w:t>External parties - Contributions in-kind from state and territory governments</w:t>
            </w:r>
          </w:p>
        </w:tc>
        <w:tc>
          <w:tcPr>
            <w:tcW w:w="1259" w:type="dxa"/>
            <w:tcBorders>
              <w:top w:val="nil"/>
              <w:left w:val="nil"/>
              <w:bottom w:val="nil"/>
              <w:right w:val="nil"/>
            </w:tcBorders>
            <w:shd w:val="clear" w:color="FFFFFF" w:fill="FFFFFF"/>
            <w:noWrap/>
            <w:vAlign w:val="bottom"/>
            <w:hideMark/>
          </w:tcPr>
          <w:p w14:paraId="10D02673" w14:textId="77777777" w:rsidR="00520333" w:rsidRPr="003203A1" w:rsidRDefault="00520333" w:rsidP="005E5E0C">
            <w:pPr>
              <w:spacing w:after="0"/>
              <w:jc w:val="right"/>
              <w:rPr>
                <w:rFonts w:cs="Arial"/>
                <w:b/>
                <w:bCs/>
                <w:sz w:val="18"/>
                <w:szCs w:val="18"/>
              </w:rPr>
            </w:pPr>
            <w:r w:rsidRPr="003203A1">
              <w:rPr>
                <w:rFonts w:cs="Arial"/>
                <w:b/>
                <w:bCs/>
                <w:sz w:val="18"/>
                <w:szCs w:val="18"/>
              </w:rPr>
              <w:t>952,388</w:t>
            </w:r>
          </w:p>
        </w:tc>
        <w:tc>
          <w:tcPr>
            <w:tcW w:w="236" w:type="dxa"/>
            <w:tcBorders>
              <w:top w:val="nil"/>
              <w:left w:val="nil"/>
              <w:bottom w:val="nil"/>
              <w:right w:val="nil"/>
            </w:tcBorders>
            <w:shd w:val="clear" w:color="FFFFFF" w:fill="FFFFFF"/>
            <w:noWrap/>
            <w:vAlign w:val="bottom"/>
            <w:hideMark/>
          </w:tcPr>
          <w:p w14:paraId="1C5FB3AA"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1E7C48D7" w14:textId="77777777" w:rsidR="00520333" w:rsidRPr="003203A1" w:rsidRDefault="00520333" w:rsidP="005E5E0C">
            <w:pPr>
              <w:spacing w:after="0"/>
              <w:jc w:val="right"/>
              <w:rPr>
                <w:rFonts w:cs="Arial"/>
                <w:sz w:val="18"/>
                <w:szCs w:val="18"/>
              </w:rPr>
            </w:pPr>
            <w:r w:rsidRPr="003203A1">
              <w:rPr>
                <w:rFonts w:cs="Arial"/>
                <w:sz w:val="18"/>
                <w:szCs w:val="18"/>
              </w:rPr>
              <w:t>1,088,187</w:t>
            </w:r>
          </w:p>
        </w:tc>
      </w:tr>
      <w:tr w:rsidR="00520333" w:rsidRPr="003203A1" w14:paraId="3ADB4C95" w14:textId="77777777" w:rsidTr="005E5E0C">
        <w:trPr>
          <w:trHeight w:val="250"/>
        </w:trPr>
        <w:tc>
          <w:tcPr>
            <w:tcW w:w="6351" w:type="dxa"/>
            <w:tcBorders>
              <w:top w:val="nil"/>
              <w:left w:val="nil"/>
              <w:bottom w:val="nil"/>
              <w:right w:val="nil"/>
            </w:tcBorders>
            <w:shd w:val="clear" w:color="FFFFFF" w:fill="FFFFFF"/>
            <w:hideMark/>
          </w:tcPr>
          <w:p w14:paraId="12519BEB" w14:textId="77777777" w:rsidR="00520333" w:rsidRPr="003203A1" w:rsidRDefault="00520333" w:rsidP="005E5E0C">
            <w:pPr>
              <w:spacing w:after="0"/>
              <w:rPr>
                <w:rFonts w:cs="Arial"/>
                <w:sz w:val="18"/>
                <w:szCs w:val="18"/>
              </w:rPr>
            </w:pPr>
            <w:r w:rsidRPr="003203A1">
              <w:rPr>
                <w:rFonts w:cs="Arial"/>
                <w:sz w:val="18"/>
                <w:szCs w:val="18"/>
              </w:rPr>
              <w:t>Reversal of impairment losses</w:t>
            </w:r>
          </w:p>
        </w:tc>
        <w:tc>
          <w:tcPr>
            <w:tcW w:w="1259" w:type="dxa"/>
            <w:tcBorders>
              <w:top w:val="nil"/>
              <w:left w:val="nil"/>
              <w:bottom w:val="nil"/>
              <w:right w:val="nil"/>
            </w:tcBorders>
            <w:shd w:val="clear" w:color="FFFFFF" w:fill="FFFFFF"/>
            <w:noWrap/>
            <w:vAlign w:val="bottom"/>
            <w:hideMark/>
          </w:tcPr>
          <w:p w14:paraId="5FD74888" w14:textId="77777777" w:rsidR="00520333" w:rsidRPr="003203A1" w:rsidRDefault="00520333" w:rsidP="005E5E0C">
            <w:pPr>
              <w:spacing w:after="0"/>
              <w:jc w:val="right"/>
              <w:rPr>
                <w:rFonts w:cs="Arial"/>
                <w:b/>
                <w:bCs/>
                <w:sz w:val="18"/>
                <w:szCs w:val="18"/>
              </w:rPr>
            </w:pPr>
            <w:r w:rsidRPr="003203A1">
              <w:rPr>
                <w:rFonts w:cs="Arial"/>
                <w:b/>
                <w:bCs/>
                <w:sz w:val="18"/>
                <w:szCs w:val="18"/>
              </w:rPr>
              <w:t>489</w:t>
            </w:r>
          </w:p>
        </w:tc>
        <w:tc>
          <w:tcPr>
            <w:tcW w:w="236" w:type="dxa"/>
            <w:tcBorders>
              <w:top w:val="nil"/>
              <w:left w:val="nil"/>
              <w:bottom w:val="nil"/>
              <w:right w:val="nil"/>
            </w:tcBorders>
            <w:shd w:val="clear" w:color="FFFFFF" w:fill="FFFFFF"/>
            <w:noWrap/>
            <w:vAlign w:val="bottom"/>
            <w:hideMark/>
          </w:tcPr>
          <w:p w14:paraId="61067228"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4F563FD2" w14:textId="77777777" w:rsidR="00520333" w:rsidRPr="003203A1" w:rsidRDefault="00520333" w:rsidP="005E5E0C">
            <w:pPr>
              <w:spacing w:after="0"/>
              <w:jc w:val="right"/>
              <w:rPr>
                <w:rFonts w:cs="Arial"/>
                <w:sz w:val="18"/>
                <w:szCs w:val="18"/>
              </w:rPr>
            </w:pPr>
            <w:r w:rsidRPr="003203A1">
              <w:rPr>
                <w:rFonts w:cs="Arial"/>
                <w:sz w:val="18"/>
                <w:szCs w:val="18"/>
              </w:rPr>
              <w:t>793</w:t>
            </w:r>
          </w:p>
        </w:tc>
      </w:tr>
      <w:tr w:rsidR="00520333" w:rsidRPr="003203A1" w14:paraId="57C90E24" w14:textId="77777777" w:rsidTr="005E5E0C">
        <w:trPr>
          <w:trHeight w:val="250"/>
        </w:trPr>
        <w:tc>
          <w:tcPr>
            <w:tcW w:w="6351" w:type="dxa"/>
            <w:tcBorders>
              <w:top w:val="nil"/>
              <w:left w:val="nil"/>
              <w:bottom w:val="nil"/>
              <w:right w:val="nil"/>
            </w:tcBorders>
            <w:shd w:val="clear" w:color="FFFFFF" w:fill="FFFFFF"/>
            <w:hideMark/>
          </w:tcPr>
          <w:p w14:paraId="0A15BC2F" w14:textId="77777777" w:rsidR="00520333" w:rsidRPr="003203A1" w:rsidRDefault="00520333" w:rsidP="005E5E0C">
            <w:pPr>
              <w:spacing w:after="0"/>
              <w:rPr>
                <w:rFonts w:cs="Arial"/>
                <w:sz w:val="18"/>
                <w:szCs w:val="18"/>
              </w:rPr>
            </w:pPr>
            <w:r w:rsidRPr="003203A1">
              <w:rPr>
                <w:rFonts w:cs="Arial"/>
                <w:sz w:val="18"/>
                <w:szCs w:val="18"/>
              </w:rPr>
              <w:t>Scheme payment cancellations</w:t>
            </w:r>
          </w:p>
        </w:tc>
        <w:tc>
          <w:tcPr>
            <w:tcW w:w="1259" w:type="dxa"/>
            <w:tcBorders>
              <w:top w:val="nil"/>
              <w:left w:val="nil"/>
              <w:bottom w:val="nil"/>
              <w:right w:val="nil"/>
            </w:tcBorders>
            <w:shd w:val="clear" w:color="FFFFFF" w:fill="FFFFFF"/>
            <w:noWrap/>
            <w:vAlign w:val="bottom"/>
            <w:hideMark/>
          </w:tcPr>
          <w:p w14:paraId="7EE1188F" w14:textId="77777777" w:rsidR="00520333" w:rsidRPr="003203A1" w:rsidRDefault="00520333" w:rsidP="005E5E0C">
            <w:pPr>
              <w:spacing w:after="0"/>
              <w:jc w:val="right"/>
              <w:rPr>
                <w:rFonts w:cs="Arial"/>
                <w:b/>
                <w:bCs/>
                <w:sz w:val="18"/>
                <w:szCs w:val="18"/>
              </w:rPr>
            </w:pPr>
            <w:r w:rsidRPr="003203A1">
              <w:rPr>
                <w:rFonts w:cs="Arial"/>
                <w:b/>
                <w:bCs/>
                <w:sz w:val="18"/>
                <w:szCs w:val="18"/>
              </w:rPr>
              <w:t>126,789</w:t>
            </w:r>
          </w:p>
        </w:tc>
        <w:tc>
          <w:tcPr>
            <w:tcW w:w="236" w:type="dxa"/>
            <w:tcBorders>
              <w:top w:val="nil"/>
              <w:left w:val="nil"/>
              <w:bottom w:val="nil"/>
              <w:right w:val="nil"/>
            </w:tcBorders>
            <w:shd w:val="clear" w:color="FFFFFF" w:fill="FFFFFF"/>
            <w:noWrap/>
            <w:vAlign w:val="bottom"/>
            <w:hideMark/>
          </w:tcPr>
          <w:p w14:paraId="1C781CB7"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46F24836" w14:textId="77777777" w:rsidR="00520333" w:rsidRPr="003203A1" w:rsidRDefault="00520333" w:rsidP="005E5E0C">
            <w:pPr>
              <w:spacing w:after="0"/>
              <w:jc w:val="right"/>
              <w:rPr>
                <w:rFonts w:cs="Arial"/>
                <w:sz w:val="18"/>
                <w:szCs w:val="18"/>
              </w:rPr>
            </w:pPr>
            <w:r w:rsidRPr="003203A1">
              <w:rPr>
                <w:rFonts w:cs="Arial"/>
                <w:sz w:val="18"/>
                <w:szCs w:val="18"/>
              </w:rPr>
              <w:t>108,135</w:t>
            </w:r>
          </w:p>
        </w:tc>
      </w:tr>
      <w:tr w:rsidR="00520333" w:rsidRPr="003203A1" w14:paraId="1F71DB52" w14:textId="77777777" w:rsidTr="005E5E0C">
        <w:trPr>
          <w:trHeight w:val="255"/>
        </w:trPr>
        <w:tc>
          <w:tcPr>
            <w:tcW w:w="6351" w:type="dxa"/>
            <w:tcBorders>
              <w:top w:val="nil"/>
              <w:left w:val="nil"/>
              <w:bottom w:val="nil"/>
              <w:right w:val="nil"/>
            </w:tcBorders>
            <w:shd w:val="clear" w:color="FFFFFF" w:fill="FFFFFF"/>
            <w:hideMark/>
          </w:tcPr>
          <w:p w14:paraId="573062B4" w14:textId="77777777" w:rsidR="00520333" w:rsidRPr="003203A1" w:rsidRDefault="00520333" w:rsidP="005E5E0C">
            <w:pPr>
              <w:spacing w:after="0"/>
              <w:rPr>
                <w:rFonts w:cs="Arial"/>
                <w:sz w:val="18"/>
                <w:szCs w:val="18"/>
              </w:rPr>
            </w:pPr>
            <w:r w:rsidRPr="003203A1">
              <w:rPr>
                <w:rFonts w:cs="Arial"/>
                <w:sz w:val="18"/>
                <w:szCs w:val="18"/>
              </w:rPr>
              <w:t>Other</w:t>
            </w:r>
          </w:p>
        </w:tc>
        <w:tc>
          <w:tcPr>
            <w:tcW w:w="1259" w:type="dxa"/>
            <w:tcBorders>
              <w:top w:val="nil"/>
              <w:left w:val="nil"/>
              <w:bottom w:val="nil"/>
              <w:right w:val="nil"/>
            </w:tcBorders>
            <w:shd w:val="clear" w:color="FFFFFF" w:fill="FFFFFF"/>
            <w:noWrap/>
            <w:vAlign w:val="bottom"/>
            <w:hideMark/>
          </w:tcPr>
          <w:p w14:paraId="7647753E" w14:textId="77777777" w:rsidR="00520333" w:rsidRPr="003203A1" w:rsidRDefault="00520333" w:rsidP="005E5E0C">
            <w:pPr>
              <w:spacing w:after="0"/>
              <w:jc w:val="right"/>
              <w:rPr>
                <w:rFonts w:cs="Arial"/>
                <w:b/>
                <w:bCs/>
                <w:sz w:val="18"/>
                <w:szCs w:val="18"/>
              </w:rPr>
            </w:pPr>
            <w:r w:rsidRPr="003203A1">
              <w:rPr>
                <w:rFonts w:cs="Arial"/>
                <w:b/>
                <w:bCs/>
                <w:sz w:val="18"/>
                <w:szCs w:val="18"/>
              </w:rPr>
              <w:t>25</w:t>
            </w:r>
          </w:p>
        </w:tc>
        <w:tc>
          <w:tcPr>
            <w:tcW w:w="236" w:type="dxa"/>
            <w:tcBorders>
              <w:top w:val="nil"/>
              <w:left w:val="nil"/>
              <w:bottom w:val="nil"/>
              <w:right w:val="nil"/>
            </w:tcBorders>
            <w:shd w:val="clear" w:color="FFFFFF" w:fill="FFFFFF"/>
            <w:noWrap/>
            <w:vAlign w:val="bottom"/>
            <w:hideMark/>
          </w:tcPr>
          <w:p w14:paraId="2E69D445"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2D012193" w14:textId="77777777" w:rsidR="00520333" w:rsidRPr="003203A1" w:rsidRDefault="00520333" w:rsidP="005E5E0C">
            <w:pPr>
              <w:spacing w:after="0"/>
              <w:jc w:val="right"/>
              <w:rPr>
                <w:rFonts w:cs="Arial"/>
                <w:sz w:val="18"/>
                <w:szCs w:val="18"/>
              </w:rPr>
            </w:pPr>
            <w:r w:rsidRPr="003203A1">
              <w:rPr>
                <w:rFonts w:cs="Arial"/>
                <w:sz w:val="18"/>
                <w:szCs w:val="18"/>
              </w:rPr>
              <w:t>201</w:t>
            </w:r>
          </w:p>
        </w:tc>
      </w:tr>
      <w:tr w:rsidR="00520333" w:rsidRPr="003203A1" w14:paraId="3A18DEFC" w14:textId="77777777" w:rsidTr="005E5E0C">
        <w:trPr>
          <w:trHeight w:val="253"/>
        </w:trPr>
        <w:tc>
          <w:tcPr>
            <w:tcW w:w="6351" w:type="dxa"/>
            <w:tcBorders>
              <w:top w:val="nil"/>
              <w:left w:val="nil"/>
              <w:bottom w:val="nil"/>
              <w:right w:val="nil"/>
            </w:tcBorders>
            <w:shd w:val="clear" w:color="FFFFFF" w:fill="FFFFFF"/>
            <w:vAlign w:val="bottom"/>
            <w:hideMark/>
          </w:tcPr>
          <w:p w14:paraId="6DF7A73D" w14:textId="77777777" w:rsidR="00520333" w:rsidRPr="003203A1" w:rsidRDefault="00520333" w:rsidP="005E5E0C">
            <w:pPr>
              <w:spacing w:after="0"/>
              <w:rPr>
                <w:rFonts w:cs="Arial"/>
                <w:b/>
                <w:bCs/>
                <w:sz w:val="18"/>
                <w:szCs w:val="18"/>
              </w:rPr>
            </w:pPr>
            <w:r w:rsidRPr="003203A1">
              <w:rPr>
                <w:rFonts w:cs="Arial"/>
                <w:b/>
                <w:bCs/>
                <w:sz w:val="18"/>
                <w:szCs w:val="18"/>
              </w:rPr>
              <w:t>Total gains</w:t>
            </w:r>
          </w:p>
        </w:tc>
        <w:tc>
          <w:tcPr>
            <w:tcW w:w="1259" w:type="dxa"/>
            <w:tcBorders>
              <w:top w:val="single" w:sz="4" w:space="0" w:color="auto"/>
              <w:left w:val="nil"/>
              <w:bottom w:val="single" w:sz="4" w:space="0" w:color="auto"/>
              <w:right w:val="nil"/>
            </w:tcBorders>
            <w:shd w:val="clear" w:color="FFFFFF" w:fill="FFFFFF"/>
            <w:noWrap/>
            <w:vAlign w:val="bottom"/>
            <w:hideMark/>
          </w:tcPr>
          <w:p w14:paraId="50D7AFD1" w14:textId="77777777" w:rsidR="00520333" w:rsidRPr="003203A1" w:rsidRDefault="00520333" w:rsidP="005E5E0C">
            <w:pPr>
              <w:spacing w:after="0"/>
              <w:jc w:val="right"/>
              <w:rPr>
                <w:rFonts w:cs="Arial"/>
                <w:b/>
                <w:bCs/>
                <w:sz w:val="18"/>
                <w:szCs w:val="18"/>
              </w:rPr>
            </w:pPr>
            <w:r w:rsidRPr="003203A1">
              <w:rPr>
                <w:rFonts w:cs="Arial"/>
                <w:b/>
                <w:bCs/>
                <w:sz w:val="18"/>
                <w:szCs w:val="18"/>
              </w:rPr>
              <w:t>1,079,918</w:t>
            </w:r>
          </w:p>
        </w:tc>
        <w:tc>
          <w:tcPr>
            <w:tcW w:w="236" w:type="dxa"/>
            <w:tcBorders>
              <w:top w:val="nil"/>
              <w:left w:val="nil"/>
              <w:bottom w:val="nil"/>
              <w:right w:val="nil"/>
            </w:tcBorders>
            <w:shd w:val="clear" w:color="FFFFFF" w:fill="FFFFFF"/>
            <w:noWrap/>
            <w:vAlign w:val="bottom"/>
            <w:hideMark/>
          </w:tcPr>
          <w:p w14:paraId="7D80CB0D"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single" w:sz="4" w:space="0" w:color="auto"/>
              <w:left w:val="nil"/>
              <w:bottom w:val="single" w:sz="4" w:space="0" w:color="auto"/>
              <w:right w:val="nil"/>
            </w:tcBorders>
            <w:shd w:val="clear" w:color="FFFFFF" w:fill="FFFFFF"/>
            <w:noWrap/>
            <w:vAlign w:val="bottom"/>
            <w:hideMark/>
          </w:tcPr>
          <w:p w14:paraId="50FAA1AA" w14:textId="77777777" w:rsidR="00520333" w:rsidRPr="003203A1" w:rsidRDefault="00520333" w:rsidP="005E5E0C">
            <w:pPr>
              <w:spacing w:after="0"/>
              <w:jc w:val="right"/>
              <w:rPr>
                <w:rFonts w:cs="Arial"/>
                <w:sz w:val="18"/>
                <w:szCs w:val="18"/>
              </w:rPr>
            </w:pPr>
            <w:r w:rsidRPr="003203A1">
              <w:rPr>
                <w:rFonts w:cs="Arial"/>
                <w:sz w:val="18"/>
                <w:szCs w:val="18"/>
              </w:rPr>
              <w:t>1,198,317</w:t>
            </w:r>
          </w:p>
        </w:tc>
      </w:tr>
    </w:tbl>
    <w:p w14:paraId="672F366C" w14:textId="77777777" w:rsidR="00520333" w:rsidRPr="003203A1" w:rsidRDefault="00520333" w:rsidP="00520333">
      <w:pPr>
        <w:rPr>
          <w:rFonts w:cs="Arial"/>
          <w:sz w:val="18"/>
          <w:szCs w:val="18"/>
          <w:vertAlign w:val="superscript"/>
        </w:rPr>
      </w:pPr>
    </w:p>
    <w:p w14:paraId="1947B503" w14:textId="77777777" w:rsidR="00520333" w:rsidRPr="003203A1" w:rsidRDefault="00520333" w:rsidP="00520333">
      <w:pPr>
        <w:pBdr>
          <w:top w:val="single" w:sz="4" w:space="1" w:color="800080"/>
          <w:left w:val="single" w:sz="4" w:space="4" w:color="800080"/>
          <w:bottom w:val="single" w:sz="4" w:space="0" w:color="800080"/>
          <w:right w:val="single" w:sz="4" w:space="4" w:color="800080"/>
        </w:pBdr>
        <w:spacing w:after="120" w:line="120" w:lineRule="atLeast"/>
        <w:rPr>
          <w:rFonts w:cs="Arial"/>
          <w:b/>
          <w:bCs/>
          <w:sz w:val="18"/>
          <w:szCs w:val="18"/>
        </w:rPr>
      </w:pPr>
      <w:r w:rsidRPr="003203A1">
        <w:rPr>
          <w:rFonts w:cs="Arial"/>
          <w:b/>
          <w:bCs/>
          <w:sz w:val="18"/>
          <w:szCs w:val="18"/>
        </w:rPr>
        <w:t>Accounting Policy</w:t>
      </w:r>
    </w:p>
    <w:p w14:paraId="6EF7FD84" w14:textId="77777777" w:rsidR="00520333" w:rsidRPr="003203A1" w:rsidRDefault="00520333" w:rsidP="00520333">
      <w:pPr>
        <w:pStyle w:val="PolicytextDept"/>
        <w:pBdr>
          <w:left w:val="single" w:sz="4" w:space="4" w:color="800080"/>
          <w:bottom w:val="single" w:sz="4" w:space="0" w:color="800080"/>
          <w:right w:val="single" w:sz="4" w:space="4" w:color="800080"/>
        </w:pBdr>
        <w:rPr>
          <w:i/>
          <w:u w:val="single"/>
        </w:rPr>
      </w:pPr>
      <w:r w:rsidRPr="003203A1">
        <w:rPr>
          <w:i/>
          <w:u w:val="single"/>
        </w:rPr>
        <w:t xml:space="preserve">Contributions in-kind from state and territory governments </w:t>
      </w:r>
    </w:p>
    <w:p w14:paraId="3AC5B175" w14:textId="77777777" w:rsidR="00520333" w:rsidRPr="003203A1" w:rsidRDefault="00520333" w:rsidP="00520333">
      <w:pPr>
        <w:pStyle w:val="PolicytextDept"/>
        <w:pBdr>
          <w:left w:val="single" w:sz="4" w:space="4" w:color="800080"/>
          <w:bottom w:val="single" w:sz="4" w:space="0" w:color="800080"/>
          <w:right w:val="single" w:sz="4" w:space="4" w:color="800080"/>
        </w:pBdr>
      </w:pPr>
      <w:r w:rsidRPr="003203A1">
        <w:t>Contributions in-kind from state and territory governments are termed volunteer services under Australian Accounting Standards as they are received free of charge. Volunteer services are recognised as own-source income when, and only when, a fair value can be reliably determined, and the services would have been purchased if they had not been contributed. Use of these services is recognised as an expense. Volunteer services are recorded as either revenue or gains depending on their nature.</w:t>
      </w:r>
    </w:p>
    <w:p w14:paraId="4D359CC3" w14:textId="7792D55A" w:rsidR="00520333" w:rsidRPr="003203A1" w:rsidRDefault="00520333" w:rsidP="00520333">
      <w:pPr>
        <w:pStyle w:val="PolicytextDept"/>
        <w:pBdr>
          <w:left w:val="single" w:sz="4" w:space="4" w:color="800080"/>
          <w:bottom w:val="single" w:sz="4" w:space="0" w:color="800080"/>
          <w:right w:val="single" w:sz="4" w:space="4" w:color="800080"/>
        </w:pBdr>
      </w:pPr>
      <w:r w:rsidRPr="003203A1">
        <w:t>Prior to the commencement of the Scheme, each state and territory government had committed to provide (directly or by engaging service providers) agreed items such as disability services, health services, family support, education, employment, transport and/or housing to people with a disability. The on-going provision of these agreed services on behalf of the Agency is regarded as an in-kind contribution under Australian Accounting Standards and is accounted for as income from the contribution of services at the date when the services are provided. The fair value of these contributions is the unit cost provided by the jurisdiction which is based on the value the jurisdiction has paid under its funding arrangements with the provider.</w:t>
      </w:r>
    </w:p>
    <w:p w14:paraId="1CCBB4B7" w14:textId="0BEC6FD8" w:rsidR="003203A1" w:rsidRDefault="003203A1">
      <w:pPr>
        <w:spacing w:after="0" w:line="240" w:lineRule="auto"/>
        <w:rPr>
          <w:rFonts w:cs="Arial"/>
          <w:b/>
          <w:bCs/>
          <w:sz w:val="18"/>
          <w:szCs w:val="18"/>
        </w:rPr>
      </w:pPr>
      <w:r>
        <w:rPr>
          <w:rFonts w:cs="Arial"/>
          <w:b/>
          <w:bCs/>
          <w:sz w:val="18"/>
          <w:szCs w:val="18"/>
        </w:rPr>
        <w:br w:type="page"/>
      </w:r>
    </w:p>
    <w:p w14:paraId="01E3EAA4" w14:textId="77777777" w:rsidR="003203A1" w:rsidRPr="00C821EB" w:rsidRDefault="003203A1" w:rsidP="003203A1">
      <w:pPr>
        <w:spacing w:after="0" w:line="240" w:lineRule="auto"/>
        <w:rPr>
          <w:b/>
          <w:bCs/>
        </w:rPr>
      </w:pPr>
      <w:r w:rsidRPr="00C821EB">
        <w:rPr>
          <w:b/>
          <w:bCs/>
        </w:rPr>
        <w:lastRenderedPageBreak/>
        <w:t>National Disability Insurance Agency</w:t>
      </w:r>
    </w:p>
    <w:p w14:paraId="1FAD37AC" w14:textId="77777777" w:rsidR="003203A1" w:rsidRPr="00C821EB" w:rsidRDefault="003203A1" w:rsidP="003203A1">
      <w:pPr>
        <w:pBdr>
          <w:bottom w:val="single" w:sz="8" w:space="1" w:color="auto"/>
        </w:pBdr>
        <w:rPr>
          <w:b/>
          <w:bCs/>
        </w:rPr>
      </w:pPr>
      <w:r w:rsidRPr="00C821EB">
        <w:rPr>
          <w:b/>
          <w:bCs/>
        </w:rPr>
        <w:t>NOTES TO AND FORMING PART OF THE FINANCIAL STATEMENTS</w:t>
      </w:r>
    </w:p>
    <w:p w14:paraId="4DE09C15" w14:textId="77777777" w:rsidR="00520333" w:rsidRPr="003203A1" w:rsidRDefault="00520333" w:rsidP="00520333">
      <w:pPr>
        <w:pStyle w:val="PolicytextDept"/>
        <w:pBdr>
          <w:left w:val="single" w:sz="4" w:space="4" w:color="800080"/>
          <w:bottom w:val="single" w:sz="4" w:space="0" w:color="800080"/>
          <w:right w:val="single" w:sz="4" w:space="4" w:color="800080"/>
        </w:pBdr>
        <w:rPr>
          <w:bCs w:val="0"/>
        </w:rPr>
      </w:pPr>
      <w:r w:rsidRPr="003203A1">
        <w:rPr>
          <w:bCs w:val="0"/>
        </w:rPr>
        <w:t>Total contributions revenue from state and territories governments comprises cash and non-cash components. Cash contributions are reported as revenue in Note 1.2A Rendering of services. Total cash received from state and territories governments is reduced (i.e., off-set) by the total value of In-Kind contributions under the bilateral agreements.</w:t>
      </w:r>
    </w:p>
    <w:p w14:paraId="3CD0B609" w14:textId="77777777" w:rsidR="00520333" w:rsidRPr="003203A1" w:rsidRDefault="00520333" w:rsidP="00520333">
      <w:pPr>
        <w:pStyle w:val="PolicytextDept"/>
        <w:pBdr>
          <w:left w:val="single" w:sz="4" w:space="4" w:color="800080"/>
          <w:bottom w:val="single" w:sz="4" w:space="0" w:color="800080"/>
          <w:right w:val="single" w:sz="4" w:space="4" w:color="800080"/>
        </w:pBdr>
        <w:rPr>
          <w:b/>
        </w:rPr>
      </w:pPr>
      <w:r w:rsidRPr="003203A1">
        <w:rPr>
          <w:b/>
        </w:rPr>
        <w:t>Key judgements and estimates</w:t>
      </w:r>
    </w:p>
    <w:p w14:paraId="2DE43A08" w14:textId="77777777" w:rsidR="00520333" w:rsidRPr="003203A1" w:rsidRDefault="00520333" w:rsidP="00520333">
      <w:pPr>
        <w:pStyle w:val="PolicytextDept"/>
        <w:pBdr>
          <w:left w:val="single" w:sz="4" w:space="4" w:color="800080"/>
          <w:bottom w:val="single" w:sz="4" w:space="0" w:color="800080"/>
          <w:right w:val="single" w:sz="4" w:space="4" w:color="800080"/>
        </w:pBdr>
        <w:rPr>
          <w:i/>
          <w:u w:val="single"/>
        </w:rPr>
      </w:pPr>
      <w:r w:rsidRPr="003203A1">
        <w:rPr>
          <w:i/>
          <w:u w:val="single"/>
        </w:rPr>
        <w:t>Contributions in-kind from state and territory governments</w:t>
      </w:r>
    </w:p>
    <w:p w14:paraId="279318AE" w14:textId="77777777" w:rsidR="00520333" w:rsidRPr="003203A1" w:rsidRDefault="00520333" w:rsidP="00520333">
      <w:pPr>
        <w:pStyle w:val="PolicytextDept"/>
        <w:pBdr>
          <w:left w:val="single" w:sz="4" w:space="4" w:color="800080"/>
          <w:bottom w:val="single" w:sz="4" w:space="0" w:color="800080"/>
          <w:right w:val="single" w:sz="4" w:space="4" w:color="800080"/>
        </w:pBdr>
      </w:pPr>
      <w:r w:rsidRPr="003203A1">
        <w:t>The Agency records income in relation to non-cash or in-kind contributions from state and territory governments at the time when the services are provided to participants. In some cases, the Agency may not have been formally notified that the state or territory government has provided or funded a contribution to a participant. In this circumstance, the Agency makes an estimate of the amount of in-kind contributions provided to participants during the period but not yet notified to the Agency. These estimates are based on the latest available evidence of in-kind supports provided to participants by the state and territory governments.</w:t>
      </w:r>
    </w:p>
    <w:p w14:paraId="51268189" w14:textId="77777777" w:rsidR="00520333" w:rsidRPr="003203A1" w:rsidRDefault="00520333" w:rsidP="00520333">
      <w:pPr>
        <w:pStyle w:val="PolicyheadingDept"/>
        <w:pBdr>
          <w:left w:val="single" w:sz="4" w:space="4" w:color="800080"/>
          <w:right w:val="single" w:sz="4" w:space="4" w:color="800080"/>
        </w:pBdr>
      </w:pPr>
      <w:r w:rsidRPr="003203A1">
        <w:t>Accounting Policy</w:t>
      </w:r>
    </w:p>
    <w:p w14:paraId="4D4432B2" w14:textId="77777777" w:rsidR="00520333" w:rsidRPr="003203A1" w:rsidRDefault="00520333" w:rsidP="00520333">
      <w:pPr>
        <w:pStyle w:val="PolicytextDept"/>
        <w:pBdr>
          <w:left w:val="single" w:sz="4" w:space="4" w:color="800080"/>
          <w:right w:val="single" w:sz="4" w:space="4" w:color="800080"/>
        </w:pBdr>
        <w:rPr>
          <w:i/>
          <w:iCs/>
          <w:u w:val="single"/>
        </w:rPr>
      </w:pPr>
      <w:r w:rsidRPr="003203A1">
        <w:rPr>
          <w:i/>
          <w:iCs/>
          <w:u w:val="single"/>
        </w:rPr>
        <w:t xml:space="preserve">Revenue from Government </w:t>
      </w:r>
    </w:p>
    <w:p w14:paraId="4C59ACE8" w14:textId="77777777" w:rsidR="00520333" w:rsidRPr="003203A1" w:rsidRDefault="00520333" w:rsidP="00520333">
      <w:pPr>
        <w:pStyle w:val="PolicytextDept"/>
        <w:pBdr>
          <w:left w:val="single" w:sz="4" w:space="4" w:color="800080"/>
          <w:right w:val="single" w:sz="4" w:space="4" w:color="800080"/>
        </w:pBdr>
        <w:rPr>
          <w:iCs/>
        </w:rPr>
      </w:pPr>
      <w:r w:rsidRPr="003203A1">
        <w:rPr>
          <w:iCs/>
        </w:rPr>
        <w:t xml:space="preserve">Funding received from DSS (received by the Agency as a corporate Commonwealth entity payment item) is recognised as Revenue from Government unless the funding is in the nature of an equity injection or a loan. </w:t>
      </w:r>
    </w:p>
    <w:p w14:paraId="274B1CBF" w14:textId="77777777" w:rsidR="00520333" w:rsidRPr="003203A1" w:rsidRDefault="00520333" w:rsidP="00520333">
      <w:pPr>
        <w:pStyle w:val="PolicytextDept"/>
        <w:pBdr>
          <w:left w:val="single" w:sz="4" w:space="4" w:color="800080"/>
          <w:right w:val="single" w:sz="4" w:space="4" w:color="800080"/>
        </w:pBdr>
        <w:rPr>
          <w:iCs/>
        </w:rPr>
      </w:pPr>
      <w:r w:rsidRPr="003203A1">
        <w:rPr>
          <w:iCs/>
        </w:rPr>
        <w:t>Revenue from Government should be read in conjunction with the Statement of Comprehensive Income Budget Variances Commentary.</w:t>
      </w:r>
    </w:p>
    <w:p w14:paraId="079A8469" w14:textId="77777777" w:rsidR="00520333" w:rsidRDefault="00520333" w:rsidP="00520333">
      <w:pPr>
        <w:spacing w:line="240" w:lineRule="auto"/>
      </w:pPr>
      <w:r>
        <w:br w:type="page"/>
      </w:r>
    </w:p>
    <w:p w14:paraId="09C36FEA" w14:textId="77777777" w:rsidR="003203A1" w:rsidRPr="00C821EB" w:rsidRDefault="003203A1" w:rsidP="003203A1">
      <w:pPr>
        <w:spacing w:after="0" w:line="240" w:lineRule="auto"/>
        <w:rPr>
          <w:b/>
          <w:bCs/>
        </w:rPr>
      </w:pPr>
      <w:bookmarkStart w:id="173" w:name="_Toc65742846"/>
      <w:bookmarkStart w:id="174" w:name="_Toc173417293"/>
      <w:r w:rsidRPr="00C821EB">
        <w:rPr>
          <w:b/>
          <w:bCs/>
        </w:rPr>
        <w:lastRenderedPageBreak/>
        <w:t>National Disability Insurance Agency</w:t>
      </w:r>
    </w:p>
    <w:p w14:paraId="29A929B1" w14:textId="77777777" w:rsidR="003203A1" w:rsidRPr="00C821EB" w:rsidRDefault="003203A1" w:rsidP="003203A1">
      <w:pPr>
        <w:pBdr>
          <w:bottom w:val="single" w:sz="8" w:space="1" w:color="auto"/>
        </w:pBdr>
        <w:rPr>
          <w:b/>
          <w:bCs/>
        </w:rPr>
      </w:pPr>
      <w:r w:rsidRPr="00C821EB">
        <w:rPr>
          <w:b/>
          <w:bCs/>
        </w:rPr>
        <w:t>NOTES TO AND FORMING PART OF THE FINANCIAL STATEMENTS</w:t>
      </w:r>
    </w:p>
    <w:p w14:paraId="4DD66C63" w14:textId="77BCB04E" w:rsidR="00520333" w:rsidRDefault="00520333" w:rsidP="00520333">
      <w:pPr>
        <w:pStyle w:val="SectionHeading"/>
        <w:numPr>
          <w:ilvl w:val="0"/>
          <w:numId w:val="30"/>
        </w:numPr>
      </w:pPr>
      <w:r>
        <w:t xml:space="preserve">Financial </w:t>
      </w:r>
      <w:r w:rsidRPr="009E424E">
        <w:t>Position</w:t>
      </w:r>
      <w:bookmarkEnd w:id="173"/>
      <w:bookmarkEnd w:id="174"/>
    </w:p>
    <w:p w14:paraId="3608ED4E" w14:textId="77777777" w:rsidR="00520333" w:rsidRPr="001657B7" w:rsidRDefault="00520333" w:rsidP="00520333">
      <w:pPr>
        <w:pStyle w:val="SectionHeadingDescription"/>
      </w:pPr>
      <w:r w:rsidRPr="00BE05B2">
        <w:t>This section analyses the</w:t>
      </w:r>
      <w:r>
        <w:t xml:space="preserve"> Agency’s </w:t>
      </w:r>
      <w:r w:rsidRPr="00BE05B2">
        <w:t xml:space="preserve">assets used to </w:t>
      </w:r>
      <w:r>
        <w:t>conduct its operations</w:t>
      </w:r>
      <w:r w:rsidRPr="00BE05B2">
        <w:t xml:space="preserve"> and the operating liabilities incurred as a result.</w:t>
      </w:r>
    </w:p>
    <w:p w14:paraId="0F848CED" w14:textId="77777777" w:rsidR="00520333" w:rsidRDefault="00520333" w:rsidP="00520333">
      <w:pPr>
        <w:pStyle w:val="SectionHeadingDescription"/>
      </w:pPr>
      <w:r>
        <w:t>Buildings</w:t>
      </w:r>
      <w:r w:rsidRPr="0061061F">
        <w:t xml:space="preserve"> and plant and equipment</w:t>
      </w:r>
      <w:r>
        <w:t>, other than right-of-use buildings and vehicles,</w:t>
      </w:r>
      <w:r w:rsidRPr="0061061F">
        <w:t xml:space="preserve"> are carried at fair value in accordance with AASB 13 </w:t>
      </w:r>
      <w:r w:rsidRPr="0061061F">
        <w:rPr>
          <w:i/>
        </w:rPr>
        <w:t>Fair Value Measurement.</w:t>
      </w:r>
      <w:r w:rsidRPr="0061061F">
        <w:t xml:space="preserve"> The remaining assets and liabilities disclosed in the statement of financial position do not apply the fair value hierarchy.</w:t>
      </w:r>
    </w:p>
    <w:p w14:paraId="6B1F0D6D" w14:textId="77777777" w:rsidR="00520333" w:rsidRDefault="00520333" w:rsidP="00520333">
      <w:pPr>
        <w:pStyle w:val="SectionHeadingDescription"/>
      </w:pPr>
    </w:p>
    <w:p w14:paraId="21530AAE" w14:textId="77777777" w:rsidR="00520333" w:rsidRPr="00B06A1E" w:rsidRDefault="00520333" w:rsidP="00520333">
      <w:pPr>
        <w:pStyle w:val="SectionHeadingDescription"/>
      </w:pPr>
      <w:r w:rsidRPr="00BE05B2">
        <w:t xml:space="preserve">Employee related information is disclosed in </w:t>
      </w:r>
      <w:r>
        <w:t>Section 3.</w:t>
      </w:r>
      <w:r w:rsidRPr="00BE05B2">
        <w:t xml:space="preserve"> </w:t>
      </w:r>
      <w:r>
        <w:t>People and Relationships</w:t>
      </w:r>
      <w:r w:rsidRPr="00BE05B2">
        <w:t>.</w:t>
      </w:r>
    </w:p>
    <w:p w14:paraId="09CD8743" w14:textId="77777777" w:rsidR="00520333" w:rsidRPr="00FF78A0" w:rsidRDefault="00520333" w:rsidP="003203A1">
      <w:pPr>
        <w:pStyle w:val="SubHeading"/>
        <w:shd w:val="clear" w:color="auto" w:fill="000000" w:themeFill="accent6"/>
      </w:pPr>
      <w:bookmarkStart w:id="175" w:name="_Toc65742847"/>
      <w:bookmarkStart w:id="176" w:name="_Toc173417294"/>
      <w:r>
        <w:t>Financial Assets</w:t>
      </w:r>
      <w:bookmarkEnd w:id="175"/>
      <w:bookmarkEnd w:id="176"/>
    </w:p>
    <w:tbl>
      <w:tblPr>
        <w:tblW w:w="9087" w:type="dxa"/>
        <w:tblLayout w:type="fixed"/>
        <w:tblLook w:val="04A0" w:firstRow="1" w:lastRow="0" w:firstColumn="1" w:lastColumn="0" w:noHBand="0" w:noVBand="1"/>
      </w:tblPr>
      <w:tblGrid>
        <w:gridCol w:w="6351"/>
        <w:gridCol w:w="1259"/>
        <w:gridCol w:w="236"/>
        <w:gridCol w:w="1241"/>
      </w:tblGrid>
      <w:tr w:rsidR="00520333" w:rsidRPr="003203A1" w14:paraId="0401C1C6" w14:textId="77777777" w:rsidTr="005E5E0C">
        <w:trPr>
          <w:trHeight w:val="250"/>
        </w:trPr>
        <w:tc>
          <w:tcPr>
            <w:tcW w:w="6351" w:type="dxa"/>
            <w:tcBorders>
              <w:top w:val="nil"/>
              <w:left w:val="nil"/>
              <w:bottom w:val="nil"/>
              <w:right w:val="nil"/>
            </w:tcBorders>
            <w:shd w:val="clear" w:color="FFFFFF" w:fill="FFFFFF"/>
            <w:noWrap/>
            <w:vAlign w:val="bottom"/>
            <w:hideMark/>
          </w:tcPr>
          <w:p w14:paraId="2CCAC4D9" w14:textId="77777777" w:rsidR="00520333" w:rsidRPr="003203A1" w:rsidRDefault="00520333" w:rsidP="005E5E0C">
            <w:pPr>
              <w:spacing w:after="0"/>
              <w:rPr>
                <w:rFonts w:cs="Arial"/>
                <w:sz w:val="18"/>
                <w:szCs w:val="18"/>
              </w:rPr>
            </w:pPr>
            <w:bookmarkStart w:id="177" w:name="Note_CSHTABLE1" w:colFirst="0" w:colLast="0"/>
            <w:r w:rsidRPr="003203A1">
              <w:rPr>
                <w:rFonts w:cs="Arial"/>
                <w:sz w:val="18"/>
                <w:szCs w:val="18"/>
              </w:rPr>
              <w:t> </w:t>
            </w:r>
          </w:p>
        </w:tc>
        <w:tc>
          <w:tcPr>
            <w:tcW w:w="1259" w:type="dxa"/>
            <w:tcBorders>
              <w:top w:val="nil"/>
              <w:left w:val="nil"/>
              <w:bottom w:val="nil"/>
              <w:right w:val="nil"/>
            </w:tcBorders>
            <w:shd w:val="clear" w:color="FFFFFF" w:fill="FFFFFF"/>
            <w:noWrap/>
            <w:vAlign w:val="bottom"/>
            <w:hideMark/>
          </w:tcPr>
          <w:p w14:paraId="79EE7273" w14:textId="77777777" w:rsidR="00520333" w:rsidRPr="003203A1" w:rsidRDefault="00520333" w:rsidP="005E5E0C">
            <w:pPr>
              <w:spacing w:after="0"/>
              <w:jc w:val="right"/>
              <w:rPr>
                <w:rFonts w:cs="Arial"/>
                <w:b/>
                <w:bCs/>
                <w:sz w:val="18"/>
                <w:szCs w:val="18"/>
              </w:rPr>
            </w:pPr>
            <w:r w:rsidRPr="003203A1">
              <w:rPr>
                <w:rFonts w:cs="Arial"/>
                <w:b/>
                <w:bCs/>
                <w:sz w:val="18"/>
                <w:szCs w:val="18"/>
              </w:rPr>
              <w:t>2024</w:t>
            </w:r>
          </w:p>
        </w:tc>
        <w:tc>
          <w:tcPr>
            <w:tcW w:w="236" w:type="dxa"/>
            <w:tcBorders>
              <w:top w:val="nil"/>
              <w:left w:val="nil"/>
              <w:bottom w:val="nil"/>
              <w:right w:val="nil"/>
            </w:tcBorders>
            <w:shd w:val="clear" w:color="FFFFFF" w:fill="FFFFFF"/>
            <w:noWrap/>
            <w:vAlign w:val="bottom"/>
            <w:hideMark/>
          </w:tcPr>
          <w:p w14:paraId="4BA999C4"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447CD4F0" w14:textId="77777777" w:rsidR="00520333" w:rsidRPr="003203A1" w:rsidRDefault="00520333" w:rsidP="005E5E0C">
            <w:pPr>
              <w:spacing w:after="0"/>
              <w:jc w:val="right"/>
              <w:rPr>
                <w:rFonts w:cs="Arial"/>
                <w:sz w:val="18"/>
                <w:szCs w:val="18"/>
              </w:rPr>
            </w:pPr>
            <w:r w:rsidRPr="003203A1">
              <w:rPr>
                <w:rFonts w:cs="Arial"/>
                <w:sz w:val="18"/>
                <w:szCs w:val="18"/>
              </w:rPr>
              <w:t>2023</w:t>
            </w:r>
          </w:p>
        </w:tc>
      </w:tr>
      <w:bookmarkEnd w:id="177"/>
      <w:tr w:rsidR="00520333" w:rsidRPr="003203A1" w14:paraId="4E9825AE" w14:textId="77777777" w:rsidTr="005E5E0C">
        <w:trPr>
          <w:trHeight w:val="260"/>
        </w:trPr>
        <w:tc>
          <w:tcPr>
            <w:tcW w:w="6351" w:type="dxa"/>
            <w:tcBorders>
              <w:top w:val="nil"/>
              <w:left w:val="nil"/>
              <w:bottom w:val="nil"/>
              <w:right w:val="nil"/>
            </w:tcBorders>
            <w:shd w:val="clear" w:color="FFFFFF" w:fill="FFFFFF"/>
            <w:noWrap/>
            <w:vAlign w:val="bottom"/>
            <w:hideMark/>
          </w:tcPr>
          <w:p w14:paraId="52738073" w14:textId="77777777" w:rsidR="00520333" w:rsidRPr="003203A1" w:rsidRDefault="00520333" w:rsidP="005E5E0C">
            <w:pPr>
              <w:spacing w:after="0"/>
              <w:rPr>
                <w:rFonts w:cs="Arial"/>
                <w:sz w:val="18"/>
                <w:szCs w:val="18"/>
              </w:rPr>
            </w:pPr>
            <w:r w:rsidRPr="003203A1">
              <w:rPr>
                <w:rFonts w:cs="Arial"/>
                <w:sz w:val="18"/>
                <w:szCs w:val="18"/>
              </w:rPr>
              <w:t> </w:t>
            </w:r>
          </w:p>
        </w:tc>
        <w:tc>
          <w:tcPr>
            <w:tcW w:w="1259" w:type="dxa"/>
            <w:tcBorders>
              <w:top w:val="nil"/>
              <w:left w:val="nil"/>
              <w:bottom w:val="nil"/>
              <w:right w:val="nil"/>
            </w:tcBorders>
            <w:shd w:val="clear" w:color="FFFFFF" w:fill="FFFFFF"/>
            <w:noWrap/>
            <w:vAlign w:val="bottom"/>
            <w:hideMark/>
          </w:tcPr>
          <w:p w14:paraId="3413AC78" w14:textId="77777777" w:rsidR="00520333" w:rsidRPr="003203A1" w:rsidRDefault="00520333" w:rsidP="005E5E0C">
            <w:pPr>
              <w:spacing w:after="0"/>
              <w:jc w:val="right"/>
              <w:rPr>
                <w:rFonts w:cs="Arial"/>
                <w:b/>
                <w:bCs/>
                <w:sz w:val="18"/>
                <w:szCs w:val="18"/>
              </w:rPr>
            </w:pPr>
            <w:r w:rsidRPr="003203A1">
              <w:rPr>
                <w:rFonts w:cs="Arial"/>
                <w:b/>
                <w:bCs/>
                <w:sz w:val="18"/>
                <w:szCs w:val="18"/>
              </w:rPr>
              <w:t>$'000</w:t>
            </w:r>
          </w:p>
        </w:tc>
        <w:tc>
          <w:tcPr>
            <w:tcW w:w="236" w:type="dxa"/>
            <w:tcBorders>
              <w:top w:val="nil"/>
              <w:left w:val="nil"/>
              <w:bottom w:val="nil"/>
              <w:right w:val="nil"/>
            </w:tcBorders>
            <w:shd w:val="clear" w:color="FFFFFF" w:fill="FFFFFF"/>
            <w:noWrap/>
            <w:vAlign w:val="bottom"/>
            <w:hideMark/>
          </w:tcPr>
          <w:p w14:paraId="71CC58A0"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4770D495" w14:textId="77777777" w:rsidR="00520333" w:rsidRPr="003203A1" w:rsidRDefault="00520333" w:rsidP="005E5E0C">
            <w:pPr>
              <w:spacing w:after="0"/>
              <w:jc w:val="right"/>
              <w:rPr>
                <w:rFonts w:cs="Arial"/>
                <w:sz w:val="18"/>
                <w:szCs w:val="18"/>
              </w:rPr>
            </w:pPr>
            <w:r w:rsidRPr="003203A1">
              <w:rPr>
                <w:rFonts w:cs="Arial"/>
                <w:sz w:val="18"/>
                <w:szCs w:val="18"/>
              </w:rPr>
              <w:t>$'000</w:t>
            </w:r>
          </w:p>
        </w:tc>
      </w:tr>
      <w:tr w:rsidR="00520333" w:rsidRPr="003203A1" w14:paraId="72017B04" w14:textId="77777777" w:rsidTr="005E5E0C">
        <w:trPr>
          <w:trHeight w:val="260"/>
        </w:trPr>
        <w:tc>
          <w:tcPr>
            <w:tcW w:w="6351" w:type="dxa"/>
            <w:tcBorders>
              <w:top w:val="nil"/>
              <w:left w:val="nil"/>
              <w:bottom w:val="nil"/>
              <w:right w:val="nil"/>
            </w:tcBorders>
            <w:shd w:val="clear" w:color="FFFFFF" w:fill="FFFFFF"/>
            <w:noWrap/>
            <w:vAlign w:val="bottom"/>
            <w:hideMark/>
          </w:tcPr>
          <w:p w14:paraId="3DEA5DFA" w14:textId="77777777" w:rsidR="00520333" w:rsidRPr="003203A1" w:rsidRDefault="00520333" w:rsidP="005E5E0C">
            <w:pPr>
              <w:spacing w:after="0"/>
              <w:rPr>
                <w:rFonts w:cs="Arial"/>
                <w:b/>
                <w:bCs/>
                <w:sz w:val="18"/>
                <w:szCs w:val="18"/>
                <w:u w:val="single"/>
              </w:rPr>
            </w:pPr>
            <w:r w:rsidRPr="003203A1">
              <w:rPr>
                <w:rFonts w:cs="Arial"/>
                <w:b/>
                <w:bCs/>
                <w:sz w:val="18"/>
                <w:szCs w:val="18"/>
                <w:u w:val="single"/>
              </w:rPr>
              <w:t>Note 2.1A: Cash and cash equivalents</w:t>
            </w:r>
          </w:p>
        </w:tc>
        <w:tc>
          <w:tcPr>
            <w:tcW w:w="1259" w:type="dxa"/>
            <w:tcBorders>
              <w:top w:val="nil"/>
              <w:left w:val="nil"/>
              <w:bottom w:val="nil"/>
              <w:right w:val="nil"/>
            </w:tcBorders>
            <w:shd w:val="clear" w:color="FFFFFF" w:fill="FFFFFF"/>
            <w:noWrap/>
            <w:vAlign w:val="bottom"/>
            <w:hideMark/>
          </w:tcPr>
          <w:p w14:paraId="63240A86" w14:textId="77777777" w:rsidR="00520333" w:rsidRPr="003203A1" w:rsidRDefault="00520333" w:rsidP="005E5E0C">
            <w:pPr>
              <w:spacing w:after="0"/>
              <w:rPr>
                <w:rFonts w:cs="Arial"/>
                <w:sz w:val="18"/>
                <w:szCs w:val="18"/>
              </w:rPr>
            </w:pPr>
            <w:r w:rsidRPr="003203A1">
              <w:rPr>
                <w:rFonts w:cs="Arial"/>
                <w:sz w:val="18"/>
                <w:szCs w:val="18"/>
              </w:rPr>
              <w:t> </w:t>
            </w:r>
          </w:p>
        </w:tc>
        <w:tc>
          <w:tcPr>
            <w:tcW w:w="236" w:type="dxa"/>
            <w:tcBorders>
              <w:top w:val="nil"/>
              <w:left w:val="nil"/>
              <w:bottom w:val="nil"/>
              <w:right w:val="nil"/>
            </w:tcBorders>
            <w:shd w:val="clear" w:color="FFFFFF" w:fill="FFFFFF"/>
            <w:noWrap/>
            <w:vAlign w:val="bottom"/>
            <w:hideMark/>
          </w:tcPr>
          <w:p w14:paraId="78B49430"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42A5E9A7" w14:textId="77777777" w:rsidR="00520333" w:rsidRPr="003203A1" w:rsidRDefault="00520333" w:rsidP="005E5E0C">
            <w:pPr>
              <w:spacing w:after="0"/>
              <w:rPr>
                <w:rFonts w:cs="Arial"/>
                <w:sz w:val="18"/>
                <w:szCs w:val="18"/>
              </w:rPr>
            </w:pPr>
            <w:r w:rsidRPr="003203A1">
              <w:rPr>
                <w:rFonts w:cs="Arial"/>
                <w:sz w:val="18"/>
                <w:szCs w:val="18"/>
              </w:rPr>
              <w:t> </w:t>
            </w:r>
          </w:p>
        </w:tc>
      </w:tr>
      <w:tr w:rsidR="00520333" w:rsidRPr="003203A1" w14:paraId="35D80FDC" w14:textId="77777777" w:rsidTr="005E5E0C">
        <w:trPr>
          <w:trHeight w:val="250"/>
        </w:trPr>
        <w:tc>
          <w:tcPr>
            <w:tcW w:w="6351" w:type="dxa"/>
            <w:tcBorders>
              <w:top w:val="nil"/>
              <w:left w:val="nil"/>
              <w:bottom w:val="nil"/>
              <w:right w:val="nil"/>
            </w:tcBorders>
            <w:shd w:val="clear" w:color="FFFFFF" w:fill="FFFFFF"/>
            <w:vAlign w:val="bottom"/>
            <w:hideMark/>
          </w:tcPr>
          <w:p w14:paraId="3DD93001" w14:textId="77777777" w:rsidR="00520333" w:rsidRPr="003203A1" w:rsidRDefault="00520333" w:rsidP="005E5E0C">
            <w:pPr>
              <w:spacing w:after="0"/>
              <w:rPr>
                <w:rFonts w:cs="Arial"/>
                <w:sz w:val="18"/>
                <w:szCs w:val="18"/>
              </w:rPr>
            </w:pPr>
            <w:r w:rsidRPr="003203A1">
              <w:rPr>
                <w:rFonts w:cs="Arial"/>
                <w:sz w:val="18"/>
                <w:szCs w:val="18"/>
              </w:rPr>
              <w:t>Cash on hand</w:t>
            </w:r>
          </w:p>
        </w:tc>
        <w:tc>
          <w:tcPr>
            <w:tcW w:w="1259" w:type="dxa"/>
            <w:tcBorders>
              <w:top w:val="nil"/>
              <w:left w:val="nil"/>
              <w:bottom w:val="nil"/>
              <w:right w:val="nil"/>
            </w:tcBorders>
            <w:shd w:val="clear" w:color="FFFFFF" w:fill="FFFFFF"/>
            <w:noWrap/>
            <w:vAlign w:val="bottom"/>
            <w:hideMark/>
          </w:tcPr>
          <w:p w14:paraId="50137167" w14:textId="77777777" w:rsidR="00520333" w:rsidRPr="003203A1" w:rsidRDefault="00520333" w:rsidP="005E5E0C">
            <w:pPr>
              <w:spacing w:after="0"/>
              <w:jc w:val="right"/>
              <w:rPr>
                <w:rFonts w:cs="Arial"/>
                <w:b/>
                <w:bCs/>
                <w:sz w:val="18"/>
                <w:szCs w:val="18"/>
              </w:rPr>
            </w:pPr>
            <w:r w:rsidRPr="003203A1">
              <w:rPr>
                <w:rFonts w:cs="Arial"/>
                <w:b/>
                <w:bCs/>
                <w:sz w:val="18"/>
                <w:szCs w:val="18"/>
              </w:rPr>
              <w:t>5,659,548</w:t>
            </w:r>
          </w:p>
        </w:tc>
        <w:tc>
          <w:tcPr>
            <w:tcW w:w="236" w:type="dxa"/>
            <w:tcBorders>
              <w:top w:val="nil"/>
              <w:left w:val="nil"/>
              <w:bottom w:val="nil"/>
              <w:right w:val="nil"/>
            </w:tcBorders>
            <w:shd w:val="clear" w:color="FFFFFF" w:fill="FFFFFF"/>
            <w:noWrap/>
            <w:vAlign w:val="bottom"/>
            <w:hideMark/>
          </w:tcPr>
          <w:p w14:paraId="14F24A7F"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2E20A7F4" w14:textId="77777777" w:rsidR="00520333" w:rsidRPr="003203A1" w:rsidRDefault="00520333" w:rsidP="005E5E0C">
            <w:pPr>
              <w:spacing w:after="0"/>
              <w:jc w:val="right"/>
              <w:rPr>
                <w:rFonts w:cs="Arial"/>
                <w:sz w:val="18"/>
                <w:szCs w:val="18"/>
              </w:rPr>
            </w:pPr>
            <w:r w:rsidRPr="003203A1">
              <w:rPr>
                <w:rFonts w:cs="Arial"/>
                <w:sz w:val="18"/>
                <w:szCs w:val="18"/>
              </w:rPr>
              <w:t>2,729,779</w:t>
            </w:r>
          </w:p>
        </w:tc>
      </w:tr>
      <w:tr w:rsidR="00520333" w:rsidRPr="003203A1" w14:paraId="04D291E6" w14:textId="77777777" w:rsidTr="005E5E0C">
        <w:trPr>
          <w:trHeight w:val="250"/>
        </w:trPr>
        <w:tc>
          <w:tcPr>
            <w:tcW w:w="6351" w:type="dxa"/>
            <w:tcBorders>
              <w:top w:val="nil"/>
              <w:left w:val="nil"/>
              <w:bottom w:val="nil"/>
              <w:right w:val="nil"/>
            </w:tcBorders>
            <w:shd w:val="clear" w:color="FFFFFF" w:fill="FFFFFF"/>
            <w:vAlign w:val="bottom"/>
            <w:hideMark/>
          </w:tcPr>
          <w:p w14:paraId="3CE54B0E" w14:textId="77777777" w:rsidR="00520333" w:rsidRPr="003203A1" w:rsidRDefault="00520333" w:rsidP="005E5E0C">
            <w:pPr>
              <w:spacing w:after="0"/>
              <w:rPr>
                <w:rFonts w:cs="Arial"/>
                <w:b/>
                <w:bCs/>
                <w:sz w:val="18"/>
                <w:szCs w:val="18"/>
              </w:rPr>
            </w:pPr>
            <w:r w:rsidRPr="003203A1">
              <w:rPr>
                <w:rFonts w:cs="Arial"/>
                <w:b/>
                <w:bCs/>
                <w:sz w:val="18"/>
                <w:szCs w:val="18"/>
              </w:rPr>
              <w:t>Total cash and cash equivalents</w:t>
            </w:r>
          </w:p>
        </w:tc>
        <w:tc>
          <w:tcPr>
            <w:tcW w:w="1259" w:type="dxa"/>
            <w:tcBorders>
              <w:top w:val="single" w:sz="4" w:space="0" w:color="auto"/>
              <w:left w:val="nil"/>
              <w:bottom w:val="single" w:sz="4" w:space="0" w:color="auto"/>
              <w:right w:val="nil"/>
            </w:tcBorders>
            <w:shd w:val="clear" w:color="FFFFFF" w:fill="FFFFFF"/>
            <w:noWrap/>
            <w:vAlign w:val="bottom"/>
            <w:hideMark/>
          </w:tcPr>
          <w:p w14:paraId="437D33A6" w14:textId="77777777" w:rsidR="00520333" w:rsidRPr="003203A1" w:rsidRDefault="00520333" w:rsidP="005E5E0C">
            <w:pPr>
              <w:spacing w:after="0"/>
              <w:jc w:val="right"/>
              <w:rPr>
                <w:rFonts w:cs="Arial"/>
                <w:b/>
                <w:bCs/>
                <w:sz w:val="18"/>
                <w:szCs w:val="18"/>
              </w:rPr>
            </w:pPr>
            <w:r w:rsidRPr="003203A1">
              <w:rPr>
                <w:rFonts w:cs="Arial"/>
                <w:b/>
                <w:bCs/>
                <w:sz w:val="18"/>
                <w:szCs w:val="18"/>
              </w:rPr>
              <w:t>5,659,548</w:t>
            </w:r>
          </w:p>
        </w:tc>
        <w:tc>
          <w:tcPr>
            <w:tcW w:w="236" w:type="dxa"/>
            <w:tcBorders>
              <w:top w:val="nil"/>
              <w:left w:val="nil"/>
              <w:bottom w:val="nil"/>
              <w:right w:val="nil"/>
            </w:tcBorders>
            <w:shd w:val="clear" w:color="FFFFFF" w:fill="FFFFFF"/>
            <w:noWrap/>
            <w:vAlign w:val="bottom"/>
            <w:hideMark/>
          </w:tcPr>
          <w:p w14:paraId="35333FCC"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single" w:sz="4" w:space="0" w:color="auto"/>
              <w:left w:val="nil"/>
              <w:bottom w:val="single" w:sz="4" w:space="0" w:color="auto"/>
              <w:right w:val="nil"/>
            </w:tcBorders>
            <w:shd w:val="clear" w:color="FFFFFF" w:fill="FFFFFF"/>
            <w:noWrap/>
            <w:vAlign w:val="bottom"/>
            <w:hideMark/>
          </w:tcPr>
          <w:p w14:paraId="0A233C72" w14:textId="77777777" w:rsidR="00520333" w:rsidRPr="003203A1" w:rsidRDefault="00520333" w:rsidP="005E5E0C">
            <w:pPr>
              <w:spacing w:after="0"/>
              <w:jc w:val="right"/>
              <w:rPr>
                <w:rFonts w:cs="Arial"/>
                <w:sz w:val="18"/>
                <w:szCs w:val="18"/>
              </w:rPr>
            </w:pPr>
            <w:r w:rsidRPr="003203A1">
              <w:rPr>
                <w:rFonts w:cs="Arial"/>
                <w:sz w:val="18"/>
                <w:szCs w:val="18"/>
              </w:rPr>
              <w:t>2,729,779</w:t>
            </w:r>
          </w:p>
        </w:tc>
      </w:tr>
    </w:tbl>
    <w:p w14:paraId="1D33C5AD" w14:textId="77777777" w:rsidR="00520333" w:rsidRPr="003203A1" w:rsidRDefault="00520333" w:rsidP="00520333">
      <w:pPr>
        <w:rPr>
          <w:rFonts w:cs="Arial"/>
          <w:sz w:val="18"/>
          <w:szCs w:val="18"/>
        </w:rPr>
      </w:pPr>
    </w:p>
    <w:p w14:paraId="66333C43" w14:textId="77777777" w:rsidR="00520333" w:rsidRPr="003203A1" w:rsidRDefault="00520333" w:rsidP="00520333">
      <w:pPr>
        <w:pStyle w:val="PolicytextDept"/>
        <w:pBdr>
          <w:left w:val="single" w:sz="4" w:space="4" w:color="800080"/>
          <w:right w:val="single" w:sz="4" w:space="4" w:color="800080"/>
        </w:pBdr>
        <w:rPr>
          <w:b/>
        </w:rPr>
      </w:pPr>
      <w:r w:rsidRPr="003203A1">
        <w:rPr>
          <w:b/>
        </w:rPr>
        <w:t>Accounting Policy</w:t>
      </w:r>
    </w:p>
    <w:p w14:paraId="569BBBF1" w14:textId="77777777" w:rsidR="00520333" w:rsidRPr="003203A1" w:rsidRDefault="00520333" w:rsidP="00520333">
      <w:pPr>
        <w:pStyle w:val="PolicytextDept"/>
        <w:pBdr>
          <w:left w:val="single" w:sz="4" w:space="4" w:color="800080"/>
          <w:right w:val="single" w:sz="4" w:space="4" w:color="800080"/>
        </w:pBdr>
      </w:pPr>
      <w:r w:rsidRPr="003203A1">
        <w:t>Cash is recognised at its nominal amount. This includes cash on hand and term deposits in bank accounts with an original maturity of three months or less that are readily convertible to cash and subject to insignificant risk of changes in value. Term deposits with an original maturity greater than three months are included in Note 2.1C.</w:t>
      </w:r>
    </w:p>
    <w:tbl>
      <w:tblPr>
        <w:tblW w:w="9087" w:type="dxa"/>
        <w:tblLayout w:type="fixed"/>
        <w:tblLook w:val="04A0" w:firstRow="1" w:lastRow="0" w:firstColumn="1" w:lastColumn="0" w:noHBand="0" w:noVBand="1"/>
      </w:tblPr>
      <w:tblGrid>
        <w:gridCol w:w="6351"/>
        <w:gridCol w:w="1259"/>
        <w:gridCol w:w="236"/>
        <w:gridCol w:w="1241"/>
      </w:tblGrid>
      <w:tr w:rsidR="00520333" w:rsidRPr="003203A1" w14:paraId="34DADFE7" w14:textId="77777777" w:rsidTr="005E5E0C">
        <w:trPr>
          <w:trHeight w:val="260"/>
        </w:trPr>
        <w:tc>
          <w:tcPr>
            <w:tcW w:w="6351" w:type="dxa"/>
            <w:tcBorders>
              <w:top w:val="nil"/>
              <w:left w:val="nil"/>
              <w:bottom w:val="nil"/>
              <w:right w:val="nil"/>
            </w:tcBorders>
            <w:shd w:val="clear" w:color="FFFFFF" w:fill="FFFFFF"/>
            <w:noWrap/>
            <w:vAlign w:val="bottom"/>
            <w:hideMark/>
          </w:tcPr>
          <w:p w14:paraId="2F85F214" w14:textId="77777777" w:rsidR="00520333" w:rsidRPr="003203A1" w:rsidRDefault="00520333" w:rsidP="005E5E0C">
            <w:pPr>
              <w:spacing w:after="0"/>
              <w:rPr>
                <w:rFonts w:cs="Arial"/>
                <w:b/>
                <w:bCs/>
                <w:sz w:val="18"/>
                <w:szCs w:val="18"/>
                <w:u w:val="single"/>
              </w:rPr>
            </w:pPr>
            <w:bookmarkStart w:id="178" w:name="Note_RECTABLE1" w:colFirst="0" w:colLast="0"/>
            <w:r w:rsidRPr="003203A1">
              <w:rPr>
                <w:rFonts w:cs="Arial"/>
                <w:b/>
                <w:bCs/>
                <w:sz w:val="18"/>
                <w:szCs w:val="18"/>
                <w:u w:val="single"/>
              </w:rPr>
              <w:t>Note 2.1B: Trade and other receivables</w:t>
            </w:r>
          </w:p>
        </w:tc>
        <w:tc>
          <w:tcPr>
            <w:tcW w:w="1259" w:type="dxa"/>
            <w:tcBorders>
              <w:top w:val="nil"/>
              <w:left w:val="nil"/>
              <w:bottom w:val="nil"/>
              <w:right w:val="nil"/>
            </w:tcBorders>
            <w:shd w:val="clear" w:color="FFFFFF" w:fill="FFFFFF"/>
            <w:noWrap/>
            <w:vAlign w:val="bottom"/>
            <w:hideMark/>
          </w:tcPr>
          <w:p w14:paraId="40A4C7D3" w14:textId="77777777" w:rsidR="00520333" w:rsidRPr="003203A1" w:rsidRDefault="00520333" w:rsidP="005E5E0C">
            <w:pPr>
              <w:spacing w:after="0"/>
              <w:rPr>
                <w:rFonts w:cs="Arial"/>
                <w:sz w:val="18"/>
                <w:szCs w:val="18"/>
              </w:rPr>
            </w:pPr>
            <w:r w:rsidRPr="003203A1">
              <w:rPr>
                <w:rFonts w:cs="Arial"/>
                <w:sz w:val="18"/>
                <w:szCs w:val="18"/>
              </w:rPr>
              <w:t> </w:t>
            </w:r>
          </w:p>
        </w:tc>
        <w:tc>
          <w:tcPr>
            <w:tcW w:w="236" w:type="dxa"/>
            <w:tcBorders>
              <w:top w:val="nil"/>
              <w:left w:val="nil"/>
              <w:bottom w:val="nil"/>
              <w:right w:val="nil"/>
            </w:tcBorders>
            <w:shd w:val="clear" w:color="FFFFFF" w:fill="FFFFFF"/>
            <w:noWrap/>
            <w:vAlign w:val="bottom"/>
            <w:hideMark/>
          </w:tcPr>
          <w:p w14:paraId="0C92CC56"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76B5BB2F" w14:textId="77777777" w:rsidR="00520333" w:rsidRPr="003203A1" w:rsidRDefault="00520333" w:rsidP="005E5E0C">
            <w:pPr>
              <w:spacing w:after="0"/>
              <w:rPr>
                <w:rFonts w:cs="Arial"/>
                <w:sz w:val="18"/>
                <w:szCs w:val="18"/>
              </w:rPr>
            </w:pPr>
            <w:r w:rsidRPr="003203A1">
              <w:rPr>
                <w:rFonts w:cs="Arial"/>
                <w:sz w:val="18"/>
                <w:szCs w:val="18"/>
              </w:rPr>
              <w:t> </w:t>
            </w:r>
          </w:p>
        </w:tc>
      </w:tr>
      <w:bookmarkEnd w:id="178"/>
      <w:tr w:rsidR="00520333" w:rsidRPr="003203A1" w14:paraId="392B84FC" w14:textId="77777777" w:rsidTr="005E5E0C">
        <w:trPr>
          <w:trHeight w:val="260"/>
        </w:trPr>
        <w:tc>
          <w:tcPr>
            <w:tcW w:w="6351" w:type="dxa"/>
            <w:tcBorders>
              <w:top w:val="nil"/>
              <w:left w:val="nil"/>
              <w:bottom w:val="nil"/>
              <w:right w:val="nil"/>
            </w:tcBorders>
            <w:shd w:val="clear" w:color="FFFFFF" w:fill="FFFFFF"/>
            <w:vAlign w:val="bottom"/>
            <w:hideMark/>
          </w:tcPr>
          <w:p w14:paraId="4BCC7510" w14:textId="77777777" w:rsidR="00520333" w:rsidRPr="003203A1" w:rsidRDefault="00520333" w:rsidP="005E5E0C">
            <w:pPr>
              <w:spacing w:after="0"/>
              <w:rPr>
                <w:rFonts w:cs="Arial"/>
                <w:b/>
                <w:bCs/>
                <w:sz w:val="18"/>
                <w:szCs w:val="18"/>
              </w:rPr>
            </w:pPr>
            <w:r w:rsidRPr="003203A1">
              <w:rPr>
                <w:rFonts w:cs="Arial"/>
                <w:b/>
                <w:bCs/>
                <w:sz w:val="18"/>
                <w:szCs w:val="18"/>
              </w:rPr>
              <w:t>Goods and services receivables</w:t>
            </w:r>
          </w:p>
        </w:tc>
        <w:tc>
          <w:tcPr>
            <w:tcW w:w="1259" w:type="dxa"/>
            <w:tcBorders>
              <w:top w:val="nil"/>
              <w:left w:val="nil"/>
              <w:bottom w:val="nil"/>
              <w:right w:val="nil"/>
            </w:tcBorders>
            <w:shd w:val="clear" w:color="FFFFFF" w:fill="FFFFFF"/>
            <w:noWrap/>
            <w:vAlign w:val="bottom"/>
            <w:hideMark/>
          </w:tcPr>
          <w:p w14:paraId="7DB3BFF9" w14:textId="77777777" w:rsidR="00520333" w:rsidRPr="003203A1" w:rsidRDefault="00520333" w:rsidP="005E5E0C">
            <w:pPr>
              <w:spacing w:after="0"/>
              <w:rPr>
                <w:rFonts w:cs="Arial"/>
                <w:sz w:val="18"/>
                <w:szCs w:val="18"/>
              </w:rPr>
            </w:pPr>
            <w:r w:rsidRPr="003203A1">
              <w:rPr>
                <w:rFonts w:cs="Arial"/>
                <w:sz w:val="18"/>
                <w:szCs w:val="18"/>
              </w:rPr>
              <w:t> </w:t>
            </w:r>
          </w:p>
        </w:tc>
        <w:tc>
          <w:tcPr>
            <w:tcW w:w="236" w:type="dxa"/>
            <w:tcBorders>
              <w:top w:val="nil"/>
              <w:left w:val="nil"/>
              <w:bottom w:val="nil"/>
              <w:right w:val="nil"/>
            </w:tcBorders>
            <w:shd w:val="clear" w:color="FFFFFF" w:fill="FFFFFF"/>
            <w:noWrap/>
            <w:vAlign w:val="bottom"/>
            <w:hideMark/>
          </w:tcPr>
          <w:p w14:paraId="73D8B980"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5C51620D" w14:textId="77777777" w:rsidR="00520333" w:rsidRPr="003203A1" w:rsidRDefault="00520333" w:rsidP="005E5E0C">
            <w:pPr>
              <w:spacing w:after="0"/>
              <w:rPr>
                <w:rFonts w:cs="Arial"/>
                <w:sz w:val="18"/>
                <w:szCs w:val="18"/>
              </w:rPr>
            </w:pPr>
            <w:r w:rsidRPr="003203A1">
              <w:rPr>
                <w:rFonts w:cs="Arial"/>
                <w:sz w:val="18"/>
                <w:szCs w:val="18"/>
              </w:rPr>
              <w:t> </w:t>
            </w:r>
          </w:p>
        </w:tc>
      </w:tr>
      <w:tr w:rsidR="00520333" w:rsidRPr="003203A1" w14:paraId="41EF8413" w14:textId="77777777" w:rsidTr="005E5E0C">
        <w:trPr>
          <w:trHeight w:val="268"/>
        </w:trPr>
        <w:tc>
          <w:tcPr>
            <w:tcW w:w="6351" w:type="dxa"/>
            <w:tcBorders>
              <w:top w:val="nil"/>
              <w:left w:val="nil"/>
              <w:bottom w:val="nil"/>
              <w:right w:val="nil"/>
            </w:tcBorders>
            <w:shd w:val="clear" w:color="FFFFFF" w:fill="FFFFFF"/>
            <w:noWrap/>
            <w:vAlign w:val="bottom"/>
            <w:hideMark/>
          </w:tcPr>
          <w:p w14:paraId="55997F7A" w14:textId="77777777" w:rsidR="00520333" w:rsidRPr="003203A1" w:rsidRDefault="00520333" w:rsidP="005E5E0C">
            <w:pPr>
              <w:spacing w:after="0"/>
              <w:ind w:firstLineChars="100" w:firstLine="180"/>
              <w:rPr>
                <w:rFonts w:cs="Arial"/>
                <w:sz w:val="18"/>
                <w:szCs w:val="18"/>
              </w:rPr>
            </w:pPr>
            <w:r w:rsidRPr="003203A1">
              <w:rPr>
                <w:rFonts w:cs="Arial"/>
                <w:sz w:val="18"/>
                <w:szCs w:val="18"/>
              </w:rPr>
              <w:t>Goods and services receivables</w:t>
            </w:r>
          </w:p>
        </w:tc>
        <w:tc>
          <w:tcPr>
            <w:tcW w:w="1259" w:type="dxa"/>
            <w:tcBorders>
              <w:top w:val="nil"/>
              <w:left w:val="nil"/>
              <w:bottom w:val="single" w:sz="4" w:space="0" w:color="auto"/>
              <w:right w:val="nil"/>
            </w:tcBorders>
            <w:shd w:val="clear" w:color="FFFFFF" w:fill="FFFFFF"/>
            <w:noWrap/>
            <w:vAlign w:val="bottom"/>
            <w:hideMark/>
          </w:tcPr>
          <w:p w14:paraId="7CBC538B" w14:textId="77777777" w:rsidR="00520333" w:rsidRPr="003203A1" w:rsidRDefault="00520333" w:rsidP="005E5E0C">
            <w:pPr>
              <w:spacing w:after="0"/>
              <w:jc w:val="right"/>
              <w:rPr>
                <w:rFonts w:cs="Arial"/>
                <w:b/>
                <w:bCs/>
                <w:sz w:val="18"/>
                <w:szCs w:val="18"/>
              </w:rPr>
            </w:pPr>
            <w:r w:rsidRPr="003203A1">
              <w:rPr>
                <w:rFonts w:cs="Arial"/>
                <w:b/>
                <w:bCs/>
                <w:sz w:val="18"/>
                <w:szCs w:val="18"/>
              </w:rPr>
              <w:t>107,550</w:t>
            </w:r>
          </w:p>
        </w:tc>
        <w:tc>
          <w:tcPr>
            <w:tcW w:w="236" w:type="dxa"/>
            <w:tcBorders>
              <w:top w:val="nil"/>
              <w:left w:val="nil"/>
              <w:bottom w:val="nil"/>
              <w:right w:val="nil"/>
            </w:tcBorders>
            <w:shd w:val="clear" w:color="FFFFFF" w:fill="FFFFFF"/>
            <w:noWrap/>
            <w:vAlign w:val="bottom"/>
            <w:hideMark/>
          </w:tcPr>
          <w:p w14:paraId="5FDDEEBC"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single" w:sz="4" w:space="0" w:color="auto"/>
              <w:right w:val="nil"/>
            </w:tcBorders>
            <w:shd w:val="clear" w:color="FFFFFF" w:fill="FFFFFF"/>
            <w:noWrap/>
            <w:vAlign w:val="bottom"/>
            <w:hideMark/>
          </w:tcPr>
          <w:p w14:paraId="601C8A39" w14:textId="77777777" w:rsidR="00520333" w:rsidRPr="003203A1" w:rsidRDefault="00520333" w:rsidP="005E5E0C">
            <w:pPr>
              <w:spacing w:after="0"/>
              <w:jc w:val="right"/>
              <w:rPr>
                <w:rFonts w:cs="Arial"/>
                <w:sz w:val="18"/>
                <w:szCs w:val="18"/>
              </w:rPr>
            </w:pPr>
            <w:r w:rsidRPr="003203A1">
              <w:rPr>
                <w:rFonts w:cs="Arial"/>
                <w:sz w:val="18"/>
                <w:szCs w:val="18"/>
              </w:rPr>
              <w:t>76,734</w:t>
            </w:r>
          </w:p>
        </w:tc>
      </w:tr>
      <w:tr w:rsidR="00520333" w:rsidRPr="003203A1" w14:paraId="78E3B4B3" w14:textId="77777777" w:rsidTr="005E5E0C">
        <w:trPr>
          <w:trHeight w:val="268"/>
        </w:trPr>
        <w:tc>
          <w:tcPr>
            <w:tcW w:w="6351" w:type="dxa"/>
            <w:tcBorders>
              <w:top w:val="nil"/>
              <w:left w:val="nil"/>
              <w:bottom w:val="nil"/>
              <w:right w:val="nil"/>
            </w:tcBorders>
            <w:shd w:val="clear" w:color="FFFFFF" w:fill="FFFFFF"/>
            <w:vAlign w:val="bottom"/>
            <w:hideMark/>
          </w:tcPr>
          <w:p w14:paraId="1CAA9ECD" w14:textId="77777777" w:rsidR="00520333" w:rsidRPr="003203A1" w:rsidRDefault="00520333" w:rsidP="005E5E0C">
            <w:pPr>
              <w:spacing w:after="0"/>
              <w:rPr>
                <w:rFonts w:cs="Arial"/>
                <w:b/>
                <w:bCs/>
                <w:sz w:val="18"/>
                <w:szCs w:val="18"/>
              </w:rPr>
            </w:pPr>
            <w:r w:rsidRPr="003203A1">
              <w:rPr>
                <w:rFonts w:cs="Arial"/>
                <w:b/>
                <w:bCs/>
                <w:sz w:val="18"/>
                <w:szCs w:val="18"/>
              </w:rPr>
              <w:t>Total goods and services receivables</w:t>
            </w:r>
          </w:p>
        </w:tc>
        <w:tc>
          <w:tcPr>
            <w:tcW w:w="1259" w:type="dxa"/>
            <w:tcBorders>
              <w:top w:val="single" w:sz="4" w:space="0" w:color="auto"/>
              <w:left w:val="nil"/>
              <w:bottom w:val="single" w:sz="4" w:space="0" w:color="auto"/>
              <w:right w:val="nil"/>
            </w:tcBorders>
            <w:shd w:val="clear" w:color="FFFFFF" w:fill="FFFFFF"/>
            <w:noWrap/>
            <w:vAlign w:val="bottom"/>
            <w:hideMark/>
          </w:tcPr>
          <w:p w14:paraId="589AE667" w14:textId="77777777" w:rsidR="00520333" w:rsidRPr="003203A1" w:rsidRDefault="00520333" w:rsidP="005E5E0C">
            <w:pPr>
              <w:spacing w:after="0"/>
              <w:jc w:val="right"/>
              <w:rPr>
                <w:rFonts w:cs="Arial"/>
                <w:b/>
                <w:bCs/>
                <w:sz w:val="18"/>
                <w:szCs w:val="18"/>
              </w:rPr>
            </w:pPr>
            <w:r w:rsidRPr="003203A1">
              <w:rPr>
                <w:rFonts w:cs="Arial"/>
                <w:b/>
                <w:bCs/>
                <w:sz w:val="18"/>
                <w:szCs w:val="18"/>
              </w:rPr>
              <w:t>107,550</w:t>
            </w:r>
          </w:p>
        </w:tc>
        <w:tc>
          <w:tcPr>
            <w:tcW w:w="236" w:type="dxa"/>
            <w:tcBorders>
              <w:top w:val="nil"/>
              <w:left w:val="nil"/>
              <w:bottom w:val="nil"/>
              <w:right w:val="nil"/>
            </w:tcBorders>
            <w:shd w:val="clear" w:color="FFFFFF" w:fill="FFFFFF"/>
            <w:noWrap/>
            <w:vAlign w:val="bottom"/>
            <w:hideMark/>
          </w:tcPr>
          <w:p w14:paraId="4985E5A5"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single" w:sz="4" w:space="0" w:color="auto"/>
              <w:left w:val="nil"/>
              <w:bottom w:val="single" w:sz="4" w:space="0" w:color="auto"/>
              <w:right w:val="nil"/>
            </w:tcBorders>
            <w:shd w:val="clear" w:color="FFFFFF" w:fill="FFFFFF"/>
            <w:noWrap/>
            <w:vAlign w:val="bottom"/>
            <w:hideMark/>
          </w:tcPr>
          <w:p w14:paraId="30C7B7D2" w14:textId="77777777" w:rsidR="00520333" w:rsidRPr="003203A1" w:rsidRDefault="00520333" w:rsidP="005E5E0C">
            <w:pPr>
              <w:spacing w:after="0"/>
              <w:jc w:val="right"/>
              <w:rPr>
                <w:rFonts w:cs="Arial"/>
                <w:sz w:val="18"/>
                <w:szCs w:val="18"/>
              </w:rPr>
            </w:pPr>
            <w:r w:rsidRPr="003203A1">
              <w:rPr>
                <w:rFonts w:cs="Arial"/>
                <w:sz w:val="18"/>
                <w:szCs w:val="18"/>
              </w:rPr>
              <w:t>76,734</w:t>
            </w:r>
          </w:p>
        </w:tc>
      </w:tr>
      <w:tr w:rsidR="00520333" w:rsidRPr="003203A1" w14:paraId="2E19E50F" w14:textId="77777777" w:rsidTr="005E5E0C">
        <w:trPr>
          <w:trHeight w:val="250"/>
        </w:trPr>
        <w:tc>
          <w:tcPr>
            <w:tcW w:w="6351" w:type="dxa"/>
            <w:tcBorders>
              <w:top w:val="nil"/>
              <w:left w:val="nil"/>
              <w:bottom w:val="nil"/>
              <w:right w:val="nil"/>
            </w:tcBorders>
            <w:shd w:val="clear" w:color="FFFFFF" w:fill="FFFFFF"/>
            <w:vAlign w:val="bottom"/>
            <w:hideMark/>
          </w:tcPr>
          <w:p w14:paraId="529826D2" w14:textId="77777777" w:rsidR="00520333" w:rsidRPr="003203A1" w:rsidRDefault="00520333" w:rsidP="005E5E0C">
            <w:pPr>
              <w:spacing w:after="0"/>
              <w:rPr>
                <w:rFonts w:cs="Arial"/>
                <w:b/>
                <w:bCs/>
                <w:sz w:val="18"/>
                <w:szCs w:val="18"/>
              </w:rPr>
            </w:pPr>
            <w:r w:rsidRPr="003203A1">
              <w:rPr>
                <w:rFonts w:cs="Arial"/>
                <w:b/>
                <w:bCs/>
                <w:sz w:val="18"/>
                <w:szCs w:val="18"/>
              </w:rPr>
              <w:t>Other receivables</w:t>
            </w:r>
          </w:p>
        </w:tc>
        <w:tc>
          <w:tcPr>
            <w:tcW w:w="1259" w:type="dxa"/>
            <w:tcBorders>
              <w:top w:val="nil"/>
              <w:left w:val="nil"/>
              <w:bottom w:val="nil"/>
              <w:right w:val="nil"/>
            </w:tcBorders>
            <w:shd w:val="clear" w:color="FFFFFF" w:fill="FFFFFF"/>
            <w:noWrap/>
            <w:vAlign w:val="bottom"/>
            <w:hideMark/>
          </w:tcPr>
          <w:p w14:paraId="3216206E" w14:textId="77777777" w:rsidR="00520333" w:rsidRPr="003203A1" w:rsidRDefault="00520333" w:rsidP="005E5E0C">
            <w:pPr>
              <w:spacing w:after="0"/>
              <w:rPr>
                <w:rFonts w:cs="Arial"/>
                <w:sz w:val="18"/>
                <w:szCs w:val="18"/>
              </w:rPr>
            </w:pPr>
            <w:r w:rsidRPr="003203A1">
              <w:rPr>
                <w:rFonts w:cs="Arial"/>
                <w:sz w:val="18"/>
                <w:szCs w:val="18"/>
              </w:rPr>
              <w:t> </w:t>
            </w:r>
          </w:p>
        </w:tc>
        <w:tc>
          <w:tcPr>
            <w:tcW w:w="236" w:type="dxa"/>
            <w:tcBorders>
              <w:top w:val="nil"/>
              <w:left w:val="nil"/>
              <w:bottom w:val="nil"/>
              <w:right w:val="nil"/>
            </w:tcBorders>
            <w:shd w:val="clear" w:color="FFFFFF" w:fill="FFFFFF"/>
            <w:noWrap/>
            <w:vAlign w:val="bottom"/>
            <w:hideMark/>
          </w:tcPr>
          <w:p w14:paraId="15E6E325"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55A4CB58" w14:textId="77777777" w:rsidR="00520333" w:rsidRPr="003203A1" w:rsidRDefault="00520333" w:rsidP="005E5E0C">
            <w:pPr>
              <w:spacing w:after="0"/>
              <w:rPr>
                <w:rFonts w:cs="Arial"/>
                <w:sz w:val="18"/>
                <w:szCs w:val="18"/>
              </w:rPr>
            </w:pPr>
            <w:r w:rsidRPr="003203A1">
              <w:rPr>
                <w:rFonts w:cs="Arial"/>
                <w:sz w:val="18"/>
                <w:szCs w:val="18"/>
              </w:rPr>
              <w:t> </w:t>
            </w:r>
          </w:p>
        </w:tc>
      </w:tr>
      <w:tr w:rsidR="00520333" w:rsidRPr="003203A1" w14:paraId="24FD685F" w14:textId="77777777" w:rsidTr="005E5E0C">
        <w:trPr>
          <w:trHeight w:val="253"/>
        </w:trPr>
        <w:tc>
          <w:tcPr>
            <w:tcW w:w="6351" w:type="dxa"/>
            <w:tcBorders>
              <w:top w:val="nil"/>
              <w:left w:val="nil"/>
              <w:bottom w:val="nil"/>
              <w:right w:val="nil"/>
            </w:tcBorders>
            <w:shd w:val="clear" w:color="FFFFFF" w:fill="FFFFFF"/>
            <w:noWrap/>
            <w:vAlign w:val="bottom"/>
            <w:hideMark/>
          </w:tcPr>
          <w:p w14:paraId="32752E1E" w14:textId="77777777" w:rsidR="00520333" w:rsidRPr="003203A1" w:rsidRDefault="00520333" w:rsidP="005E5E0C">
            <w:pPr>
              <w:spacing w:after="0"/>
              <w:ind w:firstLineChars="100" w:firstLine="180"/>
              <w:rPr>
                <w:rFonts w:cs="Arial"/>
                <w:sz w:val="18"/>
                <w:szCs w:val="18"/>
              </w:rPr>
            </w:pPr>
            <w:r w:rsidRPr="003203A1">
              <w:rPr>
                <w:rFonts w:cs="Arial"/>
                <w:sz w:val="18"/>
                <w:szCs w:val="18"/>
              </w:rPr>
              <w:t>GST receivable from the Australian Taxation Office</w:t>
            </w:r>
          </w:p>
        </w:tc>
        <w:tc>
          <w:tcPr>
            <w:tcW w:w="1259" w:type="dxa"/>
            <w:tcBorders>
              <w:top w:val="nil"/>
              <w:left w:val="nil"/>
              <w:bottom w:val="nil"/>
              <w:right w:val="nil"/>
            </w:tcBorders>
            <w:shd w:val="clear" w:color="FFFFFF" w:fill="FFFFFF"/>
            <w:noWrap/>
            <w:vAlign w:val="bottom"/>
            <w:hideMark/>
          </w:tcPr>
          <w:p w14:paraId="5476FB2E" w14:textId="77777777" w:rsidR="00520333" w:rsidRPr="003203A1" w:rsidRDefault="00520333" w:rsidP="005E5E0C">
            <w:pPr>
              <w:spacing w:after="0"/>
              <w:jc w:val="right"/>
              <w:rPr>
                <w:rFonts w:cs="Arial"/>
                <w:b/>
                <w:bCs/>
                <w:sz w:val="18"/>
                <w:szCs w:val="18"/>
              </w:rPr>
            </w:pPr>
            <w:r w:rsidRPr="003203A1">
              <w:rPr>
                <w:rFonts w:cs="Arial"/>
                <w:b/>
                <w:bCs/>
                <w:sz w:val="18"/>
                <w:szCs w:val="18"/>
              </w:rPr>
              <w:t>11,931</w:t>
            </w:r>
          </w:p>
        </w:tc>
        <w:tc>
          <w:tcPr>
            <w:tcW w:w="236" w:type="dxa"/>
            <w:tcBorders>
              <w:top w:val="nil"/>
              <w:left w:val="nil"/>
              <w:bottom w:val="nil"/>
              <w:right w:val="nil"/>
            </w:tcBorders>
            <w:shd w:val="clear" w:color="FFFFFF" w:fill="FFFFFF"/>
            <w:noWrap/>
            <w:vAlign w:val="bottom"/>
            <w:hideMark/>
          </w:tcPr>
          <w:p w14:paraId="738EFC15"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4F69B2CE" w14:textId="77777777" w:rsidR="00520333" w:rsidRPr="003203A1" w:rsidRDefault="00520333" w:rsidP="005E5E0C">
            <w:pPr>
              <w:spacing w:after="0"/>
              <w:jc w:val="right"/>
              <w:rPr>
                <w:rFonts w:cs="Arial"/>
                <w:sz w:val="18"/>
                <w:szCs w:val="18"/>
              </w:rPr>
            </w:pPr>
            <w:r w:rsidRPr="003203A1">
              <w:rPr>
                <w:rFonts w:cs="Arial"/>
                <w:sz w:val="18"/>
                <w:szCs w:val="18"/>
              </w:rPr>
              <w:t>12,659</w:t>
            </w:r>
          </w:p>
        </w:tc>
      </w:tr>
      <w:tr w:rsidR="00520333" w:rsidRPr="003203A1" w14:paraId="2D593821" w14:textId="77777777" w:rsidTr="005E5E0C">
        <w:trPr>
          <w:trHeight w:val="270"/>
        </w:trPr>
        <w:tc>
          <w:tcPr>
            <w:tcW w:w="6351" w:type="dxa"/>
            <w:tcBorders>
              <w:top w:val="nil"/>
              <w:left w:val="nil"/>
              <w:bottom w:val="nil"/>
              <w:right w:val="nil"/>
            </w:tcBorders>
            <w:shd w:val="clear" w:color="FFFFFF" w:fill="FFFFFF"/>
            <w:noWrap/>
            <w:vAlign w:val="bottom"/>
            <w:hideMark/>
          </w:tcPr>
          <w:p w14:paraId="2899CEB1" w14:textId="77777777" w:rsidR="00520333" w:rsidRPr="003203A1" w:rsidRDefault="00520333" w:rsidP="005E5E0C">
            <w:pPr>
              <w:spacing w:after="0"/>
              <w:ind w:firstLineChars="100" w:firstLine="180"/>
              <w:rPr>
                <w:rFonts w:cs="Arial"/>
                <w:sz w:val="18"/>
                <w:szCs w:val="18"/>
              </w:rPr>
            </w:pPr>
            <w:r w:rsidRPr="003203A1">
              <w:rPr>
                <w:rFonts w:cs="Arial"/>
                <w:sz w:val="18"/>
                <w:szCs w:val="18"/>
              </w:rPr>
              <w:t>Pandemic plan provider receivables</w:t>
            </w:r>
            <w:r w:rsidRPr="003203A1">
              <w:rPr>
                <w:rFonts w:cs="Arial"/>
                <w:sz w:val="18"/>
                <w:szCs w:val="18"/>
                <w:vertAlign w:val="superscript"/>
              </w:rPr>
              <w:t>1</w:t>
            </w:r>
          </w:p>
        </w:tc>
        <w:tc>
          <w:tcPr>
            <w:tcW w:w="1259" w:type="dxa"/>
            <w:tcBorders>
              <w:top w:val="nil"/>
              <w:left w:val="nil"/>
              <w:bottom w:val="nil"/>
              <w:right w:val="nil"/>
            </w:tcBorders>
            <w:shd w:val="clear" w:color="FFFFFF" w:fill="FFFFFF"/>
            <w:noWrap/>
            <w:vAlign w:val="bottom"/>
            <w:hideMark/>
          </w:tcPr>
          <w:p w14:paraId="2F9B2F66" w14:textId="77777777" w:rsidR="00520333" w:rsidRPr="003203A1" w:rsidRDefault="00520333" w:rsidP="005E5E0C">
            <w:pPr>
              <w:spacing w:after="0"/>
              <w:jc w:val="right"/>
              <w:rPr>
                <w:rFonts w:cs="Arial"/>
                <w:b/>
                <w:bCs/>
                <w:sz w:val="18"/>
                <w:szCs w:val="18"/>
              </w:rPr>
            </w:pPr>
            <w:r w:rsidRPr="003203A1">
              <w:rPr>
                <w:rFonts w:cs="Arial"/>
                <w:b/>
                <w:bCs/>
                <w:sz w:val="18"/>
                <w:szCs w:val="18"/>
              </w:rPr>
              <w:t>349</w:t>
            </w:r>
          </w:p>
        </w:tc>
        <w:tc>
          <w:tcPr>
            <w:tcW w:w="236" w:type="dxa"/>
            <w:tcBorders>
              <w:top w:val="nil"/>
              <w:left w:val="nil"/>
              <w:bottom w:val="nil"/>
              <w:right w:val="nil"/>
            </w:tcBorders>
            <w:shd w:val="clear" w:color="FFFFFF" w:fill="FFFFFF"/>
            <w:noWrap/>
            <w:vAlign w:val="bottom"/>
            <w:hideMark/>
          </w:tcPr>
          <w:p w14:paraId="6F762063"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21C568FB" w14:textId="77777777" w:rsidR="00520333" w:rsidRPr="003203A1" w:rsidRDefault="00520333" w:rsidP="005E5E0C">
            <w:pPr>
              <w:spacing w:after="0"/>
              <w:jc w:val="right"/>
              <w:rPr>
                <w:rFonts w:cs="Arial"/>
                <w:sz w:val="18"/>
                <w:szCs w:val="18"/>
              </w:rPr>
            </w:pPr>
            <w:r w:rsidRPr="003203A1">
              <w:rPr>
                <w:rFonts w:cs="Arial"/>
                <w:sz w:val="18"/>
                <w:szCs w:val="18"/>
              </w:rPr>
              <w:t>489</w:t>
            </w:r>
          </w:p>
        </w:tc>
      </w:tr>
      <w:tr w:rsidR="00520333" w:rsidRPr="003203A1" w14:paraId="3A97AA3E" w14:textId="77777777" w:rsidTr="005E5E0C">
        <w:trPr>
          <w:trHeight w:val="268"/>
        </w:trPr>
        <w:tc>
          <w:tcPr>
            <w:tcW w:w="6351" w:type="dxa"/>
            <w:tcBorders>
              <w:top w:val="nil"/>
              <w:left w:val="nil"/>
              <w:bottom w:val="nil"/>
              <w:right w:val="nil"/>
            </w:tcBorders>
            <w:shd w:val="clear" w:color="FFFFFF" w:fill="FFFFFF"/>
            <w:noWrap/>
            <w:vAlign w:val="bottom"/>
            <w:hideMark/>
          </w:tcPr>
          <w:p w14:paraId="52CB26C0" w14:textId="77777777" w:rsidR="00520333" w:rsidRPr="003203A1" w:rsidRDefault="00520333" w:rsidP="005E5E0C">
            <w:pPr>
              <w:spacing w:after="0"/>
              <w:ind w:firstLineChars="100" w:firstLine="180"/>
              <w:rPr>
                <w:rFonts w:cs="Arial"/>
                <w:sz w:val="18"/>
                <w:szCs w:val="18"/>
              </w:rPr>
            </w:pPr>
            <w:r w:rsidRPr="003203A1">
              <w:rPr>
                <w:rFonts w:cs="Arial"/>
                <w:sz w:val="18"/>
                <w:szCs w:val="18"/>
              </w:rPr>
              <w:t>Participant and other provider receivables</w:t>
            </w:r>
          </w:p>
        </w:tc>
        <w:tc>
          <w:tcPr>
            <w:tcW w:w="1259" w:type="dxa"/>
            <w:tcBorders>
              <w:top w:val="nil"/>
              <w:left w:val="nil"/>
              <w:bottom w:val="nil"/>
              <w:right w:val="nil"/>
            </w:tcBorders>
            <w:shd w:val="clear" w:color="FFFFFF" w:fill="FFFFFF"/>
            <w:noWrap/>
            <w:vAlign w:val="bottom"/>
            <w:hideMark/>
          </w:tcPr>
          <w:p w14:paraId="569A68A5" w14:textId="77777777" w:rsidR="00520333" w:rsidRPr="003203A1" w:rsidRDefault="00520333" w:rsidP="005E5E0C">
            <w:pPr>
              <w:spacing w:after="0"/>
              <w:jc w:val="right"/>
              <w:rPr>
                <w:rFonts w:cs="Arial"/>
                <w:b/>
                <w:bCs/>
                <w:sz w:val="18"/>
                <w:szCs w:val="18"/>
              </w:rPr>
            </w:pPr>
            <w:r w:rsidRPr="003203A1">
              <w:rPr>
                <w:rFonts w:cs="Arial"/>
                <w:b/>
                <w:bCs/>
                <w:sz w:val="18"/>
                <w:szCs w:val="18"/>
              </w:rPr>
              <w:t>75,649</w:t>
            </w:r>
          </w:p>
        </w:tc>
        <w:tc>
          <w:tcPr>
            <w:tcW w:w="236" w:type="dxa"/>
            <w:tcBorders>
              <w:top w:val="nil"/>
              <w:left w:val="nil"/>
              <w:bottom w:val="nil"/>
              <w:right w:val="nil"/>
            </w:tcBorders>
            <w:shd w:val="clear" w:color="FFFFFF" w:fill="FFFFFF"/>
            <w:noWrap/>
            <w:vAlign w:val="bottom"/>
            <w:hideMark/>
          </w:tcPr>
          <w:p w14:paraId="7CAD540F"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207EC6A7" w14:textId="77777777" w:rsidR="00520333" w:rsidRPr="003203A1" w:rsidRDefault="00520333" w:rsidP="005E5E0C">
            <w:pPr>
              <w:spacing w:after="0"/>
              <w:jc w:val="right"/>
              <w:rPr>
                <w:rFonts w:cs="Arial"/>
                <w:sz w:val="18"/>
                <w:szCs w:val="18"/>
              </w:rPr>
            </w:pPr>
            <w:r w:rsidRPr="003203A1">
              <w:rPr>
                <w:rFonts w:cs="Arial"/>
                <w:sz w:val="18"/>
                <w:szCs w:val="18"/>
              </w:rPr>
              <w:t>59,573</w:t>
            </w:r>
          </w:p>
        </w:tc>
      </w:tr>
      <w:tr w:rsidR="00520333" w:rsidRPr="003203A1" w14:paraId="14931CA4" w14:textId="77777777" w:rsidTr="005E5E0C">
        <w:trPr>
          <w:trHeight w:val="250"/>
        </w:trPr>
        <w:tc>
          <w:tcPr>
            <w:tcW w:w="6351" w:type="dxa"/>
            <w:tcBorders>
              <w:top w:val="nil"/>
              <w:left w:val="nil"/>
              <w:bottom w:val="nil"/>
              <w:right w:val="nil"/>
            </w:tcBorders>
            <w:shd w:val="clear" w:color="FFFFFF" w:fill="FFFFFF"/>
            <w:noWrap/>
            <w:vAlign w:val="bottom"/>
            <w:hideMark/>
          </w:tcPr>
          <w:p w14:paraId="676AE17D" w14:textId="77777777" w:rsidR="00520333" w:rsidRPr="003203A1" w:rsidRDefault="00520333" w:rsidP="005E5E0C">
            <w:pPr>
              <w:spacing w:after="0"/>
              <w:ind w:firstLineChars="100" w:firstLine="180"/>
              <w:rPr>
                <w:rFonts w:cs="Arial"/>
                <w:sz w:val="18"/>
                <w:szCs w:val="18"/>
              </w:rPr>
            </w:pPr>
            <w:r w:rsidRPr="003203A1">
              <w:rPr>
                <w:rFonts w:cs="Arial"/>
                <w:sz w:val="18"/>
                <w:szCs w:val="18"/>
              </w:rPr>
              <w:t>Other</w:t>
            </w:r>
          </w:p>
        </w:tc>
        <w:tc>
          <w:tcPr>
            <w:tcW w:w="1259" w:type="dxa"/>
            <w:tcBorders>
              <w:top w:val="nil"/>
              <w:left w:val="nil"/>
              <w:bottom w:val="nil"/>
              <w:right w:val="nil"/>
            </w:tcBorders>
            <w:shd w:val="clear" w:color="FFFFFF" w:fill="FFFFFF"/>
            <w:noWrap/>
            <w:vAlign w:val="bottom"/>
            <w:hideMark/>
          </w:tcPr>
          <w:p w14:paraId="0A5977DE" w14:textId="77777777" w:rsidR="00520333" w:rsidRPr="003203A1" w:rsidRDefault="00520333" w:rsidP="005E5E0C">
            <w:pPr>
              <w:spacing w:after="0"/>
              <w:jc w:val="right"/>
              <w:rPr>
                <w:rFonts w:cs="Arial"/>
                <w:b/>
                <w:bCs/>
                <w:sz w:val="18"/>
                <w:szCs w:val="18"/>
              </w:rPr>
            </w:pPr>
            <w:r w:rsidRPr="003203A1">
              <w:rPr>
                <w:rFonts w:cs="Arial"/>
                <w:b/>
                <w:bCs/>
                <w:sz w:val="18"/>
                <w:szCs w:val="18"/>
              </w:rPr>
              <w:t>22,937</w:t>
            </w:r>
          </w:p>
        </w:tc>
        <w:tc>
          <w:tcPr>
            <w:tcW w:w="236" w:type="dxa"/>
            <w:tcBorders>
              <w:top w:val="nil"/>
              <w:left w:val="nil"/>
              <w:bottom w:val="nil"/>
              <w:right w:val="nil"/>
            </w:tcBorders>
            <w:shd w:val="clear" w:color="FFFFFF" w:fill="FFFFFF"/>
            <w:noWrap/>
            <w:vAlign w:val="bottom"/>
            <w:hideMark/>
          </w:tcPr>
          <w:p w14:paraId="25583201"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4383063D" w14:textId="77777777" w:rsidR="00520333" w:rsidRPr="003203A1" w:rsidRDefault="00520333" w:rsidP="005E5E0C">
            <w:pPr>
              <w:spacing w:after="0"/>
              <w:jc w:val="right"/>
              <w:rPr>
                <w:rFonts w:cs="Arial"/>
                <w:sz w:val="18"/>
                <w:szCs w:val="18"/>
              </w:rPr>
            </w:pPr>
            <w:r w:rsidRPr="003203A1">
              <w:rPr>
                <w:rFonts w:cs="Arial"/>
                <w:sz w:val="18"/>
                <w:szCs w:val="18"/>
              </w:rPr>
              <w:t>41,012</w:t>
            </w:r>
          </w:p>
        </w:tc>
      </w:tr>
      <w:tr w:rsidR="00520333" w:rsidRPr="003203A1" w14:paraId="6C081D2F" w14:textId="77777777" w:rsidTr="005E5E0C">
        <w:trPr>
          <w:trHeight w:val="250"/>
        </w:trPr>
        <w:tc>
          <w:tcPr>
            <w:tcW w:w="6351" w:type="dxa"/>
            <w:tcBorders>
              <w:top w:val="nil"/>
              <w:left w:val="nil"/>
              <w:bottom w:val="nil"/>
              <w:right w:val="nil"/>
            </w:tcBorders>
            <w:shd w:val="clear" w:color="FFFFFF" w:fill="FFFFFF"/>
            <w:vAlign w:val="bottom"/>
            <w:hideMark/>
          </w:tcPr>
          <w:p w14:paraId="6ABE882E" w14:textId="77777777" w:rsidR="00520333" w:rsidRPr="003203A1" w:rsidRDefault="00520333" w:rsidP="005E5E0C">
            <w:pPr>
              <w:spacing w:after="0"/>
              <w:rPr>
                <w:rFonts w:cs="Arial"/>
                <w:b/>
                <w:bCs/>
                <w:sz w:val="18"/>
                <w:szCs w:val="18"/>
              </w:rPr>
            </w:pPr>
            <w:r w:rsidRPr="003203A1">
              <w:rPr>
                <w:rFonts w:cs="Arial"/>
                <w:b/>
                <w:bCs/>
                <w:sz w:val="18"/>
                <w:szCs w:val="18"/>
              </w:rPr>
              <w:t>Total other receivables</w:t>
            </w:r>
          </w:p>
        </w:tc>
        <w:tc>
          <w:tcPr>
            <w:tcW w:w="1259" w:type="dxa"/>
            <w:tcBorders>
              <w:top w:val="single" w:sz="4" w:space="0" w:color="auto"/>
              <w:left w:val="nil"/>
              <w:bottom w:val="single" w:sz="4" w:space="0" w:color="auto"/>
              <w:right w:val="nil"/>
            </w:tcBorders>
            <w:shd w:val="clear" w:color="FFFFFF" w:fill="FFFFFF"/>
            <w:noWrap/>
            <w:vAlign w:val="bottom"/>
            <w:hideMark/>
          </w:tcPr>
          <w:p w14:paraId="2A7B4D4A" w14:textId="77777777" w:rsidR="00520333" w:rsidRPr="003203A1" w:rsidRDefault="00520333" w:rsidP="005E5E0C">
            <w:pPr>
              <w:spacing w:after="0"/>
              <w:jc w:val="right"/>
              <w:rPr>
                <w:rFonts w:cs="Arial"/>
                <w:b/>
                <w:bCs/>
                <w:sz w:val="18"/>
                <w:szCs w:val="18"/>
              </w:rPr>
            </w:pPr>
            <w:r w:rsidRPr="003203A1">
              <w:rPr>
                <w:rFonts w:cs="Arial"/>
                <w:b/>
                <w:bCs/>
                <w:sz w:val="18"/>
                <w:szCs w:val="18"/>
              </w:rPr>
              <w:t>110,866</w:t>
            </w:r>
          </w:p>
        </w:tc>
        <w:tc>
          <w:tcPr>
            <w:tcW w:w="236" w:type="dxa"/>
            <w:tcBorders>
              <w:top w:val="nil"/>
              <w:left w:val="nil"/>
              <w:bottom w:val="nil"/>
              <w:right w:val="nil"/>
            </w:tcBorders>
            <w:shd w:val="clear" w:color="FFFFFF" w:fill="FFFFFF"/>
            <w:noWrap/>
            <w:vAlign w:val="bottom"/>
            <w:hideMark/>
          </w:tcPr>
          <w:p w14:paraId="5750DE08"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single" w:sz="4" w:space="0" w:color="auto"/>
              <w:left w:val="nil"/>
              <w:bottom w:val="single" w:sz="4" w:space="0" w:color="auto"/>
              <w:right w:val="nil"/>
            </w:tcBorders>
            <w:shd w:val="clear" w:color="FFFFFF" w:fill="FFFFFF"/>
            <w:noWrap/>
            <w:vAlign w:val="bottom"/>
            <w:hideMark/>
          </w:tcPr>
          <w:p w14:paraId="5462C40E" w14:textId="77777777" w:rsidR="00520333" w:rsidRPr="003203A1" w:rsidRDefault="00520333" w:rsidP="005E5E0C">
            <w:pPr>
              <w:spacing w:after="0"/>
              <w:jc w:val="right"/>
              <w:rPr>
                <w:rFonts w:cs="Arial"/>
                <w:sz w:val="18"/>
                <w:szCs w:val="18"/>
              </w:rPr>
            </w:pPr>
            <w:r w:rsidRPr="003203A1">
              <w:rPr>
                <w:rFonts w:cs="Arial"/>
                <w:sz w:val="18"/>
                <w:szCs w:val="18"/>
              </w:rPr>
              <w:t>113,733</w:t>
            </w:r>
          </w:p>
        </w:tc>
      </w:tr>
      <w:tr w:rsidR="00520333" w:rsidRPr="003203A1" w14:paraId="3BA61094" w14:textId="77777777" w:rsidTr="005E5E0C">
        <w:trPr>
          <w:trHeight w:val="250"/>
        </w:trPr>
        <w:tc>
          <w:tcPr>
            <w:tcW w:w="6351" w:type="dxa"/>
            <w:tcBorders>
              <w:top w:val="nil"/>
              <w:left w:val="nil"/>
              <w:bottom w:val="nil"/>
              <w:right w:val="nil"/>
            </w:tcBorders>
            <w:shd w:val="clear" w:color="FFFFFF" w:fill="FFFFFF"/>
            <w:vAlign w:val="bottom"/>
            <w:hideMark/>
          </w:tcPr>
          <w:p w14:paraId="0E547496" w14:textId="77777777" w:rsidR="00520333" w:rsidRPr="003203A1" w:rsidRDefault="00520333" w:rsidP="005E5E0C">
            <w:pPr>
              <w:spacing w:after="0"/>
              <w:rPr>
                <w:rFonts w:cs="Arial"/>
                <w:b/>
                <w:bCs/>
                <w:sz w:val="18"/>
                <w:szCs w:val="18"/>
              </w:rPr>
            </w:pPr>
            <w:r w:rsidRPr="003203A1">
              <w:rPr>
                <w:rFonts w:cs="Arial"/>
                <w:b/>
                <w:bCs/>
                <w:sz w:val="18"/>
                <w:szCs w:val="18"/>
              </w:rPr>
              <w:t>Total trade and other receivables (gross)</w:t>
            </w:r>
          </w:p>
        </w:tc>
        <w:tc>
          <w:tcPr>
            <w:tcW w:w="1259" w:type="dxa"/>
            <w:tcBorders>
              <w:top w:val="nil"/>
              <w:left w:val="nil"/>
              <w:bottom w:val="single" w:sz="4" w:space="0" w:color="auto"/>
              <w:right w:val="nil"/>
            </w:tcBorders>
            <w:shd w:val="clear" w:color="FFFFFF" w:fill="FFFFFF"/>
            <w:noWrap/>
            <w:vAlign w:val="bottom"/>
            <w:hideMark/>
          </w:tcPr>
          <w:p w14:paraId="5909502B" w14:textId="77777777" w:rsidR="00520333" w:rsidRPr="003203A1" w:rsidRDefault="00520333" w:rsidP="005E5E0C">
            <w:pPr>
              <w:spacing w:after="0"/>
              <w:jc w:val="right"/>
              <w:rPr>
                <w:rFonts w:cs="Arial"/>
                <w:b/>
                <w:bCs/>
                <w:sz w:val="18"/>
                <w:szCs w:val="18"/>
              </w:rPr>
            </w:pPr>
            <w:r w:rsidRPr="003203A1">
              <w:rPr>
                <w:rFonts w:cs="Arial"/>
                <w:b/>
                <w:bCs/>
                <w:sz w:val="18"/>
                <w:szCs w:val="18"/>
              </w:rPr>
              <w:t>218,416</w:t>
            </w:r>
          </w:p>
        </w:tc>
        <w:tc>
          <w:tcPr>
            <w:tcW w:w="236" w:type="dxa"/>
            <w:tcBorders>
              <w:top w:val="nil"/>
              <w:left w:val="nil"/>
              <w:bottom w:val="nil"/>
              <w:right w:val="nil"/>
            </w:tcBorders>
            <w:shd w:val="clear" w:color="FFFFFF" w:fill="FFFFFF"/>
            <w:noWrap/>
            <w:vAlign w:val="bottom"/>
            <w:hideMark/>
          </w:tcPr>
          <w:p w14:paraId="55556BDE"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single" w:sz="4" w:space="0" w:color="auto"/>
              <w:right w:val="nil"/>
            </w:tcBorders>
            <w:shd w:val="clear" w:color="FFFFFF" w:fill="FFFFFF"/>
            <w:noWrap/>
            <w:vAlign w:val="bottom"/>
            <w:hideMark/>
          </w:tcPr>
          <w:p w14:paraId="49181337" w14:textId="77777777" w:rsidR="00520333" w:rsidRPr="003203A1" w:rsidRDefault="00520333" w:rsidP="005E5E0C">
            <w:pPr>
              <w:spacing w:after="0"/>
              <w:jc w:val="right"/>
              <w:rPr>
                <w:rFonts w:cs="Arial"/>
                <w:sz w:val="18"/>
                <w:szCs w:val="18"/>
              </w:rPr>
            </w:pPr>
            <w:r w:rsidRPr="003203A1">
              <w:rPr>
                <w:rFonts w:cs="Arial"/>
                <w:sz w:val="18"/>
                <w:szCs w:val="18"/>
              </w:rPr>
              <w:t>190,467</w:t>
            </w:r>
          </w:p>
        </w:tc>
      </w:tr>
      <w:tr w:rsidR="00520333" w:rsidRPr="003203A1" w14:paraId="651FDA06" w14:textId="77777777" w:rsidTr="005E5E0C">
        <w:trPr>
          <w:trHeight w:val="250"/>
        </w:trPr>
        <w:tc>
          <w:tcPr>
            <w:tcW w:w="6351" w:type="dxa"/>
            <w:tcBorders>
              <w:top w:val="nil"/>
              <w:left w:val="nil"/>
              <w:bottom w:val="nil"/>
              <w:right w:val="nil"/>
            </w:tcBorders>
            <w:shd w:val="clear" w:color="FFFFFF" w:fill="FFFFFF"/>
            <w:noWrap/>
            <w:vAlign w:val="bottom"/>
            <w:hideMark/>
          </w:tcPr>
          <w:p w14:paraId="6CD6D14F" w14:textId="77777777" w:rsidR="00520333" w:rsidRPr="003203A1" w:rsidRDefault="00520333" w:rsidP="005E5E0C">
            <w:pPr>
              <w:spacing w:after="0"/>
              <w:rPr>
                <w:rFonts w:cs="Arial"/>
                <w:sz w:val="18"/>
                <w:szCs w:val="18"/>
              </w:rPr>
            </w:pPr>
            <w:r w:rsidRPr="003203A1">
              <w:rPr>
                <w:rFonts w:cs="Arial"/>
                <w:sz w:val="18"/>
                <w:szCs w:val="18"/>
              </w:rPr>
              <w:t> </w:t>
            </w:r>
          </w:p>
        </w:tc>
        <w:tc>
          <w:tcPr>
            <w:tcW w:w="1259" w:type="dxa"/>
            <w:tcBorders>
              <w:top w:val="nil"/>
              <w:left w:val="nil"/>
              <w:bottom w:val="nil"/>
              <w:right w:val="nil"/>
            </w:tcBorders>
            <w:shd w:val="clear" w:color="FFFFFF" w:fill="FFFFFF"/>
            <w:noWrap/>
            <w:vAlign w:val="bottom"/>
            <w:hideMark/>
          </w:tcPr>
          <w:p w14:paraId="0828B1D9" w14:textId="77777777" w:rsidR="00520333" w:rsidRPr="003203A1" w:rsidRDefault="00520333" w:rsidP="005E5E0C">
            <w:pPr>
              <w:spacing w:after="0"/>
              <w:rPr>
                <w:rFonts w:cs="Arial"/>
                <w:sz w:val="18"/>
                <w:szCs w:val="18"/>
              </w:rPr>
            </w:pPr>
            <w:r w:rsidRPr="003203A1">
              <w:rPr>
                <w:rFonts w:cs="Arial"/>
                <w:sz w:val="18"/>
                <w:szCs w:val="18"/>
              </w:rPr>
              <w:t> </w:t>
            </w:r>
          </w:p>
        </w:tc>
        <w:tc>
          <w:tcPr>
            <w:tcW w:w="236" w:type="dxa"/>
            <w:tcBorders>
              <w:top w:val="nil"/>
              <w:left w:val="nil"/>
              <w:bottom w:val="nil"/>
              <w:right w:val="nil"/>
            </w:tcBorders>
            <w:shd w:val="clear" w:color="FFFFFF" w:fill="FFFFFF"/>
            <w:noWrap/>
            <w:vAlign w:val="bottom"/>
            <w:hideMark/>
          </w:tcPr>
          <w:p w14:paraId="1C3B85E9"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328CF856" w14:textId="77777777" w:rsidR="00520333" w:rsidRPr="003203A1" w:rsidRDefault="00520333" w:rsidP="005E5E0C">
            <w:pPr>
              <w:spacing w:after="0"/>
              <w:rPr>
                <w:rFonts w:cs="Arial"/>
                <w:sz w:val="18"/>
                <w:szCs w:val="18"/>
              </w:rPr>
            </w:pPr>
            <w:r w:rsidRPr="003203A1">
              <w:rPr>
                <w:rFonts w:cs="Arial"/>
                <w:sz w:val="18"/>
                <w:szCs w:val="18"/>
              </w:rPr>
              <w:t> </w:t>
            </w:r>
          </w:p>
        </w:tc>
      </w:tr>
      <w:tr w:rsidR="00520333" w:rsidRPr="003203A1" w14:paraId="2FF2E546" w14:textId="77777777" w:rsidTr="005E5E0C">
        <w:trPr>
          <w:trHeight w:val="270"/>
        </w:trPr>
        <w:tc>
          <w:tcPr>
            <w:tcW w:w="6351" w:type="dxa"/>
            <w:tcBorders>
              <w:top w:val="nil"/>
              <w:left w:val="nil"/>
              <w:bottom w:val="nil"/>
              <w:right w:val="nil"/>
            </w:tcBorders>
            <w:shd w:val="clear" w:color="FFFFFF" w:fill="FFFFFF"/>
            <w:vAlign w:val="bottom"/>
            <w:hideMark/>
          </w:tcPr>
          <w:p w14:paraId="11FC0FC5" w14:textId="77777777" w:rsidR="00520333" w:rsidRPr="003203A1" w:rsidRDefault="00520333" w:rsidP="005E5E0C">
            <w:pPr>
              <w:spacing w:after="0"/>
              <w:rPr>
                <w:rFonts w:cs="Arial"/>
                <w:b/>
                <w:bCs/>
                <w:sz w:val="18"/>
                <w:szCs w:val="18"/>
              </w:rPr>
            </w:pPr>
            <w:r w:rsidRPr="003203A1">
              <w:rPr>
                <w:rFonts w:cs="Arial"/>
                <w:b/>
                <w:bCs/>
                <w:sz w:val="18"/>
                <w:szCs w:val="18"/>
              </w:rPr>
              <w:t>Less expected credit loss allowance</w:t>
            </w:r>
            <w:r w:rsidRPr="003203A1">
              <w:rPr>
                <w:rFonts w:cs="Arial"/>
                <w:b/>
                <w:bCs/>
                <w:sz w:val="18"/>
                <w:szCs w:val="18"/>
                <w:vertAlign w:val="superscript"/>
              </w:rPr>
              <w:t>2</w:t>
            </w:r>
          </w:p>
        </w:tc>
        <w:tc>
          <w:tcPr>
            <w:tcW w:w="1259" w:type="dxa"/>
            <w:tcBorders>
              <w:top w:val="nil"/>
              <w:left w:val="nil"/>
              <w:bottom w:val="nil"/>
              <w:right w:val="nil"/>
            </w:tcBorders>
            <w:shd w:val="clear" w:color="FFFFFF" w:fill="FFFFFF"/>
            <w:noWrap/>
            <w:vAlign w:val="bottom"/>
            <w:hideMark/>
          </w:tcPr>
          <w:p w14:paraId="0DF5A826" w14:textId="77777777" w:rsidR="00520333" w:rsidRPr="003203A1" w:rsidRDefault="00520333" w:rsidP="005E5E0C">
            <w:pPr>
              <w:spacing w:after="0"/>
              <w:rPr>
                <w:rFonts w:cs="Arial"/>
                <w:sz w:val="18"/>
                <w:szCs w:val="18"/>
              </w:rPr>
            </w:pPr>
            <w:r w:rsidRPr="003203A1">
              <w:rPr>
                <w:rFonts w:cs="Arial"/>
                <w:sz w:val="18"/>
                <w:szCs w:val="18"/>
              </w:rPr>
              <w:t> </w:t>
            </w:r>
          </w:p>
        </w:tc>
        <w:tc>
          <w:tcPr>
            <w:tcW w:w="236" w:type="dxa"/>
            <w:tcBorders>
              <w:top w:val="nil"/>
              <w:left w:val="nil"/>
              <w:bottom w:val="nil"/>
              <w:right w:val="nil"/>
            </w:tcBorders>
            <w:shd w:val="clear" w:color="FFFFFF" w:fill="FFFFFF"/>
            <w:noWrap/>
            <w:vAlign w:val="bottom"/>
            <w:hideMark/>
          </w:tcPr>
          <w:p w14:paraId="24407A65"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58A43E32" w14:textId="77777777" w:rsidR="00520333" w:rsidRPr="003203A1" w:rsidRDefault="00520333" w:rsidP="005E5E0C">
            <w:pPr>
              <w:spacing w:after="0"/>
              <w:rPr>
                <w:rFonts w:cs="Arial"/>
                <w:sz w:val="18"/>
                <w:szCs w:val="18"/>
              </w:rPr>
            </w:pPr>
            <w:r w:rsidRPr="003203A1">
              <w:rPr>
                <w:rFonts w:cs="Arial"/>
                <w:sz w:val="18"/>
                <w:szCs w:val="18"/>
              </w:rPr>
              <w:t> </w:t>
            </w:r>
          </w:p>
        </w:tc>
      </w:tr>
      <w:tr w:rsidR="00520333" w:rsidRPr="003203A1" w14:paraId="30A991DB" w14:textId="77777777" w:rsidTr="005E5E0C">
        <w:trPr>
          <w:trHeight w:val="250"/>
        </w:trPr>
        <w:tc>
          <w:tcPr>
            <w:tcW w:w="6351" w:type="dxa"/>
            <w:tcBorders>
              <w:top w:val="nil"/>
              <w:left w:val="nil"/>
              <w:bottom w:val="nil"/>
              <w:right w:val="nil"/>
            </w:tcBorders>
            <w:shd w:val="clear" w:color="FFFFFF" w:fill="FFFFFF"/>
            <w:noWrap/>
            <w:vAlign w:val="bottom"/>
            <w:hideMark/>
          </w:tcPr>
          <w:p w14:paraId="1452717E" w14:textId="77777777" w:rsidR="00520333" w:rsidRPr="003203A1" w:rsidRDefault="00520333" w:rsidP="005E5E0C">
            <w:pPr>
              <w:spacing w:after="0"/>
              <w:ind w:firstLineChars="100" w:firstLine="180"/>
              <w:rPr>
                <w:rFonts w:cs="Arial"/>
                <w:sz w:val="18"/>
                <w:szCs w:val="18"/>
              </w:rPr>
            </w:pPr>
            <w:r w:rsidRPr="003203A1">
              <w:rPr>
                <w:rFonts w:cs="Arial"/>
                <w:sz w:val="18"/>
                <w:szCs w:val="18"/>
              </w:rPr>
              <w:t>Goods and services receivables</w:t>
            </w:r>
          </w:p>
        </w:tc>
        <w:tc>
          <w:tcPr>
            <w:tcW w:w="1259" w:type="dxa"/>
            <w:tcBorders>
              <w:top w:val="nil"/>
              <w:left w:val="nil"/>
              <w:bottom w:val="nil"/>
              <w:right w:val="nil"/>
            </w:tcBorders>
            <w:shd w:val="clear" w:color="FFFFFF" w:fill="FFFFFF"/>
            <w:noWrap/>
            <w:vAlign w:val="bottom"/>
            <w:hideMark/>
          </w:tcPr>
          <w:p w14:paraId="39D8B80E" w14:textId="77777777" w:rsidR="00520333" w:rsidRPr="003203A1" w:rsidRDefault="00520333" w:rsidP="005E5E0C">
            <w:pPr>
              <w:spacing w:after="0"/>
              <w:jc w:val="right"/>
              <w:rPr>
                <w:rFonts w:cs="Arial"/>
                <w:b/>
                <w:bCs/>
                <w:sz w:val="18"/>
                <w:szCs w:val="18"/>
              </w:rPr>
            </w:pPr>
            <w:r w:rsidRPr="003203A1">
              <w:rPr>
                <w:rFonts w:cs="Arial"/>
                <w:b/>
                <w:bCs/>
                <w:sz w:val="18"/>
                <w:szCs w:val="18"/>
              </w:rPr>
              <w:t>98,757</w:t>
            </w:r>
          </w:p>
        </w:tc>
        <w:tc>
          <w:tcPr>
            <w:tcW w:w="236" w:type="dxa"/>
            <w:tcBorders>
              <w:top w:val="nil"/>
              <w:left w:val="nil"/>
              <w:bottom w:val="nil"/>
              <w:right w:val="nil"/>
            </w:tcBorders>
            <w:shd w:val="clear" w:color="FFFFFF" w:fill="FFFFFF"/>
            <w:noWrap/>
            <w:vAlign w:val="bottom"/>
            <w:hideMark/>
          </w:tcPr>
          <w:p w14:paraId="4A19BD4A"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587F8F4E" w14:textId="77777777" w:rsidR="00520333" w:rsidRPr="003203A1" w:rsidRDefault="00520333" w:rsidP="005E5E0C">
            <w:pPr>
              <w:spacing w:after="0"/>
              <w:jc w:val="right"/>
              <w:rPr>
                <w:rFonts w:cs="Arial"/>
                <w:sz w:val="18"/>
                <w:szCs w:val="18"/>
              </w:rPr>
            </w:pPr>
            <w:r w:rsidRPr="003203A1">
              <w:rPr>
                <w:rFonts w:cs="Arial"/>
                <w:sz w:val="18"/>
                <w:szCs w:val="18"/>
              </w:rPr>
              <w:t>62,818</w:t>
            </w:r>
          </w:p>
        </w:tc>
      </w:tr>
      <w:tr w:rsidR="00520333" w:rsidRPr="003203A1" w14:paraId="604E6FBB" w14:textId="77777777" w:rsidTr="005E5E0C">
        <w:trPr>
          <w:trHeight w:val="250"/>
        </w:trPr>
        <w:tc>
          <w:tcPr>
            <w:tcW w:w="6351" w:type="dxa"/>
            <w:tcBorders>
              <w:top w:val="nil"/>
              <w:left w:val="nil"/>
              <w:bottom w:val="nil"/>
              <w:right w:val="nil"/>
            </w:tcBorders>
            <w:shd w:val="clear" w:color="FFFFFF" w:fill="FFFFFF"/>
            <w:noWrap/>
            <w:vAlign w:val="bottom"/>
            <w:hideMark/>
          </w:tcPr>
          <w:p w14:paraId="744D5553" w14:textId="77777777" w:rsidR="00520333" w:rsidRPr="003203A1" w:rsidRDefault="00520333" w:rsidP="005E5E0C">
            <w:pPr>
              <w:spacing w:after="0"/>
              <w:ind w:firstLineChars="100" w:firstLine="180"/>
              <w:rPr>
                <w:rFonts w:cs="Arial"/>
                <w:sz w:val="18"/>
                <w:szCs w:val="18"/>
              </w:rPr>
            </w:pPr>
            <w:r w:rsidRPr="003203A1">
              <w:rPr>
                <w:rFonts w:cs="Arial"/>
                <w:sz w:val="18"/>
                <w:szCs w:val="18"/>
              </w:rPr>
              <w:t>Participant and other provider receivables</w:t>
            </w:r>
          </w:p>
        </w:tc>
        <w:tc>
          <w:tcPr>
            <w:tcW w:w="1259" w:type="dxa"/>
            <w:tcBorders>
              <w:top w:val="nil"/>
              <w:left w:val="nil"/>
              <w:bottom w:val="nil"/>
              <w:right w:val="nil"/>
            </w:tcBorders>
            <w:shd w:val="clear" w:color="FFFFFF" w:fill="FFFFFF"/>
            <w:noWrap/>
            <w:vAlign w:val="bottom"/>
            <w:hideMark/>
          </w:tcPr>
          <w:p w14:paraId="55CF3807" w14:textId="77777777" w:rsidR="00520333" w:rsidRPr="003203A1" w:rsidRDefault="00520333" w:rsidP="005E5E0C">
            <w:pPr>
              <w:spacing w:after="0"/>
              <w:jc w:val="right"/>
              <w:rPr>
                <w:rFonts w:cs="Arial"/>
                <w:b/>
                <w:bCs/>
                <w:sz w:val="18"/>
                <w:szCs w:val="18"/>
              </w:rPr>
            </w:pPr>
            <w:r w:rsidRPr="003203A1">
              <w:rPr>
                <w:rFonts w:cs="Arial"/>
                <w:b/>
                <w:bCs/>
                <w:sz w:val="18"/>
                <w:szCs w:val="18"/>
              </w:rPr>
              <w:t>19,113</w:t>
            </w:r>
          </w:p>
        </w:tc>
        <w:tc>
          <w:tcPr>
            <w:tcW w:w="236" w:type="dxa"/>
            <w:tcBorders>
              <w:top w:val="nil"/>
              <w:left w:val="nil"/>
              <w:bottom w:val="nil"/>
              <w:right w:val="nil"/>
            </w:tcBorders>
            <w:shd w:val="clear" w:color="FFFFFF" w:fill="FFFFFF"/>
            <w:noWrap/>
            <w:vAlign w:val="bottom"/>
            <w:hideMark/>
          </w:tcPr>
          <w:p w14:paraId="09A54D85"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259BAD27" w14:textId="77777777" w:rsidR="00520333" w:rsidRPr="003203A1" w:rsidRDefault="00520333" w:rsidP="005E5E0C">
            <w:pPr>
              <w:spacing w:after="0"/>
              <w:jc w:val="right"/>
              <w:rPr>
                <w:rFonts w:cs="Arial"/>
                <w:sz w:val="18"/>
                <w:szCs w:val="18"/>
              </w:rPr>
            </w:pPr>
            <w:r w:rsidRPr="003203A1">
              <w:rPr>
                <w:rFonts w:cs="Arial"/>
                <w:sz w:val="18"/>
                <w:szCs w:val="18"/>
              </w:rPr>
              <w:t>13,312</w:t>
            </w:r>
          </w:p>
        </w:tc>
      </w:tr>
      <w:tr w:rsidR="00520333" w:rsidRPr="003203A1" w14:paraId="401CFBE9" w14:textId="77777777" w:rsidTr="005E5E0C">
        <w:trPr>
          <w:trHeight w:val="268"/>
        </w:trPr>
        <w:tc>
          <w:tcPr>
            <w:tcW w:w="6351" w:type="dxa"/>
            <w:tcBorders>
              <w:top w:val="nil"/>
              <w:left w:val="nil"/>
              <w:bottom w:val="nil"/>
              <w:right w:val="nil"/>
            </w:tcBorders>
            <w:shd w:val="clear" w:color="FFFFFF" w:fill="FFFFFF"/>
            <w:noWrap/>
            <w:vAlign w:val="bottom"/>
            <w:hideMark/>
          </w:tcPr>
          <w:p w14:paraId="3C214C79" w14:textId="77777777" w:rsidR="00520333" w:rsidRPr="003203A1" w:rsidRDefault="00520333" w:rsidP="005E5E0C">
            <w:pPr>
              <w:spacing w:after="0"/>
              <w:ind w:firstLineChars="100" w:firstLine="180"/>
              <w:rPr>
                <w:rFonts w:cs="Arial"/>
                <w:sz w:val="18"/>
                <w:szCs w:val="18"/>
              </w:rPr>
            </w:pPr>
            <w:r w:rsidRPr="003203A1">
              <w:rPr>
                <w:rFonts w:cs="Arial"/>
                <w:sz w:val="18"/>
                <w:szCs w:val="18"/>
              </w:rPr>
              <w:t>Other receivables</w:t>
            </w:r>
          </w:p>
        </w:tc>
        <w:tc>
          <w:tcPr>
            <w:tcW w:w="1259" w:type="dxa"/>
            <w:tcBorders>
              <w:top w:val="nil"/>
              <w:left w:val="nil"/>
              <w:bottom w:val="nil"/>
              <w:right w:val="nil"/>
            </w:tcBorders>
            <w:shd w:val="clear" w:color="FFFFFF" w:fill="FFFFFF"/>
            <w:noWrap/>
            <w:vAlign w:val="bottom"/>
            <w:hideMark/>
          </w:tcPr>
          <w:p w14:paraId="647F9B3E" w14:textId="77777777" w:rsidR="00520333" w:rsidRPr="003203A1" w:rsidRDefault="00520333" w:rsidP="005E5E0C">
            <w:pPr>
              <w:spacing w:after="0"/>
              <w:jc w:val="right"/>
              <w:rPr>
                <w:rFonts w:cs="Arial"/>
                <w:b/>
                <w:bCs/>
                <w:sz w:val="18"/>
                <w:szCs w:val="18"/>
              </w:rPr>
            </w:pPr>
            <w:r w:rsidRPr="003203A1">
              <w:rPr>
                <w:rFonts w:cs="Arial"/>
                <w:b/>
                <w:bCs/>
                <w:sz w:val="18"/>
                <w:szCs w:val="18"/>
              </w:rPr>
              <w:t>203</w:t>
            </w:r>
          </w:p>
        </w:tc>
        <w:tc>
          <w:tcPr>
            <w:tcW w:w="236" w:type="dxa"/>
            <w:tcBorders>
              <w:top w:val="nil"/>
              <w:left w:val="nil"/>
              <w:bottom w:val="nil"/>
              <w:right w:val="nil"/>
            </w:tcBorders>
            <w:shd w:val="clear" w:color="FFFFFF" w:fill="FFFFFF"/>
            <w:noWrap/>
            <w:vAlign w:val="bottom"/>
            <w:hideMark/>
          </w:tcPr>
          <w:p w14:paraId="0E7378D6"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7EEF5F03" w14:textId="77777777" w:rsidR="00520333" w:rsidRPr="003203A1" w:rsidRDefault="00520333" w:rsidP="005E5E0C">
            <w:pPr>
              <w:spacing w:after="0"/>
              <w:jc w:val="right"/>
              <w:rPr>
                <w:rFonts w:cs="Arial"/>
                <w:sz w:val="18"/>
                <w:szCs w:val="18"/>
              </w:rPr>
            </w:pPr>
            <w:r w:rsidRPr="003203A1">
              <w:rPr>
                <w:rFonts w:cs="Arial"/>
                <w:sz w:val="18"/>
                <w:szCs w:val="18"/>
              </w:rPr>
              <w:t>189</w:t>
            </w:r>
          </w:p>
        </w:tc>
      </w:tr>
      <w:tr w:rsidR="00520333" w:rsidRPr="003203A1" w14:paraId="323C5529" w14:textId="77777777" w:rsidTr="005E5E0C">
        <w:trPr>
          <w:trHeight w:val="270"/>
        </w:trPr>
        <w:tc>
          <w:tcPr>
            <w:tcW w:w="6351" w:type="dxa"/>
            <w:tcBorders>
              <w:top w:val="nil"/>
              <w:left w:val="nil"/>
              <w:bottom w:val="nil"/>
              <w:right w:val="nil"/>
            </w:tcBorders>
            <w:shd w:val="clear" w:color="FFFFFF" w:fill="FFFFFF"/>
            <w:noWrap/>
            <w:vAlign w:val="bottom"/>
            <w:hideMark/>
          </w:tcPr>
          <w:p w14:paraId="32F9035F" w14:textId="77777777" w:rsidR="00520333" w:rsidRPr="003203A1" w:rsidRDefault="00520333" w:rsidP="005E5E0C">
            <w:pPr>
              <w:spacing w:after="0"/>
              <w:ind w:firstLineChars="100" w:firstLine="180"/>
              <w:rPr>
                <w:rFonts w:cs="Arial"/>
                <w:sz w:val="18"/>
                <w:szCs w:val="18"/>
              </w:rPr>
            </w:pPr>
            <w:r w:rsidRPr="003203A1">
              <w:rPr>
                <w:rFonts w:cs="Arial"/>
                <w:sz w:val="18"/>
                <w:szCs w:val="18"/>
              </w:rPr>
              <w:t>Pandemic plan provider receivables</w:t>
            </w:r>
            <w:r w:rsidRPr="003203A1">
              <w:rPr>
                <w:rFonts w:cs="Arial"/>
                <w:sz w:val="18"/>
                <w:szCs w:val="18"/>
                <w:vertAlign w:val="superscript"/>
              </w:rPr>
              <w:t>1</w:t>
            </w:r>
          </w:p>
        </w:tc>
        <w:tc>
          <w:tcPr>
            <w:tcW w:w="1259" w:type="dxa"/>
            <w:tcBorders>
              <w:top w:val="nil"/>
              <w:left w:val="nil"/>
              <w:bottom w:val="nil"/>
              <w:right w:val="nil"/>
            </w:tcBorders>
            <w:shd w:val="clear" w:color="FFFFFF" w:fill="FFFFFF"/>
            <w:noWrap/>
            <w:vAlign w:val="bottom"/>
            <w:hideMark/>
          </w:tcPr>
          <w:p w14:paraId="1603124E" w14:textId="77777777" w:rsidR="00520333" w:rsidRPr="003203A1" w:rsidRDefault="00520333" w:rsidP="005E5E0C">
            <w:pPr>
              <w:spacing w:after="0"/>
              <w:jc w:val="right"/>
              <w:rPr>
                <w:rFonts w:cs="Arial"/>
                <w:b/>
                <w:bCs/>
                <w:sz w:val="18"/>
                <w:szCs w:val="18"/>
              </w:rPr>
            </w:pPr>
            <w:r w:rsidRPr="003203A1">
              <w:rPr>
                <w:rFonts w:cs="Arial"/>
                <w:b/>
                <w:bCs/>
                <w:sz w:val="18"/>
                <w:szCs w:val="18"/>
              </w:rPr>
              <w:t>349</w:t>
            </w:r>
          </w:p>
        </w:tc>
        <w:tc>
          <w:tcPr>
            <w:tcW w:w="236" w:type="dxa"/>
            <w:tcBorders>
              <w:top w:val="nil"/>
              <w:left w:val="nil"/>
              <w:bottom w:val="nil"/>
              <w:right w:val="nil"/>
            </w:tcBorders>
            <w:shd w:val="clear" w:color="FFFFFF" w:fill="FFFFFF"/>
            <w:noWrap/>
            <w:vAlign w:val="bottom"/>
            <w:hideMark/>
          </w:tcPr>
          <w:p w14:paraId="0EE1F60F"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nil"/>
              <w:right w:val="nil"/>
            </w:tcBorders>
            <w:shd w:val="clear" w:color="FFFFFF" w:fill="FFFFFF"/>
            <w:noWrap/>
            <w:vAlign w:val="bottom"/>
            <w:hideMark/>
          </w:tcPr>
          <w:p w14:paraId="0DA94803" w14:textId="77777777" w:rsidR="00520333" w:rsidRPr="003203A1" w:rsidRDefault="00520333" w:rsidP="005E5E0C">
            <w:pPr>
              <w:spacing w:after="0"/>
              <w:jc w:val="right"/>
              <w:rPr>
                <w:rFonts w:cs="Arial"/>
                <w:sz w:val="18"/>
                <w:szCs w:val="18"/>
              </w:rPr>
            </w:pPr>
            <w:r w:rsidRPr="003203A1">
              <w:rPr>
                <w:rFonts w:cs="Arial"/>
                <w:sz w:val="18"/>
                <w:szCs w:val="18"/>
              </w:rPr>
              <w:t>489</w:t>
            </w:r>
          </w:p>
        </w:tc>
      </w:tr>
      <w:tr w:rsidR="00520333" w:rsidRPr="003203A1" w14:paraId="43982D03" w14:textId="77777777" w:rsidTr="005E5E0C">
        <w:trPr>
          <w:trHeight w:val="250"/>
        </w:trPr>
        <w:tc>
          <w:tcPr>
            <w:tcW w:w="6351" w:type="dxa"/>
            <w:tcBorders>
              <w:top w:val="nil"/>
              <w:left w:val="nil"/>
              <w:bottom w:val="nil"/>
              <w:right w:val="nil"/>
            </w:tcBorders>
            <w:shd w:val="clear" w:color="FFFFFF" w:fill="FFFFFF"/>
            <w:vAlign w:val="bottom"/>
            <w:hideMark/>
          </w:tcPr>
          <w:p w14:paraId="4F9BD6F7" w14:textId="77777777" w:rsidR="00520333" w:rsidRPr="003203A1" w:rsidRDefault="00520333" w:rsidP="005E5E0C">
            <w:pPr>
              <w:spacing w:after="0"/>
              <w:rPr>
                <w:rFonts w:cs="Arial"/>
                <w:b/>
                <w:bCs/>
                <w:sz w:val="18"/>
                <w:szCs w:val="18"/>
              </w:rPr>
            </w:pPr>
            <w:r w:rsidRPr="003203A1">
              <w:rPr>
                <w:rFonts w:cs="Arial"/>
                <w:b/>
                <w:bCs/>
                <w:sz w:val="18"/>
                <w:szCs w:val="18"/>
              </w:rPr>
              <w:t>Total expected credit loss allowance</w:t>
            </w:r>
          </w:p>
        </w:tc>
        <w:tc>
          <w:tcPr>
            <w:tcW w:w="1259" w:type="dxa"/>
            <w:tcBorders>
              <w:top w:val="single" w:sz="4" w:space="0" w:color="auto"/>
              <w:left w:val="nil"/>
              <w:bottom w:val="single" w:sz="4" w:space="0" w:color="auto"/>
              <w:right w:val="nil"/>
            </w:tcBorders>
            <w:shd w:val="clear" w:color="FFFFFF" w:fill="FFFFFF"/>
            <w:noWrap/>
            <w:vAlign w:val="bottom"/>
            <w:hideMark/>
          </w:tcPr>
          <w:p w14:paraId="2892B01A" w14:textId="77777777" w:rsidR="00520333" w:rsidRPr="003203A1" w:rsidRDefault="00520333" w:rsidP="005E5E0C">
            <w:pPr>
              <w:spacing w:after="0"/>
              <w:jc w:val="right"/>
              <w:rPr>
                <w:rFonts w:cs="Arial"/>
                <w:b/>
                <w:bCs/>
                <w:sz w:val="18"/>
                <w:szCs w:val="18"/>
              </w:rPr>
            </w:pPr>
            <w:r w:rsidRPr="003203A1">
              <w:rPr>
                <w:rFonts w:cs="Arial"/>
                <w:b/>
                <w:bCs/>
                <w:sz w:val="18"/>
                <w:szCs w:val="18"/>
              </w:rPr>
              <w:t>118,422</w:t>
            </w:r>
          </w:p>
        </w:tc>
        <w:tc>
          <w:tcPr>
            <w:tcW w:w="236" w:type="dxa"/>
            <w:tcBorders>
              <w:top w:val="nil"/>
              <w:left w:val="nil"/>
              <w:bottom w:val="nil"/>
              <w:right w:val="nil"/>
            </w:tcBorders>
            <w:shd w:val="clear" w:color="FFFFFF" w:fill="FFFFFF"/>
            <w:noWrap/>
            <w:vAlign w:val="bottom"/>
            <w:hideMark/>
          </w:tcPr>
          <w:p w14:paraId="1E7A9E47"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single" w:sz="4" w:space="0" w:color="auto"/>
              <w:left w:val="nil"/>
              <w:bottom w:val="single" w:sz="4" w:space="0" w:color="auto"/>
              <w:right w:val="nil"/>
            </w:tcBorders>
            <w:shd w:val="clear" w:color="FFFFFF" w:fill="FFFFFF"/>
            <w:noWrap/>
            <w:vAlign w:val="bottom"/>
            <w:hideMark/>
          </w:tcPr>
          <w:p w14:paraId="6116D28C" w14:textId="77777777" w:rsidR="00520333" w:rsidRPr="003203A1" w:rsidRDefault="00520333" w:rsidP="005E5E0C">
            <w:pPr>
              <w:spacing w:after="0"/>
              <w:jc w:val="right"/>
              <w:rPr>
                <w:rFonts w:cs="Arial"/>
                <w:sz w:val="18"/>
                <w:szCs w:val="18"/>
              </w:rPr>
            </w:pPr>
            <w:r w:rsidRPr="003203A1">
              <w:rPr>
                <w:rFonts w:cs="Arial"/>
                <w:sz w:val="18"/>
                <w:szCs w:val="18"/>
              </w:rPr>
              <w:t>76,808</w:t>
            </w:r>
          </w:p>
        </w:tc>
      </w:tr>
      <w:tr w:rsidR="00520333" w:rsidRPr="003203A1" w14:paraId="7CB1BFD9" w14:textId="77777777" w:rsidTr="005E5E0C">
        <w:trPr>
          <w:trHeight w:val="260"/>
        </w:trPr>
        <w:tc>
          <w:tcPr>
            <w:tcW w:w="6351" w:type="dxa"/>
            <w:tcBorders>
              <w:top w:val="nil"/>
              <w:left w:val="nil"/>
              <w:bottom w:val="nil"/>
              <w:right w:val="nil"/>
            </w:tcBorders>
            <w:shd w:val="clear" w:color="FFFFFF" w:fill="FFFFFF"/>
            <w:vAlign w:val="bottom"/>
            <w:hideMark/>
          </w:tcPr>
          <w:p w14:paraId="40039200" w14:textId="77777777" w:rsidR="00520333" w:rsidRPr="003203A1" w:rsidRDefault="00520333" w:rsidP="005E5E0C">
            <w:pPr>
              <w:spacing w:after="0"/>
              <w:rPr>
                <w:rFonts w:cs="Arial"/>
                <w:b/>
                <w:bCs/>
                <w:sz w:val="18"/>
                <w:szCs w:val="18"/>
              </w:rPr>
            </w:pPr>
            <w:r w:rsidRPr="003203A1">
              <w:rPr>
                <w:rFonts w:cs="Arial"/>
                <w:b/>
                <w:bCs/>
                <w:sz w:val="18"/>
                <w:szCs w:val="18"/>
              </w:rPr>
              <w:t>Total trade and other receivables (net)</w:t>
            </w:r>
          </w:p>
        </w:tc>
        <w:tc>
          <w:tcPr>
            <w:tcW w:w="1259" w:type="dxa"/>
            <w:tcBorders>
              <w:top w:val="nil"/>
              <w:left w:val="nil"/>
              <w:bottom w:val="single" w:sz="4" w:space="0" w:color="auto"/>
              <w:right w:val="nil"/>
            </w:tcBorders>
            <w:shd w:val="clear" w:color="FFFFFF" w:fill="FFFFFF"/>
            <w:noWrap/>
            <w:vAlign w:val="bottom"/>
            <w:hideMark/>
          </w:tcPr>
          <w:p w14:paraId="6404CF88" w14:textId="77777777" w:rsidR="00520333" w:rsidRPr="003203A1" w:rsidRDefault="00520333" w:rsidP="005E5E0C">
            <w:pPr>
              <w:spacing w:after="0"/>
              <w:jc w:val="right"/>
              <w:rPr>
                <w:rFonts w:cs="Arial"/>
                <w:b/>
                <w:bCs/>
                <w:sz w:val="18"/>
                <w:szCs w:val="18"/>
              </w:rPr>
            </w:pPr>
            <w:r w:rsidRPr="003203A1">
              <w:rPr>
                <w:rFonts w:cs="Arial"/>
                <w:b/>
                <w:bCs/>
                <w:sz w:val="18"/>
                <w:szCs w:val="18"/>
              </w:rPr>
              <w:t>99,994</w:t>
            </w:r>
          </w:p>
        </w:tc>
        <w:tc>
          <w:tcPr>
            <w:tcW w:w="236" w:type="dxa"/>
            <w:tcBorders>
              <w:top w:val="nil"/>
              <w:left w:val="nil"/>
              <w:bottom w:val="nil"/>
              <w:right w:val="nil"/>
            </w:tcBorders>
            <w:shd w:val="clear" w:color="FFFFFF" w:fill="FFFFFF"/>
            <w:noWrap/>
            <w:vAlign w:val="bottom"/>
            <w:hideMark/>
          </w:tcPr>
          <w:p w14:paraId="279A83D4" w14:textId="77777777" w:rsidR="00520333" w:rsidRPr="003203A1" w:rsidRDefault="00520333" w:rsidP="005E5E0C">
            <w:pPr>
              <w:spacing w:after="0"/>
              <w:rPr>
                <w:rFonts w:cs="Arial"/>
                <w:sz w:val="18"/>
                <w:szCs w:val="18"/>
              </w:rPr>
            </w:pPr>
            <w:r w:rsidRPr="003203A1">
              <w:rPr>
                <w:rFonts w:cs="Arial"/>
                <w:sz w:val="18"/>
                <w:szCs w:val="18"/>
              </w:rPr>
              <w:t> </w:t>
            </w:r>
          </w:p>
        </w:tc>
        <w:tc>
          <w:tcPr>
            <w:tcW w:w="1241" w:type="dxa"/>
            <w:tcBorders>
              <w:top w:val="nil"/>
              <w:left w:val="nil"/>
              <w:bottom w:val="single" w:sz="4" w:space="0" w:color="auto"/>
              <w:right w:val="nil"/>
            </w:tcBorders>
            <w:shd w:val="clear" w:color="FFFFFF" w:fill="FFFFFF"/>
            <w:noWrap/>
            <w:vAlign w:val="bottom"/>
            <w:hideMark/>
          </w:tcPr>
          <w:p w14:paraId="6DC0134F" w14:textId="77777777" w:rsidR="00520333" w:rsidRPr="003203A1" w:rsidRDefault="00520333" w:rsidP="005E5E0C">
            <w:pPr>
              <w:spacing w:after="0"/>
              <w:jc w:val="right"/>
              <w:rPr>
                <w:rFonts w:cs="Arial"/>
                <w:sz w:val="18"/>
                <w:szCs w:val="18"/>
              </w:rPr>
            </w:pPr>
            <w:r w:rsidRPr="003203A1">
              <w:rPr>
                <w:rFonts w:cs="Arial"/>
                <w:sz w:val="18"/>
                <w:szCs w:val="18"/>
              </w:rPr>
              <w:t>113,659</w:t>
            </w:r>
          </w:p>
        </w:tc>
      </w:tr>
    </w:tbl>
    <w:p w14:paraId="4A19D54D" w14:textId="77777777" w:rsidR="00520333" w:rsidRPr="003203A1" w:rsidRDefault="00520333" w:rsidP="00520333">
      <w:pPr>
        <w:spacing w:before="60" w:line="240" w:lineRule="auto"/>
        <w:rPr>
          <w:rFonts w:cs="Arial"/>
          <w:sz w:val="18"/>
          <w:szCs w:val="18"/>
        </w:rPr>
      </w:pPr>
      <w:bookmarkStart w:id="179" w:name="OLE_LINK2"/>
    </w:p>
    <w:p w14:paraId="5C18D359" w14:textId="77777777" w:rsidR="00520333" w:rsidRPr="003203A1" w:rsidRDefault="00520333" w:rsidP="00520333">
      <w:pPr>
        <w:spacing w:before="60" w:line="240" w:lineRule="auto"/>
        <w:rPr>
          <w:rFonts w:cs="Arial"/>
          <w:sz w:val="18"/>
          <w:szCs w:val="18"/>
        </w:rPr>
      </w:pPr>
      <w:r w:rsidRPr="003203A1">
        <w:rPr>
          <w:rFonts w:cs="Arial"/>
          <w:sz w:val="18"/>
          <w:szCs w:val="18"/>
        </w:rPr>
        <w:t xml:space="preserve">During </w:t>
      </w:r>
      <w:r w:rsidRPr="003203A1">
        <w:rPr>
          <w:rFonts w:cs="Arial"/>
          <w:sz w:val="18"/>
          <w:szCs w:val="18"/>
        </w:rPr>
        <w:fldChar w:fldCharType="begin"/>
      </w:r>
      <w:r w:rsidRPr="003203A1">
        <w:rPr>
          <w:rFonts w:cs="Arial"/>
          <w:sz w:val="18"/>
          <w:szCs w:val="18"/>
        </w:rPr>
        <w:instrText xml:space="preserve"> DOCPROPERTY  prYear  \* MERGEFORMAT </w:instrText>
      </w:r>
      <w:r w:rsidRPr="003203A1">
        <w:rPr>
          <w:rFonts w:cs="Arial"/>
          <w:sz w:val="18"/>
          <w:szCs w:val="18"/>
        </w:rPr>
        <w:fldChar w:fldCharType="separate"/>
      </w:r>
      <w:r w:rsidRPr="003203A1">
        <w:rPr>
          <w:rFonts w:cs="Arial"/>
          <w:sz w:val="18"/>
          <w:szCs w:val="18"/>
        </w:rPr>
        <w:t>2023</w:t>
      </w:r>
      <w:r w:rsidRPr="003203A1">
        <w:rPr>
          <w:rFonts w:cs="Arial"/>
          <w:sz w:val="18"/>
          <w:szCs w:val="18"/>
        </w:rPr>
        <w:fldChar w:fldCharType="end"/>
      </w:r>
      <w:r w:rsidRPr="003203A1">
        <w:rPr>
          <w:rFonts w:cs="Arial"/>
          <w:sz w:val="18"/>
          <w:szCs w:val="18"/>
        </w:rPr>
        <w:t>-</w:t>
      </w:r>
      <w:r w:rsidRPr="003203A1">
        <w:rPr>
          <w:rFonts w:cs="Arial"/>
          <w:sz w:val="18"/>
          <w:szCs w:val="18"/>
        </w:rPr>
        <w:fldChar w:fldCharType="begin"/>
      </w:r>
      <w:r w:rsidRPr="003203A1">
        <w:rPr>
          <w:rFonts w:cs="Arial"/>
          <w:sz w:val="18"/>
          <w:szCs w:val="18"/>
        </w:rPr>
        <w:instrText xml:space="preserve"> DOCPROPERTY  crYear  \* MERGEFORMAT </w:instrText>
      </w:r>
      <w:r w:rsidRPr="003203A1">
        <w:rPr>
          <w:rFonts w:cs="Arial"/>
          <w:sz w:val="18"/>
          <w:szCs w:val="18"/>
        </w:rPr>
        <w:fldChar w:fldCharType="separate"/>
      </w:r>
      <w:r w:rsidRPr="003203A1">
        <w:rPr>
          <w:rFonts w:cs="Arial"/>
          <w:sz w:val="18"/>
          <w:szCs w:val="18"/>
        </w:rPr>
        <w:t>2024</w:t>
      </w:r>
      <w:r w:rsidRPr="003203A1">
        <w:rPr>
          <w:rFonts w:cs="Arial"/>
          <w:sz w:val="18"/>
          <w:szCs w:val="18"/>
        </w:rPr>
        <w:fldChar w:fldCharType="end"/>
      </w:r>
      <w:r w:rsidRPr="003203A1">
        <w:rPr>
          <w:rFonts w:cs="Arial"/>
          <w:sz w:val="18"/>
          <w:szCs w:val="18"/>
        </w:rPr>
        <w:t xml:space="preserve"> credit terms for goods and services were within 28 days (</w:t>
      </w:r>
      <w:r w:rsidRPr="003203A1">
        <w:rPr>
          <w:rFonts w:cs="Arial"/>
          <w:sz w:val="18"/>
          <w:szCs w:val="18"/>
        </w:rPr>
        <w:fldChar w:fldCharType="begin"/>
      </w:r>
      <w:r w:rsidRPr="003203A1">
        <w:rPr>
          <w:rFonts w:cs="Arial"/>
          <w:sz w:val="18"/>
          <w:szCs w:val="18"/>
        </w:rPr>
        <w:instrText xml:space="preserve"> DOCPROPERTY  prYear  \* MERGEFORMAT </w:instrText>
      </w:r>
      <w:r w:rsidRPr="003203A1">
        <w:rPr>
          <w:rFonts w:cs="Arial"/>
          <w:sz w:val="18"/>
          <w:szCs w:val="18"/>
        </w:rPr>
        <w:fldChar w:fldCharType="separate"/>
      </w:r>
      <w:r w:rsidRPr="003203A1">
        <w:rPr>
          <w:rFonts w:cs="Arial"/>
          <w:sz w:val="18"/>
          <w:szCs w:val="18"/>
        </w:rPr>
        <w:t>2023</w:t>
      </w:r>
      <w:r w:rsidRPr="003203A1">
        <w:rPr>
          <w:rFonts w:cs="Arial"/>
          <w:sz w:val="18"/>
          <w:szCs w:val="18"/>
        </w:rPr>
        <w:fldChar w:fldCharType="end"/>
      </w:r>
      <w:r w:rsidRPr="003203A1">
        <w:rPr>
          <w:rFonts w:cs="Arial"/>
          <w:sz w:val="18"/>
          <w:szCs w:val="18"/>
        </w:rPr>
        <w:t>: 28 days).</w:t>
      </w:r>
    </w:p>
    <w:p w14:paraId="3F70D825" w14:textId="77777777" w:rsidR="00520333" w:rsidRPr="003203A1" w:rsidRDefault="00520333" w:rsidP="003203A1">
      <w:pPr>
        <w:spacing w:before="60" w:after="120" w:line="240" w:lineRule="auto"/>
        <w:ind w:left="142" w:hanging="142"/>
        <w:rPr>
          <w:rFonts w:cs="Arial"/>
          <w:sz w:val="18"/>
          <w:szCs w:val="18"/>
        </w:rPr>
      </w:pPr>
      <w:r w:rsidRPr="003203A1">
        <w:rPr>
          <w:rFonts w:cs="Arial"/>
          <w:sz w:val="18"/>
          <w:szCs w:val="18"/>
          <w:vertAlign w:val="superscript"/>
        </w:rPr>
        <w:t>1</w:t>
      </w:r>
      <w:r w:rsidRPr="003203A1">
        <w:rPr>
          <w:rFonts w:cs="Arial"/>
          <w:sz w:val="18"/>
          <w:szCs w:val="18"/>
        </w:rPr>
        <w:t xml:space="preserve"> Pandemic plan provider receivables represent optional advances made by the Agency to eligible registered providers to assist with cash flow and continuity of supports during the COVID-19 pandemic. </w:t>
      </w:r>
    </w:p>
    <w:p w14:paraId="6720E2F9" w14:textId="77777777" w:rsidR="00520333" w:rsidRPr="003203A1" w:rsidRDefault="00520333" w:rsidP="003203A1">
      <w:pPr>
        <w:spacing w:before="60" w:after="120" w:line="240" w:lineRule="auto"/>
        <w:ind w:left="142" w:hanging="142"/>
        <w:rPr>
          <w:rFonts w:cs="Arial"/>
          <w:sz w:val="18"/>
          <w:szCs w:val="18"/>
        </w:rPr>
      </w:pPr>
      <w:r w:rsidRPr="003203A1">
        <w:rPr>
          <w:rFonts w:cs="Arial"/>
          <w:sz w:val="18"/>
          <w:szCs w:val="18"/>
          <w:vertAlign w:val="superscript"/>
        </w:rPr>
        <w:t>2</w:t>
      </w:r>
      <w:r w:rsidRPr="003203A1">
        <w:rPr>
          <w:rFonts w:cs="Arial"/>
          <w:sz w:val="18"/>
          <w:szCs w:val="18"/>
        </w:rPr>
        <w:t xml:space="preserve"> Refer to the Impairment of financial assets section as part of the Accounting Policy Note 4.2. </w:t>
      </w:r>
    </w:p>
    <w:p w14:paraId="73B05AFF" w14:textId="77777777" w:rsidR="00520333" w:rsidRDefault="00520333" w:rsidP="00520333">
      <w:pPr>
        <w:spacing w:line="240" w:lineRule="auto"/>
        <w:rPr>
          <w:rFonts w:cs="Arial"/>
          <w:sz w:val="18"/>
          <w:szCs w:val="18"/>
        </w:rPr>
      </w:pPr>
      <w:r>
        <w:rPr>
          <w:rFonts w:cs="Arial"/>
          <w:sz w:val="18"/>
          <w:szCs w:val="18"/>
        </w:rPr>
        <w:br w:type="page"/>
      </w:r>
    </w:p>
    <w:p w14:paraId="55E7A77A" w14:textId="77777777" w:rsidR="003203A1" w:rsidRPr="00C821EB" w:rsidRDefault="003203A1" w:rsidP="003203A1">
      <w:pPr>
        <w:spacing w:after="0" w:line="240" w:lineRule="auto"/>
        <w:rPr>
          <w:b/>
          <w:bCs/>
        </w:rPr>
      </w:pPr>
      <w:r w:rsidRPr="00C821EB">
        <w:rPr>
          <w:b/>
          <w:bCs/>
        </w:rPr>
        <w:lastRenderedPageBreak/>
        <w:t>National Disability Insurance Agency</w:t>
      </w:r>
    </w:p>
    <w:p w14:paraId="3310D33B" w14:textId="77777777" w:rsidR="003203A1" w:rsidRPr="00C821EB" w:rsidRDefault="003203A1" w:rsidP="003203A1">
      <w:pPr>
        <w:pBdr>
          <w:bottom w:val="single" w:sz="8" w:space="1" w:color="auto"/>
        </w:pBdr>
        <w:rPr>
          <w:b/>
          <w:bCs/>
        </w:rPr>
      </w:pPr>
      <w:r w:rsidRPr="00C821EB">
        <w:rPr>
          <w:b/>
          <w:bCs/>
        </w:rPr>
        <w:t>NOTES TO AND FORMING PART OF THE FINANCIAL STATEMENTS</w:t>
      </w:r>
    </w:p>
    <w:p w14:paraId="00490CAB" w14:textId="77777777" w:rsidR="003203A1" w:rsidRDefault="003203A1" w:rsidP="003203A1">
      <w:pPr>
        <w:pStyle w:val="PolicytextDept"/>
        <w:pBdr>
          <w:top w:val="none" w:sz="0" w:space="0" w:color="auto"/>
          <w:left w:val="none" w:sz="0" w:space="0" w:color="auto"/>
          <w:bottom w:val="none" w:sz="0" w:space="0" w:color="auto"/>
          <w:right w:val="none" w:sz="0" w:space="0" w:color="auto"/>
        </w:pBdr>
        <w:rPr>
          <w:b/>
        </w:rPr>
      </w:pPr>
    </w:p>
    <w:p w14:paraId="4F9FE218" w14:textId="59B1424B" w:rsidR="00520333" w:rsidRDefault="00520333" w:rsidP="003203A1">
      <w:pPr>
        <w:pStyle w:val="PolicytextDept"/>
        <w:pBdr>
          <w:left w:val="single" w:sz="4" w:space="4" w:color="800080"/>
          <w:right w:val="single" w:sz="4" w:space="4" w:color="800080"/>
        </w:pBdr>
        <w:rPr>
          <w:b/>
        </w:rPr>
      </w:pPr>
      <w:r w:rsidRPr="00F47522">
        <w:rPr>
          <w:b/>
        </w:rPr>
        <w:t xml:space="preserve">Accounting </w:t>
      </w:r>
      <w:r w:rsidRPr="00BB78CC">
        <w:rPr>
          <w:b/>
        </w:rPr>
        <w:t xml:space="preserve">Policy </w:t>
      </w:r>
    </w:p>
    <w:p w14:paraId="43B19D7E" w14:textId="77777777" w:rsidR="00520333" w:rsidRPr="00C13812" w:rsidRDefault="00520333" w:rsidP="003203A1">
      <w:pPr>
        <w:pStyle w:val="PolicytextDept"/>
        <w:pBdr>
          <w:left w:val="single" w:sz="4" w:space="4" w:color="800080"/>
          <w:right w:val="single" w:sz="4" w:space="4" w:color="800080"/>
        </w:pBdr>
        <w:rPr>
          <w:iCs/>
          <w:lang w:eastAsia="en-AU"/>
        </w:rPr>
      </w:pPr>
      <w:r w:rsidRPr="000C7ED6">
        <w:rPr>
          <w:iCs/>
          <w:lang w:eastAsia="en-AU"/>
        </w:rPr>
        <w:t xml:space="preserve">Receivables for goods and services, which have </w:t>
      </w:r>
      <w:r>
        <w:rPr>
          <w:iCs/>
          <w:lang w:eastAsia="en-AU"/>
        </w:rPr>
        <w:t xml:space="preserve">28 </w:t>
      </w:r>
      <w:r w:rsidRPr="000C7ED6">
        <w:rPr>
          <w:iCs/>
          <w:lang w:eastAsia="en-AU"/>
        </w:rPr>
        <w:t xml:space="preserve">day terms, are recognised at the nominal amounts due less any </w:t>
      </w:r>
      <w:r w:rsidRPr="00BF7155">
        <w:rPr>
          <w:iCs/>
          <w:lang w:eastAsia="en-AU"/>
        </w:rPr>
        <w:t xml:space="preserve">expected credit loss </w:t>
      </w:r>
      <w:r>
        <w:rPr>
          <w:iCs/>
          <w:lang w:eastAsia="en-AU"/>
        </w:rPr>
        <w:t xml:space="preserve">allowance </w:t>
      </w:r>
      <w:r w:rsidRPr="000C7ED6">
        <w:rPr>
          <w:iCs/>
          <w:lang w:eastAsia="en-AU"/>
        </w:rPr>
        <w:t>account. Collectability of debts is reviewed at end of the reporting period. Allowances are made when collectability of the debt is no longer probable.</w:t>
      </w:r>
    </w:p>
    <w:tbl>
      <w:tblPr>
        <w:tblW w:w="9087" w:type="dxa"/>
        <w:tblLayout w:type="fixed"/>
        <w:tblLook w:val="04A0" w:firstRow="1" w:lastRow="0" w:firstColumn="1" w:lastColumn="0" w:noHBand="0" w:noVBand="1"/>
      </w:tblPr>
      <w:tblGrid>
        <w:gridCol w:w="6351"/>
        <w:gridCol w:w="1259"/>
        <w:gridCol w:w="236"/>
        <w:gridCol w:w="1241"/>
      </w:tblGrid>
      <w:tr w:rsidR="00520333" w14:paraId="2CFA951F" w14:textId="77777777" w:rsidTr="005E5E0C">
        <w:trPr>
          <w:trHeight w:val="250"/>
        </w:trPr>
        <w:tc>
          <w:tcPr>
            <w:tcW w:w="6351" w:type="dxa"/>
            <w:tcBorders>
              <w:top w:val="nil"/>
              <w:left w:val="nil"/>
              <w:bottom w:val="nil"/>
              <w:right w:val="nil"/>
            </w:tcBorders>
            <w:shd w:val="clear" w:color="FFFFFF" w:fill="FFFFFF"/>
            <w:noWrap/>
            <w:vAlign w:val="bottom"/>
            <w:hideMark/>
          </w:tcPr>
          <w:p w14:paraId="0FF3BE66" w14:textId="77777777" w:rsidR="00520333" w:rsidRPr="00283706" w:rsidRDefault="00520333" w:rsidP="005E5E0C">
            <w:pPr>
              <w:rPr>
                <w:rFonts w:cs="Arial"/>
                <w:b/>
                <w:bCs/>
                <w:sz w:val="18"/>
                <w:szCs w:val="18"/>
                <w:u w:val="single"/>
              </w:rPr>
            </w:pPr>
            <w:bookmarkStart w:id="180" w:name="Note_OFATABLE1" w:colFirst="0" w:colLast="0"/>
          </w:p>
          <w:p w14:paraId="14DBF772" w14:textId="77777777" w:rsidR="00520333" w:rsidRDefault="00520333" w:rsidP="005E5E0C">
            <w:pPr>
              <w:rPr>
                <w:rFonts w:cs="Arial"/>
                <w:b/>
                <w:bCs/>
                <w:sz w:val="18"/>
                <w:szCs w:val="18"/>
                <w:u w:val="single"/>
              </w:rPr>
            </w:pPr>
            <w:r w:rsidRPr="00B53863">
              <w:rPr>
                <w:rFonts w:cs="Arial"/>
                <w:b/>
                <w:bCs/>
                <w:sz w:val="18"/>
                <w:szCs w:val="18"/>
                <w:u w:val="single"/>
              </w:rPr>
              <w:t>Note 2.1C: Other financial</w:t>
            </w:r>
            <w:r>
              <w:rPr>
                <w:rFonts w:cs="Arial"/>
                <w:b/>
                <w:bCs/>
                <w:sz w:val="18"/>
                <w:szCs w:val="18"/>
                <w:u w:val="single"/>
              </w:rPr>
              <w:t xml:space="preserve"> assets</w:t>
            </w:r>
          </w:p>
        </w:tc>
        <w:tc>
          <w:tcPr>
            <w:tcW w:w="1259" w:type="dxa"/>
            <w:tcBorders>
              <w:top w:val="nil"/>
              <w:left w:val="nil"/>
              <w:bottom w:val="nil"/>
              <w:right w:val="nil"/>
            </w:tcBorders>
            <w:shd w:val="clear" w:color="FFFFFF" w:fill="FFFFFF"/>
            <w:noWrap/>
            <w:vAlign w:val="bottom"/>
            <w:hideMark/>
          </w:tcPr>
          <w:p w14:paraId="55B08038" w14:textId="77777777" w:rsidR="00520333" w:rsidRDefault="00520333" w:rsidP="005E5E0C">
            <w:pPr>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6F33B9D6" w14:textId="77777777" w:rsidR="00520333" w:rsidRDefault="00520333" w:rsidP="005E5E0C">
            <w:pPr>
              <w:rPr>
                <w:rFonts w:cs="Arial"/>
                <w:sz w:val="18"/>
                <w:szCs w:val="18"/>
              </w:rPr>
            </w:pPr>
            <w:r>
              <w:rPr>
                <w:rFonts w:cs="Arial"/>
                <w:sz w:val="18"/>
                <w:szCs w:val="18"/>
              </w:rPr>
              <w:t> </w:t>
            </w:r>
          </w:p>
        </w:tc>
        <w:tc>
          <w:tcPr>
            <w:tcW w:w="1241" w:type="dxa"/>
            <w:tcBorders>
              <w:top w:val="nil"/>
              <w:left w:val="nil"/>
              <w:bottom w:val="nil"/>
              <w:right w:val="nil"/>
            </w:tcBorders>
            <w:shd w:val="clear" w:color="FFFFFF" w:fill="FFFFFF"/>
            <w:noWrap/>
            <w:vAlign w:val="bottom"/>
            <w:hideMark/>
          </w:tcPr>
          <w:p w14:paraId="2E6D2A40" w14:textId="77777777" w:rsidR="00520333" w:rsidRDefault="00520333" w:rsidP="005E5E0C">
            <w:pPr>
              <w:rPr>
                <w:rFonts w:cs="Arial"/>
                <w:sz w:val="18"/>
                <w:szCs w:val="18"/>
              </w:rPr>
            </w:pPr>
            <w:r>
              <w:rPr>
                <w:rFonts w:cs="Arial"/>
                <w:sz w:val="18"/>
                <w:szCs w:val="18"/>
              </w:rPr>
              <w:t> </w:t>
            </w:r>
          </w:p>
        </w:tc>
      </w:tr>
    </w:tbl>
    <w:bookmarkEnd w:id="179"/>
    <w:bookmarkEnd w:id="180"/>
    <w:p w14:paraId="24377EC2" w14:textId="77777777" w:rsidR="00520333" w:rsidRDefault="00520333" w:rsidP="00520333">
      <w:pPr>
        <w:pStyle w:val="PolicytextDept"/>
        <w:pBdr>
          <w:left w:val="single" w:sz="4" w:space="4" w:color="800080"/>
          <w:right w:val="single" w:sz="4" w:space="4" w:color="800080"/>
        </w:pBdr>
        <w:rPr>
          <w:b/>
        </w:rPr>
      </w:pPr>
      <w:r w:rsidRPr="00F47522">
        <w:rPr>
          <w:b/>
        </w:rPr>
        <w:t xml:space="preserve">Accounting </w:t>
      </w:r>
      <w:r w:rsidRPr="00BB78CC">
        <w:rPr>
          <w:b/>
        </w:rPr>
        <w:t xml:space="preserve">Policy </w:t>
      </w:r>
    </w:p>
    <w:p w14:paraId="0006B0AC" w14:textId="77777777" w:rsidR="00520333" w:rsidRPr="00C13812" w:rsidRDefault="00520333" w:rsidP="00520333">
      <w:pPr>
        <w:pStyle w:val="PolicytextDept"/>
        <w:pBdr>
          <w:left w:val="single" w:sz="4" w:space="4" w:color="800080"/>
          <w:right w:val="single" w:sz="4" w:space="4" w:color="800080"/>
        </w:pBdr>
        <w:rPr>
          <w:iCs/>
          <w:lang w:eastAsia="en-AU"/>
        </w:rPr>
      </w:pPr>
      <w:r w:rsidRPr="00C13812">
        <w:rPr>
          <w:iCs/>
          <w:lang w:eastAsia="en-AU"/>
        </w:rPr>
        <w:t>Term deposits with an original maturity of three months or less are classified as cash and cash equivalents and are included in Note 2.1A.</w:t>
      </w:r>
    </w:p>
    <w:p w14:paraId="1BB461F2" w14:textId="77777777" w:rsidR="00520333" w:rsidRPr="00BB78CC" w:rsidRDefault="00520333" w:rsidP="00520333">
      <w:pPr>
        <w:spacing w:line="240" w:lineRule="auto"/>
        <w:rPr>
          <w:rFonts w:cs="Arial"/>
          <w:sz w:val="18"/>
          <w:szCs w:val="18"/>
        </w:rPr>
      </w:pPr>
    </w:p>
    <w:p w14:paraId="721E41E0" w14:textId="30D51437" w:rsidR="008E7ACA" w:rsidRDefault="008E7ACA" w:rsidP="00520333">
      <w:pPr>
        <w:pStyle w:val="PolicytextDept"/>
        <w:pBdr>
          <w:left w:val="single" w:sz="4" w:space="4" w:color="800080"/>
          <w:right w:val="single" w:sz="4" w:space="4" w:color="800080"/>
        </w:pBdr>
        <w:rPr>
          <w:lang w:eastAsia="en-AU"/>
        </w:rPr>
      </w:pPr>
      <w:r>
        <w:rPr>
          <w:lang w:eastAsia="en-AU"/>
        </w:rPr>
        <w:br w:type="page"/>
      </w:r>
    </w:p>
    <w:p w14:paraId="79755FDD" w14:textId="77777777" w:rsidR="00520333" w:rsidRDefault="00520333" w:rsidP="00520333">
      <w:pPr>
        <w:pStyle w:val="PolicytextDept"/>
        <w:pBdr>
          <w:left w:val="single" w:sz="4" w:space="4" w:color="800080"/>
          <w:right w:val="single" w:sz="4" w:space="4" w:color="800080"/>
        </w:pBdr>
        <w:rPr>
          <w:lang w:eastAsia="en-AU"/>
        </w:rPr>
        <w:sectPr w:rsidR="00520333" w:rsidSect="00BC1253">
          <w:footerReference w:type="default" r:id="rId59"/>
          <w:pgSz w:w="11906" w:h="16838" w:code="9"/>
          <w:pgMar w:top="1361" w:right="1361" w:bottom="1361" w:left="1361" w:header="561" w:footer="374" w:gutter="0"/>
          <w:cols w:space="708"/>
          <w:docGrid w:linePitch="360"/>
        </w:sectPr>
      </w:pPr>
    </w:p>
    <w:p w14:paraId="185B6836" w14:textId="77777777" w:rsidR="003203A1" w:rsidRPr="003203A1" w:rsidRDefault="003203A1" w:rsidP="003203A1">
      <w:pPr>
        <w:spacing w:after="0" w:line="240" w:lineRule="auto"/>
        <w:rPr>
          <w:b/>
          <w:bCs/>
        </w:rPr>
      </w:pPr>
      <w:bookmarkStart w:id="181" w:name="_Toc443469530"/>
      <w:bookmarkStart w:id="182" w:name="_Toc443577404"/>
      <w:bookmarkStart w:id="183" w:name="_Toc445194082"/>
      <w:bookmarkStart w:id="184" w:name="_Toc447030540"/>
      <w:bookmarkStart w:id="185" w:name="_Toc447030692"/>
      <w:bookmarkStart w:id="186" w:name="_Toc447030785"/>
      <w:bookmarkStart w:id="187" w:name="_Toc65742848"/>
      <w:bookmarkStart w:id="188" w:name="_Toc173417295"/>
      <w:r w:rsidRPr="003203A1">
        <w:rPr>
          <w:b/>
          <w:bCs/>
        </w:rPr>
        <w:lastRenderedPageBreak/>
        <w:t>National Disability Insurance Agency</w:t>
      </w:r>
    </w:p>
    <w:p w14:paraId="05B9A5D4" w14:textId="77777777" w:rsidR="003203A1" w:rsidRPr="003203A1" w:rsidRDefault="003203A1" w:rsidP="003203A1">
      <w:pPr>
        <w:pBdr>
          <w:bottom w:val="single" w:sz="8" w:space="1" w:color="auto"/>
        </w:pBdr>
        <w:rPr>
          <w:b/>
          <w:bCs/>
        </w:rPr>
      </w:pPr>
      <w:r w:rsidRPr="003203A1">
        <w:rPr>
          <w:b/>
          <w:bCs/>
        </w:rPr>
        <w:t>NOTES TO AND FORMING PART OF THE FINANCIAL STATEMENTS</w:t>
      </w:r>
    </w:p>
    <w:p w14:paraId="0DD2285D" w14:textId="77777777" w:rsidR="00520333" w:rsidRDefault="00520333" w:rsidP="003203A1">
      <w:pPr>
        <w:pStyle w:val="SubHeading"/>
        <w:shd w:val="clear" w:color="auto" w:fill="000000" w:themeFill="accent6"/>
        <w:ind w:right="-567"/>
      </w:pPr>
      <w:r w:rsidRPr="005D6360">
        <w:t>Non-Financial Assets</w:t>
      </w:r>
      <w:bookmarkEnd w:id="181"/>
      <w:bookmarkEnd w:id="182"/>
      <w:bookmarkEnd w:id="183"/>
      <w:bookmarkEnd w:id="184"/>
      <w:bookmarkEnd w:id="185"/>
      <w:bookmarkEnd w:id="186"/>
      <w:bookmarkEnd w:id="187"/>
      <w:bookmarkEnd w:id="188"/>
    </w:p>
    <w:tbl>
      <w:tblPr>
        <w:tblW w:w="9637" w:type="dxa"/>
        <w:tblLayout w:type="fixed"/>
        <w:tblCellMar>
          <w:left w:w="57" w:type="dxa"/>
          <w:right w:w="57" w:type="dxa"/>
        </w:tblCellMar>
        <w:tblLook w:val="04A0" w:firstRow="1" w:lastRow="0" w:firstColumn="1" w:lastColumn="0" w:noHBand="0" w:noVBand="1"/>
      </w:tblPr>
      <w:tblGrid>
        <w:gridCol w:w="5283"/>
        <w:gridCol w:w="1596"/>
        <w:gridCol w:w="1380"/>
        <w:gridCol w:w="1378"/>
      </w:tblGrid>
      <w:tr w:rsidR="00520333" w14:paraId="3FD60E27" w14:textId="77777777" w:rsidTr="005E5E0C">
        <w:trPr>
          <w:trHeight w:val="495"/>
        </w:trPr>
        <w:tc>
          <w:tcPr>
            <w:tcW w:w="9637" w:type="dxa"/>
            <w:gridSpan w:val="4"/>
            <w:tcBorders>
              <w:top w:val="nil"/>
              <w:left w:val="nil"/>
              <w:bottom w:val="nil"/>
              <w:right w:val="nil"/>
            </w:tcBorders>
            <w:shd w:val="clear" w:color="FFFFFF" w:fill="FFFFFF"/>
            <w:vAlign w:val="bottom"/>
            <w:hideMark/>
          </w:tcPr>
          <w:p w14:paraId="5263202C" w14:textId="77777777" w:rsidR="00520333" w:rsidRDefault="00520333" w:rsidP="005E5E0C">
            <w:pPr>
              <w:spacing w:after="0"/>
              <w:rPr>
                <w:rFonts w:cs="Arial"/>
                <w:b/>
                <w:bCs/>
                <w:sz w:val="18"/>
                <w:szCs w:val="18"/>
                <w:u w:val="single"/>
              </w:rPr>
            </w:pPr>
            <w:bookmarkStart w:id="189" w:name="Note_MTATABLE1" w:colFirst="0" w:colLast="0"/>
            <w:r>
              <w:rPr>
                <w:rFonts w:cs="Arial"/>
                <w:b/>
                <w:bCs/>
                <w:sz w:val="18"/>
                <w:szCs w:val="18"/>
                <w:u w:val="single"/>
              </w:rPr>
              <w:t>Note 2.2A: Reconciliation of the opening and closing balances of Buildings and Plant and equipment 2024</w:t>
            </w:r>
          </w:p>
        </w:tc>
      </w:tr>
      <w:bookmarkEnd w:id="189"/>
      <w:tr w:rsidR="00520333" w14:paraId="00789AEF" w14:textId="77777777" w:rsidTr="005E5E0C">
        <w:trPr>
          <w:trHeight w:val="250"/>
        </w:trPr>
        <w:tc>
          <w:tcPr>
            <w:tcW w:w="5283" w:type="dxa"/>
            <w:tcBorders>
              <w:top w:val="nil"/>
              <w:left w:val="nil"/>
              <w:bottom w:val="nil"/>
              <w:right w:val="nil"/>
            </w:tcBorders>
            <w:shd w:val="clear" w:color="FFFFFF" w:fill="FFFFFF"/>
            <w:noWrap/>
            <w:vAlign w:val="bottom"/>
            <w:hideMark/>
          </w:tcPr>
          <w:p w14:paraId="11E9C3AA" w14:textId="77777777" w:rsidR="00520333" w:rsidRDefault="00520333" w:rsidP="005E5E0C">
            <w:pPr>
              <w:spacing w:after="0"/>
              <w:rPr>
                <w:rFonts w:cs="Arial"/>
                <w:sz w:val="18"/>
                <w:szCs w:val="18"/>
              </w:rPr>
            </w:pPr>
            <w:r>
              <w:rPr>
                <w:rFonts w:cs="Arial"/>
                <w:sz w:val="18"/>
                <w:szCs w:val="18"/>
              </w:rPr>
              <w:t> </w:t>
            </w:r>
          </w:p>
        </w:tc>
        <w:tc>
          <w:tcPr>
            <w:tcW w:w="1596" w:type="dxa"/>
            <w:tcBorders>
              <w:top w:val="nil"/>
              <w:left w:val="nil"/>
              <w:bottom w:val="nil"/>
              <w:right w:val="nil"/>
            </w:tcBorders>
            <w:shd w:val="clear" w:color="FFFFFF" w:fill="FFFFFF"/>
            <w:noWrap/>
            <w:vAlign w:val="bottom"/>
            <w:hideMark/>
          </w:tcPr>
          <w:p w14:paraId="50040DE6" w14:textId="77777777" w:rsidR="00520333" w:rsidRDefault="00520333" w:rsidP="005E5E0C">
            <w:pPr>
              <w:spacing w:after="0"/>
              <w:rPr>
                <w:rFonts w:cs="Arial"/>
                <w:sz w:val="18"/>
                <w:szCs w:val="18"/>
              </w:rPr>
            </w:pPr>
            <w:r>
              <w:rPr>
                <w:rFonts w:cs="Arial"/>
                <w:sz w:val="18"/>
                <w:szCs w:val="18"/>
              </w:rPr>
              <w:t> </w:t>
            </w:r>
          </w:p>
        </w:tc>
        <w:tc>
          <w:tcPr>
            <w:tcW w:w="1380" w:type="dxa"/>
            <w:tcBorders>
              <w:top w:val="nil"/>
              <w:left w:val="nil"/>
              <w:bottom w:val="nil"/>
              <w:right w:val="nil"/>
            </w:tcBorders>
            <w:shd w:val="clear" w:color="FFFFFF" w:fill="FFFFFF"/>
            <w:noWrap/>
            <w:vAlign w:val="bottom"/>
            <w:hideMark/>
          </w:tcPr>
          <w:p w14:paraId="469612C9" w14:textId="77777777" w:rsidR="00520333" w:rsidRDefault="00520333" w:rsidP="005E5E0C">
            <w:pPr>
              <w:spacing w:after="0"/>
              <w:rPr>
                <w:rFonts w:cs="Arial"/>
                <w:sz w:val="18"/>
                <w:szCs w:val="18"/>
              </w:rPr>
            </w:pPr>
            <w:r>
              <w:rPr>
                <w:rFonts w:cs="Arial"/>
                <w:sz w:val="18"/>
                <w:szCs w:val="18"/>
              </w:rPr>
              <w:t> </w:t>
            </w:r>
          </w:p>
        </w:tc>
        <w:tc>
          <w:tcPr>
            <w:tcW w:w="1378" w:type="dxa"/>
            <w:tcBorders>
              <w:top w:val="nil"/>
              <w:left w:val="nil"/>
              <w:bottom w:val="nil"/>
              <w:right w:val="nil"/>
            </w:tcBorders>
            <w:shd w:val="clear" w:color="FFFFFF" w:fill="FFFFFF"/>
            <w:noWrap/>
            <w:vAlign w:val="bottom"/>
            <w:hideMark/>
          </w:tcPr>
          <w:p w14:paraId="065B87E2" w14:textId="77777777" w:rsidR="00520333" w:rsidRDefault="00520333" w:rsidP="005E5E0C">
            <w:pPr>
              <w:spacing w:after="0"/>
              <w:rPr>
                <w:rFonts w:cs="Arial"/>
                <w:sz w:val="18"/>
                <w:szCs w:val="18"/>
              </w:rPr>
            </w:pPr>
            <w:r>
              <w:rPr>
                <w:rFonts w:cs="Arial"/>
                <w:sz w:val="18"/>
                <w:szCs w:val="18"/>
              </w:rPr>
              <w:t> </w:t>
            </w:r>
          </w:p>
        </w:tc>
      </w:tr>
      <w:tr w:rsidR="00520333" w14:paraId="4709C83B" w14:textId="77777777" w:rsidTr="005E5E0C">
        <w:trPr>
          <w:trHeight w:val="493"/>
        </w:trPr>
        <w:tc>
          <w:tcPr>
            <w:tcW w:w="5283" w:type="dxa"/>
            <w:tcBorders>
              <w:top w:val="single" w:sz="4" w:space="0" w:color="auto"/>
              <w:left w:val="nil"/>
              <w:bottom w:val="nil"/>
              <w:right w:val="nil"/>
            </w:tcBorders>
            <w:shd w:val="clear" w:color="FFFFFF" w:fill="FFFFFF"/>
            <w:noWrap/>
            <w:vAlign w:val="bottom"/>
            <w:hideMark/>
          </w:tcPr>
          <w:p w14:paraId="2DDC6E49" w14:textId="77777777" w:rsidR="00520333" w:rsidRDefault="00520333" w:rsidP="005E5E0C">
            <w:pPr>
              <w:spacing w:after="0"/>
              <w:rPr>
                <w:rFonts w:cs="Arial"/>
                <w:sz w:val="18"/>
                <w:szCs w:val="18"/>
              </w:rPr>
            </w:pPr>
            <w:r>
              <w:rPr>
                <w:rFonts w:cs="Arial"/>
                <w:sz w:val="18"/>
                <w:szCs w:val="18"/>
              </w:rPr>
              <w:t> </w:t>
            </w:r>
          </w:p>
        </w:tc>
        <w:tc>
          <w:tcPr>
            <w:tcW w:w="1596" w:type="dxa"/>
            <w:tcBorders>
              <w:top w:val="single" w:sz="4" w:space="0" w:color="auto"/>
              <w:left w:val="nil"/>
              <w:bottom w:val="nil"/>
              <w:right w:val="nil"/>
            </w:tcBorders>
            <w:shd w:val="clear" w:color="FFFFFF" w:fill="FFFFFF"/>
            <w:vAlign w:val="bottom"/>
            <w:hideMark/>
          </w:tcPr>
          <w:p w14:paraId="7C7FA77B" w14:textId="77777777" w:rsidR="00520333" w:rsidRDefault="00520333" w:rsidP="005E5E0C">
            <w:pPr>
              <w:spacing w:after="0"/>
              <w:jc w:val="right"/>
              <w:rPr>
                <w:rFonts w:cs="Arial"/>
                <w:b/>
                <w:bCs/>
                <w:sz w:val="18"/>
                <w:szCs w:val="18"/>
              </w:rPr>
            </w:pPr>
            <w:r>
              <w:rPr>
                <w:rFonts w:cs="Arial"/>
                <w:b/>
                <w:bCs/>
                <w:sz w:val="18"/>
                <w:szCs w:val="18"/>
              </w:rPr>
              <w:t xml:space="preserve">Buildings </w:t>
            </w:r>
          </w:p>
        </w:tc>
        <w:tc>
          <w:tcPr>
            <w:tcW w:w="1380" w:type="dxa"/>
            <w:tcBorders>
              <w:top w:val="single" w:sz="4" w:space="0" w:color="auto"/>
              <w:left w:val="nil"/>
              <w:bottom w:val="nil"/>
              <w:right w:val="nil"/>
            </w:tcBorders>
            <w:shd w:val="clear" w:color="FFFFFF" w:fill="FFFFFF"/>
            <w:hideMark/>
          </w:tcPr>
          <w:p w14:paraId="48491188" w14:textId="77777777" w:rsidR="00520333" w:rsidRDefault="00520333" w:rsidP="005E5E0C">
            <w:pPr>
              <w:spacing w:after="0"/>
              <w:jc w:val="right"/>
              <w:rPr>
                <w:rFonts w:cs="Arial"/>
                <w:b/>
                <w:bCs/>
                <w:sz w:val="18"/>
                <w:szCs w:val="18"/>
              </w:rPr>
            </w:pPr>
            <w:r>
              <w:rPr>
                <w:rFonts w:cs="Arial"/>
                <w:b/>
                <w:bCs/>
                <w:sz w:val="18"/>
                <w:szCs w:val="18"/>
              </w:rPr>
              <w:t>Plant and equipment</w:t>
            </w:r>
          </w:p>
        </w:tc>
        <w:tc>
          <w:tcPr>
            <w:tcW w:w="1378" w:type="dxa"/>
            <w:tcBorders>
              <w:top w:val="single" w:sz="4" w:space="0" w:color="auto"/>
              <w:left w:val="nil"/>
              <w:bottom w:val="nil"/>
              <w:right w:val="nil"/>
            </w:tcBorders>
            <w:shd w:val="clear" w:color="FFFFFF" w:fill="FFFFFF"/>
            <w:vAlign w:val="bottom"/>
            <w:hideMark/>
          </w:tcPr>
          <w:p w14:paraId="36326998" w14:textId="77777777" w:rsidR="00520333" w:rsidRDefault="00520333" w:rsidP="005E5E0C">
            <w:pPr>
              <w:spacing w:after="0"/>
              <w:jc w:val="right"/>
              <w:rPr>
                <w:rFonts w:cs="Arial"/>
                <w:b/>
                <w:bCs/>
                <w:sz w:val="18"/>
                <w:szCs w:val="18"/>
              </w:rPr>
            </w:pPr>
            <w:r>
              <w:rPr>
                <w:rFonts w:cs="Arial"/>
                <w:b/>
                <w:bCs/>
                <w:sz w:val="18"/>
                <w:szCs w:val="18"/>
              </w:rPr>
              <w:t>Total</w:t>
            </w:r>
          </w:p>
        </w:tc>
      </w:tr>
      <w:tr w:rsidR="00520333" w14:paraId="6FA2E92D" w14:textId="77777777" w:rsidTr="005E5E0C">
        <w:trPr>
          <w:trHeight w:val="250"/>
        </w:trPr>
        <w:tc>
          <w:tcPr>
            <w:tcW w:w="5283" w:type="dxa"/>
            <w:tcBorders>
              <w:top w:val="nil"/>
              <w:left w:val="nil"/>
              <w:bottom w:val="single" w:sz="4" w:space="0" w:color="auto"/>
              <w:right w:val="nil"/>
            </w:tcBorders>
            <w:shd w:val="clear" w:color="FFFFFF" w:fill="FFFFFF"/>
            <w:noWrap/>
            <w:vAlign w:val="bottom"/>
            <w:hideMark/>
          </w:tcPr>
          <w:p w14:paraId="5D535B5F" w14:textId="77777777" w:rsidR="00520333" w:rsidRDefault="00520333" w:rsidP="005E5E0C">
            <w:pPr>
              <w:spacing w:after="0"/>
              <w:rPr>
                <w:rFonts w:cs="Arial"/>
                <w:sz w:val="18"/>
                <w:szCs w:val="18"/>
              </w:rPr>
            </w:pPr>
            <w:r>
              <w:rPr>
                <w:rFonts w:cs="Arial"/>
                <w:sz w:val="18"/>
                <w:szCs w:val="18"/>
              </w:rPr>
              <w:t> </w:t>
            </w:r>
          </w:p>
        </w:tc>
        <w:tc>
          <w:tcPr>
            <w:tcW w:w="1596" w:type="dxa"/>
            <w:tcBorders>
              <w:top w:val="nil"/>
              <w:left w:val="nil"/>
              <w:bottom w:val="single" w:sz="4" w:space="0" w:color="auto"/>
              <w:right w:val="nil"/>
            </w:tcBorders>
            <w:shd w:val="clear" w:color="FFFFFF" w:fill="FFFFFF"/>
            <w:vAlign w:val="bottom"/>
            <w:hideMark/>
          </w:tcPr>
          <w:p w14:paraId="61E5207B" w14:textId="77777777" w:rsidR="00520333" w:rsidRDefault="00520333" w:rsidP="005E5E0C">
            <w:pPr>
              <w:spacing w:after="0"/>
              <w:jc w:val="right"/>
              <w:rPr>
                <w:rFonts w:cs="Arial"/>
                <w:b/>
                <w:bCs/>
                <w:sz w:val="18"/>
                <w:szCs w:val="18"/>
              </w:rPr>
            </w:pPr>
            <w:r>
              <w:rPr>
                <w:rFonts w:cs="Arial"/>
                <w:b/>
                <w:bCs/>
                <w:sz w:val="18"/>
                <w:szCs w:val="18"/>
              </w:rPr>
              <w:t>$’000</w:t>
            </w:r>
          </w:p>
        </w:tc>
        <w:tc>
          <w:tcPr>
            <w:tcW w:w="1380" w:type="dxa"/>
            <w:tcBorders>
              <w:top w:val="nil"/>
              <w:left w:val="nil"/>
              <w:bottom w:val="single" w:sz="4" w:space="0" w:color="auto"/>
              <w:right w:val="nil"/>
            </w:tcBorders>
            <w:shd w:val="clear" w:color="FFFFFF" w:fill="FFFFFF"/>
            <w:vAlign w:val="bottom"/>
            <w:hideMark/>
          </w:tcPr>
          <w:p w14:paraId="2E1BE7C6" w14:textId="77777777" w:rsidR="00520333" w:rsidRDefault="00520333" w:rsidP="005E5E0C">
            <w:pPr>
              <w:spacing w:after="0"/>
              <w:jc w:val="right"/>
              <w:rPr>
                <w:rFonts w:cs="Arial"/>
                <w:b/>
                <w:bCs/>
                <w:sz w:val="18"/>
                <w:szCs w:val="18"/>
              </w:rPr>
            </w:pPr>
            <w:r>
              <w:rPr>
                <w:rFonts w:cs="Arial"/>
                <w:b/>
                <w:bCs/>
                <w:sz w:val="18"/>
                <w:szCs w:val="18"/>
              </w:rPr>
              <w:t>$’000</w:t>
            </w:r>
          </w:p>
        </w:tc>
        <w:tc>
          <w:tcPr>
            <w:tcW w:w="1378" w:type="dxa"/>
            <w:tcBorders>
              <w:top w:val="nil"/>
              <w:left w:val="nil"/>
              <w:bottom w:val="single" w:sz="4" w:space="0" w:color="auto"/>
              <w:right w:val="nil"/>
            </w:tcBorders>
            <w:shd w:val="clear" w:color="FFFFFF" w:fill="FFFFFF"/>
            <w:vAlign w:val="bottom"/>
            <w:hideMark/>
          </w:tcPr>
          <w:p w14:paraId="7F976FA4" w14:textId="77777777" w:rsidR="00520333" w:rsidRDefault="00520333" w:rsidP="005E5E0C">
            <w:pPr>
              <w:spacing w:after="0"/>
              <w:jc w:val="right"/>
              <w:rPr>
                <w:rFonts w:cs="Arial"/>
                <w:b/>
                <w:bCs/>
                <w:sz w:val="18"/>
                <w:szCs w:val="18"/>
              </w:rPr>
            </w:pPr>
            <w:r>
              <w:rPr>
                <w:rFonts w:cs="Arial"/>
                <w:b/>
                <w:bCs/>
                <w:sz w:val="18"/>
                <w:szCs w:val="18"/>
              </w:rPr>
              <w:t>$’000</w:t>
            </w:r>
          </w:p>
        </w:tc>
      </w:tr>
      <w:tr w:rsidR="00520333" w14:paraId="134C00BE" w14:textId="77777777" w:rsidTr="005E5E0C">
        <w:trPr>
          <w:trHeight w:val="250"/>
        </w:trPr>
        <w:tc>
          <w:tcPr>
            <w:tcW w:w="5283" w:type="dxa"/>
            <w:tcBorders>
              <w:top w:val="nil"/>
              <w:left w:val="nil"/>
              <w:bottom w:val="nil"/>
              <w:right w:val="nil"/>
            </w:tcBorders>
            <w:shd w:val="clear" w:color="FFFFFF" w:fill="FFFFFF"/>
            <w:vAlign w:val="bottom"/>
            <w:hideMark/>
          </w:tcPr>
          <w:p w14:paraId="57D85443" w14:textId="77777777" w:rsidR="00520333" w:rsidRDefault="00520333" w:rsidP="005E5E0C">
            <w:pPr>
              <w:spacing w:after="0"/>
              <w:rPr>
                <w:rFonts w:cs="Arial"/>
                <w:b/>
                <w:bCs/>
                <w:sz w:val="18"/>
                <w:szCs w:val="18"/>
              </w:rPr>
            </w:pPr>
            <w:r>
              <w:rPr>
                <w:rFonts w:cs="Arial"/>
                <w:b/>
                <w:bCs/>
                <w:sz w:val="18"/>
                <w:szCs w:val="18"/>
              </w:rPr>
              <w:t>As at 1 July 2023</w:t>
            </w:r>
          </w:p>
        </w:tc>
        <w:tc>
          <w:tcPr>
            <w:tcW w:w="1596" w:type="dxa"/>
            <w:tcBorders>
              <w:top w:val="nil"/>
              <w:left w:val="nil"/>
              <w:bottom w:val="nil"/>
              <w:right w:val="nil"/>
            </w:tcBorders>
            <w:shd w:val="clear" w:color="FFFFFF" w:fill="FFFFFF"/>
            <w:noWrap/>
            <w:vAlign w:val="bottom"/>
            <w:hideMark/>
          </w:tcPr>
          <w:p w14:paraId="2125845B" w14:textId="77777777" w:rsidR="00520333" w:rsidRDefault="00520333" w:rsidP="005E5E0C">
            <w:pPr>
              <w:spacing w:after="0"/>
              <w:rPr>
                <w:rFonts w:cs="Arial"/>
                <w:sz w:val="18"/>
                <w:szCs w:val="18"/>
              </w:rPr>
            </w:pPr>
            <w:r>
              <w:rPr>
                <w:rFonts w:cs="Arial"/>
                <w:sz w:val="18"/>
                <w:szCs w:val="18"/>
              </w:rPr>
              <w:t> </w:t>
            </w:r>
          </w:p>
        </w:tc>
        <w:tc>
          <w:tcPr>
            <w:tcW w:w="1380" w:type="dxa"/>
            <w:tcBorders>
              <w:top w:val="nil"/>
              <w:left w:val="nil"/>
              <w:bottom w:val="nil"/>
              <w:right w:val="nil"/>
            </w:tcBorders>
            <w:shd w:val="clear" w:color="FFFFFF" w:fill="FFFFFF"/>
            <w:noWrap/>
            <w:vAlign w:val="bottom"/>
            <w:hideMark/>
          </w:tcPr>
          <w:p w14:paraId="37534DC2" w14:textId="77777777" w:rsidR="00520333" w:rsidRDefault="00520333" w:rsidP="005E5E0C">
            <w:pPr>
              <w:spacing w:after="0"/>
              <w:rPr>
                <w:rFonts w:cs="Arial"/>
                <w:sz w:val="18"/>
                <w:szCs w:val="18"/>
              </w:rPr>
            </w:pPr>
            <w:r>
              <w:rPr>
                <w:rFonts w:cs="Arial"/>
                <w:sz w:val="18"/>
                <w:szCs w:val="18"/>
              </w:rPr>
              <w:t> </w:t>
            </w:r>
          </w:p>
        </w:tc>
        <w:tc>
          <w:tcPr>
            <w:tcW w:w="1378" w:type="dxa"/>
            <w:tcBorders>
              <w:top w:val="nil"/>
              <w:left w:val="nil"/>
              <w:bottom w:val="nil"/>
              <w:right w:val="nil"/>
            </w:tcBorders>
            <w:shd w:val="clear" w:color="FFFFFF" w:fill="FFFFFF"/>
            <w:noWrap/>
            <w:vAlign w:val="bottom"/>
            <w:hideMark/>
          </w:tcPr>
          <w:p w14:paraId="11DAD5E2" w14:textId="77777777" w:rsidR="00520333" w:rsidRDefault="00520333" w:rsidP="005E5E0C">
            <w:pPr>
              <w:spacing w:after="0"/>
              <w:rPr>
                <w:rFonts w:cs="Arial"/>
                <w:sz w:val="18"/>
                <w:szCs w:val="18"/>
              </w:rPr>
            </w:pPr>
            <w:r>
              <w:rPr>
                <w:rFonts w:cs="Arial"/>
                <w:sz w:val="18"/>
                <w:szCs w:val="18"/>
              </w:rPr>
              <w:t> </w:t>
            </w:r>
          </w:p>
        </w:tc>
      </w:tr>
      <w:tr w:rsidR="00520333" w14:paraId="68E79D56" w14:textId="77777777" w:rsidTr="005E5E0C">
        <w:trPr>
          <w:trHeight w:val="250"/>
        </w:trPr>
        <w:tc>
          <w:tcPr>
            <w:tcW w:w="5283" w:type="dxa"/>
            <w:tcBorders>
              <w:top w:val="nil"/>
              <w:left w:val="nil"/>
              <w:bottom w:val="nil"/>
              <w:right w:val="nil"/>
            </w:tcBorders>
            <w:shd w:val="clear" w:color="FFFFFF" w:fill="FFFFFF"/>
            <w:vAlign w:val="bottom"/>
            <w:hideMark/>
          </w:tcPr>
          <w:p w14:paraId="65C530FE" w14:textId="77777777" w:rsidR="00520333" w:rsidRDefault="00520333" w:rsidP="005E5E0C">
            <w:pPr>
              <w:spacing w:after="0"/>
              <w:rPr>
                <w:rFonts w:cs="Arial"/>
                <w:sz w:val="18"/>
                <w:szCs w:val="18"/>
              </w:rPr>
            </w:pPr>
            <w:r>
              <w:rPr>
                <w:rFonts w:cs="Arial"/>
                <w:sz w:val="18"/>
                <w:szCs w:val="18"/>
              </w:rPr>
              <w:t>Gross book value</w:t>
            </w:r>
          </w:p>
        </w:tc>
        <w:tc>
          <w:tcPr>
            <w:tcW w:w="1596" w:type="dxa"/>
            <w:tcBorders>
              <w:top w:val="nil"/>
              <w:left w:val="nil"/>
              <w:bottom w:val="nil"/>
              <w:right w:val="nil"/>
            </w:tcBorders>
            <w:shd w:val="clear" w:color="FFFFFF" w:fill="FFFFFF"/>
            <w:noWrap/>
            <w:vAlign w:val="bottom"/>
            <w:hideMark/>
          </w:tcPr>
          <w:p w14:paraId="58F57469" w14:textId="77777777" w:rsidR="00520333" w:rsidRDefault="00520333" w:rsidP="005E5E0C">
            <w:pPr>
              <w:spacing w:after="0"/>
              <w:jc w:val="right"/>
              <w:rPr>
                <w:rFonts w:cs="Arial"/>
                <w:b/>
                <w:bCs/>
                <w:sz w:val="18"/>
                <w:szCs w:val="18"/>
              </w:rPr>
            </w:pPr>
            <w:r>
              <w:rPr>
                <w:rFonts w:cs="Arial"/>
                <w:b/>
                <w:bCs/>
                <w:sz w:val="18"/>
                <w:szCs w:val="18"/>
              </w:rPr>
              <w:t>373,620</w:t>
            </w:r>
          </w:p>
        </w:tc>
        <w:tc>
          <w:tcPr>
            <w:tcW w:w="1380" w:type="dxa"/>
            <w:tcBorders>
              <w:top w:val="nil"/>
              <w:left w:val="nil"/>
              <w:bottom w:val="nil"/>
              <w:right w:val="nil"/>
            </w:tcBorders>
            <w:shd w:val="clear" w:color="FFFFFF" w:fill="FFFFFF"/>
            <w:noWrap/>
            <w:vAlign w:val="bottom"/>
            <w:hideMark/>
          </w:tcPr>
          <w:p w14:paraId="5B7FCED0" w14:textId="77777777" w:rsidR="00520333" w:rsidRDefault="00520333" w:rsidP="005E5E0C">
            <w:pPr>
              <w:spacing w:after="0"/>
              <w:jc w:val="right"/>
              <w:rPr>
                <w:rFonts w:cs="Arial"/>
                <w:b/>
                <w:bCs/>
                <w:sz w:val="18"/>
                <w:szCs w:val="18"/>
              </w:rPr>
            </w:pPr>
            <w:r>
              <w:rPr>
                <w:rFonts w:cs="Arial"/>
                <w:b/>
                <w:bCs/>
                <w:sz w:val="18"/>
                <w:szCs w:val="18"/>
              </w:rPr>
              <w:t>17,601</w:t>
            </w:r>
          </w:p>
        </w:tc>
        <w:tc>
          <w:tcPr>
            <w:tcW w:w="1378" w:type="dxa"/>
            <w:tcBorders>
              <w:top w:val="nil"/>
              <w:left w:val="nil"/>
              <w:bottom w:val="nil"/>
              <w:right w:val="nil"/>
            </w:tcBorders>
            <w:shd w:val="clear" w:color="FFFFFF" w:fill="FFFFFF"/>
            <w:noWrap/>
            <w:vAlign w:val="bottom"/>
            <w:hideMark/>
          </w:tcPr>
          <w:p w14:paraId="512DE644" w14:textId="77777777" w:rsidR="00520333" w:rsidRDefault="00520333" w:rsidP="005E5E0C">
            <w:pPr>
              <w:spacing w:after="0"/>
              <w:jc w:val="right"/>
              <w:rPr>
                <w:rFonts w:cs="Arial"/>
                <w:b/>
                <w:bCs/>
                <w:sz w:val="18"/>
                <w:szCs w:val="18"/>
              </w:rPr>
            </w:pPr>
            <w:r>
              <w:rPr>
                <w:rFonts w:cs="Arial"/>
                <w:b/>
                <w:bCs/>
                <w:sz w:val="18"/>
                <w:szCs w:val="18"/>
              </w:rPr>
              <w:t>391,221</w:t>
            </w:r>
          </w:p>
        </w:tc>
      </w:tr>
      <w:tr w:rsidR="00520333" w14:paraId="22D4FBB4" w14:textId="77777777" w:rsidTr="005E5E0C">
        <w:trPr>
          <w:trHeight w:val="250"/>
        </w:trPr>
        <w:tc>
          <w:tcPr>
            <w:tcW w:w="5283" w:type="dxa"/>
            <w:tcBorders>
              <w:top w:val="nil"/>
              <w:left w:val="nil"/>
              <w:bottom w:val="nil"/>
              <w:right w:val="nil"/>
            </w:tcBorders>
            <w:shd w:val="clear" w:color="FFFFFF" w:fill="FFFFFF"/>
            <w:vAlign w:val="bottom"/>
            <w:hideMark/>
          </w:tcPr>
          <w:p w14:paraId="188BD5E5" w14:textId="77777777" w:rsidR="00520333" w:rsidRDefault="00520333" w:rsidP="005E5E0C">
            <w:pPr>
              <w:spacing w:after="0"/>
              <w:rPr>
                <w:rFonts w:cs="Arial"/>
                <w:sz w:val="18"/>
                <w:szCs w:val="18"/>
              </w:rPr>
            </w:pPr>
            <w:r>
              <w:rPr>
                <w:rFonts w:cs="Arial"/>
                <w:sz w:val="18"/>
                <w:szCs w:val="18"/>
              </w:rPr>
              <w:t>Accumulated depreciation and impairment</w:t>
            </w:r>
          </w:p>
        </w:tc>
        <w:tc>
          <w:tcPr>
            <w:tcW w:w="1596" w:type="dxa"/>
            <w:tcBorders>
              <w:top w:val="nil"/>
              <w:left w:val="nil"/>
              <w:bottom w:val="nil"/>
              <w:right w:val="nil"/>
            </w:tcBorders>
            <w:shd w:val="clear" w:color="FFFFFF" w:fill="FFFFFF"/>
            <w:noWrap/>
            <w:vAlign w:val="bottom"/>
            <w:hideMark/>
          </w:tcPr>
          <w:p w14:paraId="47996A03" w14:textId="77777777" w:rsidR="00520333" w:rsidRDefault="00520333" w:rsidP="005E5E0C">
            <w:pPr>
              <w:spacing w:after="0"/>
              <w:jc w:val="right"/>
              <w:rPr>
                <w:rFonts w:cs="Arial"/>
                <w:b/>
                <w:bCs/>
                <w:sz w:val="18"/>
                <w:szCs w:val="18"/>
              </w:rPr>
            </w:pPr>
            <w:r>
              <w:rPr>
                <w:rFonts w:cs="Arial"/>
                <w:b/>
                <w:bCs/>
                <w:sz w:val="18"/>
                <w:szCs w:val="18"/>
              </w:rPr>
              <w:t>(149,807)</w:t>
            </w:r>
          </w:p>
        </w:tc>
        <w:tc>
          <w:tcPr>
            <w:tcW w:w="1380" w:type="dxa"/>
            <w:tcBorders>
              <w:top w:val="nil"/>
              <w:left w:val="nil"/>
              <w:bottom w:val="nil"/>
              <w:right w:val="nil"/>
            </w:tcBorders>
            <w:shd w:val="clear" w:color="FFFFFF" w:fill="FFFFFF"/>
            <w:noWrap/>
            <w:vAlign w:val="bottom"/>
            <w:hideMark/>
          </w:tcPr>
          <w:p w14:paraId="6384DB4A" w14:textId="77777777" w:rsidR="00520333" w:rsidRDefault="00520333" w:rsidP="005E5E0C">
            <w:pPr>
              <w:spacing w:after="0"/>
              <w:jc w:val="right"/>
              <w:rPr>
                <w:rFonts w:cs="Arial"/>
                <w:b/>
                <w:bCs/>
                <w:sz w:val="18"/>
                <w:szCs w:val="18"/>
              </w:rPr>
            </w:pPr>
            <w:r>
              <w:rPr>
                <w:rFonts w:cs="Arial"/>
                <w:b/>
                <w:bCs/>
                <w:sz w:val="18"/>
                <w:szCs w:val="18"/>
              </w:rPr>
              <w:t>(8,553)</w:t>
            </w:r>
          </w:p>
        </w:tc>
        <w:tc>
          <w:tcPr>
            <w:tcW w:w="1378" w:type="dxa"/>
            <w:tcBorders>
              <w:top w:val="nil"/>
              <w:left w:val="nil"/>
              <w:bottom w:val="nil"/>
              <w:right w:val="nil"/>
            </w:tcBorders>
            <w:shd w:val="clear" w:color="FFFFFF" w:fill="FFFFFF"/>
            <w:noWrap/>
            <w:vAlign w:val="bottom"/>
            <w:hideMark/>
          </w:tcPr>
          <w:p w14:paraId="7ADD9CCA" w14:textId="77777777" w:rsidR="00520333" w:rsidRDefault="00520333" w:rsidP="005E5E0C">
            <w:pPr>
              <w:spacing w:after="0"/>
              <w:jc w:val="right"/>
              <w:rPr>
                <w:rFonts w:cs="Arial"/>
                <w:b/>
                <w:bCs/>
                <w:sz w:val="18"/>
                <w:szCs w:val="18"/>
              </w:rPr>
            </w:pPr>
            <w:r>
              <w:rPr>
                <w:rFonts w:cs="Arial"/>
                <w:b/>
                <w:bCs/>
                <w:sz w:val="18"/>
                <w:szCs w:val="18"/>
              </w:rPr>
              <w:t>(158,360)</w:t>
            </w:r>
          </w:p>
        </w:tc>
      </w:tr>
      <w:tr w:rsidR="00520333" w14:paraId="030CBBFC" w14:textId="77777777" w:rsidTr="005E5E0C">
        <w:trPr>
          <w:trHeight w:val="250"/>
        </w:trPr>
        <w:tc>
          <w:tcPr>
            <w:tcW w:w="5283" w:type="dxa"/>
            <w:tcBorders>
              <w:top w:val="single" w:sz="4" w:space="0" w:color="auto"/>
              <w:left w:val="nil"/>
              <w:bottom w:val="single" w:sz="4" w:space="0" w:color="auto"/>
              <w:right w:val="nil"/>
            </w:tcBorders>
            <w:shd w:val="clear" w:color="FFFFFF" w:fill="FFFFFF"/>
            <w:vAlign w:val="bottom"/>
            <w:hideMark/>
          </w:tcPr>
          <w:p w14:paraId="5FC8E7DA" w14:textId="77777777" w:rsidR="00520333" w:rsidRDefault="00520333" w:rsidP="005E5E0C">
            <w:pPr>
              <w:spacing w:after="0"/>
              <w:rPr>
                <w:rFonts w:cs="Arial"/>
                <w:b/>
                <w:bCs/>
                <w:sz w:val="18"/>
                <w:szCs w:val="18"/>
              </w:rPr>
            </w:pPr>
            <w:r>
              <w:rPr>
                <w:rFonts w:cs="Arial"/>
                <w:b/>
                <w:bCs/>
                <w:sz w:val="18"/>
                <w:szCs w:val="18"/>
              </w:rPr>
              <w:t>Net book value as at 1 July 2023</w:t>
            </w:r>
          </w:p>
        </w:tc>
        <w:tc>
          <w:tcPr>
            <w:tcW w:w="1596" w:type="dxa"/>
            <w:tcBorders>
              <w:top w:val="single" w:sz="4" w:space="0" w:color="auto"/>
              <w:left w:val="nil"/>
              <w:bottom w:val="single" w:sz="4" w:space="0" w:color="auto"/>
              <w:right w:val="nil"/>
            </w:tcBorders>
            <w:shd w:val="clear" w:color="FFFFFF" w:fill="FFFFFF"/>
            <w:noWrap/>
            <w:vAlign w:val="bottom"/>
            <w:hideMark/>
          </w:tcPr>
          <w:p w14:paraId="397390A1" w14:textId="77777777" w:rsidR="00520333" w:rsidRDefault="00520333" w:rsidP="005E5E0C">
            <w:pPr>
              <w:spacing w:after="0"/>
              <w:jc w:val="right"/>
              <w:rPr>
                <w:rFonts w:cs="Arial"/>
                <w:b/>
                <w:bCs/>
                <w:sz w:val="18"/>
                <w:szCs w:val="18"/>
              </w:rPr>
            </w:pPr>
            <w:r>
              <w:rPr>
                <w:rFonts w:cs="Arial"/>
                <w:b/>
                <w:bCs/>
                <w:sz w:val="18"/>
                <w:szCs w:val="18"/>
              </w:rPr>
              <w:t>223,813</w:t>
            </w:r>
          </w:p>
        </w:tc>
        <w:tc>
          <w:tcPr>
            <w:tcW w:w="1380" w:type="dxa"/>
            <w:tcBorders>
              <w:top w:val="single" w:sz="4" w:space="0" w:color="auto"/>
              <w:left w:val="nil"/>
              <w:bottom w:val="single" w:sz="4" w:space="0" w:color="auto"/>
              <w:right w:val="nil"/>
            </w:tcBorders>
            <w:shd w:val="clear" w:color="FFFFFF" w:fill="FFFFFF"/>
            <w:noWrap/>
            <w:vAlign w:val="bottom"/>
            <w:hideMark/>
          </w:tcPr>
          <w:p w14:paraId="218042B0" w14:textId="77777777" w:rsidR="00520333" w:rsidRDefault="00520333" w:rsidP="005E5E0C">
            <w:pPr>
              <w:spacing w:after="0"/>
              <w:jc w:val="right"/>
              <w:rPr>
                <w:rFonts w:cs="Arial"/>
                <w:b/>
                <w:bCs/>
                <w:sz w:val="18"/>
                <w:szCs w:val="18"/>
              </w:rPr>
            </w:pPr>
            <w:r>
              <w:rPr>
                <w:rFonts w:cs="Arial"/>
                <w:b/>
                <w:bCs/>
                <w:sz w:val="18"/>
                <w:szCs w:val="18"/>
              </w:rPr>
              <w:t>9,048</w:t>
            </w:r>
          </w:p>
        </w:tc>
        <w:tc>
          <w:tcPr>
            <w:tcW w:w="1378" w:type="dxa"/>
            <w:tcBorders>
              <w:top w:val="single" w:sz="4" w:space="0" w:color="auto"/>
              <w:left w:val="nil"/>
              <w:bottom w:val="single" w:sz="4" w:space="0" w:color="auto"/>
              <w:right w:val="nil"/>
            </w:tcBorders>
            <w:shd w:val="clear" w:color="FFFFFF" w:fill="FFFFFF"/>
            <w:noWrap/>
            <w:vAlign w:val="bottom"/>
            <w:hideMark/>
          </w:tcPr>
          <w:p w14:paraId="508B1761" w14:textId="77777777" w:rsidR="00520333" w:rsidRDefault="00520333" w:rsidP="005E5E0C">
            <w:pPr>
              <w:spacing w:after="0"/>
              <w:jc w:val="right"/>
              <w:rPr>
                <w:rFonts w:cs="Arial"/>
                <w:b/>
                <w:bCs/>
                <w:sz w:val="18"/>
                <w:szCs w:val="18"/>
              </w:rPr>
            </w:pPr>
            <w:r>
              <w:rPr>
                <w:rFonts w:cs="Arial"/>
                <w:b/>
                <w:bCs/>
                <w:sz w:val="18"/>
                <w:szCs w:val="18"/>
              </w:rPr>
              <w:t>232,861</w:t>
            </w:r>
          </w:p>
        </w:tc>
      </w:tr>
      <w:tr w:rsidR="00520333" w14:paraId="24984893" w14:textId="77777777" w:rsidTr="005E5E0C">
        <w:trPr>
          <w:trHeight w:val="250"/>
        </w:trPr>
        <w:tc>
          <w:tcPr>
            <w:tcW w:w="5283" w:type="dxa"/>
            <w:tcBorders>
              <w:top w:val="nil"/>
              <w:left w:val="nil"/>
              <w:bottom w:val="nil"/>
              <w:right w:val="nil"/>
            </w:tcBorders>
            <w:shd w:val="clear" w:color="FFFFFF" w:fill="FFFFFF"/>
            <w:noWrap/>
            <w:vAlign w:val="bottom"/>
            <w:hideMark/>
          </w:tcPr>
          <w:p w14:paraId="1A945A90" w14:textId="77777777" w:rsidR="00520333" w:rsidRDefault="00520333" w:rsidP="005E5E0C">
            <w:pPr>
              <w:spacing w:after="0"/>
              <w:rPr>
                <w:rFonts w:cs="Arial"/>
                <w:b/>
                <w:bCs/>
                <w:sz w:val="18"/>
                <w:szCs w:val="18"/>
              </w:rPr>
            </w:pPr>
            <w:r>
              <w:rPr>
                <w:rFonts w:cs="Arial"/>
                <w:b/>
                <w:bCs/>
                <w:sz w:val="18"/>
                <w:szCs w:val="18"/>
              </w:rPr>
              <w:t> </w:t>
            </w:r>
          </w:p>
        </w:tc>
        <w:tc>
          <w:tcPr>
            <w:tcW w:w="1596" w:type="dxa"/>
            <w:tcBorders>
              <w:top w:val="nil"/>
              <w:left w:val="nil"/>
              <w:bottom w:val="nil"/>
              <w:right w:val="nil"/>
            </w:tcBorders>
            <w:shd w:val="clear" w:color="FFFFFF" w:fill="FFFFFF"/>
            <w:noWrap/>
            <w:vAlign w:val="bottom"/>
            <w:hideMark/>
          </w:tcPr>
          <w:p w14:paraId="4862F9A4" w14:textId="77777777" w:rsidR="00520333" w:rsidRDefault="00520333" w:rsidP="005E5E0C">
            <w:pPr>
              <w:spacing w:after="0"/>
              <w:jc w:val="right"/>
              <w:rPr>
                <w:rFonts w:cs="Arial"/>
                <w:b/>
                <w:bCs/>
                <w:sz w:val="18"/>
                <w:szCs w:val="18"/>
              </w:rPr>
            </w:pPr>
            <w:r>
              <w:rPr>
                <w:rFonts w:cs="Arial"/>
                <w:b/>
                <w:bCs/>
                <w:sz w:val="18"/>
                <w:szCs w:val="18"/>
              </w:rPr>
              <w:t> </w:t>
            </w:r>
          </w:p>
        </w:tc>
        <w:tc>
          <w:tcPr>
            <w:tcW w:w="1380" w:type="dxa"/>
            <w:tcBorders>
              <w:top w:val="nil"/>
              <w:left w:val="nil"/>
              <w:bottom w:val="nil"/>
              <w:right w:val="nil"/>
            </w:tcBorders>
            <w:shd w:val="clear" w:color="FFFFFF" w:fill="FFFFFF"/>
            <w:noWrap/>
            <w:vAlign w:val="bottom"/>
            <w:hideMark/>
          </w:tcPr>
          <w:p w14:paraId="180FE352" w14:textId="77777777" w:rsidR="00520333" w:rsidRDefault="00520333" w:rsidP="005E5E0C">
            <w:pPr>
              <w:spacing w:after="0"/>
              <w:jc w:val="right"/>
              <w:rPr>
                <w:rFonts w:cs="Arial"/>
                <w:b/>
                <w:bCs/>
                <w:sz w:val="18"/>
                <w:szCs w:val="18"/>
              </w:rPr>
            </w:pPr>
            <w:r>
              <w:rPr>
                <w:rFonts w:cs="Arial"/>
                <w:b/>
                <w:bCs/>
                <w:sz w:val="18"/>
                <w:szCs w:val="18"/>
              </w:rPr>
              <w:t> </w:t>
            </w:r>
          </w:p>
        </w:tc>
        <w:tc>
          <w:tcPr>
            <w:tcW w:w="1378" w:type="dxa"/>
            <w:tcBorders>
              <w:top w:val="nil"/>
              <w:left w:val="nil"/>
              <w:bottom w:val="nil"/>
              <w:right w:val="nil"/>
            </w:tcBorders>
            <w:shd w:val="clear" w:color="FFFFFF" w:fill="FFFFFF"/>
            <w:noWrap/>
            <w:vAlign w:val="bottom"/>
            <w:hideMark/>
          </w:tcPr>
          <w:p w14:paraId="349072FE" w14:textId="77777777" w:rsidR="00520333" w:rsidRDefault="00520333" w:rsidP="005E5E0C">
            <w:pPr>
              <w:spacing w:after="0"/>
              <w:jc w:val="right"/>
              <w:rPr>
                <w:rFonts w:cs="Arial"/>
                <w:b/>
                <w:bCs/>
                <w:sz w:val="18"/>
                <w:szCs w:val="18"/>
              </w:rPr>
            </w:pPr>
            <w:r>
              <w:rPr>
                <w:rFonts w:cs="Arial"/>
                <w:b/>
                <w:bCs/>
                <w:sz w:val="18"/>
                <w:szCs w:val="18"/>
              </w:rPr>
              <w:t> </w:t>
            </w:r>
          </w:p>
        </w:tc>
      </w:tr>
      <w:tr w:rsidR="00520333" w14:paraId="1911EE71" w14:textId="77777777" w:rsidTr="005E5E0C">
        <w:trPr>
          <w:trHeight w:val="250"/>
        </w:trPr>
        <w:tc>
          <w:tcPr>
            <w:tcW w:w="5283" w:type="dxa"/>
            <w:tcBorders>
              <w:top w:val="nil"/>
              <w:left w:val="nil"/>
              <w:bottom w:val="nil"/>
              <w:right w:val="nil"/>
            </w:tcBorders>
            <w:shd w:val="clear" w:color="FFFFFF" w:fill="FFFFFF"/>
            <w:vAlign w:val="bottom"/>
            <w:hideMark/>
          </w:tcPr>
          <w:p w14:paraId="01250221" w14:textId="77777777" w:rsidR="00520333" w:rsidRDefault="00520333" w:rsidP="005E5E0C">
            <w:pPr>
              <w:spacing w:after="0"/>
              <w:rPr>
                <w:rFonts w:cs="Arial"/>
                <w:sz w:val="18"/>
                <w:szCs w:val="18"/>
              </w:rPr>
            </w:pPr>
            <w:r>
              <w:rPr>
                <w:rFonts w:cs="Arial"/>
                <w:sz w:val="18"/>
                <w:szCs w:val="18"/>
              </w:rPr>
              <w:t>Additions</w:t>
            </w:r>
          </w:p>
        </w:tc>
        <w:tc>
          <w:tcPr>
            <w:tcW w:w="1596" w:type="dxa"/>
            <w:tcBorders>
              <w:top w:val="nil"/>
              <w:left w:val="nil"/>
              <w:bottom w:val="nil"/>
              <w:right w:val="nil"/>
            </w:tcBorders>
            <w:shd w:val="clear" w:color="FFFFFF" w:fill="FFFFFF"/>
            <w:noWrap/>
            <w:vAlign w:val="bottom"/>
            <w:hideMark/>
          </w:tcPr>
          <w:p w14:paraId="03CF4D7C" w14:textId="77777777" w:rsidR="00520333" w:rsidRDefault="00520333" w:rsidP="005E5E0C">
            <w:pPr>
              <w:spacing w:after="0"/>
              <w:jc w:val="right"/>
              <w:rPr>
                <w:rFonts w:cs="Arial"/>
                <w:b/>
                <w:bCs/>
                <w:sz w:val="18"/>
                <w:szCs w:val="18"/>
              </w:rPr>
            </w:pPr>
            <w:r>
              <w:rPr>
                <w:rFonts w:cs="Arial"/>
                <w:b/>
                <w:bCs/>
                <w:sz w:val="18"/>
                <w:szCs w:val="18"/>
              </w:rPr>
              <w:t> </w:t>
            </w:r>
          </w:p>
        </w:tc>
        <w:tc>
          <w:tcPr>
            <w:tcW w:w="1380" w:type="dxa"/>
            <w:tcBorders>
              <w:top w:val="nil"/>
              <w:left w:val="nil"/>
              <w:bottom w:val="nil"/>
              <w:right w:val="nil"/>
            </w:tcBorders>
            <w:shd w:val="clear" w:color="FFFFFF" w:fill="FFFFFF"/>
            <w:noWrap/>
            <w:vAlign w:val="bottom"/>
            <w:hideMark/>
          </w:tcPr>
          <w:p w14:paraId="42DC48F1" w14:textId="77777777" w:rsidR="00520333" w:rsidRDefault="00520333" w:rsidP="005E5E0C">
            <w:pPr>
              <w:spacing w:after="0"/>
              <w:jc w:val="right"/>
              <w:rPr>
                <w:rFonts w:cs="Arial"/>
                <w:b/>
                <w:bCs/>
                <w:sz w:val="18"/>
                <w:szCs w:val="18"/>
              </w:rPr>
            </w:pPr>
            <w:r>
              <w:rPr>
                <w:rFonts w:cs="Arial"/>
                <w:b/>
                <w:bCs/>
                <w:sz w:val="18"/>
                <w:szCs w:val="18"/>
              </w:rPr>
              <w:t> </w:t>
            </w:r>
          </w:p>
        </w:tc>
        <w:tc>
          <w:tcPr>
            <w:tcW w:w="1378" w:type="dxa"/>
            <w:tcBorders>
              <w:top w:val="nil"/>
              <w:left w:val="nil"/>
              <w:bottom w:val="nil"/>
              <w:right w:val="nil"/>
            </w:tcBorders>
            <w:shd w:val="clear" w:color="FFFFFF" w:fill="FFFFFF"/>
            <w:noWrap/>
            <w:vAlign w:val="bottom"/>
            <w:hideMark/>
          </w:tcPr>
          <w:p w14:paraId="17E7220C" w14:textId="77777777" w:rsidR="00520333" w:rsidRDefault="00520333" w:rsidP="005E5E0C">
            <w:pPr>
              <w:spacing w:after="0"/>
              <w:jc w:val="right"/>
              <w:rPr>
                <w:rFonts w:cs="Arial"/>
                <w:b/>
                <w:bCs/>
                <w:sz w:val="18"/>
                <w:szCs w:val="18"/>
              </w:rPr>
            </w:pPr>
            <w:r>
              <w:rPr>
                <w:rFonts w:cs="Arial"/>
                <w:b/>
                <w:bCs/>
                <w:sz w:val="18"/>
                <w:szCs w:val="18"/>
              </w:rPr>
              <w:t> </w:t>
            </w:r>
          </w:p>
        </w:tc>
      </w:tr>
      <w:tr w:rsidR="00520333" w14:paraId="5A29A764" w14:textId="77777777" w:rsidTr="005E5E0C">
        <w:trPr>
          <w:trHeight w:val="250"/>
        </w:trPr>
        <w:tc>
          <w:tcPr>
            <w:tcW w:w="5283" w:type="dxa"/>
            <w:tcBorders>
              <w:top w:val="nil"/>
              <w:left w:val="nil"/>
              <w:bottom w:val="nil"/>
              <w:right w:val="nil"/>
            </w:tcBorders>
            <w:shd w:val="clear" w:color="FFFFFF" w:fill="FFFFFF"/>
            <w:noWrap/>
            <w:vAlign w:val="bottom"/>
            <w:hideMark/>
          </w:tcPr>
          <w:p w14:paraId="5FF534D9" w14:textId="77777777" w:rsidR="00520333" w:rsidRDefault="00520333" w:rsidP="005E5E0C">
            <w:pPr>
              <w:spacing w:after="0"/>
              <w:ind w:leftChars="100" w:left="240"/>
              <w:rPr>
                <w:rFonts w:cs="Arial"/>
                <w:sz w:val="18"/>
                <w:szCs w:val="18"/>
              </w:rPr>
            </w:pPr>
            <w:r>
              <w:rPr>
                <w:rFonts w:cs="Arial"/>
                <w:sz w:val="18"/>
                <w:szCs w:val="18"/>
              </w:rPr>
              <w:t>Purchases</w:t>
            </w:r>
          </w:p>
        </w:tc>
        <w:tc>
          <w:tcPr>
            <w:tcW w:w="1596" w:type="dxa"/>
            <w:tcBorders>
              <w:top w:val="nil"/>
              <w:left w:val="nil"/>
              <w:bottom w:val="nil"/>
              <w:right w:val="nil"/>
            </w:tcBorders>
            <w:shd w:val="clear" w:color="FFFFFF" w:fill="FFFFFF"/>
            <w:noWrap/>
            <w:vAlign w:val="bottom"/>
            <w:hideMark/>
          </w:tcPr>
          <w:p w14:paraId="5CF953D4" w14:textId="77777777" w:rsidR="00520333" w:rsidRDefault="00520333" w:rsidP="005E5E0C">
            <w:pPr>
              <w:spacing w:after="0"/>
              <w:jc w:val="right"/>
              <w:rPr>
                <w:rFonts w:cs="Arial"/>
                <w:b/>
                <w:bCs/>
                <w:sz w:val="18"/>
                <w:szCs w:val="18"/>
              </w:rPr>
            </w:pPr>
            <w:r>
              <w:rPr>
                <w:rFonts w:cs="Arial"/>
                <w:b/>
                <w:bCs/>
                <w:sz w:val="18"/>
                <w:szCs w:val="18"/>
              </w:rPr>
              <w:t>19,572</w:t>
            </w:r>
          </w:p>
        </w:tc>
        <w:tc>
          <w:tcPr>
            <w:tcW w:w="1380" w:type="dxa"/>
            <w:tcBorders>
              <w:top w:val="nil"/>
              <w:left w:val="nil"/>
              <w:bottom w:val="nil"/>
              <w:right w:val="nil"/>
            </w:tcBorders>
            <w:shd w:val="clear" w:color="FFFFFF" w:fill="FFFFFF"/>
            <w:noWrap/>
            <w:vAlign w:val="bottom"/>
            <w:hideMark/>
          </w:tcPr>
          <w:p w14:paraId="6411D48A" w14:textId="77777777" w:rsidR="00520333" w:rsidRDefault="00520333" w:rsidP="005E5E0C">
            <w:pPr>
              <w:spacing w:after="0"/>
              <w:jc w:val="right"/>
              <w:rPr>
                <w:rFonts w:cs="Arial"/>
                <w:b/>
                <w:bCs/>
                <w:sz w:val="18"/>
                <w:szCs w:val="18"/>
              </w:rPr>
            </w:pPr>
            <w:r>
              <w:rPr>
                <w:rFonts w:cs="Arial"/>
                <w:b/>
                <w:bCs/>
                <w:sz w:val="18"/>
                <w:szCs w:val="18"/>
              </w:rPr>
              <w:t>5,671</w:t>
            </w:r>
          </w:p>
        </w:tc>
        <w:tc>
          <w:tcPr>
            <w:tcW w:w="1378" w:type="dxa"/>
            <w:tcBorders>
              <w:top w:val="nil"/>
              <w:left w:val="nil"/>
              <w:bottom w:val="nil"/>
              <w:right w:val="nil"/>
            </w:tcBorders>
            <w:shd w:val="clear" w:color="FFFFFF" w:fill="FFFFFF"/>
            <w:noWrap/>
            <w:vAlign w:val="bottom"/>
            <w:hideMark/>
          </w:tcPr>
          <w:p w14:paraId="1B139AE3" w14:textId="77777777" w:rsidR="00520333" w:rsidRDefault="00520333" w:rsidP="005E5E0C">
            <w:pPr>
              <w:spacing w:after="0"/>
              <w:jc w:val="right"/>
              <w:rPr>
                <w:rFonts w:cs="Arial"/>
                <w:b/>
                <w:bCs/>
                <w:sz w:val="18"/>
                <w:szCs w:val="18"/>
              </w:rPr>
            </w:pPr>
            <w:r>
              <w:rPr>
                <w:rFonts w:cs="Arial"/>
                <w:b/>
                <w:bCs/>
                <w:sz w:val="18"/>
                <w:szCs w:val="18"/>
              </w:rPr>
              <w:t>25,243</w:t>
            </w:r>
          </w:p>
        </w:tc>
      </w:tr>
      <w:tr w:rsidR="00520333" w14:paraId="03F4624E" w14:textId="77777777" w:rsidTr="005E5E0C">
        <w:trPr>
          <w:trHeight w:val="250"/>
        </w:trPr>
        <w:tc>
          <w:tcPr>
            <w:tcW w:w="5283" w:type="dxa"/>
            <w:tcBorders>
              <w:top w:val="nil"/>
              <w:left w:val="nil"/>
              <w:bottom w:val="nil"/>
              <w:right w:val="nil"/>
            </w:tcBorders>
            <w:shd w:val="clear" w:color="FFFFFF" w:fill="FFFFFF"/>
            <w:noWrap/>
            <w:vAlign w:val="bottom"/>
            <w:hideMark/>
          </w:tcPr>
          <w:p w14:paraId="0B0798A0" w14:textId="77777777" w:rsidR="00520333" w:rsidRDefault="00520333" w:rsidP="005E5E0C">
            <w:pPr>
              <w:spacing w:after="0"/>
              <w:ind w:leftChars="100" w:left="240"/>
              <w:rPr>
                <w:rFonts w:cs="Arial"/>
                <w:sz w:val="18"/>
                <w:szCs w:val="18"/>
              </w:rPr>
            </w:pPr>
            <w:r>
              <w:rPr>
                <w:rFonts w:cs="Arial"/>
                <w:sz w:val="18"/>
                <w:szCs w:val="18"/>
              </w:rPr>
              <w:t>Right-of-use assets</w:t>
            </w:r>
          </w:p>
        </w:tc>
        <w:tc>
          <w:tcPr>
            <w:tcW w:w="1596" w:type="dxa"/>
            <w:tcBorders>
              <w:top w:val="nil"/>
              <w:left w:val="nil"/>
              <w:bottom w:val="nil"/>
              <w:right w:val="nil"/>
            </w:tcBorders>
            <w:shd w:val="clear" w:color="FFFFFF" w:fill="FFFFFF"/>
            <w:noWrap/>
            <w:vAlign w:val="bottom"/>
            <w:hideMark/>
          </w:tcPr>
          <w:p w14:paraId="3D76D7D0" w14:textId="77777777" w:rsidR="00520333" w:rsidRDefault="00520333" w:rsidP="005E5E0C">
            <w:pPr>
              <w:spacing w:after="0"/>
              <w:jc w:val="right"/>
              <w:rPr>
                <w:rFonts w:cs="Arial"/>
                <w:b/>
                <w:bCs/>
                <w:sz w:val="18"/>
                <w:szCs w:val="18"/>
              </w:rPr>
            </w:pPr>
            <w:r>
              <w:rPr>
                <w:rFonts w:cs="Arial"/>
                <w:b/>
                <w:bCs/>
                <w:sz w:val="18"/>
                <w:szCs w:val="18"/>
              </w:rPr>
              <w:t>45,202</w:t>
            </w:r>
          </w:p>
        </w:tc>
        <w:tc>
          <w:tcPr>
            <w:tcW w:w="1380" w:type="dxa"/>
            <w:tcBorders>
              <w:top w:val="nil"/>
              <w:left w:val="nil"/>
              <w:bottom w:val="nil"/>
              <w:right w:val="nil"/>
            </w:tcBorders>
            <w:shd w:val="clear" w:color="FFFFFF" w:fill="FFFFFF"/>
            <w:noWrap/>
            <w:vAlign w:val="bottom"/>
            <w:hideMark/>
          </w:tcPr>
          <w:p w14:paraId="13422E6B" w14:textId="77777777" w:rsidR="00520333" w:rsidRDefault="00520333" w:rsidP="005E5E0C">
            <w:pPr>
              <w:spacing w:after="0"/>
              <w:jc w:val="right"/>
              <w:rPr>
                <w:rFonts w:cs="Arial"/>
                <w:b/>
                <w:bCs/>
                <w:sz w:val="18"/>
                <w:szCs w:val="18"/>
              </w:rPr>
            </w:pPr>
            <w:r>
              <w:rPr>
                <w:rFonts w:cs="Arial"/>
                <w:b/>
                <w:bCs/>
                <w:sz w:val="18"/>
                <w:szCs w:val="18"/>
              </w:rPr>
              <w:t>1,127</w:t>
            </w:r>
          </w:p>
        </w:tc>
        <w:tc>
          <w:tcPr>
            <w:tcW w:w="1378" w:type="dxa"/>
            <w:tcBorders>
              <w:top w:val="nil"/>
              <w:left w:val="nil"/>
              <w:bottom w:val="nil"/>
              <w:right w:val="nil"/>
            </w:tcBorders>
            <w:shd w:val="clear" w:color="FFFFFF" w:fill="FFFFFF"/>
            <w:noWrap/>
            <w:vAlign w:val="bottom"/>
            <w:hideMark/>
          </w:tcPr>
          <w:p w14:paraId="6CFB68E7" w14:textId="77777777" w:rsidR="00520333" w:rsidRDefault="00520333" w:rsidP="005E5E0C">
            <w:pPr>
              <w:spacing w:after="0"/>
              <w:jc w:val="right"/>
              <w:rPr>
                <w:rFonts w:cs="Arial"/>
                <w:b/>
                <w:bCs/>
                <w:sz w:val="18"/>
                <w:szCs w:val="18"/>
              </w:rPr>
            </w:pPr>
            <w:r>
              <w:rPr>
                <w:rFonts w:cs="Arial"/>
                <w:b/>
                <w:bCs/>
                <w:sz w:val="18"/>
                <w:szCs w:val="18"/>
              </w:rPr>
              <w:t>46,329</w:t>
            </w:r>
          </w:p>
        </w:tc>
      </w:tr>
      <w:tr w:rsidR="00520333" w14:paraId="5D4FEF79" w14:textId="77777777" w:rsidTr="005E5E0C">
        <w:trPr>
          <w:trHeight w:val="250"/>
        </w:trPr>
        <w:tc>
          <w:tcPr>
            <w:tcW w:w="5283" w:type="dxa"/>
            <w:tcBorders>
              <w:top w:val="nil"/>
              <w:left w:val="nil"/>
              <w:bottom w:val="nil"/>
              <w:right w:val="nil"/>
            </w:tcBorders>
            <w:shd w:val="clear" w:color="FFFFFF" w:fill="FFFFFF"/>
            <w:vAlign w:val="bottom"/>
            <w:hideMark/>
          </w:tcPr>
          <w:p w14:paraId="516BEB87" w14:textId="77777777" w:rsidR="00520333" w:rsidRDefault="00520333" w:rsidP="005E5E0C">
            <w:pPr>
              <w:spacing w:after="0"/>
              <w:rPr>
                <w:rFonts w:cs="Arial"/>
                <w:sz w:val="18"/>
                <w:szCs w:val="18"/>
              </w:rPr>
            </w:pPr>
            <w:r>
              <w:rPr>
                <w:rFonts w:cs="Arial"/>
                <w:sz w:val="18"/>
                <w:szCs w:val="18"/>
              </w:rPr>
              <w:t>Depreciation expense</w:t>
            </w:r>
          </w:p>
        </w:tc>
        <w:tc>
          <w:tcPr>
            <w:tcW w:w="1596" w:type="dxa"/>
            <w:tcBorders>
              <w:top w:val="nil"/>
              <w:left w:val="nil"/>
              <w:bottom w:val="nil"/>
              <w:right w:val="nil"/>
            </w:tcBorders>
            <w:shd w:val="clear" w:color="FFFFFF" w:fill="FFFFFF"/>
            <w:noWrap/>
            <w:vAlign w:val="bottom"/>
            <w:hideMark/>
          </w:tcPr>
          <w:p w14:paraId="343785CA" w14:textId="77777777" w:rsidR="00520333" w:rsidRDefault="00520333" w:rsidP="005E5E0C">
            <w:pPr>
              <w:spacing w:after="0"/>
              <w:jc w:val="right"/>
              <w:rPr>
                <w:rFonts w:cs="Arial"/>
                <w:b/>
                <w:bCs/>
                <w:sz w:val="18"/>
                <w:szCs w:val="18"/>
              </w:rPr>
            </w:pPr>
            <w:r>
              <w:rPr>
                <w:rFonts w:cs="Arial"/>
                <w:b/>
                <w:bCs/>
                <w:sz w:val="18"/>
                <w:szCs w:val="18"/>
              </w:rPr>
              <w:t>(20,875)</w:t>
            </w:r>
          </w:p>
        </w:tc>
        <w:tc>
          <w:tcPr>
            <w:tcW w:w="1380" w:type="dxa"/>
            <w:tcBorders>
              <w:top w:val="nil"/>
              <w:left w:val="nil"/>
              <w:bottom w:val="nil"/>
              <w:right w:val="nil"/>
            </w:tcBorders>
            <w:shd w:val="clear" w:color="FFFFFF" w:fill="FFFFFF"/>
            <w:noWrap/>
            <w:vAlign w:val="bottom"/>
            <w:hideMark/>
          </w:tcPr>
          <w:p w14:paraId="511477DD" w14:textId="77777777" w:rsidR="00520333" w:rsidRDefault="00520333" w:rsidP="005E5E0C">
            <w:pPr>
              <w:spacing w:after="0"/>
              <w:jc w:val="right"/>
              <w:rPr>
                <w:rFonts w:cs="Arial"/>
                <w:b/>
                <w:bCs/>
                <w:sz w:val="18"/>
                <w:szCs w:val="18"/>
              </w:rPr>
            </w:pPr>
            <w:r>
              <w:rPr>
                <w:rFonts w:cs="Arial"/>
                <w:b/>
                <w:bCs/>
                <w:sz w:val="18"/>
                <w:szCs w:val="18"/>
              </w:rPr>
              <w:t>(6,271)</w:t>
            </w:r>
          </w:p>
        </w:tc>
        <w:tc>
          <w:tcPr>
            <w:tcW w:w="1378" w:type="dxa"/>
            <w:tcBorders>
              <w:top w:val="nil"/>
              <w:left w:val="nil"/>
              <w:bottom w:val="nil"/>
              <w:right w:val="nil"/>
            </w:tcBorders>
            <w:shd w:val="clear" w:color="FFFFFF" w:fill="FFFFFF"/>
            <w:noWrap/>
            <w:vAlign w:val="bottom"/>
            <w:hideMark/>
          </w:tcPr>
          <w:p w14:paraId="19473F31" w14:textId="77777777" w:rsidR="00520333" w:rsidRDefault="00520333" w:rsidP="005E5E0C">
            <w:pPr>
              <w:spacing w:after="0"/>
              <w:jc w:val="right"/>
              <w:rPr>
                <w:rFonts w:cs="Arial"/>
                <w:b/>
                <w:bCs/>
                <w:sz w:val="18"/>
                <w:szCs w:val="18"/>
              </w:rPr>
            </w:pPr>
            <w:r>
              <w:rPr>
                <w:rFonts w:cs="Arial"/>
                <w:b/>
                <w:bCs/>
                <w:sz w:val="18"/>
                <w:szCs w:val="18"/>
              </w:rPr>
              <w:t>(27,146)</w:t>
            </w:r>
          </w:p>
        </w:tc>
      </w:tr>
      <w:tr w:rsidR="00520333" w14:paraId="74FDDF3C" w14:textId="77777777" w:rsidTr="005E5E0C">
        <w:trPr>
          <w:trHeight w:val="250"/>
        </w:trPr>
        <w:tc>
          <w:tcPr>
            <w:tcW w:w="5283" w:type="dxa"/>
            <w:tcBorders>
              <w:top w:val="nil"/>
              <w:left w:val="nil"/>
              <w:bottom w:val="nil"/>
              <w:right w:val="nil"/>
            </w:tcBorders>
            <w:shd w:val="clear" w:color="FFFFFF" w:fill="FFFFFF"/>
            <w:vAlign w:val="bottom"/>
            <w:hideMark/>
          </w:tcPr>
          <w:p w14:paraId="5EA2E965" w14:textId="77777777" w:rsidR="00520333" w:rsidRDefault="00520333" w:rsidP="005E5E0C">
            <w:pPr>
              <w:spacing w:after="0"/>
              <w:rPr>
                <w:rFonts w:cs="Arial"/>
                <w:sz w:val="18"/>
                <w:szCs w:val="18"/>
              </w:rPr>
            </w:pPr>
            <w:r>
              <w:rPr>
                <w:rFonts w:cs="Arial"/>
                <w:sz w:val="18"/>
                <w:szCs w:val="18"/>
              </w:rPr>
              <w:t>ROU Depreciation expense</w:t>
            </w:r>
          </w:p>
        </w:tc>
        <w:tc>
          <w:tcPr>
            <w:tcW w:w="1596" w:type="dxa"/>
            <w:tcBorders>
              <w:top w:val="nil"/>
              <w:left w:val="nil"/>
              <w:bottom w:val="nil"/>
              <w:right w:val="nil"/>
            </w:tcBorders>
            <w:shd w:val="clear" w:color="FFFFFF" w:fill="FFFFFF"/>
            <w:noWrap/>
            <w:vAlign w:val="bottom"/>
            <w:hideMark/>
          </w:tcPr>
          <w:p w14:paraId="2AE0ABDF" w14:textId="77777777" w:rsidR="00520333" w:rsidRDefault="00520333" w:rsidP="005E5E0C">
            <w:pPr>
              <w:spacing w:after="0"/>
              <w:jc w:val="right"/>
              <w:rPr>
                <w:rFonts w:cs="Arial"/>
                <w:b/>
                <w:bCs/>
                <w:sz w:val="18"/>
                <w:szCs w:val="18"/>
              </w:rPr>
            </w:pPr>
            <w:r>
              <w:rPr>
                <w:rFonts w:cs="Arial"/>
                <w:b/>
                <w:bCs/>
                <w:sz w:val="18"/>
                <w:szCs w:val="18"/>
              </w:rPr>
              <w:t>(34,668)</w:t>
            </w:r>
          </w:p>
        </w:tc>
        <w:tc>
          <w:tcPr>
            <w:tcW w:w="1380" w:type="dxa"/>
            <w:tcBorders>
              <w:top w:val="nil"/>
              <w:left w:val="nil"/>
              <w:bottom w:val="nil"/>
              <w:right w:val="nil"/>
            </w:tcBorders>
            <w:shd w:val="clear" w:color="FFFFFF" w:fill="FFFFFF"/>
            <w:noWrap/>
            <w:vAlign w:val="bottom"/>
            <w:hideMark/>
          </w:tcPr>
          <w:p w14:paraId="082E5E3C" w14:textId="77777777" w:rsidR="00520333" w:rsidRDefault="00520333" w:rsidP="005E5E0C">
            <w:pPr>
              <w:spacing w:after="0"/>
              <w:jc w:val="right"/>
              <w:rPr>
                <w:rFonts w:cs="Arial"/>
                <w:b/>
                <w:bCs/>
                <w:sz w:val="18"/>
                <w:szCs w:val="18"/>
              </w:rPr>
            </w:pPr>
            <w:r>
              <w:rPr>
                <w:rFonts w:cs="Arial"/>
                <w:b/>
                <w:bCs/>
                <w:sz w:val="18"/>
                <w:szCs w:val="18"/>
              </w:rPr>
              <w:t>(453)</w:t>
            </w:r>
          </w:p>
        </w:tc>
        <w:tc>
          <w:tcPr>
            <w:tcW w:w="1378" w:type="dxa"/>
            <w:tcBorders>
              <w:top w:val="nil"/>
              <w:left w:val="nil"/>
              <w:bottom w:val="nil"/>
              <w:right w:val="nil"/>
            </w:tcBorders>
            <w:shd w:val="clear" w:color="FFFFFF" w:fill="FFFFFF"/>
            <w:noWrap/>
            <w:vAlign w:val="bottom"/>
            <w:hideMark/>
          </w:tcPr>
          <w:p w14:paraId="75E1DD90" w14:textId="77777777" w:rsidR="00520333" w:rsidRDefault="00520333" w:rsidP="005E5E0C">
            <w:pPr>
              <w:spacing w:after="0"/>
              <w:jc w:val="right"/>
              <w:rPr>
                <w:rFonts w:cs="Arial"/>
                <w:b/>
                <w:bCs/>
                <w:sz w:val="18"/>
                <w:szCs w:val="18"/>
              </w:rPr>
            </w:pPr>
            <w:r>
              <w:rPr>
                <w:rFonts w:cs="Arial"/>
                <w:b/>
                <w:bCs/>
                <w:sz w:val="18"/>
                <w:szCs w:val="18"/>
              </w:rPr>
              <w:t>(35,121)</w:t>
            </w:r>
          </w:p>
        </w:tc>
      </w:tr>
      <w:tr w:rsidR="00520333" w14:paraId="4084F9FF" w14:textId="77777777" w:rsidTr="005E5E0C">
        <w:trPr>
          <w:trHeight w:val="250"/>
        </w:trPr>
        <w:tc>
          <w:tcPr>
            <w:tcW w:w="5283" w:type="dxa"/>
            <w:tcBorders>
              <w:top w:val="nil"/>
              <w:left w:val="nil"/>
              <w:bottom w:val="nil"/>
              <w:right w:val="nil"/>
            </w:tcBorders>
            <w:shd w:val="clear" w:color="FFFFFF" w:fill="FFFFFF"/>
            <w:vAlign w:val="bottom"/>
            <w:hideMark/>
          </w:tcPr>
          <w:p w14:paraId="4A69FFCD" w14:textId="77777777" w:rsidR="00520333" w:rsidRDefault="00520333" w:rsidP="005E5E0C">
            <w:pPr>
              <w:spacing w:after="0"/>
              <w:rPr>
                <w:rFonts w:cs="Arial"/>
                <w:sz w:val="18"/>
                <w:szCs w:val="18"/>
              </w:rPr>
            </w:pPr>
            <w:r>
              <w:rPr>
                <w:rFonts w:cs="Arial"/>
                <w:sz w:val="18"/>
                <w:szCs w:val="18"/>
              </w:rPr>
              <w:t>Revaluations in other comprehensive income</w:t>
            </w:r>
          </w:p>
        </w:tc>
        <w:tc>
          <w:tcPr>
            <w:tcW w:w="1596" w:type="dxa"/>
            <w:tcBorders>
              <w:top w:val="nil"/>
              <w:left w:val="nil"/>
              <w:bottom w:val="nil"/>
              <w:right w:val="nil"/>
            </w:tcBorders>
            <w:shd w:val="clear" w:color="FFFFFF" w:fill="FFFFFF"/>
            <w:noWrap/>
            <w:vAlign w:val="bottom"/>
            <w:hideMark/>
          </w:tcPr>
          <w:p w14:paraId="5F8730D0" w14:textId="77777777" w:rsidR="00520333" w:rsidRDefault="00520333" w:rsidP="005E5E0C">
            <w:pPr>
              <w:spacing w:after="0"/>
              <w:jc w:val="right"/>
              <w:rPr>
                <w:rFonts w:cs="Arial"/>
                <w:b/>
                <w:bCs/>
                <w:sz w:val="18"/>
                <w:szCs w:val="18"/>
              </w:rPr>
            </w:pPr>
            <w:r>
              <w:rPr>
                <w:rFonts w:cs="Arial"/>
                <w:b/>
                <w:bCs/>
                <w:sz w:val="18"/>
                <w:szCs w:val="18"/>
              </w:rPr>
              <w:t>8,552</w:t>
            </w:r>
          </w:p>
        </w:tc>
        <w:tc>
          <w:tcPr>
            <w:tcW w:w="1380" w:type="dxa"/>
            <w:tcBorders>
              <w:top w:val="nil"/>
              <w:left w:val="nil"/>
              <w:bottom w:val="nil"/>
              <w:right w:val="nil"/>
            </w:tcBorders>
            <w:shd w:val="clear" w:color="FFFFFF" w:fill="FFFFFF"/>
            <w:noWrap/>
            <w:vAlign w:val="bottom"/>
            <w:hideMark/>
          </w:tcPr>
          <w:p w14:paraId="6068977E" w14:textId="77777777" w:rsidR="00520333" w:rsidRDefault="00520333" w:rsidP="005E5E0C">
            <w:pPr>
              <w:spacing w:after="0"/>
              <w:jc w:val="right"/>
              <w:rPr>
                <w:rFonts w:cs="Arial"/>
                <w:b/>
                <w:bCs/>
                <w:sz w:val="18"/>
                <w:szCs w:val="18"/>
              </w:rPr>
            </w:pPr>
            <w:r>
              <w:rPr>
                <w:rFonts w:cs="Arial"/>
                <w:b/>
                <w:bCs/>
                <w:sz w:val="18"/>
                <w:szCs w:val="18"/>
              </w:rPr>
              <w:t>-</w:t>
            </w:r>
          </w:p>
        </w:tc>
        <w:tc>
          <w:tcPr>
            <w:tcW w:w="1378" w:type="dxa"/>
            <w:tcBorders>
              <w:top w:val="nil"/>
              <w:left w:val="nil"/>
              <w:bottom w:val="nil"/>
              <w:right w:val="nil"/>
            </w:tcBorders>
            <w:shd w:val="clear" w:color="FFFFFF" w:fill="FFFFFF"/>
            <w:noWrap/>
            <w:vAlign w:val="bottom"/>
            <w:hideMark/>
          </w:tcPr>
          <w:p w14:paraId="2788A740" w14:textId="77777777" w:rsidR="00520333" w:rsidRDefault="00520333" w:rsidP="005E5E0C">
            <w:pPr>
              <w:spacing w:after="0"/>
              <w:jc w:val="right"/>
              <w:rPr>
                <w:rFonts w:cs="Arial"/>
                <w:b/>
                <w:bCs/>
                <w:sz w:val="18"/>
                <w:szCs w:val="18"/>
              </w:rPr>
            </w:pPr>
            <w:r>
              <w:rPr>
                <w:rFonts w:cs="Arial"/>
                <w:b/>
                <w:bCs/>
                <w:sz w:val="18"/>
                <w:szCs w:val="18"/>
              </w:rPr>
              <w:t>8,552</w:t>
            </w:r>
          </w:p>
        </w:tc>
      </w:tr>
      <w:tr w:rsidR="00520333" w14:paraId="1A18EFDF" w14:textId="77777777" w:rsidTr="005E5E0C">
        <w:trPr>
          <w:trHeight w:val="250"/>
        </w:trPr>
        <w:tc>
          <w:tcPr>
            <w:tcW w:w="5283" w:type="dxa"/>
            <w:tcBorders>
              <w:top w:val="nil"/>
              <w:left w:val="nil"/>
              <w:bottom w:val="nil"/>
              <w:right w:val="nil"/>
            </w:tcBorders>
            <w:shd w:val="clear" w:color="FFFFFF" w:fill="FFFFFF"/>
            <w:noWrap/>
            <w:vAlign w:val="bottom"/>
            <w:hideMark/>
          </w:tcPr>
          <w:p w14:paraId="48778ADF" w14:textId="77777777" w:rsidR="00520333" w:rsidRDefault="00520333" w:rsidP="005E5E0C">
            <w:pPr>
              <w:spacing w:after="0"/>
              <w:rPr>
                <w:rFonts w:cs="Arial"/>
                <w:sz w:val="18"/>
                <w:szCs w:val="18"/>
              </w:rPr>
            </w:pPr>
            <w:r>
              <w:rPr>
                <w:rFonts w:cs="Arial"/>
                <w:sz w:val="18"/>
                <w:szCs w:val="18"/>
              </w:rPr>
              <w:t>Other movements on right-of-use assets</w:t>
            </w:r>
          </w:p>
        </w:tc>
        <w:tc>
          <w:tcPr>
            <w:tcW w:w="1596" w:type="dxa"/>
            <w:tcBorders>
              <w:top w:val="nil"/>
              <w:left w:val="nil"/>
              <w:bottom w:val="nil"/>
              <w:right w:val="nil"/>
            </w:tcBorders>
            <w:shd w:val="clear" w:color="FFFFFF" w:fill="FFFFFF"/>
            <w:noWrap/>
            <w:vAlign w:val="bottom"/>
            <w:hideMark/>
          </w:tcPr>
          <w:p w14:paraId="2D1761AF" w14:textId="77777777" w:rsidR="00520333" w:rsidRDefault="00520333" w:rsidP="005E5E0C">
            <w:pPr>
              <w:spacing w:after="0"/>
              <w:jc w:val="right"/>
              <w:rPr>
                <w:rFonts w:cs="Arial"/>
                <w:b/>
                <w:bCs/>
                <w:sz w:val="18"/>
                <w:szCs w:val="18"/>
              </w:rPr>
            </w:pPr>
            <w:r>
              <w:rPr>
                <w:rFonts w:cs="Arial"/>
                <w:b/>
                <w:bCs/>
                <w:sz w:val="18"/>
                <w:szCs w:val="18"/>
              </w:rPr>
              <w:t>(3,704)</w:t>
            </w:r>
          </w:p>
        </w:tc>
        <w:tc>
          <w:tcPr>
            <w:tcW w:w="1380" w:type="dxa"/>
            <w:tcBorders>
              <w:top w:val="nil"/>
              <w:left w:val="nil"/>
              <w:bottom w:val="nil"/>
              <w:right w:val="nil"/>
            </w:tcBorders>
            <w:shd w:val="clear" w:color="FFFFFF" w:fill="FFFFFF"/>
            <w:noWrap/>
            <w:vAlign w:val="bottom"/>
            <w:hideMark/>
          </w:tcPr>
          <w:p w14:paraId="750B33CA" w14:textId="77777777" w:rsidR="00520333" w:rsidRDefault="00520333" w:rsidP="005E5E0C">
            <w:pPr>
              <w:spacing w:after="0"/>
              <w:jc w:val="right"/>
              <w:rPr>
                <w:rFonts w:cs="Arial"/>
                <w:b/>
                <w:bCs/>
                <w:sz w:val="18"/>
                <w:szCs w:val="18"/>
              </w:rPr>
            </w:pPr>
            <w:r>
              <w:rPr>
                <w:rFonts w:cs="Arial"/>
                <w:b/>
                <w:bCs/>
                <w:sz w:val="18"/>
                <w:szCs w:val="18"/>
              </w:rPr>
              <w:t>242</w:t>
            </w:r>
          </w:p>
        </w:tc>
        <w:tc>
          <w:tcPr>
            <w:tcW w:w="1378" w:type="dxa"/>
            <w:tcBorders>
              <w:top w:val="nil"/>
              <w:left w:val="nil"/>
              <w:bottom w:val="nil"/>
              <w:right w:val="nil"/>
            </w:tcBorders>
            <w:shd w:val="clear" w:color="FFFFFF" w:fill="FFFFFF"/>
            <w:noWrap/>
            <w:vAlign w:val="bottom"/>
            <w:hideMark/>
          </w:tcPr>
          <w:p w14:paraId="49CEB595" w14:textId="77777777" w:rsidR="00520333" w:rsidRDefault="00520333" w:rsidP="005E5E0C">
            <w:pPr>
              <w:spacing w:after="0"/>
              <w:jc w:val="right"/>
              <w:rPr>
                <w:rFonts w:cs="Arial"/>
                <w:b/>
                <w:bCs/>
                <w:sz w:val="18"/>
                <w:szCs w:val="18"/>
              </w:rPr>
            </w:pPr>
            <w:r>
              <w:rPr>
                <w:rFonts w:cs="Arial"/>
                <w:b/>
                <w:bCs/>
                <w:sz w:val="18"/>
                <w:szCs w:val="18"/>
              </w:rPr>
              <w:t>(3,462)</w:t>
            </w:r>
          </w:p>
        </w:tc>
      </w:tr>
      <w:tr w:rsidR="00520333" w14:paraId="1F4A737A" w14:textId="77777777" w:rsidTr="005E5E0C">
        <w:trPr>
          <w:trHeight w:val="250"/>
        </w:trPr>
        <w:tc>
          <w:tcPr>
            <w:tcW w:w="5283" w:type="dxa"/>
            <w:tcBorders>
              <w:top w:val="single" w:sz="4" w:space="0" w:color="auto"/>
              <w:left w:val="nil"/>
              <w:bottom w:val="single" w:sz="4" w:space="0" w:color="auto"/>
              <w:right w:val="nil"/>
            </w:tcBorders>
            <w:shd w:val="clear" w:color="FFFFFF" w:fill="FFFFFF"/>
            <w:vAlign w:val="bottom"/>
            <w:hideMark/>
          </w:tcPr>
          <w:p w14:paraId="49B6F037" w14:textId="77777777" w:rsidR="00520333" w:rsidRDefault="00520333" w:rsidP="005E5E0C">
            <w:pPr>
              <w:spacing w:after="0"/>
              <w:rPr>
                <w:rFonts w:cs="Arial"/>
                <w:b/>
                <w:bCs/>
                <w:sz w:val="18"/>
                <w:szCs w:val="18"/>
              </w:rPr>
            </w:pPr>
            <w:r>
              <w:rPr>
                <w:rFonts w:cs="Arial"/>
                <w:b/>
                <w:bCs/>
                <w:sz w:val="18"/>
                <w:szCs w:val="18"/>
              </w:rPr>
              <w:t>Net book value 30 June 2024</w:t>
            </w:r>
          </w:p>
        </w:tc>
        <w:tc>
          <w:tcPr>
            <w:tcW w:w="1596" w:type="dxa"/>
            <w:tcBorders>
              <w:top w:val="single" w:sz="4" w:space="0" w:color="auto"/>
              <w:left w:val="nil"/>
              <w:bottom w:val="single" w:sz="4" w:space="0" w:color="auto"/>
              <w:right w:val="nil"/>
            </w:tcBorders>
            <w:shd w:val="clear" w:color="FFFFFF" w:fill="FFFFFF"/>
            <w:noWrap/>
            <w:vAlign w:val="bottom"/>
            <w:hideMark/>
          </w:tcPr>
          <w:p w14:paraId="0A2A3C49" w14:textId="77777777" w:rsidR="00520333" w:rsidRDefault="00520333" w:rsidP="005E5E0C">
            <w:pPr>
              <w:spacing w:after="0"/>
              <w:jc w:val="right"/>
              <w:rPr>
                <w:rFonts w:cs="Arial"/>
                <w:b/>
                <w:bCs/>
                <w:sz w:val="18"/>
                <w:szCs w:val="18"/>
              </w:rPr>
            </w:pPr>
            <w:r>
              <w:rPr>
                <w:rFonts w:cs="Arial"/>
                <w:b/>
                <w:bCs/>
                <w:sz w:val="18"/>
                <w:szCs w:val="18"/>
              </w:rPr>
              <w:t>237,892</w:t>
            </w:r>
          </w:p>
        </w:tc>
        <w:tc>
          <w:tcPr>
            <w:tcW w:w="1380" w:type="dxa"/>
            <w:tcBorders>
              <w:top w:val="single" w:sz="4" w:space="0" w:color="auto"/>
              <w:left w:val="nil"/>
              <w:bottom w:val="single" w:sz="4" w:space="0" w:color="auto"/>
              <w:right w:val="nil"/>
            </w:tcBorders>
            <w:shd w:val="clear" w:color="FFFFFF" w:fill="FFFFFF"/>
            <w:noWrap/>
            <w:vAlign w:val="bottom"/>
            <w:hideMark/>
          </w:tcPr>
          <w:p w14:paraId="115768E1" w14:textId="77777777" w:rsidR="00520333" w:rsidRDefault="00520333" w:rsidP="005E5E0C">
            <w:pPr>
              <w:spacing w:after="0"/>
              <w:jc w:val="right"/>
              <w:rPr>
                <w:rFonts w:cs="Arial"/>
                <w:b/>
                <w:bCs/>
                <w:sz w:val="18"/>
                <w:szCs w:val="18"/>
              </w:rPr>
            </w:pPr>
            <w:r>
              <w:rPr>
                <w:rFonts w:cs="Arial"/>
                <w:b/>
                <w:bCs/>
                <w:sz w:val="18"/>
                <w:szCs w:val="18"/>
              </w:rPr>
              <w:t>9,364</w:t>
            </w:r>
          </w:p>
        </w:tc>
        <w:tc>
          <w:tcPr>
            <w:tcW w:w="1378" w:type="dxa"/>
            <w:tcBorders>
              <w:top w:val="single" w:sz="4" w:space="0" w:color="auto"/>
              <w:left w:val="nil"/>
              <w:bottom w:val="single" w:sz="4" w:space="0" w:color="auto"/>
              <w:right w:val="nil"/>
            </w:tcBorders>
            <w:shd w:val="clear" w:color="FFFFFF" w:fill="FFFFFF"/>
            <w:noWrap/>
            <w:vAlign w:val="bottom"/>
            <w:hideMark/>
          </w:tcPr>
          <w:p w14:paraId="615F4798" w14:textId="77777777" w:rsidR="00520333" w:rsidRDefault="00520333" w:rsidP="005E5E0C">
            <w:pPr>
              <w:spacing w:after="0"/>
              <w:jc w:val="right"/>
              <w:rPr>
                <w:rFonts w:cs="Arial"/>
                <w:b/>
                <w:bCs/>
                <w:sz w:val="18"/>
                <w:szCs w:val="18"/>
              </w:rPr>
            </w:pPr>
            <w:r>
              <w:rPr>
                <w:rFonts w:cs="Arial"/>
                <w:b/>
                <w:bCs/>
                <w:sz w:val="18"/>
                <w:szCs w:val="18"/>
              </w:rPr>
              <w:t>247,256</w:t>
            </w:r>
          </w:p>
        </w:tc>
      </w:tr>
      <w:tr w:rsidR="00520333" w14:paraId="3D5AE2A1" w14:textId="77777777" w:rsidTr="005E5E0C">
        <w:trPr>
          <w:trHeight w:val="250"/>
        </w:trPr>
        <w:tc>
          <w:tcPr>
            <w:tcW w:w="5283" w:type="dxa"/>
            <w:tcBorders>
              <w:top w:val="nil"/>
              <w:left w:val="nil"/>
              <w:bottom w:val="nil"/>
              <w:right w:val="nil"/>
            </w:tcBorders>
            <w:shd w:val="clear" w:color="FFFFFF" w:fill="FFFFFF"/>
            <w:noWrap/>
            <w:vAlign w:val="bottom"/>
            <w:hideMark/>
          </w:tcPr>
          <w:p w14:paraId="063CE052" w14:textId="77777777" w:rsidR="00520333" w:rsidRDefault="00520333" w:rsidP="005E5E0C">
            <w:pPr>
              <w:spacing w:after="0"/>
              <w:rPr>
                <w:rFonts w:cs="Arial"/>
                <w:b/>
                <w:bCs/>
                <w:sz w:val="18"/>
                <w:szCs w:val="18"/>
              </w:rPr>
            </w:pPr>
            <w:r>
              <w:rPr>
                <w:rFonts w:cs="Arial"/>
                <w:b/>
                <w:bCs/>
                <w:sz w:val="18"/>
                <w:szCs w:val="18"/>
              </w:rPr>
              <w:t> </w:t>
            </w:r>
          </w:p>
        </w:tc>
        <w:tc>
          <w:tcPr>
            <w:tcW w:w="1596" w:type="dxa"/>
            <w:tcBorders>
              <w:top w:val="nil"/>
              <w:left w:val="nil"/>
              <w:bottom w:val="nil"/>
              <w:right w:val="nil"/>
            </w:tcBorders>
            <w:shd w:val="clear" w:color="FFFFFF" w:fill="FFFFFF"/>
            <w:noWrap/>
            <w:vAlign w:val="bottom"/>
            <w:hideMark/>
          </w:tcPr>
          <w:p w14:paraId="68766AD3" w14:textId="77777777" w:rsidR="00520333" w:rsidRDefault="00520333" w:rsidP="005E5E0C">
            <w:pPr>
              <w:spacing w:after="0"/>
              <w:rPr>
                <w:rFonts w:cs="Arial"/>
                <w:b/>
                <w:bCs/>
                <w:sz w:val="18"/>
                <w:szCs w:val="18"/>
              </w:rPr>
            </w:pPr>
            <w:r>
              <w:rPr>
                <w:rFonts w:cs="Arial"/>
                <w:b/>
                <w:bCs/>
                <w:sz w:val="18"/>
                <w:szCs w:val="18"/>
              </w:rPr>
              <w:t> </w:t>
            </w:r>
          </w:p>
        </w:tc>
        <w:tc>
          <w:tcPr>
            <w:tcW w:w="1380" w:type="dxa"/>
            <w:tcBorders>
              <w:top w:val="nil"/>
              <w:left w:val="nil"/>
              <w:bottom w:val="nil"/>
              <w:right w:val="nil"/>
            </w:tcBorders>
            <w:shd w:val="clear" w:color="FFFFFF" w:fill="FFFFFF"/>
            <w:noWrap/>
            <w:vAlign w:val="bottom"/>
            <w:hideMark/>
          </w:tcPr>
          <w:p w14:paraId="21ED13F8" w14:textId="77777777" w:rsidR="00520333" w:rsidRDefault="00520333" w:rsidP="005E5E0C">
            <w:pPr>
              <w:spacing w:after="0"/>
              <w:rPr>
                <w:rFonts w:cs="Arial"/>
                <w:b/>
                <w:bCs/>
                <w:sz w:val="18"/>
                <w:szCs w:val="18"/>
              </w:rPr>
            </w:pPr>
            <w:r>
              <w:rPr>
                <w:rFonts w:cs="Arial"/>
                <w:b/>
                <w:bCs/>
                <w:sz w:val="18"/>
                <w:szCs w:val="18"/>
              </w:rPr>
              <w:t> </w:t>
            </w:r>
          </w:p>
        </w:tc>
        <w:tc>
          <w:tcPr>
            <w:tcW w:w="1378" w:type="dxa"/>
            <w:tcBorders>
              <w:top w:val="nil"/>
              <w:left w:val="nil"/>
              <w:bottom w:val="nil"/>
              <w:right w:val="nil"/>
            </w:tcBorders>
            <w:shd w:val="clear" w:color="FFFFFF" w:fill="FFFFFF"/>
            <w:noWrap/>
            <w:vAlign w:val="bottom"/>
            <w:hideMark/>
          </w:tcPr>
          <w:p w14:paraId="1F23D97A" w14:textId="77777777" w:rsidR="00520333" w:rsidRDefault="00520333" w:rsidP="005E5E0C">
            <w:pPr>
              <w:spacing w:after="0"/>
              <w:rPr>
                <w:rFonts w:cs="Arial"/>
                <w:b/>
                <w:bCs/>
                <w:sz w:val="18"/>
                <w:szCs w:val="18"/>
              </w:rPr>
            </w:pPr>
            <w:r>
              <w:rPr>
                <w:rFonts w:cs="Arial"/>
                <w:b/>
                <w:bCs/>
                <w:sz w:val="18"/>
                <w:szCs w:val="18"/>
              </w:rPr>
              <w:t> </w:t>
            </w:r>
          </w:p>
        </w:tc>
      </w:tr>
      <w:tr w:rsidR="00520333" w14:paraId="617F4598" w14:textId="77777777" w:rsidTr="005E5E0C">
        <w:trPr>
          <w:trHeight w:val="250"/>
        </w:trPr>
        <w:tc>
          <w:tcPr>
            <w:tcW w:w="5283" w:type="dxa"/>
            <w:tcBorders>
              <w:top w:val="nil"/>
              <w:left w:val="nil"/>
              <w:bottom w:val="nil"/>
              <w:right w:val="nil"/>
            </w:tcBorders>
            <w:shd w:val="clear" w:color="FFFFFF" w:fill="FFFFFF"/>
            <w:vAlign w:val="bottom"/>
            <w:hideMark/>
          </w:tcPr>
          <w:p w14:paraId="62B51500" w14:textId="77777777" w:rsidR="00520333" w:rsidRDefault="00520333" w:rsidP="005E5E0C">
            <w:pPr>
              <w:spacing w:after="0"/>
              <w:rPr>
                <w:rFonts w:cs="Arial"/>
                <w:b/>
                <w:bCs/>
                <w:sz w:val="18"/>
                <w:szCs w:val="18"/>
              </w:rPr>
            </w:pPr>
            <w:r>
              <w:rPr>
                <w:rFonts w:cs="Arial"/>
                <w:b/>
                <w:bCs/>
                <w:sz w:val="18"/>
                <w:szCs w:val="18"/>
              </w:rPr>
              <w:t>Net book value as at 30 June 2024 represented by:</w:t>
            </w:r>
          </w:p>
        </w:tc>
        <w:tc>
          <w:tcPr>
            <w:tcW w:w="1596" w:type="dxa"/>
            <w:tcBorders>
              <w:top w:val="nil"/>
              <w:left w:val="nil"/>
              <w:bottom w:val="nil"/>
              <w:right w:val="nil"/>
            </w:tcBorders>
            <w:shd w:val="clear" w:color="FFFFFF" w:fill="FFFFFF"/>
            <w:noWrap/>
            <w:vAlign w:val="bottom"/>
            <w:hideMark/>
          </w:tcPr>
          <w:p w14:paraId="57F38B06" w14:textId="77777777" w:rsidR="00520333" w:rsidRDefault="00520333" w:rsidP="005E5E0C">
            <w:pPr>
              <w:spacing w:after="0"/>
              <w:rPr>
                <w:rFonts w:cs="Arial"/>
                <w:b/>
                <w:bCs/>
                <w:sz w:val="18"/>
                <w:szCs w:val="18"/>
              </w:rPr>
            </w:pPr>
            <w:r>
              <w:rPr>
                <w:rFonts w:cs="Arial"/>
                <w:b/>
                <w:bCs/>
                <w:sz w:val="18"/>
                <w:szCs w:val="18"/>
              </w:rPr>
              <w:t> </w:t>
            </w:r>
          </w:p>
        </w:tc>
        <w:tc>
          <w:tcPr>
            <w:tcW w:w="1380" w:type="dxa"/>
            <w:tcBorders>
              <w:top w:val="nil"/>
              <w:left w:val="nil"/>
              <w:bottom w:val="nil"/>
              <w:right w:val="nil"/>
            </w:tcBorders>
            <w:shd w:val="clear" w:color="FFFFFF" w:fill="FFFFFF"/>
            <w:noWrap/>
            <w:vAlign w:val="bottom"/>
            <w:hideMark/>
          </w:tcPr>
          <w:p w14:paraId="35293FD8" w14:textId="77777777" w:rsidR="00520333" w:rsidRDefault="00520333" w:rsidP="005E5E0C">
            <w:pPr>
              <w:spacing w:after="0"/>
              <w:rPr>
                <w:rFonts w:cs="Arial"/>
                <w:b/>
                <w:bCs/>
                <w:sz w:val="18"/>
                <w:szCs w:val="18"/>
              </w:rPr>
            </w:pPr>
            <w:r>
              <w:rPr>
                <w:rFonts w:cs="Arial"/>
                <w:b/>
                <w:bCs/>
                <w:sz w:val="18"/>
                <w:szCs w:val="18"/>
              </w:rPr>
              <w:t> </w:t>
            </w:r>
          </w:p>
        </w:tc>
        <w:tc>
          <w:tcPr>
            <w:tcW w:w="1378" w:type="dxa"/>
            <w:tcBorders>
              <w:top w:val="nil"/>
              <w:left w:val="nil"/>
              <w:bottom w:val="nil"/>
              <w:right w:val="nil"/>
            </w:tcBorders>
            <w:shd w:val="clear" w:color="FFFFFF" w:fill="FFFFFF"/>
            <w:noWrap/>
            <w:vAlign w:val="bottom"/>
            <w:hideMark/>
          </w:tcPr>
          <w:p w14:paraId="0A831312" w14:textId="77777777" w:rsidR="00520333" w:rsidRDefault="00520333" w:rsidP="005E5E0C">
            <w:pPr>
              <w:spacing w:after="0"/>
              <w:rPr>
                <w:rFonts w:cs="Arial"/>
                <w:b/>
                <w:bCs/>
                <w:sz w:val="18"/>
                <w:szCs w:val="18"/>
              </w:rPr>
            </w:pPr>
            <w:r>
              <w:rPr>
                <w:rFonts w:cs="Arial"/>
                <w:b/>
                <w:bCs/>
                <w:sz w:val="18"/>
                <w:szCs w:val="18"/>
              </w:rPr>
              <w:t> </w:t>
            </w:r>
          </w:p>
        </w:tc>
      </w:tr>
      <w:tr w:rsidR="00520333" w14:paraId="79F151F8" w14:textId="77777777" w:rsidTr="005E5E0C">
        <w:trPr>
          <w:trHeight w:val="250"/>
        </w:trPr>
        <w:tc>
          <w:tcPr>
            <w:tcW w:w="5283" w:type="dxa"/>
            <w:tcBorders>
              <w:top w:val="nil"/>
              <w:left w:val="nil"/>
              <w:bottom w:val="nil"/>
              <w:right w:val="nil"/>
            </w:tcBorders>
            <w:shd w:val="clear" w:color="FFFFFF" w:fill="FFFFFF"/>
            <w:vAlign w:val="bottom"/>
            <w:hideMark/>
          </w:tcPr>
          <w:p w14:paraId="6A9DD0ED" w14:textId="77777777" w:rsidR="00520333" w:rsidRDefault="00520333" w:rsidP="005E5E0C">
            <w:pPr>
              <w:spacing w:after="0"/>
              <w:rPr>
                <w:rFonts w:cs="Arial"/>
                <w:sz w:val="18"/>
                <w:szCs w:val="18"/>
              </w:rPr>
            </w:pPr>
            <w:r>
              <w:rPr>
                <w:rFonts w:cs="Arial"/>
                <w:sz w:val="18"/>
                <w:szCs w:val="18"/>
              </w:rPr>
              <w:t>Gross book value</w:t>
            </w:r>
          </w:p>
        </w:tc>
        <w:tc>
          <w:tcPr>
            <w:tcW w:w="1596" w:type="dxa"/>
            <w:tcBorders>
              <w:top w:val="nil"/>
              <w:left w:val="nil"/>
              <w:bottom w:val="nil"/>
              <w:right w:val="nil"/>
            </w:tcBorders>
            <w:shd w:val="clear" w:color="FFFFFF" w:fill="FFFFFF"/>
            <w:noWrap/>
            <w:vAlign w:val="bottom"/>
            <w:hideMark/>
          </w:tcPr>
          <w:p w14:paraId="436505D7" w14:textId="77777777" w:rsidR="00520333" w:rsidRDefault="00520333" w:rsidP="005E5E0C">
            <w:pPr>
              <w:spacing w:after="0"/>
              <w:jc w:val="right"/>
              <w:rPr>
                <w:rFonts w:cs="Arial"/>
                <w:b/>
                <w:bCs/>
                <w:sz w:val="18"/>
                <w:szCs w:val="18"/>
              </w:rPr>
            </w:pPr>
            <w:r>
              <w:rPr>
                <w:rFonts w:cs="Arial"/>
                <w:b/>
                <w:bCs/>
                <w:sz w:val="18"/>
                <w:szCs w:val="18"/>
              </w:rPr>
              <w:t>425,803</w:t>
            </w:r>
          </w:p>
        </w:tc>
        <w:tc>
          <w:tcPr>
            <w:tcW w:w="1380" w:type="dxa"/>
            <w:tcBorders>
              <w:top w:val="nil"/>
              <w:left w:val="nil"/>
              <w:bottom w:val="nil"/>
              <w:right w:val="nil"/>
            </w:tcBorders>
            <w:shd w:val="clear" w:color="FFFFFF" w:fill="FFFFFF"/>
            <w:noWrap/>
            <w:vAlign w:val="bottom"/>
            <w:hideMark/>
          </w:tcPr>
          <w:p w14:paraId="159DD89B" w14:textId="77777777" w:rsidR="00520333" w:rsidRDefault="00520333" w:rsidP="005E5E0C">
            <w:pPr>
              <w:spacing w:after="0"/>
              <w:jc w:val="right"/>
              <w:rPr>
                <w:rFonts w:cs="Arial"/>
                <w:b/>
                <w:bCs/>
                <w:sz w:val="18"/>
                <w:szCs w:val="18"/>
              </w:rPr>
            </w:pPr>
            <w:r>
              <w:rPr>
                <w:rFonts w:cs="Arial"/>
                <w:b/>
                <w:bCs/>
                <w:sz w:val="18"/>
                <w:szCs w:val="18"/>
              </w:rPr>
              <w:t>24,627</w:t>
            </w:r>
          </w:p>
        </w:tc>
        <w:tc>
          <w:tcPr>
            <w:tcW w:w="1378" w:type="dxa"/>
            <w:tcBorders>
              <w:top w:val="nil"/>
              <w:left w:val="nil"/>
              <w:bottom w:val="nil"/>
              <w:right w:val="nil"/>
            </w:tcBorders>
            <w:shd w:val="clear" w:color="FFFFFF" w:fill="FFFFFF"/>
            <w:noWrap/>
            <w:vAlign w:val="bottom"/>
            <w:hideMark/>
          </w:tcPr>
          <w:p w14:paraId="638B816E" w14:textId="77777777" w:rsidR="00520333" w:rsidRDefault="00520333" w:rsidP="005E5E0C">
            <w:pPr>
              <w:spacing w:after="0"/>
              <w:jc w:val="right"/>
              <w:rPr>
                <w:rFonts w:cs="Arial"/>
                <w:b/>
                <w:bCs/>
                <w:sz w:val="18"/>
                <w:szCs w:val="18"/>
              </w:rPr>
            </w:pPr>
            <w:r>
              <w:rPr>
                <w:rFonts w:cs="Arial"/>
                <w:b/>
                <w:bCs/>
                <w:sz w:val="18"/>
                <w:szCs w:val="18"/>
              </w:rPr>
              <w:t>450,430</w:t>
            </w:r>
          </w:p>
        </w:tc>
      </w:tr>
      <w:tr w:rsidR="00520333" w14:paraId="2411E25A" w14:textId="77777777" w:rsidTr="005E5E0C">
        <w:trPr>
          <w:trHeight w:val="250"/>
        </w:trPr>
        <w:tc>
          <w:tcPr>
            <w:tcW w:w="5283" w:type="dxa"/>
            <w:tcBorders>
              <w:top w:val="nil"/>
              <w:left w:val="nil"/>
              <w:bottom w:val="nil"/>
              <w:right w:val="nil"/>
            </w:tcBorders>
            <w:shd w:val="clear" w:color="FFFFFF" w:fill="FFFFFF"/>
            <w:vAlign w:val="bottom"/>
            <w:hideMark/>
          </w:tcPr>
          <w:p w14:paraId="39E27E58" w14:textId="77777777" w:rsidR="00520333" w:rsidRDefault="00520333" w:rsidP="005E5E0C">
            <w:pPr>
              <w:spacing w:after="0"/>
              <w:rPr>
                <w:rFonts w:cs="Arial"/>
                <w:sz w:val="18"/>
                <w:szCs w:val="18"/>
              </w:rPr>
            </w:pPr>
            <w:r>
              <w:rPr>
                <w:rFonts w:cs="Arial"/>
                <w:sz w:val="18"/>
                <w:szCs w:val="18"/>
              </w:rPr>
              <w:t>Accumulated depreciation and impairment</w:t>
            </w:r>
          </w:p>
        </w:tc>
        <w:tc>
          <w:tcPr>
            <w:tcW w:w="1596" w:type="dxa"/>
            <w:tcBorders>
              <w:top w:val="nil"/>
              <w:left w:val="nil"/>
              <w:bottom w:val="nil"/>
              <w:right w:val="nil"/>
            </w:tcBorders>
            <w:shd w:val="clear" w:color="FFFFFF" w:fill="FFFFFF"/>
            <w:noWrap/>
            <w:vAlign w:val="bottom"/>
            <w:hideMark/>
          </w:tcPr>
          <w:p w14:paraId="4115DB7F" w14:textId="77777777" w:rsidR="00520333" w:rsidRDefault="00520333" w:rsidP="005E5E0C">
            <w:pPr>
              <w:spacing w:after="0"/>
              <w:jc w:val="right"/>
              <w:rPr>
                <w:rFonts w:cs="Arial"/>
                <w:b/>
                <w:bCs/>
                <w:sz w:val="18"/>
                <w:szCs w:val="18"/>
              </w:rPr>
            </w:pPr>
            <w:r>
              <w:rPr>
                <w:rFonts w:cs="Arial"/>
                <w:b/>
                <w:bCs/>
                <w:sz w:val="18"/>
                <w:szCs w:val="18"/>
              </w:rPr>
              <w:t>(187,911)</w:t>
            </w:r>
          </w:p>
        </w:tc>
        <w:tc>
          <w:tcPr>
            <w:tcW w:w="1380" w:type="dxa"/>
            <w:tcBorders>
              <w:top w:val="nil"/>
              <w:left w:val="nil"/>
              <w:bottom w:val="nil"/>
              <w:right w:val="nil"/>
            </w:tcBorders>
            <w:shd w:val="clear" w:color="auto" w:fill="auto"/>
            <w:noWrap/>
            <w:vAlign w:val="bottom"/>
            <w:hideMark/>
          </w:tcPr>
          <w:p w14:paraId="7E9275B1" w14:textId="77777777" w:rsidR="00520333" w:rsidRDefault="00520333" w:rsidP="005E5E0C">
            <w:pPr>
              <w:spacing w:after="0"/>
              <w:jc w:val="right"/>
              <w:rPr>
                <w:rFonts w:cs="Arial"/>
                <w:b/>
                <w:bCs/>
                <w:sz w:val="18"/>
                <w:szCs w:val="18"/>
              </w:rPr>
            </w:pPr>
            <w:r>
              <w:rPr>
                <w:rFonts w:cs="Arial"/>
                <w:b/>
                <w:bCs/>
                <w:sz w:val="18"/>
                <w:szCs w:val="18"/>
              </w:rPr>
              <w:t>(15,263)</w:t>
            </w:r>
          </w:p>
        </w:tc>
        <w:tc>
          <w:tcPr>
            <w:tcW w:w="1378" w:type="dxa"/>
            <w:tcBorders>
              <w:top w:val="nil"/>
              <w:left w:val="nil"/>
              <w:bottom w:val="nil"/>
              <w:right w:val="nil"/>
            </w:tcBorders>
            <w:shd w:val="clear" w:color="FFFFFF" w:fill="FFFFFF"/>
            <w:noWrap/>
            <w:vAlign w:val="bottom"/>
            <w:hideMark/>
          </w:tcPr>
          <w:p w14:paraId="53BA1058" w14:textId="77777777" w:rsidR="00520333" w:rsidRDefault="00520333" w:rsidP="005E5E0C">
            <w:pPr>
              <w:spacing w:after="0"/>
              <w:jc w:val="right"/>
              <w:rPr>
                <w:rFonts w:cs="Arial"/>
                <w:b/>
                <w:bCs/>
                <w:sz w:val="18"/>
                <w:szCs w:val="18"/>
              </w:rPr>
            </w:pPr>
            <w:r>
              <w:rPr>
                <w:rFonts w:cs="Arial"/>
                <w:b/>
                <w:bCs/>
                <w:sz w:val="18"/>
                <w:szCs w:val="18"/>
              </w:rPr>
              <w:t>(203,174)</w:t>
            </w:r>
          </w:p>
        </w:tc>
      </w:tr>
      <w:tr w:rsidR="00520333" w14:paraId="351828B8" w14:textId="77777777" w:rsidTr="005E5E0C">
        <w:trPr>
          <w:trHeight w:val="250"/>
        </w:trPr>
        <w:tc>
          <w:tcPr>
            <w:tcW w:w="5283" w:type="dxa"/>
            <w:tcBorders>
              <w:top w:val="single" w:sz="4" w:space="0" w:color="auto"/>
              <w:left w:val="nil"/>
              <w:bottom w:val="single" w:sz="4" w:space="0" w:color="auto"/>
              <w:right w:val="nil"/>
            </w:tcBorders>
            <w:shd w:val="clear" w:color="FFFFFF" w:fill="FFFFFF"/>
            <w:noWrap/>
            <w:vAlign w:val="bottom"/>
            <w:hideMark/>
          </w:tcPr>
          <w:p w14:paraId="5D255D20" w14:textId="77777777" w:rsidR="00520333" w:rsidRDefault="00520333" w:rsidP="005E5E0C">
            <w:pPr>
              <w:spacing w:after="0"/>
              <w:rPr>
                <w:rFonts w:cs="Arial"/>
                <w:b/>
                <w:bCs/>
                <w:sz w:val="18"/>
                <w:szCs w:val="18"/>
              </w:rPr>
            </w:pPr>
            <w:r>
              <w:rPr>
                <w:rFonts w:cs="Arial"/>
                <w:b/>
                <w:bCs/>
                <w:sz w:val="18"/>
                <w:szCs w:val="18"/>
              </w:rPr>
              <w:t>Carrying amount as at 30 June 2024</w:t>
            </w:r>
          </w:p>
        </w:tc>
        <w:tc>
          <w:tcPr>
            <w:tcW w:w="1596" w:type="dxa"/>
            <w:tcBorders>
              <w:top w:val="single" w:sz="4" w:space="0" w:color="auto"/>
              <w:left w:val="nil"/>
              <w:bottom w:val="single" w:sz="4" w:space="0" w:color="auto"/>
              <w:right w:val="nil"/>
            </w:tcBorders>
            <w:shd w:val="clear" w:color="FFFFFF" w:fill="FFFFFF"/>
            <w:noWrap/>
            <w:vAlign w:val="bottom"/>
            <w:hideMark/>
          </w:tcPr>
          <w:p w14:paraId="7D728AEF" w14:textId="77777777" w:rsidR="00520333" w:rsidRDefault="00520333" w:rsidP="005E5E0C">
            <w:pPr>
              <w:spacing w:after="0"/>
              <w:jc w:val="right"/>
              <w:rPr>
                <w:rFonts w:cs="Arial"/>
                <w:b/>
                <w:bCs/>
                <w:sz w:val="18"/>
                <w:szCs w:val="18"/>
              </w:rPr>
            </w:pPr>
            <w:r>
              <w:rPr>
                <w:rFonts w:cs="Arial"/>
                <w:b/>
                <w:bCs/>
                <w:sz w:val="18"/>
                <w:szCs w:val="18"/>
              </w:rPr>
              <w:t>237,892</w:t>
            </w:r>
          </w:p>
        </w:tc>
        <w:tc>
          <w:tcPr>
            <w:tcW w:w="1380" w:type="dxa"/>
            <w:tcBorders>
              <w:top w:val="single" w:sz="4" w:space="0" w:color="auto"/>
              <w:left w:val="nil"/>
              <w:bottom w:val="single" w:sz="4" w:space="0" w:color="auto"/>
              <w:right w:val="nil"/>
            </w:tcBorders>
            <w:shd w:val="clear" w:color="FFFFFF" w:fill="FFFFFF"/>
            <w:noWrap/>
            <w:vAlign w:val="bottom"/>
            <w:hideMark/>
          </w:tcPr>
          <w:p w14:paraId="2E48EBC3" w14:textId="77777777" w:rsidR="00520333" w:rsidRDefault="00520333" w:rsidP="005E5E0C">
            <w:pPr>
              <w:spacing w:after="0"/>
              <w:jc w:val="right"/>
              <w:rPr>
                <w:rFonts w:cs="Arial"/>
                <w:b/>
                <w:bCs/>
                <w:sz w:val="18"/>
                <w:szCs w:val="18"/>
              </w:rPr>
            </w:pPr>
            <w:r>
              <w:rPr>
                <w:rFonts w:cs="Arial"/>
                <w:b/>
                <w:bCs/>
                <w:sz w:val="18"/>
                <w:szCs w:val="18"/>
              </w:rPr>
              <w:t>9,364</w:t>
            </w:r>
          </w:p>
        </w:tc>
        <w:tc>
          <w:tcPr>
            <w:tcW w:w="1378" w:type="dxa"/>
            <w:tcBorders>
              <w:top w:val="single" w:sz="4" w:space="0" w:color="auto"/>
              <w:left w:val="nil"/>
              <w:bottom w:val="single" w:sz="4" w:space="0" w:color="auto"/>
              <w:right w:val="nil"/>
            </w:tcBorders>
            <w:shd w:val="clear" w:color="FFFFFF" w:fill="FFFFFF"/>
            <w:noWrap/>
            <w:vAlign w:val="bottom"/>
            <w:hideMark/>
          </w:tcPr>
          <w:p w14:paraId="3E8951E9" w14:textId="77777777" w:rsidR="00520333" w:rsidRDefault="00520333" w:rsidP="005E5E0C">
            <w:pPr>
              <w:spacing w:after="0"/>
              <w:jc w:val="right"/>
              <w:rPr>
                <w:rFonts w:cs="Arial"/>
                <w:b/>
                <w:bCs/>
                <w:sz w:val="18"/>
                <w:szCs w:val="18"/>
              </w:rPr>
            </w:pPr>
            <w:r>
              <w:rPr>
                <w:rFonts w:cs="Arial"/>
                <w:b/>
                <w:bCs/>
                <w:sz w:val="18"/>
                <w:szCs w:val="18"/>
              </w:rPr>
              <w:t>247,256</w:t>
            </w:r>
          </w:p>
        </w:tc>
      </w:tr>
      <w:tr w:rsidR="00520333" w14:paraId="50A440BF" w14:textId="77777777" w:rsidTr="005E5E0C">
        <w:trPr>
          <w:trHeight w:val="250"/>
        </w:trPr>
        <w:tc>
          <w:tcPr>
            <w:tcW w:w="5283" w:type="dxa"/>
            <w:tcBorders>
              <w:top w:val="nil"/>
              <w:left w:val="nil"/>
              <w:bottom w:val="nil"/>
              <w:right w:val="nil"/>
            </w:tcBorders>
            <w:shd w:val="clear" w:color="FFFFFF" w:fill="FFFFFF"/>
            <w:noWrap/>
            <w:vAlign w:val="bottom"/>
            <w:hideMark/>
          </w:tcPr>
          <w:p w14:paraId="7ADEE2D9" w14:textId="77777777" w:rsidR="00520333" w:rsidRDefault="00520333" w:rsidP="005E5E0C">
            <w:pPr>
              <w:spacing w:after="0"/>
              <w:rPr>
                <w:rFonts w:cs="Arial"/>
                <w:sz w:val="18"/>
                <w:szCs w:val="18"/>
              </w:rPr>
            </w:pPr>
            <w:r>
              <w:rPr>
                <w:rFonts w:cs="Arial"/>
                <w:sz w:val="18"/>
                <w:szCs w:val="18"/>
              </w:rPr>
              <w:t> </w:t>
            </w:r>
          </w:p>
        </w:tc>
        <w:tc>
          <w:tcPr>
            <w:tcW w:w="1596" w:type="dxa"/>
            <w:tcBorders>
              <w:top w:val="nil"/>
              <w:left w:val="nil"/>
              <w:bottom w:val="nil"/>
              <w:right w:val="nil"/>
            </w:tcBorders>
            <w:shd w:val="clear" w:color="FFFFFF" w:fill="FFFFFF"/>
            <w:noWrap/>
            <w:vAlign w:val="bottom"/>
            <w:hideMark/>
          </w:tcPr>
          <w:p w14:paraId="53B18E06" w14:textId="77777777" w:rsidR="00520333" w:rsidRDefault="00520333" w:rsidP="005E5E0C">
            <w:pPr>
              <w:spacing w:after="0"/>
              <w:rPr>
                <w:rFonts w:cs="Arial"/>
                <w:sz w:val="18"/>
                <w:szCs w:val="18"/>
              </w:rPr>
            </w:pPr>
            <w:r>
              <w:rPr>
                <w:rFonts w:cs="Arial"/>
                <w:sz w:val="18"/>
                <w:szCs w:val="18"/>
              </w:rPr>
              <w:t> </w:t>
            </w:r>
          </w:p>
        </w:tc>
        <w:tc>
          <w:tcPr>
            <w:tcW w:w="1380" w:type="dxa"/>
            <w:tcBorders>
              <w:top w:val="nil"/>
              <w:left w:val="nil"/>
              <w:bottom w:val="nil"/>
              <w:right w:val="nil"/>
            </w:tcBorders>
            <w:shd w:val="clear" w:color="FFFFFF" w:fill="FFFFFF"/>
            <w:noWrap/>
            <w:vAlign w:val="bottom"/>
            <w:hideMark/>
          </w:tcPr>
          <w:p w14:paraId="5DA26B4C" w14:textId="77777777" w:rsidR="00520333" w:rsidRDefault="00520333" w:rsidP="005E5E0C">
            <w:pPr>
              <w:spacing w:after="0"/>
              <w:rPr>
                <w:rFonts w:cs="Arial"/>
                <w:sz w:val="18"/>
                <w:szCs w:val="18"/>
              </w:rPr>
            </w:pPr>
            <w:r>
              <w:rPr>
                <w:rFonts w:cs="Arial"/>
                <w:sz w:val="18"/>
                <w:szCs w:val="18"/>
              </w:rPr>
              <w:t> </w:t>
            </w:r>
          </w:p>
        </w:tc>
        <w:tc>
          <w:tcPr>
            <w:tcW w:w="1378" w:type="dxa"/>
            <w:tcBorders>
              <w:top w:val="nil"/>
              <w:left w:val="nil"/>
              <w:bottom w:val="nil"/>
              <w:right w:val="nil"/>
            </w:tcBorders>
            <w:shd w:val="clear" w:color="FFFFFF" w:fill="FFFFFF"/>
            <w:noWrap/>
            <w:vAlign w:val="bottom"/>
            <w:hideMark/>
          </w:tcPr>
          <w:p w14:paraId="3AFB2AC3" w14:textId="77777777" w:rsidR="00520333" w:rsidRDefault="00520333" w:rsidP="005E5E0C">
            <w:pPr>
              <w:spacing w:after="0"/>
              <w:rPr>
                <w:rFonts w:cs="Arial"/>
                <w:sz w:val="18"/>
                <w:szCs w:val="18"/>
              </w:rPr>
            </w:pPr>
            <w:r>
              <w:rPr>
                <w:rFonts w:cs="Arial"/>
                <w:sz w:val="18"/>
                <w:szCs w:val="18"/>
              </w:rPr>
              <w:t> </w:t>
            </w:r>
          </w:p>
        </w:tc>
      </w:tr>
      <w:tr w:rsidR="00520333" w14:paraId="35B65CB8" w14:textId="77777777" w:rsidTr="005E5E0C">
        <w:trPr>
          <w:trHeight w:val="270"/>
        </w:trPr>
        <w:tc>
          <w:tcPr>
            <w:tcW w:w="5283" w:type="dxa"/>
            <w:tcBorders>
              <w:top w:val="single" w:sz="4" w:space="0" w:color="auto"/>
              <w:left w:val="nil"/>
              <w:bottom w:val="single" w:sz="4" w:space="0" w:color="auto"/>
              <w:right w:val="nil"/>
            </w:tcBorders>
            <w:shd w:val="clear" w:color="FFFFFF" w:fill="FFFFFF"/>
            <w:hideMark/>
          </w:tcPr>
          <w:p w14:paraId="4854CB49" w14:textId="77777777" w:rsidR="00520333" w:rsidRDefault="00520333" w:rsidP="005E5E0C">
            <w:pPr>
              <w:spacing w:after="0"/>
              <w:rPr>
                <w:rFonts w:cs="Arial"/>
                <w:b/>
                <w:bCs/>
                <w:sz w:val="18"/>
                <w:szCs w:val="18"/>
              </w:rPr>
            </w:pPr>
            <w:r>
              <w:rPr>
                <w:rFonts w:cs="Arial"/>
                <w:b/>
                <w:bCs/>
                <w:sz w:val="18"/>
                <w:szCs w:val="18"/>
              </w:rPr>
              <w:t>Carrying amount of right-of-use assets as at 30 June 2024</w:t>
            </w:r>
          </w:p>
        </w:tc>
        <w:tc>
          <w:tcPr>
            <w:tcW w:w="1596" w:type="dxa"/>
            <w:tcBorders>
              <w:top w:val="single" w:sz="4" w:space="0" w:color="auto"/>
              <w:left w:val="nil"/>
              <w:bottom w:val="single" w:sz="4" w:space="0" w:color="auto"/>
              <w:right w:val="nil"/>
            </w:tcBorders>
            <w:shd w:val="clear" w:color="FFFFFF" w:fill="FFFFFF"/>
            <w:noWrap/>
            <w:hideMark/>
          </w:tcPr>
          <w:p w14:paraId="78077892" w14:textId="77777777" w:rsidR="00520333" w:rsidRDefault="00520333" w:rsidP="005E5E0C">
            <w:pPr>
              <w:spacing w:after="0"/>
              <w:jc w:val="right"/>
              <w:rPr>
                <w:rFonts w:cs="Arial"/>
                <w:b/>
                <w:bCs/>
                <w:sz w:val="18"/>
                <w:szCs w:val="18"/>
              </w:rPr>
            </w:pPr>
            <w:r>
              <w:rPr>
                <w:rFonts w:cs="Arial"/>
                <w:b/>
                <w:bCs/>
                <w:sz w:val="18"/>
                <w:szCs w:val="18"/>
              </w:rPr>
              <w:t>140,409</w:t>
            </w:r>
          </w:p>
        </w:tc>
        <w:tc>
          <w:tcPr>
            <w:tcW w:w="1380" w:type="dxa"/>
            <w:tcBorders>
              <w:top w:val="single" w:sz="4" w:space="0" w:color="auto"/>
              <w:left w:val="nil"/>
              <w:bottom w:val="single" w:sz="4" w:space="0" w:color="auto"/>
              <w:right w:val="nil"/>
            </w:tcBorders>
            <w:shd w:val="clear" w:color="FFFFFF" w:fill="FFFFFF"/>
            <w:noWrap/>
            <w:hideMark/>
          </w:tcPr>
          <w:p w14:paraId="51A97D10" w14:textId="77777777" w:rsidR="00520333" w:rsidRDefault="00520333" w:rsidP="005E5E0C">
            <w:pPr>
              <w:spacing w:after="0"/>
              <w:jc w:val="right"/>
              <w:rPr>
                <w:rFonts w:cs="Arial"/>
                <w:b/>
                <w:bCs/>
                <w:sz w:val="18"/>
                <w:szCs w:val="18"/>
              </w:rPr>
            </w:pPr>
            <w:r>
              <w:rPr>
                <w:rFonts w:cs="Arial"/>
                <w:b/>
                <w:bCs/>
                <w:sz w:val="18"/>
                <w:szCs w:val="18"/>
              </w:rPr>
              <w:t>1,047</w:t>
            </w:r>
          </w:p>
        </w:tc>
        <w:tc>
          <w:tcPr>
            <w:tcW w:w="1378" w:type="dxa"/>
            <w:tcBorders>
              <w:top w:val="single" w:sz="4" w:space="0" w:color="auto"/>
              <w:left w:val="nil"/>
              <w:bottom w:val="single" w:sz="4" w:space="0" w:color="auto"/>
              <w:right w:val="nil"/>
            </w:tcBorders>
            <w:shd w:val="clear" w:color="FFFFFF" w:fill="FFFFFF"/>
            <w:noWrap/>
            <w:hideMark/>
          </w:tcPr>
          <w:p w14:paraId="6E2FAABF" w14:textId="77777777" w:rsidR="00520333" w:rsidRDefault="00520333" w:rsidP="005E5E0C">
            <w:pPr>
              <w:spacing w:after="0"/>
              <w:jc w:val="right"/>
              <w:rPr>
                <w:rFonts w:cs="Arial"/>
                <w:b/>
                <w:bCs/>
                <w:sz w:val="18"/>
                <w:szCs w:val="18"/>
              </w:rPr>
            </w:pPr>
            <w:r>
              <w:rPr>
                <w:rFonts w:cs="Arial"/>
                <w:b/>
                <w:bCs/>
                <w:sz w:val="18"/>
                <w:szCs w:val="18"/>
              </w:rPr>
              <w:t>141,456</w:t>
            </w:r>
          </w:p>
        </w:tc>
      </w:tr>
    </w:tbl>
    <w:p w14:paraId="300FD816" w14:textId="77777777" w:rsidR="00520333" w:rsidRDefault="00520333" w:rsidP="00520333">
      <w:pPr>
        <w:spacing w:line="240" w:lineRule="auto"/>
        <w:rPr>
          <w:rFonts w:cs="Arial"/>
          <w:sz w:val="18"/>
          <w:szCs w:val="18"/>
        </w:rPr>
      </w:pPr>
    </w:p>
    <w:p w14:paraId="6AE18447" w14:textId="77777777" w:rsidR="00520333" w:rsidRPr="0027501A" w:rsidRDefault="00520333" w:rsidP="00520333">
      <w:pPr>
        <w:spacing w:line="240" w:lineRule="auto"/>
        <w:ind w:left="142"/>
        <w:rPr>
          <w:rFonts w:cs="Arial"/>
          <w:sz w:val="18"/>
          <w:szCs w:val="18"/>
        </w:rPr>
      </w:pPr>
      <w:r w:rsidRPr="007348B7">
        <w:rPr>
          <w:rFonts w:cs="Arial"/>
          <w:sz w:val="18"/>
          <w:szCs w:val="18"/>
        </w:rPr>
        <w:t xml:space="preserve">All items of buildings and plant and equipment were assessed for indications of impairment as at 30 June </w:t>
      </w:r>
      <w:r w:rsidRPr="007348B7">
        <w:rPr>
          <w:rFonts w:cs="Arial"/>
          <w:sz w:val="18"/>
          <w:szCs w:val="18"/>
        </w:rPr>
        <w:fldChar w:fldCharType="begin"/>
      </w:r>
      <w:r w:rsidRPr="007348B7">
        <w:rPr>
          <w:rFonts w:cs="Arial"/>
          <w:sz w:val="18"/>
          <w:szCs w:val="18"/>
        </w:rPr>
        <w:instrText xml:space="preserve"> DOCPROPERTY  crYear  \* MERGEFORMAT </w:instrText>
      </w:r>
      <w:r w:rsidRPr="007348B7">
        <w:rPr>
          <w:rFonts w:cs="Arial"/>
          <w:sz w:val="18"/>
          <w:szCs w:val="18"/>
        </w:rPr>
        <w:fldChar w:fldCharType="separate"/>
      </w:r>
      <w:r>
        <w:rPr>
          <w:rFonts w:cs="Arial"/>
          <w:sz w:val="18"/>
          <w:szCs w:val="18"/>
        </w:rPr>
        <w:t>2024</w:t>
      </w:r>
      <w:r w:rsidRPr="007348B7">
        <w:rPr>
          <w:rFonts w:cs="Arial"/>
          <w:sz w:val="18"/>
          <w:szCs w:val="18"/>
        </w:rPr>
        <w:fldChar w:fldCharType="end"/>
      </w:r>
      <w:r w:rsidRPr="007348B7">
        <w:rPr>
          <w:rFonts w:cs="Arial"/>
          <w:sz w:val="18"/>
          <w:szCs w:val="18"/>
        </w:rPr>
        <w:t xml:space="preserve"> and no </w:t>
      </w:r>
      <w:r w:rsidRPr="0027501A">
        <w:rPr>
          <w:rFonts w:cs="Arial"/>
          <w:sz w:val="18"/>
          <w:szCs w:val="18"/>
        </w:rPr>
        <w:t>indicators of impairment were found.</w:t>
      </w:r>
    </w:p>
    <w:p w14:paraId="689C9226" w14:textId="77777777" w:rsidR="00520333" w:rsidRPr="0027501A" w:rsidRDefault="00520333" w:rsidP="00520333">
      <w:pPr>
        <w:spacing w:line="240" w:lineRule="auto"/>
        <w:ind w:left="142"/>
        <w:rPr>
          <w:rFonts w:cs="Arial"/>
          <w:sz w:val="18"/>
          <w:szCs w:val="18"/>
        </w:rPr>
      </w:pPr>
      <w:r w:rsidRPr="0027501A">
        <w:rPr>
          <w:rFonts w:cs="Arial"/>
          <w:sz w:val="18"/>
          <w:szCs w:val="18"/>
        </w:rPr>
        <w:t>No buildings or plant and equipment are expected to be sold or disposed of within the next 12 months.</w:t>
      </w:r>
    </w:p>
    <w:p w14:paraId="599FAD78" w14:textId="77777777" w:rsidR="00520333" w:rsidRPr="0027501A" w:rsidRDefault="00520333" w:rsidP="00520333">
      <w:pPr>
        <w:spacing w:line="240" w:lineRule="auto"/>
        <w:ind w:left="142"/>
        <w:rPr>
          <w:rFonts w:cs="Arial"/>
          <w:sz w:val="18"/>
          <w:szCs w:val="18"/>
        </w:rPr>
      </w:pPr>
      <w:r w:rsidRPr="0027501A">
        <w:rPr>
          <w:rFonts w:cs="Arial"/>
          <w:sz w:val="18"/>
          <w:szCs w:val="18"/>
        </w:rPr>
        <w:t>Buildings and plant and equipment, other than right-of-use assets, are measured at their estimated fair value in the financial statements and are classified as level 3 assets.</w:t>
      </w:r>
    </w:p>
    <w:p w14:paraId="5DCEC37C" w14:textId="77777777" w:rsidR="00520333" w:rsidRDefault="00520333" w:rsidP="00520333">
      <w:pPr>
        <w:spacing w:line="240" w:lineRule="auto"/>
        <w:ind w:left="142"/>
        <w:rPr>
          <w:rFonts w:cs="Arial"/>
          <w:sz w:val="18"/>
          <w:szCs w:val="18"/>
        </w:rPr>
      </w:pPr>
      <w:r w:rsidRPr="0027501A">
        <w:rPr>
          <w:rFonts w:cs="Arial"/>
          <w:sz w:val="18"/>
          <w:szCs w:val="18"/>
        </w:rPr>
        <w:t xml:space="preserve">The Agency had contractual commitment for the acquisition of property, plant, equipment and intangible assets </w:t>
      </w:r>
      <w:r w:rsidRPr="00CC7F99">
        <w:rPr>
          <w:rFonts w:cs="Arial"/>
          <w:sz w:val="18"/>
          <w:szCs w:val="18"/>
        </w:rPr>
        <w:t xml:space="preserve">as at </w:t>
      </w:r>
      <w:r>
        <w:rPr>
          <w:rFonts w:cs="Arial"/>
          <w:sz w:val="18"/>
          <w:szCs w:val="18"/>
        </w:rPr>
        <w:fldChar w:fldCharType="begin"/>
      </w:r>
      <w:r>
        <w:rPr>
          <w:rFonts w:cs="Arial"/>
          <w:sz w:val="18"/>
          <w:szCs w:val="18"/>
        </w:rPr>
        <w:instrText xml:space="preserve"> DOCPROPERTY  pEnd  \* MERGEFORMAT </w:instrText>
      </w:r>
      <w:r>
        <w:rPr>
          <w:rFonts w:cs="Arial"/>
          <w:sz w:val="18"/>
          <w:szCs w:val="18"/>
        </w:rPr>
        <w:fldChar w:fldCharType="separate"/>
      </w:r>
      <w:r>
        <w:rPr>
          <w:rFonts w:cs="Arial"/>
          <w:sz w:val="18"/>
          <w:szCs w:val="18"/>
        </w:rPr>
        <w:t>30 June</w:t>
      </w:r>
      <w:r>
        <w:rPr>
          <w:rFonts w:cs="Arial"/>
          <w:sz w:val="18"/>
          <w:szCs w:val="18"/>
        </w:rPr>
        <w:fldChar w:fldCharType="end"/>
      </w:r>
      <w:r>
        <w:rPr>
          <w:rFonts w:cs="Arial"/>
          <w:sz w:val="18"/>
          <w:szCs w:val="18"/>
        </w:rPr>
        <w:t xml:space="preserve"> </w:t>
      </w:r>
      <w:r w:rsidRPr="00CC7F99">
        <w:rPr>
          <w:rFonts w:cs="Arial"/>
          <w:sz w:val="18"/>
          <w:szCs w:val="18"/>
        </w:rPr>
        <w:fldChar w:fldCharType="begin"/>
      </w:r>
      <w:r w:rsidRPr="00CC7F99">
        <w:rPr>
          <w:rFonts w:cs="Arial"/>
          <w:sz w:val="18"/>
          <w:szCs w:val="18"/>
        </w:rPr>
        <w:instrText xml:space="preserve"> DOCPROPERTY  crYear  \* MERGEFORMAT </w:instrText>
      </w:r>
      <w:r w:rsidRPr="00CC7F99">
        <w:rPr>
          <w:rFonts w:cs="Arial"/>
          <w:sz w:val="18"/>
          <w:szCs w:val="18"/>
        </w:rPr>
        <w:fldChar w:fldCharType="separate"/>
      </w:r>
      <w:r>
        <w:rPr>
          <w:rFonts w:cs="Arial"/>
          <w:sz w:val="18"/>
          <w:szCs w:val="18"/>
        </w:rPr>
        <w:t>2024</w:t>
      </w:r>
      <w:r w:rsidRPr="00CC7F99">
        <w:rPr>
          <w:rFonts w:cs="Arial"/>
          <w:sz w:val="18"/>
          <w:szCs w:val="18"/>
        </w:rPr>
        <w:fldChar w:fldCharType="end"/>
      </w:r>
      <w:r>
        <w:rPr>
          <w:rFonts w:cs="Arial"/>
          <w:sz w:val="18"/>
          <w:szCs w:val="18"/>
        </w:rPr>
        <w:t xml:space="preserve"> </w:t>
      </w:r>
      <w:r w:rsidRPr="0027501A">
        <w:rPr>
          <w:rFonts w:cs="Arial"/>
          <w:sz w:val="18"/>
          <w:szCs w:val="18"/>
        </w:rPr>
        <w:t xml:space="preserve">of </w:t>
      </w:r>
      <w:r w:rsidRPr="0061624C">
        <w:rPr>
          <w:rFonts w:cs="Arial"/>
          <w:sz w:val="18"/>
          <w:szCs w:val="18"/>
        </w:rPr>
        <w:t>$</w:t>
      </w:r>
      <w:r>
        <w:rPr>
          <w:rFonts w:cs="Arial"/>
          <w:sz w:val="18"/>
          <w:szCs w:val="18"/>
        </w:rPr>
        <w:t>1.83m (</w:t>
      </w:r>
      <w:r>
        <w:rPr>
          <w:rFonts w:cs="Arial"/>
          <w:sz w:val="18"/>
          <w:szCs w:val="18"/>
        </w:rPr>
        <w:fldChar w:fldCharType="begin"/>
      </w:r>
      <w:r>
        <w:rPr>
          <w:rFonts w:cs="Arial"/>
          <w:sz w:val="18"/>
          <w:szCs w:val="18"/>
        </w:rPr>
        <w:instrText xml:space="preserve"> DOCPROPERTY  prYear  \* MERGEFORMAT </w:instrText>
      </w:r>
      <w:r>
        <w:rPr>
          <w:rFonts w:cs="Arial"/>
          <w:sz w:val="18"/>
          <w:szCs w:val="18"/>
        </w:rPr>
        <w:fldChar w:fldCharType="separate"/>
      </w:r>
      <w:r>
        <w:rPr>
          <w:rFonts w:cs="Arial"/>
          <w:sz w:val="18"/>
          <w:szCs w:val="18"/>
        </w:rPr>
        <w:t>2023</w:t>
      </w:r>
      <w:r>
        <w:rPr>
          <w:rFonts w:cs="Arial"/>
          <w:sz w:val="18"/>
          <w:szCs w:val="18"/>
        </w:rPr>
        <w:fldChar w:fldCharType="end"/>
      </w:r>
      <w:r>
        <w:rPr>
          <w:rFonts w:cs="Arial"/>
          <w:sz w:val="18"/>
          <w:szCs w:val="18"/>
        </w:rPr>
        <w:t>: $14.5m)</w:t>
      </w:r>
      <w:r w:rsidRPr="00CC7F99">
        <w:rPr>
          <w:rFonts w:cs="Arial"/>
          <w:sz w:val="18"/>
          <w:szCs w:val="18"/>
        </w:rPr>
        <w:t>.</w:t>
      </w:r>
      <w:r>
        <w:rPr>
          <w:rFonts w:cs="Arial"/>
          <w:sz w:val="18"/>
          <w:szCs w:val="18"/>
        </w:rPr>
        <w:t xml:space="preserve"> </w:t>
      </w:r>
    </w:p>
    <w:p w14:paraId="602E65A7" w14:textId="77777777" w:rsidR="00520333" w:rsidRDefault="00520333" w:rsidP="00520333">
      <w:pPr>
        <w:spacing w:line="240" w:lineRule="auto"/>
        <w:ind w:left="142"/>
        <w:rPr>
          <w:rFonts w:cs="Arial"/>
          <w:sz w:val="18"/>
          <w:szCs w:val="18"/>
        </w:rPr>
      </w:pPr>
      <w:r w:rsidRPr="00195AD5">
        <w:rPr>
          <w:rFonts w:cs="Arial"/>
          <w:sz w:val="18"/>
          <w:szCs w:val="18"/>
        </w:rPr>
        <w:t xml:space="preserve">All revaluations were conducted in accordance with the revaluation policy stated in the Accounting Policy section below. </w:t>
      </w:r>
      <w:r w:rsidRPr="008016CA">
        <w:rPr>
          <w:rFonts w:cs="Arial"/>
          <w:sz w:val="18"/>
          <w:szCs w:val="18"/>
        </w:rPr>
        <w:t xml:space="preserve">The fair value measurements of the Agency’s leasehold improvements as at 30 June </w:t>
      </w:r>
      <w:r w:rsidRPr="008016CA">
        <w:rPr>
          <w:rFonts w:cs="Arial"/>
          <w:sz w:val="18"/>
          <w:szCs w:val="18"/>
        </w:rPr>
        <w:fldChar w:fldCharType="begin"/>
      </w:r>
      <w:r w:rsidRPr="008016CA">
        <w:rPr>
          <w:rFonts w:cs="Arial"/>
          <w:sz w:val="18"/>
          <w:szCs w:val="18"/>
        </w:rPr>
        <w:instrText xml:space="preserve"> DOCPROPERTY  crYear  \* MERGEFORMAT </w:instrText>
      </w:r>
      <w:r w:rsidRPr="008016CA">
        <w:rPr>
          <w:rFonts w:cs="Arial"/>
          <w:sz w:val="18"/>
          <w:szCs w:val="18"/>
        </w:rPr>
        <w:fldChar w:fldCharType="separate"/>
      </w:r>
      <w:r w:rsidRPr="008016CA">
        <w:rPr>
          <w:rFonts w:cs="Arial"/>
          <w:sz w:val="18"/>
          <w:szCs w:val="18"/>
        </w:rPr>
        <w:t>2024</w:t>
      </w:r>
      <w:r w:rsidRPr="008016CA">
        <w:rPr>
          <w:rFonts w:cs="Arial"/>
          <w:sz w:val="18"/>
          <w:szCs w:val="18"/>
        </w:rPr>
        <w:fldChar w:fldCharType="end"/>
      </w:r>
      <w:r w:rsidRPr="008016CA">
        <w:rPr>
          <w:rFonts w:cs="Arial"/>
          <w:sz w:val="18"/>
          <w:szCs w:val="18"/>
        </w:rPr>
        <w:t xml:space="preserve"> were reassessed by Jones Lang LaSalle (JLL), independent valuers. JLL have appropriate qualifications and experience in the fair value measurement of similar assets in the Government sector.</w:t>
      </w:r>
      <w:r w:rsidRPr="00195AD5">
        <w:rPr>
          <w:rFonts w:cs="Arial"/>
          <w:sz w:val="18"/>
          <w:szCs w:val="18"/>
        </w:rPr>
        <w:t xml:space="preserve"> </w:t>
      </w:r>
      <w:r>
        <w:rPr>
          <w:rFonts w:cs="Arial"/>
          <w:sz w:val="18"/>
          <w:szCs w:val="18"/>
        </w:rPr>
        <w:br w:type="page"/>
      </w:r>
    </w:p>
    <w:p w14:paraId="27AA1E3A" w14:textId="77777777" w:rsidR="00CF200A" w:rsidRDefault="00CF200A" w:rsidP="00C82242">
      <w:pPr>
        <w:autoSpaceDE w:val="0"/>
        <w:autoSpaceDN w:val="0"/>
        <w:adjustRightInd w:val="0"/>
        <w:spacing w:after="0" w:line="240" w:lineRule="auto"/>
        <w:rPr>
          <w:rFonts w:cs="Arial"/>
          <w:b/>
          <w:sz w:val="18"/>
          <w:szCs w:val="18"/>
          <w:lang w:eastAsia="en-AU"/>
        </w:rPr>
        <w:sectPr w:rsidR="00CF200A" w:rsidSect="00B040FE">
          <w:type w:val="continuous"/>
          <w:pgSz w:w="11906" w:h="16838" w:code="9"/>
          <w:pgMar w:top="1134" w:right="1700" w:bottom="1134" w:left="1134" w:header="958" w:footer="737" w:gutter="0"/>
          <w:cols w:space="708"/>
          <w:docGrid w:linePitch="360"/>
        </w:sectPr>
      </w:pPr>
    </w:p>
    <w:p w14:paraId="0A3C512F" w14:textId="77777777" w:rsidR="003203A1" w:rsidRPr="003203A1" w:rsidRDefault="003203A1" w:rsidP="003203A1">
      <w:pPr>
        <w:spacing w:after="0" w:line="240" w:lineRule="auto"/>
        <w:rPr>
          <w:b/>
          <w:bCs/>
        </w:rPr>
      </w:pPr>
      <w:r w:rsidRPr="003203A1">
        <w:rPr>
          <w:b/>
          <w:bCs/>
        </w:rPr>
        <w:lastRenderedPageBreak/>
        <w:t>National Disability Insurance Agency</w:t>
      </w:r>
    </w:p>
    <w:p w14:paraId="5EA7DD88" w14:textId="77777777" w:rsidR="003203A1" w:rsidRDefault="003203A1" w:rsidP="003203A1">
      <w:pPr>
        <w:pBdr>
          <w:bottom w:val="single" w:sz="8" w:space="1" w:color="auto"/>
        </w:pBdr>
        <w:rPr>
          <w:b/>
          <w:bCs/>
        </w:rPr>
        <w:sectPr w:rsidR="003203A1" w:rsidSect="003203A1">
          <w:type w:val="continuous"/>
          <w:pgSz w:w="11906" w:h="16838" w:code="9"/>
          <w:pgMar w:top="1134" w:right="1700" w:bottom="1134" w:left="1134" w:header="958" w:footer="737" w:gutter="0"/>
          <w:cols w:space="708"/>
          <w:docGrid w:linePitch="360"/>
        </w:sectPr>
      </w:pPr>
      <w:r w:rsidRPr="003203A1">
        <w:rPr>
          <w:b/>
          <w:bCs/>
        </w:rPr>
        <w:t>NOTES TO AND FORMING PART OF THE FINANCIAL STATEMENTS</w:t>
      </w:r>
    </w:p>
    <w:p w14:paraId="1CBAF87D" w14:textId="77777777" w:rsidR="00C82242" w:rsidRPr="00C82242" w:rsidRDefault="00C82242" w:rsidP="00C82242">
      <w:pPr>
        <w:autoSpaceDE w:val="0"/>
        <w:autoSpaceDN w:val="0"/>
        <w:adjustRightInd w:val="0"/>
        <w:spacing w:after="0" w:line="240" w:lineRule="auto"/>
        <w:rPr>
          <w:rFonts w:cs="Arial"/>
          <w:b/>
          <w:bCs/>
          <w:sz w:val="18"/>
          <w:szCs w:val="18"/>
          <w:lang w:eastAsia="en-US"/>
        </w:rPr>
      </w:pPr>
      <w:r w:rsidRPr="00C82242">
        <w:rPr>
          <w:rFonts w:cs="Arial"/>
          <w:noProof/>
          <w:sz w:val="18"/>
          <w:szCs w:val="18"/>
          <w:lang w:eastAsia="en-AU"/>
        </w:rPr>
        <mc:AlternateContent>
          <mc:Choice Requires="wps">
            <w:drawing>
              <wp:anchor distT="0" distB="0" distL="114300" distR="114300" simplePos="0" relativeHeight="251658240" behindDoc="0" locked="0" layoutInCell="1" allowOverlap="1" wp14:anchorId="43BAC5CB" wp14:editId="3A1E153D">
                <wp:simplePos x="0" y="0"/>
                <wp:positionH relativeFrom="column">
                  <wp:posOffset>-87630</wp:posOffset>
                </wp:positionH>
                <wp:positionV relativeFrom="paragraph">
                  <wp:posOffset>-64135</wp:posOffset>
                </wp:positionV>
                <wp:extent cx="6305909" cy="8374380"/>
                <wp:effectExtent l="0" t="0" r="19050" b="26670"/>
                <wp:wrapNone/>
                <wp:docPr id="2"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909" cy="8374380"/>
                        </a:xfrm>
                        <a:prstGeom prst="rect">
                          <a:avLst/>
                        </a:prstGeom>
                        <a:noFill/>
                        <a:ln w="9525">
                          <a:solidFill>
                            <a:srgbClr val="8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88B5129" id="Rectangle 2" o:spid="_x0000_s1026" alt="&quot;&quot;" style="position:absolute;margin-left:-6.9pt;margin-top:-5.05pt;width:496.55pt;height:65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" filled="f" strokecolor="purple"/>
            </w:pict>
          </mc:Fallback>
        </mc:AlternateContent>
      </w:r>
      <w:r w:rsidRPr="00C82242">
        <w:rPr>
          <w:rFonts w:cs="Arial"/>
          <w:b/>
          <w:sz w:val="18"/>
          <w:szCs w:val="18"/>
          <w:lang w:eastAsia="en-AU"/>
        </w:rPr>
        <w:t>A</w:t>
      </w:r>
      <w:r w:rsidRPr="00C82242">
        <w:rPr>
          <w:rFonts w:cs="Arial"/>
          <w:b/>
          <w:bCs/>
          <w:sz w:val="18"/>
          <w:szCs w:val="18"/>
          <w:lang w:eastAsia="en-US"/>
        </w:rPr>
        <w:t>ccounting Policy</w:t>
      </w:r>
    </w:p>
    <w:p w14:paraId="4BDB85B0" w14:textId="77777777" w:rsidR="00C82242" w:rsidRPr="00C82242" w:rsidRDefault="00C82242" w:rsidP="00C82242">
      <w:pPr>
        <w:spacing w:after="0" w:line="240" w:lineRule="auto"/>
        <w:rPr>
          <w:rFonts w:cs="Arial"/>
          <w:sz w:val="18"/>
          <w:szCs w:val="18"/>
          <w:lang w:eastAsia="en-US"/>
        </w:rPr>
      </w:pPr>
    </w:p>
    <w:p w14:paraId="25BD6DDB" w14:textId="32B0F79F" w:rsidR="00C82242" w:rsidRPr="00C82242" w:rsidRDefault="00C82242" w:rsidP="0047225D">
      <w:pPr>
        <w:spacing w:after="60" w:line="240" w:lineRule="auto"/>
        <w:jc w:val="both"/>
        <w:rPr>
          <w:rFonts w:cs="Arial"/>
          <w:sz w:val="18"/>
          <w:szCs w:val="18"/>
          <w:lang w:eastAsia="en-US"/>
        </w:rPr>
      </w:pPr>
      <w:r w:rsidRPr="00C82242">
        <w:rPr>
          <w:rFonts w:cs="Arial"/>
          <w:sz w:val="18"/>
          <w:szCs w:val="18"/>
          <w:lang w:eastAsia="en-US"/>
        </w:rPr>
        <w:t>Assets are recorded at cost on acquisition except as stated below. The cost of acquisition includes the fair value of assets transferred in exchange and liabilities undertaken. Non-financial assets are initially measured at their fair value plus transaction costs where appropriate.</w:t>
      </w:r>
    </w:p>
    <w:p w14:paraId="0DA54D1F" w14:textId="18B20606" w:rsidR="00C82242" w:rsidRPr="00C82242" w:rsidRDefault="00C82242" w:rsidP="0047225D">
      <w:pPr>
        <w:spacing w:after="60" w:line="240" w:lineRule="auto"/>
        <w:jc w:val="both"/>
        <w:rPr>
          <w:rFonts w:cs="Arial"/>
          <w:sz w:val="18"/>
          <w:szCs w:val="18"/>
          <w:lang w:eastAsia="en-US"/>
        </w:rPr>
      </w:pPr>
      <w:r w:rsidRPr="00C82242">
        <w:rPr>
          <w:rFonts w:cs="Arial"/>
          <w:sz w:val="18"/>
          <w:szCs w:val="18"/>
          <w:lang w:eastAsia="en-US"/>
        </w:rPr>
        <w:t xml:space="preserve">Assets acquired at no cost, or for nominal consideration, are initially recognised as assets and income at their fair value at the date of acquisition. </w:t>
      </w:r>
    </w:p>
    <w:p w14:paraId="198C5ABB" w14:textId="77777777" w:rsidR="00C82242" w:rsidRPr="00C82242" w:rsidRDefault="00C82242" w:rsidP="0047225D">
      <w:pPr>
        <w:spacing w:after="60" w:line="240" w:lineRule="auto"/>
        <w:jc w:val="both"/>
        <w:rPr>
          <w:rFonts w:cs="Arial"/>
          <w:i/>
          <w:iCs/>
          <w:sz w:val="18"/>
          <w:szCs w:val="18"/>
          <w:u w:val="single"/>
          <w:lang w:eastAsia="en-AU"/>
        </w:rPr>
      </w:pPr>
      <w:r w:rsidRPr="00C82242">
        <w:rPr>
          <w:rFonts w:cs="Arial"/>
          <w:i/>
          <w:iCs/>
          <w:sz w:val="18"/>
          <w:szCs w:val="18"/>
          <w:u w:val="single"/>
          <w:lang w:eastAsia="en-AU"/>
        </w:rPr>
        <w:t>Asset recognition threshold</w:t>
      </w:r>
    </w:p>
    <w:p w14:paraId="5B5DE626" w14:textId="57B42EFD" w:rsidR="00C82242" w:rsidRPr="00C82242" w:rsidRDefault="00C82242" w:rsidP="0047225D">
      <w:pPr>
        <w:spacing w:after="60" w:line="240" w:lineRule="auto"/>
        <w:jc w:val="both"/>
        <w:rPr>
          <w:rFonts w:cs="Arial"/>
          <w:sz w:val="18"/>
          <w:szCs w:val="18"/>
          <w:lang w:eastAsia="en-AU"/>
        </w:rPr>
      </w:pPr>
      <w:r w:rsidRPr="00C82242">
        <w:rPr>
          <w:rFonts w:cs="Arial"/>
          <w:sz w:val="18"/>
          <w:szCs w:val="18"/>
          <w:lang w:eastAsia="en-AU"/>
        </w:rPr>
        <w:t>Purchases</w:t>
      </w:r>
      <w:r w:rsidRPr="00C82242">
        <w:rPr>
          <w:rFonts w:cs="Arial"/>
          <w:sz w:val="21"/>
          <w:szCs w:val="21"/>
          <w:lang w:eastAsia="en-US"/>
        </w:rPr>
        <w:t xml:space="preserve"> </w:t>
      </w:r>
      <w:r w:rsidRPr="00C82242">
        <w:rPr>
          <w:rFonts w:cs="Arial"/>
          <w:sz w:val="18"/>
          <w:szCs w:val="18"/>
          <w:lang w:eastAsia="en-AU"/>
        </w:rPr>
        <w:t>of leasehold improvements, plant and equipment are recognised initially at cost in the Statement of Financial Position, except for leased Right-of-Use (ROU) assets and purchases costing less than $100,000 which are expensed in the year of acquisition (other than where they form part of a group of similar items which are significant in total). Significant in total is defined as a value equal to or greater than $100,000 for similar items acquired or expected to be acquired over the length of an acquisition project.</w:t>
      </w:r>
    </w:p>
    <w:p w14:paraId="0BAFC9C1" w14:textId="77E2A157" w:rsidR="00C82242" w:rsidRPr="00C82242" w:rsidRDefault="00C82242" w:rsidP="0047225D">
      <w:pPr>
        <w:spacing w:after="60" w:line="240" w:lineRule="auto"/>
        <w:jc w:val="both"/>
        <w:rPr>
          <w:rFonts w:cs="Arial"/>
          <w:sz w:val="18"/>
          <w:szCs w:val="18"/>
          <w:lang w:eastAsia="en-AU"/>
        </w:rPr>
      </w:pPr>
      <w:r w:rsidRPr="00C82242">
        <w:rPr>
          <w:rFonts w:cs="Arial"/>
          <w:sz w:val="18"/>
          <w:szCs w:val="18"/>
          <w:lang w:eastAsia="en-AU"/>
        </w:rPr>
        <w:t xml:space="preserve">The initial cost of an asset includes an estimate of the cost of dismantling and removing the item and restoring the site on which it is located. This is particularly relevant to ‘make good’ provisions in property leases taken up by the Agency where there exists an obligation to restore the property to its original condition. </w:t>
      </w:r>
    </w:p>
    <w:p w14:paraId="71DBA63C" w14:textId="77777777" w:rsidR="00C82242" w:rsidRPr="00C82242" w:rsidRDefault="00C82242" w:rsidP="0047225D">
      <w:pPr>
        <w:spacing w:after="60" w:line="240" w:lineRule="auto"/>
        <w:jc w:val="both"/>
        <w:rPr>
          <w:rFonts w:cs="Arial"/>
          <w:i/>
          <w:iCs/>
          <w:sz w:val="18"/>
          <w:szCs w:val="18"/>
          <w:u w:val="single"/>
          <w:lang w:eastAsia="en-AU"/>
        </w:rPr>
      </w:pPr>
      <w:r w:rsidRPr="00C82242">
        <w:rPr>
          <w:rFonts w:cs="Arial"/>
          <w:i/>
          <w:iCs/>
          <w:sz w:val="18"/>
          <w:szCs w:val="18"/>
          <w:u w:val="single"/>
          <w:lang w:eastAsia="en-AU"/>
        </w:rPr>
        <w:t>Leased Right-of-Use Assets</w:t>
      </w:r>
    </w:p>
    <w:p w14:paraId="1D825C08" w14:textId="68A41596" w:rsidR="00C82242" w:rsidRPr="00C82242" w:rsidRDefault="00C82242" w:rsidP="0047225D">
      <w:pPr>
        <w:spacing w:after="60" w:line="240" w:lineRule="auto"/>
        <w:jc w:val="both"/>
        <w:rPr>
          <w:rFonts w:cs="Arial"/>
          <w:sz w:val="18"/>
          <w:szCs w:val="18"/>
          <w:highlight w:val="yellow"/>
          <w:lang w:eastAsia="en-AU"/>
        </w:rPr>
      </w:pPr>
      <w:r w:rsidRPr="00C82242">
        <w:rPr>
          <w:rFonts w:cs="Arial"/>
          <w:sz w:val="18"/>
          <w:szCs w:val="18"/>
          <w:lang w:eastAsia="en-AU"/>
        </w:rPr>
        <w:t>Purchases of leased ROU assets are capitalised at the commencement date of the lease and comprise the initial lease liability amount, including an estimate of any ‘make good’ provision in the lease, initial direct costs incurred when entering into the lease less any lease incentives received. These assets are accounted for by the Agency as separate asset classes to the corresponding assets owned outright but are included in the same column as where the corresponding underlying assets would be presented if they were owned.</w:t>
      </w:r>
    </w:p>
    <w:p w14:paraId="0C10F119" w14:textId="0481E1D4" w:rsidR="00C82242" w:rsidRPr="0047225D" w:rsidRDefault="00C82242" w:rsidP="0047225D">
      <w:pPr>
        <w:spacing w:after="60" w:line="240" w:lineRule="auto"/>
        <w:jc w:val="both"/>
        <w:rPr>
          <w:rFonts w:cs="Arial"/>
          <w:sz w:val="18"/>
          <w:szCs w:val="18"/>
          <w:lang w:eastAsia="en-AU"/>
        </w:rPr>
      </w:pPr>
      <w:r w:rsidRPr="00C82242">
        <w:rPr>
          <w:rFonts w:cs="Arial"/>
          <w:sz w:val="18"/>
          <w:szCs w:val="18"/>
          <w:lang w:eastAsia="en-AU"/>
        </w:rPr>
        <w:t xml:space="preserve">On initial adoption of </w:t>
      </w:r>
      <w:r w:rsidRPr="00C82242">
        <w:rPr>
          <w:rFonts w:cs="Arial"/>
          <w:i/>
          <w:iCs/>
          <w:sz w:val="18"/>
          <w:szCs w:val="18"/>
          <w:lang w:eastAsia="en-AU"/>
        </w:rPr>
        <w:t>AASB 16</w:t>
      </w:r>
      <w:r w:rsidRPr="00C82242">
        <w:rPr>
          <w:rFonts w:cs="Arial"/>
          <w:sz w:val="18"/>
          <w:szCs w:val="18"/>
          <w:lang w:eastAsia="en-AU"/>
        </w:rPr>
        <w:t xml:space="preserve"> </w:t>
      </w:r>
      <w:r w:rsidRPr="00C82242">
        <w:rPr>
          <w:rFonts w:cs="Arial"/>
          <w:i/>
          <w:iCs/>
          <w:sz w:val="18"/>
          <w:szCs w:val="18"/>
          <w:lang w:eastAsia="en-AU"/>
        </w:rPr>
        <w:t>Leases</w:t>
      </w:r>
      <w:r w:rsidRPr="00C82242">
        <w:rPr>
          <w:rFonts w:cs="Arial"/>
          <w:sz w:val="18"/>
          <w:szCs w:val="18"/>
          <w:lang w:eastAsia="en-AU"/>
        </w:rPr>
        <w:t>, the Agency has adjusted the ROU assets at the date of initial application by the amount of any provision for onerous leases recognised immediately before the date of initial application. Following initial application, an impairment review is undertaken for any ROU lease asset that shows indicators of impairment and an impairment loss is recognised against any ROU lease asset that is impaired. Leased ROU assets continue to be measured at cost after initial recognition in Commonwealth Agency, General Government Sector and Whole of Government financial statements.</w:t>
      </w:r>
    </w:p>
    <w:p w14:paraId="00FDF8BE" w14:textId="77777777" w:rsidR="00C82242" w:rsidRPr="00C82242" w:rsidRDefault="00C82242" w:rsidP="0047225D">
      <w:pPr>
        <w:spacing w:after="60" w:line="240" w:lineRule="auto"/>
        <w:jc w:val="both"/>
        <w:rPr>
          <w:rFonts w:cs="Arial"/>
          <w:i/>
          <w:iCs/>
          <w:sz w:val="18"/>
          <w:szCs w:val="18"/>
          <w:u w:val="single"/>
          <w:lang w:eastAsia="en-AU"/>
        </w:rPr>
      </w:pPr>
      <w:r w:rsidRPr="00C82242">
        <w:rPr>
          <w:rFonts w:cs="Arial"/>
          <w:i/>
          <w:iCs/>
          <w:sz w:val="18"/>
          <w:szCs w:val="18"/>
          <w:u w:val="single"/>
          <w:lang w:eastAsia="en-AU"/>
        </w:rPr>
        <w:t>Revaluations</w:t>
      </w:r>
    </w:p>
    <w:p w14:paraId="6698231A" w14:textId="49278970" w:rsidR="00C82242" w:rsidRPr="00C82242" w:rsidRDefault="00C82242" w:rsidP="0047225D">
      <w:pPr>
        <w:spacing w:after="60" w:line="240" w:lineRule="auto"/>
        <w:jc w:val="both"/>
        <w:rPr>
          <w:rFonts w:cs="Arial"/>
          <w:sz w:val="18"/>
          <w:szCs w:val="18"/>
          <w:lang w:eastAsia="en-AU"/>
        </w:rPr>
      </w:pPr>
      <w:r w:rsidRPr="00C82242">
        <w:rPr>
          <w:rFonts w:cs="Arial"/>
          <w:sz w:val="18"/>
          <w:szCs w:val="18"/>
          <w:lang w:eastAsia="en-AU"/>
        </w:rPr>
        <w:t xml:space="preserve">Following initial recognition at cost, items of leasehold improvements, plant, and equipment (excluding ROU assets) are carried at fair value (or an amount not materially different from fair value) </w:t>
      </w:r>
      <w:r w:rsidRPr="00C82242">
        <w:rPr>
          <w:rFonts w:cs="Arial"/>
          <w:sz w:val="18"/>
          <w:szCs w:val="18"/>
          <w:lang w:eastAsia="en-AU"/>
        </w:rPr>
        <w:t>less accumulated depreciation and accumulated impairment losses. Valuations are conducted with sufficient frequency to ensure that the carrying value of items does not differ materially from their fair value at each reporting date.</w:t>
      </w:r>
      <w:r w:rsidRPr="00C82242">
        <w:rPr>
          <w:rFonts w:ascii="Times New Roman" w:hAnsi="Times New Roman"/>
          <w:sz w:val="22"/>
          <w:szCs w:val="22"/>
          <w:lang w:eastAsia="en-US"/>
        </w:rPr>
        <w:t xml:space="preserve"> </w:t>
      </w:r>
      <w:r w:rsidRPr="00C82242">
        <w:rPr>
          <w:rFonts w:cs="Arial"/>
          <w:sz w:val="18"/>
          <w:szCs w:val="18"/>
          <w:lang w:eastAsia="en-AU"/>
        </w:rPr>
        <w:t>The regularity of independent valuations depended on the volatility of movements in market values for the relevant assets.</w:t>
      </w:r>
    </w:p>
    <w:p w14:paraId="6971290D" w14:textId="7B0009FA" w:rsidR="00C82242" w:rsidRPr="00C82242" w:rsidRDefault="00C82242" w:rsidP="0047225D">
      <w:pPr>
        <w:spacing w:after="60" w:line="240" w:lineRule="auto"/>
        <w:jc w:val="both"/>
        <w:rPr>
          <w:rFonts w:cs="Arial"/>
          <w:sz w:val="18"/>
          <w:szCs w:val="18"/>
          <w:lang w:eastAsia="en-AU"/>
        </w:rPr>
      </w:pPr>
      <w:r w:rsidRPr="00C82242">
        <w:rPr>
          <w:rFonts w:cs="Arial"/>
          <w:sz w:val="18"/>
          <w:szCs w:val="18"/>
          <w:lang w:eastAsia="en-AU"/>
        </w:rPr>
        <w:t xml:space="preserve">Revaluation adjustments are made on a class basis. Any revaluation increment is credited to equity under the heading of asset revaluation reserve except to the extent that it reversed a previous revaluation decrement of the same asset class that was previously recognised in the surplus/deficit. Revaluation decrements for a class of assets are recognised directly in the surplus/deficit except to the extent that they reverse a previous revaluation increment for that class. </w:t>
      </w:r>
    </w:p>
    <w:p w14:paraId="0E952B3A" w14:textId="5C922324" w:rsidR="00C82242" w:rsidRPr="0047225D" w:rsidRDefault="00C82242" w:rsidP="0047225D">
      <w:pPr>
        <w:spacing w:after="60" w:line="240" w:lineRule="auto"/>
        <w:jc w:val="both"/>
        <w:rPr>
          <w:rFonts w:cs="Arial"/>
          <w:sz w:val="18"/>
          <w:szCs w:val="18"/>
          <w:lang w:eastAsia="en-AU"/>
        </w:rPr>
      </w:pPr>
      <w:r w:rsidRPr="00C82242">
        <w:rPr>
          <w:rFonts w:cs="Arial"/>
          <w:sz w:val="18"/>
          <w:szCs w:val="18"/>
          <w:lang w:eastAsia="en-AU"/>
        </w:rPr>
        <w:t xml:space="preserve">Any accumulated depreciation as at the revaluation date is eliminated against the gross carrying amount of the asset and the asset is restated to the revalued amount. </w:t>
      </w:r>
    </w:p>
    <w:p w14:paraId="0BA81861" w14:textId="77777777" w:rsidR="00C82242" w:rsidRPr="00C82242" w:rsidRDefault="00C82242" w:rsidP="0047225D">
      <w:pPr>
        <w:spacing w:after="60" w:line="240" w:lineRule="auto"/>
        <w:rPr>
          <w:rFonts w:cs="Arial"/>
          <w:i/>
          <w:iCs/>
          <w:sz w:val="18"/>
          <w:szCs w:val="18"/>
          <w:u w:val="single"/>
          <w:lang w:eastAsia="en-AU"/>
        </w:rPr>
      </w:pPr>
      <w:r w:rsidRPr="00C82242">
        <w:rPr>
          <w:rFonts w:cs="Arial"/>
          <w:i/>
          <w:iCs/>
          <w:sz w:val="18"/>
          <w:szCs w:val="18"/>
          <w:u w:val="single"/>
          <w:lang w:eastAsia="en-AU"/>
        </w:rPr>
        <w:t>Depreciation</w:t>
      </w:r>
    </w:p>
    <w:p w14:paraId="4ABBFF94" w14:textId="77777777" w:rsidR="00C82242" w:rsidRPr="00C82242" w:rsidRDefault="00C82242" w:rsidP="0047225D">
      <w:pPr>
        <w:autoSpaceDE w:val="0"/>
        <w:autoSpaceDN w:val="0"/>
        <w:adjustRightInd w:val="0"/>
        <w:spacing w:after="60" w:line="240" w:lineRule="auto"/>
        <w:jc w:val="both"/>
        <w:rPr>
          <w:rFonts w:cs="Arial"/>
          <w:sz w:val="18"/>
          <w:szCs w:val="18"/>
          <w:lang w:eastAsia="en-AU"/>
        </w:rPr>
      </w:pPr>
      <w:r w:rsidRPr="00C82242">
        <w:rPr>
          <w:rFonts w:cs="Arial"/>
          <w:sz w:val="18"/>
          <w:szCs w:val="18"/>
          <w:lang w:eastAsia="en-US"/>
        </w:rPr>
        <w:t>Depreciable leasehold improvements, plant, and equipment assets (other than leasehold improvements under construction) are written off to their estimated residual values over their estimated useful lives using the straight-line method of depreciation. The estimated useful lives, residual values and depreciation methods are reviewed at the end of each reporting period, with the effect of any changes in estimates accounted for on a prospective basis. The table below outlines the d</w:t>
      </w:r>
      <w:r w:rsidRPr="00C82242">
        <w:rPr>
          <w:rFonts w:cs="Arial"/>
          <w:sz w:val="18"/>
          <w:szCs w:val="18"/>
          <w:lang w:eastAsia="en-AU"/>
        </w:rPr>
        <w:t>epreciation rates applying to each class of depreciable asset based on the following useful lives:</w:t>
      </w:r>
    </w:p>
    <w:tbl>
      <w:tblPr>
        <w:tblStyle w:val="LightShading10"/>
        <w:tblW w:w="4627" w:type="dxa"/>
        <w:tblLayout w:type="fixed"/>
        <w:tblLook w:val="04A0" w:firstRow="1" w:lastRow="0" w:firstColumn="1" w:lastColumn="0" w:noHBand="0" w:noVBand="1"/>
      </w:tblPr>
      <w:tblGrid>
        <w:gridCol w:w="2094"/>
        <w:gridCol w:w="1285"/>
        <w:gridCol w:w="1248"/>
      </w:tblGrid>
      <w:tr w:rsidR="00C82242" w:rsidRPr="00C82242" w14:paraId="1EB6B59B" w14:textId="77777777" w:rsidTr="005E5E0C">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094" w:type="dxa"/>
            <w:tcBorders>
              <w:bottom w:val="nil"/>
            </w:tcBorders>
            <w:shd w:val="clear" w:color="auto" w:fill="auto"/>
          </w:tcPr>
          <w:p w14:paraId="647DC5B4" w14:textId="77777777" w:rsidR="00C82242" w:rsidRPr="00C82242" w:rsidRDefault="00C82242" w:rsidP="00D9533E">
            <w:pPr>
              <w:spacing w:after="0" w:line="260" w:lineRule="atLeast"/>
              <w:rPr>
                <w:rFonts w:cs="Arial"/>
                <w:sz w:val="18"/>
                <w:szCs w:val="18"/>
                <w:lang w:eastAsia="en-AU"/>
              </w:rPr>
            </w:pPr>
            <w:r w:rsidRPr="00C82242">
              <w:rPr>
                <w:rFonts w:eastAsia="Calibri" w:cs="Arial"/>
                <w:sz w:val="18"/>
                <w:szCs w:val="18"/>
                <w:lang w:eastAsia="en-AU"/>
              </w:rPr>
              <w:t>Asset class</w:t>
            </w:r>
          </w:p>
        </w:tc>
        <w:tc>
          <w:tcPr>
            <w:tcW w:w="2533" w:type="dxa"/>
            <w:gridSpan w:val="2"/>
            <w:tcBorders>
              <w:bottom w:val="single" w:sz="8" w:space="0" w:color="auto"/>
            </w:tcBorders>
            <w:shd w:val="clear" w:color="auto" w:fill="auto"/>
          </w:tcPr>
          <w:p w14:paraId="48166893" w14:textId="77777777" w:rsidR="00C82242" w:rsidRPr="00C82242" w:rsidRDefault="00C82242" w:rsidP="00D9533E">
            <w:pPr>
              <w:spacing w:after="0" w:line="260" w:lineRule="atLeast"/>
              <w:jc w:val="center"/>
              <w:cnfStyle w:val="100000000000" w:firstRow="1" w:lastRow="0" w:firstColumn="0" w:lastColumn="0" w:oddVBand="0" w:evenVBand="0" w:oddHBand="0" w:evenHBand="0" w:firstRowFirstColumn="0" w:firstRowLastColumn="0" w:lastRowFirstColumn="0" w:lastRowLastColumn="0"/>
              <w:rPr>
                <w:rFonts w:eastAsia="Calibri" w:cs="Arial"/>
                <w:sz w:val="18"/>
                <w:szCs w:val="18"/>
                <w:lang w:eastAsia="en-AU"/>
              </w:rPr>
            </w:pPr>
            <w:r w:rsidRPr="00C82242">
              <w:rPr>
                <w:rFonts w:eastAsia="Calibri" w:cs="Arial"/>
                <w:sz w:val="18"/>
                <w:szCs w:val="18"/>
                <w:lang w:eastAsia="en-AU"/>
              </w:rPr>
              <w:t>Useful life</w:t>
            </w:r>
          </w:p>
        </w:tc>
      </w:tr>
      <w:tr w:rsidR="00C82242" w:rsidRPr="00C82242" w14:paraId="0DF73C34" w14:textId="77777777" w:rsidTr="005E5E0C">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094" w:type="dxa"/>
            <w:tcBorders>
              <w:top w:val="nil"/>
              <w:bottom w:val="single" w:sz="8" w:space="0" w:color="auto"/>
            </w:tcBorders>
            <w:shd w:val="clear" w:color="auto" w:fill="auto"/>
          </w:tcPr>
          <w:p w14:paraId="6261CBDB" w14:textId="77777777" w:rsidR="00C82242" w:rsidRPr="00C82242" w:rsidRDefault="00C82242" w:rsidP="00D9533E">
            <w:pPr>
              <w:spacing w:after="0" w:line="260" w:lineRule="atLeast"/>
              <w:rPr>
                <w:rFonts w:eastAsia="Calibri" w:cs="Arial"/>
                <w:sz w:val="18"/>
                <w:szCs w:val="18"/>
                <w:lang w:eastAsia="en-AU"/>
              </w:rPr>
            </w:pPr>
          </w:p>
        </w:tc>
        <w:tc>
          <w:tcPr>
            <w:tcW w:w="1285" w:type="dxa"/>
            <w:tcBorders>
              <w:top w:val="single" w:sz="8" w:space="0" w:color="auto"/>
              <w:bottom w:val="single" w:sz="8" w:space="0" w:color="auto"/>
            </w:tcBorders>
            <w:shd w:val="clear" w:color="auto" w:fill="auto"/>
          </w:tcPr>
          <w:p w14:paraId="5CD67483" w14:textId="77777777" w:rsidR="00C82242" w:rsidRPr="00C82242" w:rsidRDefault="00C82242" w:rsidP="00D9533E">
            <w:pPr>
              <w:spacing w:after="0" w:line="260" w:lineRule="atLeast"/>
              <w:cnfStyle w:val="000000100000" w:firstRow="0" w:lastRow="0" w:firstColumn="0" w:lastColumn="0" w:oddVBand="0" w:evenVBand="0" w:oddHBand="1" w:evenHBand="0" w:firstRowFirstColumn="0" w:firstRowLastColumn="0" w:lastRowFirstColumn="0" w:lastRowLastColumn="0"/>
              <w:rPr>
                <w:rFonts w:eastAsia="Calibri" w:cs="Arial"/>
                <w:b/>
                <w:bCs/>
                <w:sz w:val="18"/>
                <w:szCs w:val="18"/>
                <w:lang w:eastAsia="en-AU"/>
              </w:rPr>
            </w:pPr>
            <w:r w:rsidRPr="00C82242">
              <w:rPr>
                <w:rFonts w:eastAsia="Calibri" w:cs="Arial"/>
                <w:b/>
                <w:bCs/>
                <w:sz w:val="18"/>
                <w:szCs w:val="18"/>
                <w:lang w:eastAsia="en-AU"/>
              </w:rPr>
              <w:t>2023-24</w:t>
            </w:r>
          </w:p>
        </w:tc>
        <w:tc>
          <w:tcPr>
            <w:tcW w:w="1248" w:type="dxa"/>
            <w:tcBorders>
              <w:top w:val="single" w:sz="8" w:space="0" w:color="auto"/>
              <w:bottom w:val="single" w:sz="8" w:space="0" w:color="auto"/>
            </w:tcBorders>
            <w:shd w:val="clear" w:color="auto" w:fill="auto"/>
          </w:tcPr>
          <w:p w14:paraId="2A40AB45" w14:textId="77777777" w:rsidR="00C82242" w:rsidRPr="00C82242" w:rsidRDefault="00C82242" w:rsidP="00D9533E">
            <w:pPr>
              <w:spacing w:after="0" w:line="260" w:lineRule="atLeast"/>
              <w:cnfStyle w:val="000000100000" w:firstRow="0" w:lastRow="0" w:firstColumn="0" w:lastColumn="0" w:oddVBand="0" w:evenVBand="0" w:oddHBand="1" w:evenHBand="0" w:firstRowFirstColumn="0" w:firstRowLastColumn="0" w:lastRowFirstColumn="0" w:lastRowLastColumn="0"/>
              <w:rPr>
                <w:rFonts w:eastAsia="Calibri" w:cs="Arial"/>
                <w:sz w:val="18"/>
                <w:szCs w:val="18"/>
                <w:lang w:eastAsia="en-AU"/>
              </w:rPr>
            </w:pPr>
            <w:r w:rsidRPr="00C82242">
              <w:rPr>
                <w:rFonts w:eastAsia="Calibri" w:cs="Arial"/>
                <w:sz w:val="18"/>
                <w:szCs w:val="18"/>
                <w:lang w:eastAsia="en-AU"/>
              </w:rPr>
              <w:t>2022-23</w:t>
            </w:r>
          </w:p>
        </w:tc>
      </w:tr>
      <w:tr w:rsidR="00C82242" w:rsidRPr="00C82242" w14:paraId="6A25A10E" w14:textId="77777777" w:rsidTr="005E5E0C">
        <w:trPr>
          <w:trHeight w:val="236"/>
        </w:trPr>
        <w:tc>
          <w:tcPr>
            <w:cnfStyle w:val="001000000000" w:firstRow="0" w:lastRow="0" w:firstColumn="1" w:lastColumn="0" w:oddVBand="0" w:evenVBand="0" w:oddHBand="0" w:evenHBand="0" w:firstRowFirstColumn="0" w:firstRowLastColumn="0" w:lastRowFirstColumn="0" w:lastRowLastColumn="0"/>
            <w:tcW w:w="2094" w:type="dxa"/>
            <w:tcBorders>
              <w:top w:val="single" w:sz="8" w:space="0" w:color="auto"/>
            </w:tcBorders>
            <w:shd w:val="clear" w:color="auto" w:fill="auto"/>
          </w:tcPr>
          <w:p w14:paraId="60CD4AF7" w14:textId="77777777" w:rsidR="00C82242" w:rsidRPr="00C82242" w:rsidRDefault="00C82242" w:rsidP="0047225D">
            <w:pPr>
              <w:spacing w:after="0" w:line="260" w:lineRule="atLeast"/>
              <w:rPr>
                <w:rFonts w:eastAsia="Calibri" w:cs="Arial"/>
                <w:sz w:val="18"/>
                <w:szCs w:val="18"/>
                <w:lang w:eastAsia="en-AU"/>
              </w:rPr>
            </w:pPr>
            <w:r w:rsidRPr="00C82242">
              <w:rPr>
                <w:rFonts w:eastAsia="Calibri" w:cs="Arial"/>
                <w:sz w:val="18"/>
                <w:szCs w:val="18"/>
                <w:lang w:eastAsia="en-AU"/>
              </w:rPr>
              <w:t>Plant and equipment</w:t>
            </w:r>
          </w:p>
        </w:tc>
        <w:tc>
          <w:tcPr>
            <w:tcW w:w="1285" w:type="dxa"/>
            <w:tcBorders>
              <w:top w:val="single" w:sz="8" w:space="0" w:color="auto"/>
            </w:tcBorders>
            <w:shd w:val="clear" w:color="auto" w:fill="auto"/>
          </w:tcPr>
          <w:p w14:paraId="3EC1C8C9" w14:textId="77777777" w:rsidR="00C82242" w:rsidRPr="00C82242" w:rsidRDefault="00C82242" w:rsidP="0047225D">
            <w:pPr>
              <w:spacing w:after="0" w:line="260" w:lineRule="atLeast"/>
              <w:cnfStyle w:val="000000000000" w:firstRow="0" w:lastRow="0" w:firstColumn="0" w:lastColumn="0" w:oddVBand="0" w:evenVBand="0" w:oddHBand="0" w:evenHBand="0" w:firstRowFirstColumn="0" w:firstRowLastColumn="0" w:lastRowFirstColumn="0" w:lastRowLastColumn="0"/>
              <w:rPr>
                <w:rFonts w:eastAsia="Calibri" w:cs="Arial"/>
                <w:b/>
                <w:bCs/>
                <w:sz w:val="18"/>
                <w:szCs w:val="18"/>
                <w:lang w:eastAsia="en-AU"/>
              </w:rPr>
            </w:pPr>
            <w:r w:rsidRPr="00C82242">
              <w:rPr>
                <w:rFonts w:eastAsia="Calibri" w:cs="Arial"/>
                <w:b/>
                <w:bCs/>
                <w:sz w:val="18"/>
                <w:szCs w:val="18"/>
                <w:lang w:eastAsia="en-AU"/>
              </w:rPr>
              <w:t>3 to 10 years</w:t>
            </w:r>
          </w:p>
        </w:tc>
        <w:tc>
          <w:tcPr>
            <w:tcW w:w="1248" w:type="dxa"/>
            <w:tcBorders>
              <w:top w:val="single" w:sz="8" w:space="0" w:color="auto"/>
            </w:tcBorders>
            <w:shd w:val="clear" w:color="auto" w:fill="auto"/>
          </w:tcPr>
          <w:p w14:paraId="2B40A5CE" w14:textId="77777777" w:rsidR="00C82242" w:rsidRPr="00C82242" w:rsidRDefault="00C82242" w:rsidP="0047225D">
            <w:pPr>
              <w:spacing w:after="0" w:line="260" w:lineRule="atLeast"/>
              <w:cnfStyle w:val="000000000000" w:firstRow="0" w:lastRow="0" w:firstColumn="0" w:lastColumn="0" w:oddVBand="0" w:evenVBand="0" w:oddHBand="0" w:evenHBand="0" w:firstRowFirstColumn="0" w:firstRowLastColumn="0" w:lastRowFirstColumn="0" w:lastRowLastColumn="0"/>
              <w:rPr>
                <w:rFonts w:eastAsia="Calibri" w:cs="Arial"/>
                <w:bCs/>
                <w:sz w:val="18"/>
                <w:szCs w:val="18"/>
                <w:lang w:eastAsia="en-AU"/>
              </w:rPr>
            </w:pPr>
            <w:r w:rsidRPr="00C82242">
              <w:rPr>
                <w:rFonts w:eastAsia="Calibri" w:cs="Arial"/>
                <w:bCs/>
                <w:sz w:val="18"/>
                <w:szCs w:val="18"/>
                <w:lang w:eastAsia="en-AU"/>
              </w:rPr>
              <w:t>3 to 10 years</w:t>
            </w:r>
          </w:p>
        </w:tc>
      </w:tr>
      <w:tr w:rsidR="00C82242" w:rsidRPr="00C82242" w14:paraId="057DE7CC" w14:textId="77777777" w:rsidTr="005E5E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094" w:type="dxa"/>
            <w:shd w:val="clear" w:color="auto" w:fill="auto"/>
          </w:tcPr>
          <w:p w14:paraId="40A09264" w14:textId="77777777" w:rsidR="00C82242" w:rsidRPr="00C82242" w:rsidRDefault="00C82242" w:rsidP="00D9533E">
            <w:pPr>
              <w:spacing w:after="0" w:line="260" w:lineRule="atLeast"/>
              <w:rPr>
                <w:rFonts w:eastAsia="Calibri" w:cs="Arial"/>
                <w:sz w:val="18"/>
                <w:szCs w:val="18"/>
                <w:lang w:eastAsia="en-AU"/>
              </w:rPr>
            </w:pPr>
            <w:r w:rsidRPr="00C82242">
              <w:rPr>
                <w:rFonts w:eastAsia="Calibri" w:cs="Arial"/>
                <w:sz w:val="18"/>
                <w:szCs w:val="18"/>
                <w:lang w:eastAsia="en-AU"/>
              </w:rPr>
              <w:t>Buildings</w:t>
            </w:r>
          </w:p>
        </w:tc>
        <w:tc>
          <w:tcPr>
            <w:tcW w:w="1285" w:type="dxa"/>
            <w:shd w:val="clear" w:color="auto" w:fill="auto"/>
          </w:tcPr>
          <w:p w14:paraId="4FC7ACA9" w14:textId="362F5CC2" w:rsidR="00C82242" w:rsidRPr="00C82242" w:rsidRDefault="00C82242" w:rsidP="0035041B">
            <w:pPr>
              <w:autoSpaceDE w:val="0"/>
              <w:autoSpaceDN w:val="0"/>
              <w:adjustRightInd w:val="0"/>
              <w:spacing w:after="0" w:line="260" w:lineRule="atLeast"/>
              <w:contextualSpacing/>
              <w:cnfStyle w:val="000000100000" w:firstRow="0" w:lastRow="0" w:firstColumn="0" w:lastColumn="0" w:oddVBand="0" w:evenVBand="0" w:oddHBand="1" w:evenHBand="0" w:firstRowFirstColumn="0" w:firstRowLastColumn="0" w:lastRowFirstColumn="0" w:lastRowLastColumn="0"/>
              <w:rPr>
                <w:rFonts w:eastAsia="Calibri" w:cs="Arial"/>
                <w:b/>
                <w:bCs/>
                <w:sz w:val="18"/>
                <w:szCs w:val="18"/>
                <w:lang w:eastAsia="en-AU"/>
              </w:rPr>
            </w:pPr>
            <w:r w:rsidRPr="00C82242">
              <w:rPr>
                <w:rFonts w:eastAsia="Calibri" w:cs="Arial"/>
                <w:b/>
                <w:bCs/>
                <w:sz w:val="18"/>
                <w:szCs w:val="18"/>
                <w:lang w:eastAsia="en-AU"/>
              </w:rPr>
              <w:t>Term of lease</w:t>
            </w:r>
          </w:p>
        </w:tc>
        <w:tc>
          <w:tcPr>
            <w:tcW w:w="1248" w:type="dxa"/>
            <w:shd w:val="clear" w:color="auto" w:fill="auto"/>
          </w:tcPr>
          <w:p w14:paraId="3A37B094" w14:textId="77777777" w:rsidR="00C82242" w:rsidRPr="00C82242" w:rsidRDefault="00C82242" w:rsidP="00D9533E">
            <w:pPr>
              <w:autoSpaceDE w:val="0"/>
              <w:autoSpaceDN w:val="0"/>
              <w:adjustRightInd w:val="0"/>
              <w:spacing w:after="0" w:line="260" w:lineRule="atLeast"/>
              <w:contextualSpacing/>
              <w:cnfStyle w:val="000000100000" w:firstRow="0" w:lastRow="0" w:firstColumn="0" w:lastColumn="0" w:oddVBand="0" w:evenVBand="0" w:oddHBand="1" w:evenHBand="0" w:firstRowFirstColumn="0" w:firstRowLastColumn="0" w:lastRowFirstColumn="0" w:lastRowLastColumn="0"/>
              <w:rPr>
                <w:rFonts w:eastAsia="Calibri" w:cs="Arial"/>
                <w:bCs/>
                <w:sz w:val="18"/>
                <w:szCs w:val="18"/>
                <w:lang w:eastAsia="en-AU"/>
              </w:rPr>
            </w:pPr>
            <w:r w:rsidRPr="00C82242">
              <w:rPr>
                <w:rFonts w:eastAsia="Calibri" w:cs="Arial"/>
                <w:bCs/>
                <w:sz w:val="18"/>
                <w:szCs w:val="18"/>
                <w:lang w:eastAsia="en-AU"/>
              </w:rPr>
              <w:t>Term of lease</w:t>
            </w:r>
          </w:p>
        </w:tc>
      </w:tr>
    </w:tbl>
    <w:p w14:paraId="4A324245" w14:textId="77777777" w:rsidR="00C82242" w:rsidRPr="00C82242" w:rsidRDefault="00C82242" w:rsidP="00C82242">
      <w:pPr>
        <w:spacing w:after="0" w:line="240" w:lineRule="auto"/>
        <w:rPr>
          <w:rFonts w:cs="Arial"/>
          <w:sz w:val="18"/>
          <w:szCs w:val="18"/>
          <w:lang w:eastAsia="en-US"/>
        </w:rPr>
      </w:pPr>
    </w:p>
    <w:p w14:paraId="7BEF0ED7" w14:textId="2BB48A64" w:rsidR="00C82242" w:rsidRPr="00C82242" w:rsidRDefault="00C82242" w:rsidP="0047225D">
      <w:pPr>
        <w:spacing w:after="60" w:line="240" w:lineRule="auto"/>
        <w:rPr>
          <w:rFonts w:cs="Arial"/>
          <w:sz w:val="18"/>
          <w:szCs w:val="18"/>
          <w:lang w:eastAsia="en-US"/>
        </w:rPr>
      </w:pPr>
      <w:r w:rsidRPr="00C82242">
        <w:rPr>
          <w:rFonts w:cs="Arial"/>
          <w:sz w:val="18"/>
          <w:szCs w:val="18"/>
          <w:lang w:eastAsia="en-US"/>
        </w:rPr>
        <w:t>The depreciation rates for ROU assets are based on the life of the lease term, including options to extend where it is expected that these will be exercised.</w:t>
      </w:r>
    </w:p>
    <w:p w14:paraId="1D194E63" w14:textId="77777777" w:rsidR="00C82242" w:rsidRPr="00C82242" w:rsidRDefault="00C82242" w:rsidP="0047225D">
      <w:pPr>
        <w:spacing w:after="60" w:line="240" w:lineRule="auto"/>
        <w:rPr>
          <w:rFonts w:cs="Arial"/>
          <w:i/>
          <w:iCs/>
          <w:sz w:val="18"/>
          <w:szCs w:val="18"/>
          <w:u w:val="single"/>
          <w:lang w:eastAsia="en-AU"/>
        </w:rPr>
      </w:pPr>
      <w:r w:rsidRPr="00C82242">
        <w:rPr>
          <w:rFonts w:cs="Arial"/>
          <w:i/>
          <w:iCs/>
          <w:sz w:val="18"/>
          <w:szCs w:val="18"/>
          <w:u w:val="single"/>
          <w:lang w:eastAsia="en-AU"/>
        </w:rPr>
        <w:t>Impairment</w:t>
      </w:r>
    </w:p>
    <w:p w14:paraId="6EE0DE3D" w14:textId="77777777" w:rsidR="00C82242" w:rsidRPr="00C82242" w:rsidRDefault="00C82242" w:rsidP="00133885">
      <w:pPr>
        <w:spacing w:after="120" w:line="240" w:lineRule="auto"/>
        <w:jc w:val="both"/>
        <w:rPr>
          <w:rFonts w:cs="Arial"/>
          <w:sz w:val="18"/>
          <w:szCs w:val="18"/>
          <w:lang w:eastAsia="en-AU"/>
        </w:rPr>
      </w:pPr>
      <w:r w:rsidRPr="00C82242">
        <w:rPr>
          <w:rFonts w:cs="Arial"/>
          <w:sz w:val="18"/>
          <w:szCs w:val="18"/>
          <w:lang w:eastAsia="en-AU"/>
        </w:rPr>
        <w:t xml:space="preserve">All assets are assessed for impairment annually. Where indications of impairment exist, the asset’s recoverable amount is estimated, and an impairment adjustment made if the asset’s recoverable amount is less than its carrying amount. The recoverable amount of an asset is the higher of its fair value less costs of disposal and its value in use. Value in use is the present value of the future cash flows expected to be derived from the asset. Where the future economic benefit of an asset is not primarily dependent on the asset’s ability to generate future cash flows, and the asset would be replaced if the Agency were deprived of the asset, its value in use is taken to be its depreciated replacement cost. </w:t>
      </w:r>
    </w:p>
    <w:p w14:paraId="44566EBD" w14:textId="77777777" w:rsidR="00CF200A" w:rsidRDefault="00CF200A" w:rsidP="00B040FE">
      <w:pPr>
        <w:spacing w:line="240" w:lineRule="auto"/>
        <w:ind w:left="142"/>
        <w:rPr>
          <w:rFonts w:cs="Arial"/>
          <w:sz w:val="18"/>
          <w:szCs w:val="18"/>
        </w:rPr>
        <w:sectPr w:rsidR="00CF200A" w:rsidSect="0047225D">
          <w:type w:val="continuous"/>
          <w:pgSz w:w="11906" w:h="16838" w:code="9"/>
          <w:pgMar w:top="1134" w:right="1700" w:bottom="1134" w:left="1134" w:header="958" w:footer="737" w:gutter="0"/>
          <w:cols w:num="2" w:space="708"/>
          <w:docGrid w:linePitch="360"/>
        </w:sectPr>
      </w:pPr>
    </w:p>
    <w:p w14:paraId="5436B1A3" w14:textId="77777777" w:rsidR="000D1B3E" w:rsidRPr="003203A1" w:rsidRDefault="000D1B3E" w:rsidP="000D1B3E">
      <w:pPr>
        <w:spacing w:after="0" w:line="240" w:lineRule="auto"/>
        <w:rPr>
          <w:b/>
          <w:bCs/>
        </w:rPr>
      </w:pPr>
      <w:r w:rsidRPr="003203A1">
        <w:rPr>
          <w:b/>
          <w:bCs/>
        </w:rPr>
        <w:lastRenderedPageBreak/>
        <w:t>National Disability Insurance Agency</w:t>
      </w:r>
    </w:p>
    <w:p w14:paraId="2643C081" w14:textId="77777777" w:rsidR="000D1B3E" w:rsidRDefault="000D1B3E" w:rsidP="000D1B3E">
      <w:pPr>
        <w:pBdr>
          <w:bottom w:val="single" w:sz="8" w:space="1" w:color="auto"/>
        </w:pBdr>
        <w:rPr>
          <w:b/>
          <w:bCs/>
        </w:rPr>
      </w:pPr>
      <w:r w:rsidRPr="003203A1">
        <w:rPr>
          <w:b/>
          <w:bCs/>
        </w:rPr>
        <w:t>NOTES TO AND FORMING PART OF THE FINANCIAL STATEMENTS</w:t>
      </w:r>
    </w:p>
    <w:p w14:paraId="0FAD6428" w14:textId="77777777" w:rsidR="000D1B3E" w:rsidRDefault="000D1B3E" w:rsidP="000D1B3E">
      <w:pPr>
        <w:pBdr>
          <w:bottom w:val="single" w:sz="8" w:space="1" w:color="auto"/>
        </w:pBdr>
        <w:rPr>
          <w:b/>
          <w:bCs/>
        </w:rPr>
        <w:sectPr w:rsidR="000D1B3E" w:rsidSect="000D1B3E">
          <w:type w:val="continuous"/>
          <w:pgSz w:w="11906" w:h="16838" w:code="9"/>
          <w:pgMar w:top="1670" w:right="1134" w:bottom="1134" w:left="1134" w:header="958" w:footer="737" w:gutter="0"/>
          <w:cols w:space="708"/>
          <w:docGrid w:linePitch="360"/>
        </w:sectPr>
      </w:pPr>
    </w:p>
    <w:p w14:paraId="2F4D657A" w14:textId="55A49EC2" w:rsidR="00F21D8B" w:rsidRPr="00F21D8B" w:rsidRDefault="00F21D8B" w:rsidP="00F21D8B">
      <w:pPr>
        <w:spacing w:after="0" w:line="240" w:lineRule="auto"/>
        <w:jc w:val="both"/>
        <w:rPr>
          <w:rFonts w:cs="Arial"/>
          <w:i/>
          <w:iCs/>
          <w:sz w:val="18"/>
          <w:szCs w:val="18"/>
          <w:u w:val="single"/>
          <w:lang w:eastAsia="en-AU"/>
        </w:rPr>
      </w:pPr>
      <w:r w:rsidRPr="00F21D8B">
        <w:rPr>
          <w:rFonts w:cs="Arial"/>
          <w:noProof/>
          <w:sz w:val="18"/>
          <w:szCs w:val="18"/>
          <w:lang w:eastAsia="en-AU"/>
        </w:rPr>
        <mc:AlternateContent>
          <mc:Choice Requires="wps">
            <w:drawing>
              <wp:anchor distT="0" distB="0" distL="114300" distR="114300" simplePos="0" relativeHeight="251658241" behindDoc="0" locked="0" layoutInCell="1" allowOverlap="1" wp14:anchorId="3D4D9CF5" wp14:editId="2F218693">
                <wp:simplePos x="0" y="0"/>
                <wp:positionH relativeFrom="margin">
                  <wp:posOffset>-159822</wp:posOffset>
                </wp:positionH>
                <wp:positionV relativeFrom="paragraph">
                  <wp:posOffset>-79463</wp:posOffset>
                </wp:positionV>
                <wp:extent cx="6383547" cy="5232694"/>
                <wp:effectExtent l="0" t="0" r="17780" b="25400"/>
                <wp:wrapNone/>
                <wp:docPr id="3"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3547" cy="5232694"/>
                        </a:xfrm>
                        <a:prstGeom prst="rect">
                          <a:avLst/>
                        </a:prstGeom>
                        <a:noFill/>
                        <a:ln w="9525">
                          <a:solidFill>
                            <a:srgbClr val="8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C96D1F6" id="Rectangle 3" o:spid="_x0000_s1026" alt="&quot;&quot;" style="position:absolute;margin-left:-12.6pt;margin-top:-6.25pt;width:502.65pt;height:41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" filled="f" strokecolor="purple">
                <w10:wrap anchorx="margin"/>
              </v:rect>
            </w:pict>
          </mc:Fallback>
        </mc:AlternateContent>
      </w:r>
      <w:r w:rsidRPr="00F21D8B">
        <w:rPr>
          <w:rFonts w:cs="Arial"/>
          <w:i/>
          <w:iCs/>
          <w:sz w:val="18"/>
          <w:szCs w:val="18"/>
          <w:u w:val="single"/>
          <w:lang w:eastAsia="en-AU"/>
        </w:rPr>
        <w:t>Fair Value</w:t>
      </w:r>
    </w:p>
    <w:p w14:paraId="473AD5A2" w14:textId="77777777" w:rsidR="00F21D8B" w:rsidRPr="00F21D8B" w:rsidRDefault="00F21D8B" w:rsidP="0047225D">
      <w:pPr>
        <w:spacing w:after="60" w:line="240" w:lineRule="auto"/>
        <w:jc w:val="both"/>
        <w:rPr>
          <w:rFonts w:cs="Arial"/>
          <w:iCs/>
          <w:sz w:val="18"/>
          <w:szCs w:val="18"/>
          <w:lang w:eastAsia="en-AU"/>
        </w:rPr>
      </w:pPr>
      <w:r w:rsidRPr="00F21D8B">
        <w:rPr>
          <w:rFonts w:cs="Arial"/>
          <w:iCs/>
          <w:sz w:val="18"/>
          <w:szCs w:val="18"/>
          <w:lang w:eastAsia="en-AU"/>
        </w:rPr>
        <w:t>All leasehold improvements and plant and equipment are measured at their estimated fair value in the Statement of Financial Position. All leasehold improvements and plant and equipment, other than ROU plant and equipment and computing equipment, held by the Agency are categorised under Level 3 in accordance with the hierarchy listed in AASB 13.</w:t>
      </w:r>
    </w:p>
    <w:p w14:paraId="40944375" w14:textId="77777777" w:rsidR="00F21D8B" w:rsidRPr="00F21D8B" w:rsidRDefault="00F21D8B" w:rsidP="0047225D">
      <w:pPr>
        <w:spacing w:after="60" w:line="240" w:lineRule="auto"/>
        <w:jc w:val="both"/>
        <w:rPr>
          <w:rFonts w:cs="Arial"/>
          <w:iCs/>
          <w:sz w:val="18"/>
          <w:szCs w:val="18"/>
          <w:lang w:eastAsia="en-AU"/>
        </w:rPr>
      </w:pPr>
      <w:r w:rsidRPr="00F21D8B">
        <w:rPr>
          <w:rFonts w:cs="Arial"/>
          <w:iCs/>
          <w:sz w:val="18"/>
          <w:szCs w:val="18"/>
          <w:lang w:eastAsia="en-AU"/>
        </w:rPr>
        <w:t>Level 3 measurements use inputs to estimate fair value where there are no observable market prices for the assets being valued. The future economic benefits of the Agency’s leasehold improvements and plant and equipment are not primarily dependent on their ability to generate cash flows. The Agency has not disclosed quantitative information about the significant unobservable inputs for the level 3 measurements in these classes.</w:t>
      </w:r>
    </w:p>
    <w:p w14:paraId="1EABF55A" w14:textId="77777777" w:rsidR="00F21D8B" w:rsidRPr="00F21D8B" w:rsidRDefault="00F21D8B" w:rsidP="0047225D">
      <w:pPr>
        <w:spacing w:after="60" w:line="240" w:lineRule="auto"/>
        <w:jc w:val="both"/>
        <w:rPr>
          <w:rFonts w:cs="Arial"/>
          <w:iCs/>
          <w:sz w:val="18"/>
          <w:szCs w:val="18"/>
          <w:lang w:eastAsia="en-AU"/>
        </w:rPr>
      </w:pPr>
      <w:r w:rsidRPr="00F21D8B">
        <w:rPr>
          <w:rFonts w:cs="Arial"/>
          <w:sz w:val="18"/>
          <w:szCs w:val="18"/>
          <w:lang w:eastAsia="en-AU"/>
        </w:rPr>
        <w:t xml:space="preserve">Computing equipment are categorised under level 1 </w:t>
      </w:r>
      <w:r w:rsidRPr="00F21D8B">
        <w:rPr>
          <w:rFonts w:cs="Arial"/>
          <w:iCs/>
          <w:sz w:val="18"/>
          <w:szCs w:val="18"/>
          <w:lang w:eastAsia="en-AU"/>
        </w:rPr>
        <w:t>in accordance with the hierarchy listed in AASB 13.</w:t>
      </w:r>
    </w:p>
    <w:p w14:paraId="2A1CBC59" w14:textId="77777777" w:rsidR="00F21D8B" w:rsidRPr="00F21D8B" w:rsidRDefault="00F21D8B" w:rsidP="0047225D">
      <w:pPr>
        <w:spacing w:after="60" w:line="240" w:lineRule="auto"/>
        <w:jc w:val="both"/>
        <w:rPr>
          <w:rFonts w:cs="Arial"/>
          <w:sz w:val="18"/>
          <w:szCs w:val="18"/>
          <w:lang w:eastAsia="en-AU"/>
        </w:rPr>
      </w:pPr>
      <w:r w:rsidRPr="00F21D8B">
        <w:rPr>
          <w:rFonts w:cs="Arial"/>
          <w:sz w:val="18"/>
          <w:szCs w:val="18"/>
          <w:lang w:eastAsia="en-AU"/>
        </w:rPr>
        <w:t>Level 1 measurements use quoted prices (unadjusted) in active markets for identical assets or liabilities that the entity can access at the measurement date.</w:t>
      </w:r>
    </w:p>
    <w:p w14:paraId="606EC889" w14:textId="77777777" w:rsidR="00F21D8B" w:rsidRPr="00F21D8B" w:rsidRDefault="00F21D8B" w:rsidP="0047225D">
      <w:pPr>
        <w:spacing w:after="60" w:line="240" w:lineRule="auto"/>
        <w:jc w:val="both"/>
        <w:rPr>
          <w:rFonts w:cs="Arial"/>
          <w:i/>
          <w:iCs/>
          <w:sz w:val="18"/>
          <w:szCs w:val="18"/>
          <w:u w:val="single"/>
          <w:lang w:eastAsia="en-AU"/>
        </w:rPr>
      </w:pPr>
      <w:r w:rsidRPr="00F21D8B">
        <w:rPr>
          <w:rFonts w:cs="Arial"/>
          <w:i/>
          <w:iCs/>
          <w:sz w:val="18"/>
          <w:szCs w:val="18"/>
          <w:u w:val="single"/>
          <w:lang w:eastAsia="en-AU"/>
        </w:rPr>
        <w:t>De-recognition</w:t>
      </w:r>
    </w:p>
    <w:p w14:paraId="272A4ADC" w14:textId="6032DD57" w:rsidR="00F21D8B" w:rsidRPr="00F21D8B" w:rsidRDefault="00F21D8B" w:rsidP="0047225D">
      <w:pPr>
        <w:autoSpaceDE w:val="0"/>
        <w:autoSpaceDN w:val="0"/>
        <w:adjustRightInd w:val="0"/>
        <w:spacing w:after="60" w:line="240" w:lineRule="auto"/>
        <w:jc w:val="both"/>
        <w:rPr>
          <w:rFonts w:cs="Arial"/>
          <w:sz w:val="18"/>
          <w:szCs w:val="18"/>
          <w:lang w:eastAsia="en-US"/>
        </w:rPr>
      </w:pPr>
      <w:r w:rsidRPr="00F21D8B">
        <w:rPr>
          <w:rFonts w:cs="Arial"/>
          <w:sz w:val="18"/>
          <w:szCs w:val="18"/>
          <w:lang w:eastAsia="en-US"/>
        </w:rPr>
        <w:t xml:space="preserve">An item of buildings or plant and equipment is derecognised upon disposal or when no further future economic benefits are expected from its use or its disposal. </w:t>
      </w:r>
    </w:p>
    <w:p w14:paraId="1C868EC0" w14:textId="77777777" w:rsidR="00F21D8B" w:rsidRPr="00F21D8B" w:rsidRDefault="00F21D8B" w:rsidP="0047225D">
      <w:pPr>
        <w:autoSpaceDE w:val="0"/>
        <w:autoSpaceDN w:val="0"/>
        <w:adjustRightInd w:val="0"/>
        <w:spacing w:after="60" w:line="240" w:lineRule="auto"/>
        <w:jc w:val="both"/>
        <w:rPr>
          <w:rFonts w:cs="Arial"/>
          <w:sz w:val="18"/>
          <w:szCs w:val="18"/>
          <w:lang w:eastAsia="en-US"/>
        </w:rPr>
      </w:pPr>
      <w:r w:rsidRPr="00F21D8B">
        <w:rPr>
          <w:rFonts w:cs="Arial"/>
          <w:sz w:val="18"/>
          <w:szCs w:val="18"/>
          <w:lang w:eastAsia="en-US"/>
        </w:rPr>
        <w:t xml:space="preserve">On de-recognition of a leased ROU asset, the Agency recognises any receipts on closure of the lease as a gain (unless </w:t>
      </w:r>
      <w:r w:rsidRPr="00F21D8B">
        <w:rPr>
          <w:rFonts w:cs="Arial"/>
          <w:i/>
          <w:iCs/>
          <w:sz w:val="18"/>
          <w:szCs w:val="18"/>
          <w:lang w:eastAsia="en-US"/>
        </w:rPr>
        <w:t xml:space="preserve">AASB 16 </w:t>
      </w:r>
      <w:r w:rsidRPr="00F21D8B">
        <w:rPr>
          <w:rFonts w:cs="Arial"/>
          <w:sz w:val="18"/>
          <w:szCs w:val="18"/>
          <w:lang w:eastAsia="en-US"/>
        </w:rPr>
        <w:t>requires otherwise on a sale and leaseback).</w:t>
      </w:r>
    </w:p>
    <w:p w14:paraId="30998A44" w14:textId="77777777" w:rsidR="00F21D8B" w:rsidRPr="00F21D8B" w:rsidRDefault="00F21D8B" w:rsidP="0047225D">
      <w:pPr>
        <w:autoSpaceDE w:val="0"/>
        <w:autoSpaceDN w:val="0"/>
        <w:adjustRightInd w:val="0"/>
        <w:spacing w:after="60" w:line="240" w:lineRule="auto"/>
        <w:jc w:val="both"/>
        <w:rPr>
          <w:rFonts w:cs="Arial"/>
          <w:b/>
          <w:bCs/>
          <w:sz w:val="18"/>
          <w:szCs w:val="18"/>
          <w:lang w:eastAsia="en-US"/>
        </w:rPr>
      </w:pPr>
      <w:r w:rsidRPr="00F21D8B">
        <w:rPr>
          <w:rFonts w:cs="Arial"/>
          <w:b/>
          <w:bCs/>
          <w:sz w:val="18"/>
          <w:szCs w:val="18"/>
          <w:lang w:eastAsia="en-US"/>
        </w:rPr>
        <w:t>Key judgements and estimates</w:t>
      </w:r>
    </w:p>
    <w:p w14:paraId="55A296BB" w14:textId="77777777" w:rsidR="00F21D8B" w:rsidRPr="00F21D8B" w:rsidRDefault="00F21D8B" w:rsidP="0047225D">
      <w:pPr>
        <w:autoSpaceDE w:val="0"/>
        <w:autoSpaceDN w:val="0"/>
        <w:adjustRightInd w:val="0"/>
        <w:spacing w:after="60" w:line="240" w:lineRule="auto"/>
        <w:jc w:val="both"/>
        <w:rPr>
          <w:rFonts w:cs="Arial"/>
          <w:sz w:val="18"/>
          <w:szCs w:val="18"/>
          <w:lang w:eastAsia="en-AU"/>
        </w:rPr>
      </w:pPr>
      <w:r w:rsidRPr="00F21D8B">
        <w:rPr>
          <w:rFonts w:cs="Arial"/>
          <w:sz w:val="18"/>
          <w:szCs w:val="18"/>
          <w:lang w:eastAsia="en-AU"/>
        </w:rPr>
        <w:t xml:space="preserve">The estimated fair value of leasehold improvements and plant and equipment (excluding ROU assets) is determined annually by an independent valuer using the </w:t>
      </w:r>
      <w:r w:rsidRPr="00F21D8B">
        <w:rPr>
          <w:rFonts w:cs="Arial"/>
          <w:sz w:val="18"/>
          <w:szCs w:val="18"/>
          <w:lang w:eastAsia="en-AU"/>
        </w:rPr>
        <w:t>Cost Approach as these assets do not generally transact with enough frequency or transparency to develop objective opinions of value. The valuation result provided by the independent valuer is subject to management assessment.</w:t>
      </w:r>
    </w:p>
    <w:p w14:paraId="39E7E213" w14:textId="77777777" w:rsidR="00F21D8B" w:rsidRPr="00F21D8B" w:rsidRDefault="00F21D8B" w:rsidP="0047225D">
      <w:pPr>
        <w:autoSpaceDE w:val="0"/>
        <w:autoSpaceDN w:val="0"/>
        <w:adjustRightInd w:val="0"/>
        <w:spacing w:after="60" w:line="240" w:lineRule="auto"/>
        <w:jc w:val="both"/>
        <w:rPr>
          <w:rFonts w:cs="Arial"/>
          <w:sz w:val="18"/>
          <w:szCs w:val="18"/>
          <w:lang w:eastAsia="en-AU"/>
        </w:rPr>
      </w:pPr>
      <w:r w:rsidRPr="00F21D8B">
        <w:rPr>
          <w:rFonts w:cs="Arial"/>
          <w:sz w:val="18"/>
          <w:szCs w:val="18"/>
          <w:lang w:eastAsia="en-AU"/>
        </w:rPr>
        <w:t>The Cost Approach seeks to estimate the amount required to replace the service capacity of an asset at its highest and best use and is determined as either the Replacement Cost of New Assets (RCN) or the Depreciated Replacement Cost (DRC).</w:t>
      </w:r>
    </w:p>
    <w:p w14:paraId="0C83B791" w14:textId="77777777" w:rsidR="00F21D8B" w:rsidRPr="00F21D8B" w:rsidRDefault="00F21D8B" w:rsidP="0047225D">
      <w:pPr>
        <w:autoSpaceDE w:val="0"/>
        <w:autoSpaceDN w:val="0"/>
        <w:adjustRightInd w:val="0"/>
        <w:spacing w:after="60" w:line="240" w:lineRule="auto"/>
        <w:jc w:val="both"/>
        <w:rPr>
          <w:rFonts w:cs="Arial"/>
          <w:sz w:val="18"/>
          <w:szCs w:val="18"/>
          <w:lang w:eastAsia="en-AU"/>
        </w:rPr>
      </w:pPr>
      <w:r w:rsidRPr="00F21D8B">
        <w:rPr>
          <w:rFonts w:cs="Arial"/>
          <w:sz w:val="18"/>
          <w:szCs w:val="18"/>
          <w:lang w:eastAsia="en-AU"/>
        </w:rPr>
        <w:t>Assets Under Construction are valued as RCN determined as the amount a market participant would pay to acquire or construct a new substitute asset of comparable utility and relevant to the asset’s location. Inputs including current local market prices for asset components such as materials and labour costs are utilised in determining RCN.</w:t>
      </w:r>
    </w:p>
    <w:p w14:paraId="2FD85309" w14:textId="77777777" w:rsidR="00F21D8B" w:rsidRPr="00F21D8B" w:rsidRDefault="00F21D8B" w:rsidP="0047225D">
      <w:pPr>
        <w:autoSpaceDE w:val="0"/>
        <w:autoSpaceDN w:val="0"/>
        <w:adjustRightInd w:val="0"/>
        <w:spacing w:after="60" w:line="240" w:lineRule="auto"/>
        <w:jc w:val="both"/>
        <w:rPr>
          <w:rFonts w:cs="Arial"/>
          <w:sz w:val="18"/>
          <w:szCs w:val="18"/>
          <w:lang w:eastAsia="en-AU"/>
        </w:rPr>
        <w:sectPr w:rsidR="00F21D8B" w:rsidRPr="00F21D8B" w:rsidSect="00F21D8B">
          <w:type w:val="continuous"/>
          <w:pgSz w:w="11906" w:h="16838" w:code="9"/>
          <w:pgMar w:top="1670" w:right="1134" w:bottom="1134" w:left="1134" w:header="958" w:footer="737" w:gutter="0"/>
          <w:cols w:num="2" w:space="708"/>
          <w:docGrid w:linePitch="360"/>
        </w:sectPr>
      </w:pPr>
      <w:r w:rsidRPr="00F21D8B">
        <w:rPr>
          <w:rFonts w:cs="Arial"/>
          <w:sz w:val="18"/>
          <w:szCs w:val="18"/>
          <w:lang w:eastAsia="en-AU"/>
        </w:rPr>
        <w:t>Leasehold improvements, plant, and equipment (excluding ROU assets) are valued using DRC. Under DRC the replacement costs of new assets are adjusted for physical depreciation and obsolescence such as physical deterioration, functional or technical obsolescence and conditions of the economic environment specific to the asset. For leasehold improvements, the consumed economic benefit/asset obsolescence deduction is generally determined based on the term of the associated lease. All useful life inputs are based on the lower of the tenancy lease term or economic life of the fit-out. If a fit-out installation date has occurred at a time other than the lease commencement date, the asset’s useful life will be based on the lesser of the remaining tenancy lease term or economic life of the fit-out.</w:t>
      </w:r>
    </w:p>
    <w:p w14:paraId="18F655FD" w14:textId="77777777" w:rsidR="00F21D8B" w:rsidRPr="00F21D8B" w:rsidRDefault="00F21D8B" w:rsidP="00F21D8B">
      <w:pPr>
        <w:spacing w:after="0" w:line="240" w:lineRule="auto"/>
        <w:jc w:val="both"/>
        <w:rPr>
          <w:rFonts w:cs="Arial"/>
          <w:sz w:val="18"/>
          <w:szCs w:val="18"/>
          <w:lang w:eastAsia="en-AU"/>
        </w:rPr>
        <w:sectPr w:rsidR="00F21D8B" w:rsidRPr="00F21D8B" w:rsidSect="00F21D8B">
          <w:type w:val="continuous"/>
          <w:pgSz w:w="11906" w:h="16838" w:code="9"/>
          <w:pgMar w:top="1670" w:right="1134" w:bottom="1134" w:left="1134" w:header="958" w:footer="737" w:gutter="0"/>
          <w:cols w:num="2" w:space="708"/>
          <w:docGrid w:linePitch="360"/>
        </w:sectPr>
      </w:pPr>
    </w:p>
    <w:p w14:paraId="60E55A01" w14:textId="77777777" w:rsidR="00B040FE" w:rsidRDefault="00B040FE" w:rsidP="00B040FE">
      <w:pPr>
        <w:spacing w:line="240" w:lineRule="auto"/>
        <w:ind w:left="142"/>
        <w:rPr>
          <w:rFonts w:cs="Arial"/>
          <w:sz w:val="18"/>
          <w:szCs w:val="18"/>
        </w:rPr>
      </w:pPr>
    </w:p>
    <w:tbl>
      <w:tblPr>
        <w:tblW w:w="9087" w:type="dxa"/>
        <w:tblLayout w:type="fixed"/>
        <w:tblLook w:val="04A0" w:firstRow="1" w:lastRow="0" w:firstColumn="1" w:lastColumn="0" w:noHBand="0" w:noVBand="1"/>
      </w:tblPr>
      <w:tblGrid>
        <w:gridCol w:w="6351"/>
        <w:gridCol w:w="1259"/>
        <w:gridCol w:w="236"/>
        <w:gridCol w:w="1241"/>
      </w:tblGrid>
      <w:tr w:rsidR="00E576FB" w14:paraId="4A21069A" w14:textId="77777777" w:rsidTr="005E5E0C">
        <w:trPr>
          <w:trHeight w:val="260"/>
        </w:trPr>
        <w:tc>
          <w:tcPr>
            <w:tcW w:w="6351" w:type="dxa"/>
            <w:tcBorders>
              <w:top w:val="nil"/>
              <w:left w:val="nil"/>
              <w:bottom w:val="nil"/>
              <w:right w:val="nil"/>
            </w:tcBorders>
            <w:shd w:val="clear" w:color="FFFFFF" w:fill="FFFFFF"/>
            <w:noWrap/>
            <w:vAlign w:val="bottom"/>
            <w:hideMark/>
          </w:tcPr>
          <w:p w14:paraId="7C2AE94D" w14:textId="57A2FEA4" w:rsidR="00E576FB" w:rsidRDefault="00E576FB" w:rsidP="005D0C23">
            <w:pPr>
              <w:spacing w:after="0"/>
              <w:rPr>
                <w:rFonts w:cs="Arial"/>
                <w:sz w:val="18"/>
                <w:szCs w:val="18"/>
              </w:rPr>
            </w:pPr>
            <w:bookmarkStart w:id="190" w:name="Note_ONATABLE1" w:colFirst="0" w:colLast="0"/>
          </w:p>
          <w:p w14:paraId="1A2EC415" w14:textId="7184719E" w:rsidR="005D0C23" w:rsidRDefault="005D0C23" w:rsidP="0047225D">
            <w:pPr>
              <w:spacing w:after="0"/>
              <w:rPr>
                <w:rFonts w:cs="Arial"/>
                <w:sz w:val="18"/>
                <w:szCs w:val="18"/>
              </w:rPr>
            </w:pPr>
          </w:p>
        </w:tc>
        <w:tc>
          <w:tcPr>
            <w:tcW w:w="1259" w:type="dxa"/>
            <w:tcBorders>
              <w:top w:val="nil"/>
              <w:left w:val="nil"/>
              <w:bottom w:val="nil"/>
              <w:right w:val="nil"/>
            </w:tcBorders>
            <w:shd w:val="clear" w:color="FFFFFF" w:fill="FFFFFF"/>
            <w:vAlign w:val="bottom"/>
            <w:hideMark/>
          </w:tcPr>
          <w:p w14:paraId="0F251F64" w14:textId="77777777" w:rsidR="00E576FB" w:rsidRDefault="00E576FB" w:rsidP="0047225D">
            <w:pPr>
              <w:spacing w:after="0"/>
              <w:jc w:val="right"/>
              <w:rPr>
                <w:rFonts w:cs="Arial"/>
                <w:b/>
                <w:bCs/>
                <w:sz w:val="18"/>
                <w:szCs w:val="18"/>
              </w:rPr>
            </w:pPr>
            <w:r>
              <w:rPr>
                <w:rFonts w:cs="Arial"/>
                <w:b/>
                <w:bCs/>
                <w:sz w:val="18"/>
                <w:szCs w:val="18"/>
              </w:rPr>
              <w:t>2024</w:t>
            </w:r>
          </w:p>
        </w:tc>
        <w:tc>
          <w:tcPr>
            <w:tcW w:w="236" w:type="dxa"/>
            <w:tcBorders>
              <w:top w:val="nil"/>
              <w:left w:val="nil"/>
              <w:bottom w:val="nil"/>
              <w:right w:val="nil"/>
            </w:tcBorders>
            <w:shd w:val="clear" w:color="FFFFFF" w:fill="FFFFFF"/>
            <w:noWrap/>
            <w:vAlign w:val="bottom"/>
            <w:hideMark/>
          </w:tcPr>
          <w:p w14:paraId="1E31F6ED" w14:textId="77777777" w:rsidR="00E576FB" w:rsidRDefault="00E576FB" w:rsidP="0047225D">
            <w:pPr>
              <w:spacing w:after="0"/>
              <w:rPr>
                <w:rFonts w:cs="Arial"/>
                <w:sz w:val="18"/>
                <w:szCs w:val="18"/>
              </w:rPr>
            </w:pPr>
            <w:r>
              <w:rPr>
                <w:rFonts w:cs="Arial"/>
                <w:sz w:val="18"/>
                <w:szCs w:val="18"/>
              </w:rPr>
              <w:t> </w:t>
            </w:r>
          </w:p>
        </w:tc>
        <w:tc>
          <w:tcPr>
            <w:tcW w:w="1241" w:type="dxa"/>
            <w:tcBorders>
              <w:top w:val="nil"/>
              <w:left w:val="nil"/>
              <w:bottom w:val="nil"/>
              <w:right w:val="nil"/>
            </w:tcBorders>
            <w:shd w:val="clear" w:color="FFFFFF" w:fill="FFFFFF"/>
            <w:vAlign w:val="bottom"/>
            <w:hideMark/>
          </w:tcPr>
          <w:p w14:paraId="7DDAB364" w14:textId="77777777" w:rsidR="00E576FB" w:rsidRDefault="00E576FB" w:rsidP="0047225D">
            <w:pPr>
              <w:spacing w:after="0"/>
              <w:jc w:val="right"/>
              <w:rPr>
                <w:rFonts w:cs="Arial"/>
                <w:sz w:val="18"/>
                <w:szCs w:val="18"/>
              </w:rPr>
            </w:pPr>
            <w:r>
              <w:rPr>
                <w:rFonts w:cs="Arial"/>
                <w:sz w:val="18"/>
                <w:szCs w:val="18"/>
              </w:rPr>
              <w:t>2023</w:t>
            </w:r>
          </w:p>
        </w:tc>
      </w:tr>
      <w:bookmarkEnd w:id="190"/>
      <w:tr w:rsidR="00E576FB" w14:paraId="1FE1A4DC" w14:textId="77777777" w:rsidTr="005E5E0C">
        <w:trPr>
          <w:trHeight w:val="260"/>
        </w:trPr>
        <w:tc>
          <w:tcPr>
            <w:tcW w:w="6351" w:type="dxa"/>
            <w:tcBorders>
              <w:top w:val="nil"/>
              <w:left w:val="nil"/>
              <w:bottom w:val="nil"/>
              <w:right w:val="nil"/>
            </w:tcBorders>
            <w:shd w:val="clear" w:color="FFFFFF" w:fill="FFFFFF"/>
            <w:noWrap/>
            <w:vAlign w:val="bottom"/>
            <w:hideMark/>
          </w:tcPr>
          <w:p w14:paraId="700724C6" w14:textId="77777777" w:rsidR="00E576FB" w:rsidRDefault="00E576FB" w:rsidP="0047225D">
            <w:pPr>
              <w:spacing w:after="0"/>
              <w:rPr>
                <w:rFonts w:cs="Arial"/>
                <w:sz w:val="18"/>
                <w:szCs w:val="18"/>
              </w:rPr>
            </w:pPr>
            <w:r>
              <w:rPr>
                <w:rFonts w:cs="Arial"/>
                <w:sz w:val="18"/>
                <w:szCs w:val="18"/>
              </w:rPr>
              <w:t> </w:t>
            </w:r>
          </w:p>
        </w:tc>
        <w:tc>
          <w:tcPr>
            <w:tcW w:w="1259" w:type="dxa"/>
            <w:tcBorders>
              <w:top w:val="nil"/>
              <w:left w:val="nil"/>
              <w:bottom w:val="nil"/>
              <w:right w:val="nil"/>
            </w:tcBorders>
            <w:shd w:val="clear" w:color="FFFFFF" w:fill="FFFFFF"/>
            <w:vAlign w:val="bottom"/>
            <w:hideMark/>
          </w:tcPr>
          <w:p w14:paraId="5D1AB02C" w14:textId="77777777" w:rsidR="00E576FB" w:rsidRDefault="00E576FB" w:rsidP="0047225D">
            <w:pPr>
              <w:spacing w:after="0"/>
              <w:jc w:val="right"/>
              <w:rPr>
                <w:rFonts w:cs="Arial"/>
                <w:b/>
                <w:bCs/>
                <w:sz w:val="18"/>
                <w:szCs w:val="18"/>
              </w:rPr>
            </w:pPr>
            <w:r>
              <w:rPr>
                <w:rFonts w:cs="Arial"/>
                <w:b/>
                <w:bCs/>
                <w:sz w:val="18"/>
                <w:szCs w:val="18"/>
              </w:rPr>
              <w:t>$'000</w:t>
            </w:r>
          </w:p>
        </w:tc>
        <w:tc>
          <w:tcPr>
            <w:tcW w:w="236" w:type="dxa"/>
            <w:tcBorders>
              <w:top w:val="nil"/>
              <w:left w:val="nil"/>
              <w:bottom w:val="nil"/>
              <w:right w:val="nil"/>
            </w:tcBorders>
            <w:shd w:val="clear" w:color="FFFFFF" w:fill="FFFFFF"/>
            <w:noWrap/>
            <w:vAlign w:val="bottom"/>
            <w:hideMark/>
          </w:tcPr>
          <w:p w14:paraId="63E565B8" w14:textId="77777777" w:rsidR="00E576FB" w:rsidRDefault="00E576FB" w:rsidP="0047225D">
            <w:pPr>
              <w:spacing w:after="0"/>
              <w:rPr>
                <w:rFonts w:cs="Arial"/>
                <w:sz w:val="18"/>
                <w:szCs w:val="18"/>
              </w:rPr>
            </w:pPr>
            <w:r>
              <w:rPr>
                <w:rFonts w:cs="Arial"/>
                <w:sz w:val="18"/>
                <w:szCs w:val="18"/>
              </w:rPr>
              <w:t> </w:t>
            </w:r>
          </w:p>
        </w:tc>
        <w:tc>
          <w:tcPr>
            <w:tcW w:w="1241" w:type="dxa"/>
            <w:tcBorders>
              <w:top w:val="nil"/>
              <w:left w:val="nil"/>
              <w:bottom w:val="nil"/>
              <w:right w:val="nil"/>
            </w:tcBorders>
            <w:shd w:val="clear" w:color="FFFFFF" w:fill="FFFFFF"/>
            <w:vAlign w:val="bottom"/>
            <w:hideMark/>
          </w:tcPr>
          <w:p w14:paraId="727C2699" w14:textId="77777777" w:rsidR="00E576FB" w:rsidRDefault="00E576FB" w:rsidP="0047225D">
            <w:pPr>
              <w:spacing w:after="0"/>
              <w:jc w:val="right"/>
              <w:rPr>
                <w:rFonts w:cs="Arial"/>
                <w:sz w:val="18"/>
                <w:szCs w:val="18"/>
              </w:rPr>
            </w:pPr>
            <w:r>
              <w:rPr>
                <w:rFonts w:cs="Arial"/>
                <w:sz w:val="18"/>
                <w:szCs w:val="18"/>
              </w:rPr>
              <w:t>$'000</w:t>
            </w:r>
          </w:p>
        </w:tc>
      </w:tr>
      <w:tr w:rsidR="00E576FB" w14:paraId="4F414816" w14:textId="77777777" w:rsidTr="005E5E0C">
        <w:trPr>
          <w:trHeight w:val="260"/>
        </w:trPr>
        <w:tc>
          <w:tcPr>
            <w:tcW w:w="6351" w:type="dxa"/>
            <w:tcBorders>
              <w:top w:val="nil"/>
              <w:left w:val="nil"/>
              <w:bottom w:val="nil"/>
              <w:right w:val="nil"/>
            </w:tcBorders>
            <w:shd w:val="clear" w:color="FFFFFF" w:fill="FFFFFF"/>
            <w:noWrap/>
            <w:vAlign w:val="bottom"/>
            <w:hideMark/>
          </w:tcPr>
          <w:p w14:paraId="2E7E4757" w14:textId="77777777" w:rsidR="00E576FB" w:rsidRDefault="00E576FB" w:rsidP="0047225D">
            <w:pPr>
              <w:spacing w:after="0"/>
              <w:rPr>
                <w:rFonts w:cs="Arial"/>
                <w:b/>
                <w:bCs/>
                <w:sz w:val="18"/>
                <w:szCs w:val="18"/>
                <w:u w:val="single"/>
              </w:rPr>
            </w:pPr>
            <w:r>
              <w:rPr>
                <w:rFonts w:cs="Arial"/>
                <w:b/>
                <w:bCs/>
                <w:sz w:val="18"/>
                <w:szCs w:val="18"/>
                <w:u w:val="single"/>
              </w:rPr>
              <w:t>Note 2.2B: Other non-financial assets</w:t>
            </w:r>
          </w:p>
        </w:tc>
        <w:tc>
          <w:tcPr>
            <w:tcW w:w="1259" w:type="dxa"/>
            <w:tcBorders>
              <w:top w:val="nil"/>
              <w:left w:val="nil"/>
              <w:bottom w:val="nil"/>
              <w:right w:val="nil"/>
            </w:tcBorders>
            <w:shd w:val="clear" w:color="FFFFFF" w:fill="FFFFFF"/>
            <w:noWrap/>
            <w:vAlign w:val="bottom"/>
            <w:hideMark/>
          </w:tcPr>
          <w:p w14:paraId="3D83B005" w14:textId="77777777" w:rsidR="00E576FB" w:rsidRDefault="00E576FB" w:rsidP="0047225D">
            <w:pPr>
              <w:spacing w:after="0"/>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00047A60" w14:textId="77777777" w:rsidR="00E576FB" w:rsidRDefault="00E576FB" w:rsidP="0047225D">
            <w:pPr>
              <w:spacing w:after="0"/>
              <w:rPr>
                <w:rFonts w:cs="Arial"/>
                <w:sz w:val="18"/>
                <w:szCs w:val="18"/>
              </w:rPr>
            </w:pPr>
            <w:r>
              <w:rPr>
                <w:rFonts w:cs="Arial"/>
                <w:sz w:val="18"/>
                <w:szCs w:val="18"/>
              </w:rPr>
              <w:t> </w:t>
            </w:r>
          </w:p>
        </w:tc>
        <w:tc>
          <w:tcPr>
            <w:tcW w:w="1241" w:type="dxa"/>
            <w:tcBorders>
              <w:top w:val="nil"/>
              <w:left w:val="nil"/>
              <w:bottom w:val="nil"/>
              <w:right w:val="nil"/>
            </w:tcBorders>
            <w:shd w:val="clear" w:color="FFFFFF" w:fill="FFFFFF"/>
            <w:noWrap/>
            <w:vAlign w:val="bottom"/>
            <w:hideMark/>
          </w:tcPr>
          <w:p w14:paraId="46D75E16" w14:textId="77777777" w:rsidR="00E576FB" w:rsidRDefault="00E576FB" w:rsidP="0047225D">
            <w:pPr>
              <w:spacing w:after="0"/>
              <w:rPr>
                <w:rFonts w:cs="Arial"/>
                <w:sz w:val="18"/>
                <w:szCs w:val="18"/>
              </w:rPr>
            </w:pPr>
            <w:r>
              <w:rPr>
                <w:rFonts w:cs="Arial"/>
                <w:sz w:val="18"/>
                <w:szCs w:val="18"/>
              </w:rPr>
              <w:t> </w:t>
            </w:r>
          </w:p>
        </w:tc>
      </w:tr>
      <w:tr w:rsidR="00E576FB" w14:paraId="768B0715" w14:textId="77777777" w:rsidTr="005E5E0C">
        <w:trPr>
          <w:trHeight w:val="270"/>
        </w:trPr>
        <w:tc>
          <w:tcPr>
            <w:tcW w:w="6351" w:type="dxa"/>
            <w:tcBorders>
              <w:top w:val="nil"/>
              <w:left w:val="nil"/>
              <w:bottom w:val="nil"/>
              <w:right w:val="nil"/>
            </w:tcBorders>
            <w:shd w:val="clear" w:color="FFFFFF" w:fill="FFFFFF"/>
            <w:noWrap/>
            <w:vAlign w:val="bottom"/>
            <w:hideMark/>
          </w:tcPr>
          <w:p w14:paraId="16775062" w14:textId="77777777" w:rsidR="00E576FB" w:rsidRDefault="00E576FB" w:rsidP="0047225D">
            <w:pPr>
              <w:spacing w:after="0"/>
              <w:rPr>
                <w:rFonts w:cs="Arial"/>
                <w:sz w:val="18"/>
                <w:szCs w:val="18"/>
              </w:rPr>
            </w:pPr>
            <w:r>
              <w:rPr>
                <w:rFonts w:cs="Arial"/>
                <w:sz w:val="18"/>
                <w:szCs w:val="18"/>
              </w:rPr>
              <w:t>Participant plan prepayments</w:t>
            </w:r>
            <w:r>
              <w:rPr>
                <w:rFonts w:cs="Arial"/>
                <w:sz w:val="18"/>
                <w:szCs w:val="18"/>
                <w:vertAlign w:val="superscript"/>
              </w:rPr>
              <w:t>1</w:t>
            </w:r>
          </w:p>
        </w:tc>
        <w:tc>
          <w:tcPr>
            <w:tcW w:w="1259" w:type="dxa"/>
            <w:tcBorders>
              <w:top w:val="nil"/>
              <w:left w:val="nil"/>
              <w:bottom w:val="nil"/>
              <w:right w:val="nil"/>
            </w:tcBorders>
            <w:shd w:val="clear" w:color="FFFFFF" w:fill="FFFFFF"/>
            <w:noWrap/>
            <w:vAlign w:val="bottom"/>
            <w:hideMark/>
          </w:tcPr>
          <w:p w14:paraId="7A5371A7" w14:textId="77777777" w:rsidR="00E576FB" w:rsidRDefault="00E576FB" w:rsidP="0047225D">
            <w:pPr>
              <w:spacing w:after="0"/>
              <w:jc w:val="right"/>
              <w:rPr>
                <w:rFonts w:cs="Arial"/>
                <w:b/>
                <w:bCs/>
                <w:sz w:val="18"/>
                <w:szCs w:val="18"/>
              </w:rPr>
            </w:pPr>
            <w:r>
              <w:rPr>
                <w:rFonts w:cs="Arial"/>
                <w:b/>
                <w:bCs/>
                <w:sz w:val="18"/>
                <w:szCs w:val="18"/>
              </w:rPr>
              <w:t>-</w:t>
            </w:r>
          </w:p>
        </w:tc>
        <w:tc>
          <w:tcPr>
            <w:tcW w:w="236" w:type="dxa"/>
            <w:tcBorders>
              <w:top w:val="nil"/>
              <w:left w:val="nil"/>
              <w:bottom w:val="nil"/>
              <w:right w:val="nil"/>
            </w:tcBorders>
            <w:shd w:val="clear" w:color="FFFFFF" w:fill="FFFFFF"/>
            <w:noWrap/>
            <w:vAlign w:val="bottom"/>
            <w:hideMark/>
          </w:tcPr>
          <w:p w14:paraId="6E3BFA64" w14:textId="77777777" w:rsidR="00E576FB" w:rsidRDefault="00E576FB" w:rsidP="0047225D">
            <w:pPr>
              <w:spacing w:after="0"/>
              <w:rPr>
                <w:rFonts w:cs="Arial"/>
                <w:sz w:val="18"/>
                <w:szCs w:val="18"/>
              </w:rPr>
            </w:pPr>
            <w:r>
              <w:rPr>
                <w:rFonts w:cs="Arial"/>
                <w:sz w:val="18"/>
                <w:szCs w:val="18"/>
              </w:rPr>
              <w:t> </w:t>
            </w:r>
          </w:p>
        </w:tc>
        <w:tc>
          <w:tcPr>
            <w:tcW w:w="1241" w:type="dxa"/>
            <w:tcBorders>
              <w:top w:val="nil"/>
              <w:left w:val="nil"/>
              <w:bottom w:val="nil"/>
              <w:right w:val="nil"/>
            </w:tcBorders>
            <w:shd w:val="clear" w:color="FFFFFF" w:fill="FFFFFF"/>
            <w:noWrap/>
            <w:vAlign w:val="bottom"/>
            <w:hideMark/>
          </w:tcPr>
          <w:p w14:paraId="0E01CFBC" w14:textId="77777777" w:rsidR="00E576FB" w:rsidRDefault="00E576FB" w:rsidP="0047225D">
            <w:pPr>
              <w:spacing w:after="0"/>
              <w:jc w:val="right"/>
              <w:rPr>
                <w:rFonts w:cs="Arial"/>
                <w:sz w:val="18"/>
                <w:szCs w:val="18"/>
              </w:rPr>
            </w:pPr>
            <w:r>
              <w:rPr>
                <w:rFonts w:cs="Arial"/>
                <w:sz w:val="18"/>
                <w:szCs w:val="18"/>
              </w:rPr>
              <w:t>3,165</w:t>
            </w:r>
          </w:p>
        </w:tc>
      </w:tr>
      <w:tr w:rsidR="00E576FB" w14:paraId="2EC19950" w14:textId="77777777" w:rsidTr="005E5E0C">
        <w:trPr>
          <w:trHeight w:val="250"/>
        </w:trPr>
        <w:tc>
          <w:tcPr>
            <w:tcW w:w="6351" w:type="dxa"/>
            <w:tcBorders>
              <w:top w:val="nil"/>
              <w:left w:val="nil"/>
              <w:bottom w:val="nil"/>
              <w:right w:val="nil"/>
            </w:tcBorders>
            <w:shd w:val="clear" w:color="FFFFFF" w:fill="FFFFFF"/>
            <w:noWrap/>
            <w:vAlign w:val="bottom"/>
            <w:hideMark/>
          </w:tcPr>
          <w:p w14:paraId="4E9B9BC7" w14:textId="77777777" w:rsidR="00E576FB" w:rsidRDefault="00E576FB" w:rsidP="0047225D">
            <w:pPr>
              <w:spacing w:after="0"/>
              <w:rPr>
                <w:rFonts w:cs="Arial"/>
                <w:sz w:val="18"/>
                <w:szCs w:val="18"/>
              </w:rPr>
            </w:pPr>
            <w:r>
              <w:rPr>
                <w:rFonts w:cs="Arial"/>
                <w:sz w:val="18"/>
                <w:szCs w:val="18"/>
              </w:rPr>
              <w:t>Other prepayments</w:t>
            </w:r>
          </w:p>
        </w:tc>
        <w:tc>
          <w:tcPr>
            <w:tcW w:w="1259" w:type="dxa"/>
            <w:tcBorders>
              <w:top w:val="nil"/>
              <w:left w:val="nil"/>
              <w:bottom w:val="nil"/>
              <w:right w:val="nil"/>
            </w:tcBorders>
            <w:shd w:val="clear" w:color="FFFFFF" w:fill="FFFFFF"/>
            <w:noWrap/>
            <w:vAlign w:val="bottom"/>
            <w:hideMark/>
          </w:tcPr>
          <w:p w14:paraId="42B3F18B" w14:textId="77777777" w:rsidR="00E576FB" w:rsidRDefault="00E576FB" w:rsidP="0047225D">
            <w:pPr>
              <w:spacing w:after="0"/>
              <w:jc w:val="right"/>
              <w:rPr>
                <w:rFonts w:cs="Arial"/>
                <w:b/>
                <w:bCs/>
                <w:sz w:val="18"/>
                <w:szCs w:val="18"/>
              </w:rPr>
            </w:pPr>
            <w:r>
              <w:rPr>
                <w:rFonts w:cs="Arial"/>
                <w:b/>
                <w:bCs/>
                <w:sz w:val="18"/>
                <w:szCs w:val="18"/>
              </w:rPr>
              <w:t>30,264</w:t>
            </w:r>
          </w:p>
        </w:tc>
        <w:tc>
          <w:tcPr>
            <w:tcW w:w="236" w:type="dxa"/>
            <w:tcBorders>
              <w:top w:val="nil"/>
              <w:left w:val="nil"/>
              <w:bottom w:val="nil"/>
              <w:right w:val="nil"/>
            </w:tcBorders>
            <w:shd w:val="clear" w:color="FFFFFF" w:fill="FFFFFF"/>
            <w:noWrap/>
            <w:vAlign w:val="bottom"/>
            <w:hideMark/>
          </w:tcPr>
          <w:p w14:paraId="0C462995" w14:textId="77777777" w:rsidR="00E576FB" w:rsidRDefault="00E576FB" w:rsidP="0047225D">
            <w:pPr>
              <w:spacing w:after="0"/>
              <w:rPr>
                <w:rFonts w:cs="Arial"/>
                <w:sz w:val="18"/>
                <w:szCs w:val="18"/>
              </w:rPr>
            </w:pPr>
            <w:r>
              <w:rPr>
                <w:rFonts w:cs="Arial"/>
                <w:sz w:val="18"/>
                <w:szCs w:val="18"/>
              </w:rPr>
              <w:t> </w:t>
            </w:r>
          </w:p>
        </w:tc>
        <w:tc>
          <w:tcPr>
            <w:tcW w:w="1241" w:type="dxa"/>
            <w:tcBorders>
              <w:top w:val="nil"/>
              <w:left w:val="nil"/>
              <w:bottom w:val="nil"/>
              <w:right w:val="nil"/>
            </w:tcBorders>
            <w:shd w:val="clear" w:color="FFFFFF" w:fill="FFFFFF"/>
            <w:noWrap/>
            <w:vAlign w:val="bottom"/>
            <w:hideMark/>
          </w:tcPr>
          <w:p w14:paraId="7AB5E290" w14:textId="77777777" w:rsidR="00E576FB" w:rsidRDefault="00E576FB" w:rsidP="0047225D">
            <w:pPr>
              <w:spacing w:after="0"/>
              <w:jc w:val="right"/>
              <w:rPr>
                <w:rFonts w:cs="Arial"/>
                <w:sz w:val="18"/>
                <w:szCs w:val="18"/>
              </w:rPr>
            </w:pPr>
            <w:r>
              <w:rPr>
                <w:rFonts w:cs="Arial"/>
                <w:sz w:val="18"/>
                <w:szCs w:val="18"/>
              </w:rPr>
              <w:t>23,454</w:t>
            </w:r>
          </w:p>
        </w:tc>
      </w:tr>
      <w:tr w:rsidR="00E576FB" w14:paraId="7B7F7EAF" w14:textId="77777777" w:rsidTr="005E5E0C">
        <w:trPr>
          <w:trHeight w:val="260"/>
        </w:trPr>
        <w:tc>
          <w:tcPr>
            <w:tcW w:w="6351" w:type="dxa"/>
            <w:tcBorders>
              <w:top w:val="nil"/>
              <w:left w:val="nil"/>
              <w:bottom w:val="nil"/>
              <w:right w:val="nil"/>
            </w:tcBorders>
            <w:shd w:val="clear" w:color="FFFFFF" w:fill="FFFFFF"/>
            <w:vAlign w:val="bottom"/>
            <w:hideMark/>
          </w:tcPr>
          <w:p w14:paraId="54235439" w14:textId="77777777" w:rsidR="00E576FB" w:rsidRDefault="00E576FB" w:rsidP="0047225D">
            <w:pPr>
              <w:spacing w:after="0"/>
              <w:rPr>
                <w:rFonts w:cs="Arial"/>
                <w:b/>
                <w:bCs/>
                <w:sz w:val="18"/>
                <w:szCs w:val="18"/>
              </w:rPr>
            </w:pPr>
            <w:r>
              <w:rPr>
                <w:rFonts w:cs="Arial"/>
                <w:b/>
                <w:bCs/>
                <w:sz w:val="18"/>
                <w:szCs w:val="18"/>
              </w:rPr>
              <w:t>Total other non-financial assets</w:t>
            </w:r>
          </w:p>
        </w:tc>
        <w:tc>
          <w:tcPr>
            <w:tcW w:w="1259" w:type="dxa"/>
            <w:tcBorders>
              <w:top w:val="single" w:sz="4" w:space="0" w:color="auto"/>
              <w:left w:val="nil"/>
              <w:bottom w:val="single" w:sz="4" w:space="0" w:color="auto"/>
              <w:right w:val="nil"/>
            </w:tcBorders>
            <w:shd w:val="clear" w:color="FFFFFF" w:fill="FFFFFF"/>
            <w:noWrap/>
            <w:vAlign w:val="bottom"/>
            <w:hideMark/>
          </w:tcPr>
          <w:p w14:paraId="6A62F774" w14:textId="77777777" w:rsidR="00E576FB" w:rsidRDefault="00E576FB" w:rsidP="0047225D">
            <w:pPr>
              <w:spacing w:after="0"/>
              <w:jc w:val="right"/>
              <w:rPr>
                <w:rFonts w:cs="Arial"/>
                <w:b/>
                <w:bCs/>
                <w:sz w:val="18"/>
                <w:szCs w:val="18"/>
              </w:rPr>
            </w:pPr>
            <w:r>
              <w:rPr>
                <w:rFonts w:cs="Arial"/>
                <w:b/>
                <w:bCs/>
                <w:sz w:val="18"/>
                <w:szCs w:val="18"/>
              </w:rPr>
              <w:t>30,264</w:t>
            </w:r>
          </w:p>
        </w:tc>
        <w:tc>
          <w:tcPr>
            <w:tcW w:w="236" w:type="dxa"/>
            <w:tcBorders>
              <w:top w:val="nil"/>
              <w:left w:val="nil"/>
              <w:bottom w:val="nil"/>
              <w:right w:val="nil"/>
            </w:tcBorders>
            <w:shd w:val="clear" w:color="FFFFFF" w:fill="FFFFFF"/>
            <w:noWrap/>
            <w:vAlign w:val="bottom"/>
            <w:hideMark/>
          </w:tcPr>
          <w:p w14:paraId="71BC1ACB" w14:textId="77777777" w:rsidR="00E576FB" w:rsidRDefault="00E576FB" w:rsidP="0047225D">
            <w:pPr>
              <w:spacing w:after="0"/>
              <w:rPr>
                <w:rFonts w:cs="Arial"/>
                <w:sz w:val="18"/>
                <w:szCs w:val="18"/>
              </w:rPr>
            </w:pPr>
            <w:r>
              <w:rPr>
                <w:rFonts w:cs="Arial"/>
                <w:sz w:val="18"/>
                <w:szCs w:val="18"/>
              </w:rPr>
              <w:t> </w:t>
            </w:r>
          </w:p>
        </w:tc>
        <w:tc>
          <w:tcPr>
            <w:tcW w:w="1241" w:type="dxa"/>
            <w:tcBorders>
              <w:top w:val="single" w:sz="4" w:space="0" w:color="auto"/>
              <w:left w:val="nil"/>
              <w:bottom w:val="single" w:sz="4" w:space="0" w:color="auto"/>
              <w:right w:val="nil"/>
            </w:tcBorders>
            <w:shd w:val="clear" w:color="FFFFFF" w:fill="FFFFFF"/>
            <w:noWrap/>
            <w:vAlign w:val="bottom"/>
            <w:hideMark/>
          </w:tcPr>
          <w:p w14:paraId="585CCF09" w14:textId="77777777" w:rsidR="00E576FB" w:rsidRDefault="00E576FB" w:rsidP="0047225D">
            <w:pPr>
              <w:spacing w:after="0"/>
              <w:jc w:val="right"/>
              <w:rPr>
                <w:rFonts w:cs="Arial"/>
                <w:sz w:val="18"/>
                <w:szCs w:val="18"/>
              </w:rPr>
            </w:pPr>
            <w:r>
              <w:rPr>
                <w:rFonts w:cs="Arial"/>
                <w:sz w:val="18"/>
                <w:szCs w:val="18"/>
              </w:rPr>
              <w:t>26,619</w:t>
            </w:r>
          </w:p>
        </w:tc>
      </w:tr>
    </w:tbl>
    <w:p w14:paraId="652BE76C" w14:textId="77777777" w:rsidR="00E576FB" w:rsidRDefault="00E576FB" w:rsidP="00E576FB">
      <w:pPr>
        <w:rPr>
          <w:rFonts w:eastAsiaTheme="minorEastAsia"/>
          <w:lang w:eastAsia="en-AU"/>
        </w:rPr>
      </w:pPr>
    </w:p>
    <w:p w14:paraId="605A1125" w14:textId="77777777" w:rsidR="00E576FB" w:rsidRDefault="00E576FB" w:rsidP="003203A1">
      <w:pPr>
        <w:pStyle w:val="ReferenceText"/>
      </w:pPr>
      <w:r w:rsidRPr="0027501A">
        <w:t>No indicators of impairment were found for other non-financial assets.</w:t>
      </w:r>
    </w:p>
    <w:p w14:paraId="018CB460" w14:textId="77777777" w:rsidR="00E576FB" w:rsidRDefault="00E576FB" w:rsidP="00E576FB">
      <w:pPr>
        <w:spacing w:before="60" w:line="240" w:lineRule="auto"/>
        <w:ind w:left="142" w:hanging="142"/>
        <w:rPr>
          <w:rFonts w:cs="Arial"/>
          <w:sz w:val="14"/>
          <w:szCs w:val="16"/>
        </w:rPr>
      </w:pPr>
      <w:r>
        <w:rPr>
          <w:rFonts w:cs="Arial"/>
          <w:sz w:val="16"/>
          <w:szCs w:val="18"/>
          <w:vertAlign w:val="superscript"/>
        </w:rPr>
        <w:t>1</w:t>
      </w:r>
      <w:r w:rsidRPr="00A30B5F">
        <w:rPr>
          <w:rFonts w:cs="Arial"/>
          <w:sz w:val="16"/>
          <w:szCs w:val="18"/>
        </w:rPr>
        <w:t xml:space="preserve"> </w:t>
      </w:r>
      <w:r w:rsidRPr="000E1853">
        <w:rPr>
          <w:rFonts w:cs="Arial"/>
          <w:sz w:val="14"/>
          <w:szCs w:val="16"/>
        </w:rPr>
        <w:t>Participant plan prepayments represent payments that have been made to providers in advance of supports being utilised by participants</w:t>
      </w:r>
      <w:r>
        <w:rPr>
          <w:rFonts w:cs="Arial"/>
          <w:sz w:val="14"/>
          <w:szCs w:val="16"/>
        </w:rPr>
        <w:t>.</w:t>
      </w:r>
    </w:p>
    <w:p w14:paraId="12984FE2" w14:textId="77777777" w:rsidR="000D1B3E" w:rsidRPr="003203A1" w:rsidRDefault="008D5303" w:rsidP="000D1B3E">
      <w:pPr>
        <w:spacing w:after="0" w:line="240" w:lineRule="auto"/>
        <w:rPr>
          <w:b/>
          <w:bCs/>
        </w:rPr>
      </w:pPr>
      <w:r>
        <w:rPr>
          <w:rFonts w:cs="Arial"/>
          <w:sz w:val="14"/>
          <w:szCs w:val="16"/>
        </w:rPr>
        <w:br w:type="page"/>
      </w:r>
      <w:r w:rsidR="000D1B3E" w:rsidRPr="003203A1">
        <w:rPr>
          <w:b/>
          <w:bCs/>
        </w:rPr>
        <w:lastRenderedPageBreak/>
        <w:t>National Disability Insurance Agency</w:t>
      </w:r>
    </w:p>
    <w:p w14:paraId="783D4373" w14:textId="77777777" w:rsidR="000D1B3E" w:rsidRDefault="000D1B3E" w:rsidP="000D1B3E">
      <w:pPr>
        <w:pBdr>
          <w:bottom w:val="single" w:sz="8" w:space="1" w:color="auto"/>
        </w:pBdr>
        <w:rPr>
          <w:b/>
          <w:bCs/>
        </w:rPr>
      </w:pPr>
      <w:r w:rsidRPr="003203A1">
        <w:rPr>
          <w:b/>
          <w:bCs/>
        </w:rPr>
        <w:t>NOTES TO AND FORMING PART OF THE FINANCIAL STATEMENTS</w:t>
      </w:r>
    </w:p>
    <w:p w14:paraId="61519560" w14:textId="77777777" w:rsidR="000D1B3E" w:rsidRDefault="000D1B3E" w:rsidP="000D1B3E">
      <w:pPr>
        <w:pBdr>
          <w:bottom w:val="single" w:sz="8" w:space="1" w:color="auto"/>
        </w:pBdr>
        <w:rPr>
          <w:b/>
          <w:bCs/>
        </w:rPr>
        <w:sectPr w:rsidR="000D1B3E" w:rsidSect="00BC1253">
          <w:type w:val="continuous"/>
          <w:pgSz w:w="11906" w:h="16838" w:code="9"/>
          <w:pgMar w:top="1361" w:right="1361" w:bottom="1361" w:left="1361" w:header="958" w:footer="737" w:gutter="0"/>
          <w:cols w:space="708"/>
          <w:docGrid w:linePitch="360"/>
        </w:sectPr>
      </w:pPr>
    </w:p>
    <w:p w14:paraId="2CF188A3" w14:textId="77777777" w:rsidR="00B040FE" w:rsidRPr="000D1B3E" w:rsidRDefault="00B040FE" w:rsidP="000D1B3E">
      <w:pPr>
        <w:pStyle w:val="SubHeading"/>
        <w:shd w:val="clear" w:color="auto" w:fill="000000" w:themeFill="accent6"/>
        <w:rPr>
          <w:sz w:val="18"/>
          <w:szCs w:val="18"/>
        </w:rPr>
      </w:pPr>
      <w:bookmarkStart w:id="191" w:name="_Toc65742849"/>
      <w:bookmarkStart w:id="192" w:name="_Toc173417296"/>
      <w:r w:rsidRPr="000D1B3E">
        <w:rPr>
          <w:sz w:val="18"/>
          <w:szCs w:val="18"/>
        </w:rPr>
        <w:t>Payables</w:t>
      </w:r>
      <w:bookmarkEnd w:id="191"/>
      <w:bookmarkEnd w:id="192"/>
    </w:p>
    <w:tbl>
      <w:tblPr>
        <w:tblW w:w="9087" w:type="dxa"/>
        <w:tblLayout w:type="fixed"/>
        <w:tblLook w:val="04A0" w:firstRow="1" w:lastRow="0" w:firstColumn="1" w:lastColumn="0" w:noHBand="0" w:noVBand="1"/>
      </w:tblPr>
      <w:tblGrid>
        <w:gridCol w:w="6351"/>
        <w:gridCol w:w="1259"/>
        <w:gridCol w:w="236"/>
        <w:gridCol w:w="1241"/>
      </w:tblGrid>
      <w:tr w:rsidR="00B040FE" w:rsidRPr="000D1B3E" w14:paraId="1FF6D1AC" w14:textId="77777777" w:rsidTr="005E5E0C">
        <w:trPr>
          <w:trHeight w:val="250"/>
        </w:trPr>
        <w:tc>
          <w:tcPr>
            <w:tcW w:w="6351" w:type="dxa"/>
            <w:tcBorders>
              <w:top w:val="nil"/>
              <w:left w:val="nil"/>
              <w:bottom w:val="nil"/>
              <w:right w:val="nil"/>
            </w:tcBorders>
            <w:shd w:val="clear" w:color="FFFFFF" w:fill="FFFFFF"/>
            <w:noWrap/>
            <w:vAlign w:val="bottom"/>
            <w:hideMark/>
          </w:tcPr>
          <w:p w14:paraId="49139594" w14:textId="77777777" w:rsidR="00B040FE" w:rsidRPr="000D1B3E" w:rsidRDefault="00B040FE" w:rsidP="0047225D">
            <w:pPr>
              <w:spacing w:after="0"/>
              <w:rPr>
                <w:rFonts w:cs="Arial"/>
                <w:sz w:val="18"/>
                <w:szCs w:val="18"/>
              </w:rPr>
            </w:pPr>
            <w:bookmarkStart w:id="193" w:name="Note_SPATABLE1" w:colFirst="0" w:colLast="0"/>
            <w:r w:rsidRPr="000D1B3E">
              <w:rPr>
                <w:rFonts w:cs="Arial"/>
                <w:sz w:val="18"/>
                <w:szCs w:val="18"/>
              </w:rPr>
              <w:t> </w:t>
            </w:r>
          </w:p>
        </w:tc>
        <w:tc>
          <w:tcPr>
            <w:tcW w:w="1259" w:type="dxa"/>
            <w:tcBorders>
              <w:top w:val="nil"/>
              <w:left w:val="nil"/>
              <w:bottom w:val="nil"/>
              <w:right w:val="nil"/>
            </w:tcBorders>
            <w:shd w:val="clear" w:color="FFFFFF" w:fill="FFFFFF"/>
            <w:noWrap/>
            <w:vAlign w:val="bottom"/>
            <w:hideMark/>
          </w:tcPr>
          <w:p w14:paraId="0F5E29BB" w14:textId="77777777" w:rsidR="00B040FE" w:rsidRPr="000D1B3E" w:rsidRDefault="00B040FE" w:rsidP="0047225D">
            <w:pPr>
              <w:spacing w:after="0"/>
              <w:jc w:val="right"/>
              <w:rPr>
                <w:rFonts w:cs="Arial"/>
                <w:b/>
                <w:bCs/>
                <w:sz w:val="18"/>
                <w:szCs w:val="18"/>
              </w:rPr>
            </w:pPr>
            <w:r w:rsidRPr="000D1B3E">
              <w:rPr>
                <w:rFonts w:cs="Arial"/>
                <w:b/>
                <w:bCs/>
                <w:sz w:val="18"/>
                <w:szCs w:val="18"/>
              </w:rPr>
              <w:t>2024</w:t>
            </w:r>
          </w:p>
        </w:tc>
        <w:tc>
          <w:tcPr>
            <w:tcW w:w="236" w:type="dxa"/>
            <w:tcBorders>
              <w:top w:val="nil"/>
              <w:left w:val="nil"/>
              <w:bottom w:val="nil"/>
              <w:right w:val="nil"/>
            </w:tcBorders>
            <w:shd w:val="clear" w:color="FFFFFF" w:fill="FFFFFF"/>
            <w:noWrap/>
            <w:vAlign w:val="bottom"/>
            <w:hideMark/>
          </w:tcPr>
          <w:p w14:paraId="2A73B20B" w14:textId="77777777" w:rsidR="00B040FE" w:rsidRPr="000D1B3E" w:rsidRDefault="00B040FE" w:rsidP="0047225D">
            <w:pPr>
              <w:spacing w:after="0"/>
              <w:rPr>
                <w:rFonts w:cs="Arial"/>
                <w:sz w:val="18"/>
                <w:szCs w:val="18"/>
              </w:rPr>
            </w:pPr>
            <w:r w:rsidRPr="000D1B3E">
              <w:rPr>
                <w:rFonts w:cs="Arial"/>
                <w:sz w:val="18"/>
                <w:szCs w:val="18"/>
              </w:rPr>
              <w:t> </w:t>
            </w:r>
          </w:p>
        </w:tc>
        <w:tc>
          <w:tcPr>
            <w:tcW w:w="1241" w:type="dxa"/>
            <w:tcBorders>
              <w:top w:val="nil"/>
              <w:left w:val="nil"/>
              <w:bottom w:val="nil"/>
              <w:right w:val="nil"/>
            </w:tcBorders>
            <w:shd w:val="clear" w:color="FFFFFF" w:fill="FFFFFF"/>
            <w:noWrap/>
            <w:vAlign w:val="bottom"/>
            <w:hideMark/>
          </w:tcPr>
          <w:p w14:paraId="338211EF" w14:textId="77777777" w:rsidR="00B040FE" w:rsidRPr="000D1B3E" w:rsidRDefault="00B040FE" w:rsidP="0047225D">
            <w:pPr>
              <w:spacing w:after="0"/>
              <w:jc w:val="right"/>
              <w:rPr>
                <w:rFonts w:cs="Arial"/>
                <w:sz w:val="18"/>
                <w:szCs w:val="18"/>
              </w:rPr>
            </w:pPr>
            <w:r w:rsidRPr="000D1B3E">
              <w:rPr>
                <w:rFonts w:cs="Arial"/>
                <w:sz w:val="18"/>
                <w:szCs w:val="18"/>
              </w:rPr>
              <w:t>2023</w:t>
            </w:r>
          </w:p>
        </w:tc>
      </w:tr>
      <w:bookmarkEnd w:id="193"/>
      <w:tr w:rsidR="00B040FE" w:rsidRPr="000D1B3E" w14:paraId="5AD98CF2" w14:textId="77777777" w:rsidTr="005E5E0C">
        <w:trPr>
          <w:trHeight w:val="260"/>
        </w:trPr>
        <w:tc>
          <w:tcPr>
            <w:tcW w:w="6351" w:type="dxa"/>
            <w:tcBorders>
              <w:top w:val="nil"/>
              <w:left w:val="nil"/>
              <w:bottom w:val="nil"/>
              <w:right w:val="nil"/>
            </w:tcBorders>
            <w:shd w:val="clear" w:color="FFFFFF" w:fill="FFFFFF"/>
            <w:noWrap/>
            <w:vAlign w:val="bottom"/>
            <w:hideMark/>
          </w:tcPr>
          <w:p w14:paraId="5AD670C6" w14:textId="77777777" w:rsidR="00B040FE" w:rsidRPr="000D1B3E" w:rsidRDefault="00B040FE" w:rsidP="0047225D">
            <w:pPr>
              <w:spacing w:after="0"/>
              <w:rPr>
                <w:rFonts w:cs="Arial"/>
                <w:sz w:val="18"/>
                <w:szCs w:val="18"/>
              </w:rPr>
            </w:pPr>
            <w:r w:rsidRPr="000D1B3E">
              <w:rPr>
                <w:rFonts w:cs="Arial"/>
                <w:sz w:val="18"/>
                <w:szCs w:val="18"/>
              </w:rPr>
              <w:t> </w:t>
            </w:r>
          </w:p>
        </w:tc>
        <w:tc>
          <w:tcPr>
            <w:tcW w:w="1259" w:type="dxa"/>
            <w:tcBorders>
              <w:top w:val="nil"/>
              <w:left w:val="nil"/>
              <w:bottom w:val="nil"/>
              <w:right w:val="nil"/>
            </w:tcBorders>
            <w:shd w:val="clear" w:color="FFFFFF" w:fill="FFFFFF"/>
            <w:noWrap/>
            <w:vAlign w:val="bottom"/>
            <w:hideMark/>
          </w:tcPr>
          <w:p w14:paraId="6FB14C18" w14:textId="77777777" w:rsidR="00B040FE" w:rsidRPr="000D1B3E" w:rsidRDefault="00B040FE" w:rsidP="0047225D">
            <w:pPr>
              <w:spacing w:after="0"/>
              <w:jc w:val="right"/>
              <w:rPr>
                <w:rFonts w:cs="Arial"/>
                <w:b/>
                <w:bCs/>
                <w:sz w:val="18"/>
                <w:szCs w:val="18"/>
              </w:rPr>
            </w:pPr>
            <w:r w:rsidRPr="000D1B3E">
              <w:rPr>
                <w:rFonts w:cs="Arial"/>
                <w:b/>
                <w:bCs/>
                <w:sz w:val="18"/>
                <w:szCs w:val="18"/>
              </w:rPr>
              <w:t>$'000</w:t>
            </w:r>
          </w:p>
        </w:tc>
        <w:tc>
          <w:tcPr>
            <w:tcW w:w="236" w:type="dxa"/>
            <w:tcBorders>
              <w:top w:val="nil"/>
              <w:left w:val="nil"/>
              <w:bottom w:val="nil"/>
              <w:right w:val="nil"/>
            </w:tcBorders>
            <w:shd w:val="clear" w:color="FFFFFF" w:fill="FFFFFF"/>
            <w:noWrap/>
            <w:vAlign w:val="bottom"/>
            <w:hideMark/>
          </w:tcPr>
          <w:p w14:paraId="7FC131B2" w14:textId="77777777" w:rsidR="00B040FE" w:rsidRPr="000D1B3E" w:rsidRDefault="00B040FE" w:rsidP="0047225D">
            <w:pPr>
              <w:spacing w:after="0"/>
              <w:rPr>
                <w:rFonts w:cs="Arial"/>
                <w:sz w:val="18"/>
                <w:szCs w:val="18"/>
              </w:rPr>
            </w:pPr>
            <w:r w:rsidRPr="000D1B3E">
              <w:rPr>
                <w:rFonts w:cs="Arial"/>
                <w:sz w:val="18"/>
                <w:szCs w:val="18"/>
              </w:rPr>
              <w:t> </w:t>
            </w:r>
          </w:p>
        </w:tc>
        <w:tc>
          <w:tcPr>
            <w:tcW w:w="1241" w:type="dxa"/>
            <w:tcBorders>
              <w:top w:val="nil"/>
              <w:left w:val="nil"/>
              <w:bottom w:val="nil"/>
              <w:right w:val="nil"/>
            </w:tcBorders>
            <w:shd w:val="clear" w:color="FFFFFF" w:fill="FFFFFF"/>
            <w:noWrap/>
            <w:vAlign w:val="bottom"/>
            <w:hideMark/>
          </w:tcPr>
          <w:p w14:paraId="319C78F8" w14:textId="77777777" w:rsidR="00B040FE" w:rsidRPr="000D1B3E" w:rsidRDefault="00B040FE" w:rsidP="0047225D">
            <w:pPr>
              <w:spacing w:after="0"/>
              <w:jc w:val="right"/>
              <w:rPr>
                <w:rFonts w:cs="Arial"/>
                <w:sz w:val="18"/>
                <w:szCs w:val="18"/>
              </w:rPr>
            </w:pPr>
            <w:r w:rsidRPr="000D1B3E">
              <w:rPr>
                <w:rFonts w:cs="Arial"/>
                <w:sz w:val="18"/>
                <w:szCs w:val="18"/>
              </w:rPr>
              <w:t>$'000</w:t>
            </w:r>
          </w:p>
        </w:tc>
      </w:tr>
      <w:tr w:rsidR="00B040FE" w:rsidRPr="000D1B3E" w14:paraId="62E28FFA" w14:textId="77777777" w:rsidTr="005E5E0C">
        <w:trPr>
          <w:trHeight w:val="260"/>
        </w:trPr>
        <w:tc>
          <w:tcPr>
            <w:tcW w:w="6351" w:type="dxa"/>
            <w:tcBorders>
              <w:top w:val="nil"/>
              <w:left w:val="nil"/>
              <w:bottom w:val="nil"/>
              <w:right w:val="nil"/>
            </w:tcBorders>
            <w:shd w:val="clear" w:color="FFFFFF" w:fill="FFFFFF"/>
            <w:noWrap/>
            <w:vAlign w:val="bottom"/>
            <w:hideMark/>
          </w:tcPr>
          <w:p w14:paraId="67010B5C" w14:textId="77777777" w:rsidR="00B040FE" w:rsidRPr="000D1B3E" w:rsidRDefault="00B040FE" w:rsidP="0047225D">
            <w:pPr>
              <w:spacing w:after="0"/>
              <w:rPr>
                <w:rFonts w:cs="Arial"/>
                <w:b/>
                <w:bCs/>
                <w:sz w:val="18"/>
                <w:szCs w:val="18"/>
                <w:u w:val="single"/>
              </w:rPr>
            </w:pPr>
            <w:r w:rsidRPr="000D1B3E">
              <w:rPr>
                <w:rFonts w:cs="Arial"/>
                <w:b/>
                <w:bCs/>
                <w:sz w:val="18"/>
                <w:szCs w:val="18"/>
                <w:u w:val="single"/>
              </w:rPr>
              <w:t>Note 2.3A: Suppliers</w:t>
            </w:r>
          </w:p>
        </w:tc>
        <w:tc>
          <w:tcPr>
            <w:tcW w:w="1259" w:type="dxa"/>
            <w:tcBorders>
              <w:top w:val="nil"/>
              <w:left w:val="nil"/>
              <w:bottom w:val="nil"/>
              <w:right w:val="nil"/>
            </w:tcBorders>
            <w:shd w:val="clear" w:color="FFFFFF" w:fill="FFFFFF"/>
            <w:noWrap/>
            <w:vAlign w:val="bottom"/>
            <w:hideMark/>
          </w:tcPr>
          <w:p w14:paraId="2E1DB465" w14:textId="77777777" w:rsidR="00B040FE" w:rsidRPr="000D1B3E" w:rsidRDefault="00B040FE" w:rsidP="0047225D">
            <w:pPr>
              <w:spacing w:after="0"/>
              <w:rPr>
                <w:rFonts w:cs="Arial"/>
                <w:sz w:val="18"/>
                <w:szCs w:val="18"/>
              </w:rPr>
            </w:pPr>
            <w:r w:rsidRPr="000D1B3E">
              <w:rPr>
                <w:rFonts w:cs="Arial"/>
                <w:sz w:val="18"/>
                <w:szCs w:val="18"/>
              </w:rPr>
              <w:t> </w:t>
            </w:r>
          </w:p>
        </w:tc>
        <w:tc>
          <w:tcPr>
            <w:tcW w:w="236" w:type="dxa"/>
            <w:tcBorders>
              <w:top w:val="nil"/>
              <w:left w:val="nil"/>
              <w:bottom w:val="nil"/>
              <w:right w:val="nil"/>
            </w:tcBorders>
            <w:shd w:val="clear" w:color="FFFFFF" w:fill="FFFFFF"/>
            <w:noWrap/>
            <w:vAlign w:val="bottom"/>
            <w:hideMark/>
          </w:tcPr>
          <w:p w14:paraId="449E56B7" w14:textId="77777777" w:rsidR="00B040FE" w:rsidRPr="000D1B3E" w:rsidRDefault="00B040FE" w:rsidP="0047225D">
            <w:pPr>
              <w:spacing w:after="0"/>
              <w:rPr>
                <w:rFonts w:cs="Arial"/>
                <w:sz w:val="18"/>
                <w:szCs w:val="18"/>
              </w:rPr>
            </w:pPr>
            <w:r w:rsidRPr="000D1B3E">
              <w:rPr>
                <w:rFonts w:cs="Arial"/>
                <w:sz w:val="18"/>
                <w:szCs w:val="18"/>
              </w:rPr>
              <w:t> </w:t>
            </w:r>
          </w:p>
        </w:tc>
        <w:tc>
          <w:tcPr>
            <w:tcW w:w="1241" w:type="dxa"/>
            <w:tcBorders>
              <w:top w:val="nil"/>
              <w:left w:val="nil"/>
              <w:bottom w:val="nil"/>
              <w:right w:val="nil"/>
            </w:tcBorders>
            <w:shd w:val="clear" w:color="FFFFFF" w:fill="FFFFFF"/>
            <w:noWrap/>
            <w:vAlign w:val="bottom"/>
            <w:hideMark/>
          </w:tcPr>
          <w:p w14:paraId="09718406" w14:textId="77777777" w:rsidR="00B040FE" w:rsidRPr="000D1B3E" w:rsidRDefault="00B040FE" w:rsidP="0047225D">
            <w:pPr>
              <w:spacing w:after="0"/>
              <w:rPr>
                <w:rFonts w:cs="Arial"/>
                <w:b/>
                <w:bCs/>
                <w:sz w:val="18"/>
                <w:szCs w:val="18"/>
              </w:rPr>
            </w:pPr>
            <w:r w:rsidRPr="000D1B3E">
              <w:rPr>
                <w:rFonts w:cs="Arial"/>
                <w:b/>
                <w:bCs/>
                <w:sz w:val="18"/>
                <w:szCs w:val="18"/>
              </w:rPr>
              <w:t> </w:t>
            </w:r>
          </w:p>
        </w:tc>
      </w:tr>
      <w:tr w:rsidR="00B040FE" w:rsidRPr="000D1B3E" w14:paraId="7DB293A2" w14:textId="77777777" w:rsidTr="005E5E0C">
        <w:trPr>
          <w:trHeight w:val="250"/>
        </w:trPr>
        <w:tc>
          <w:tcPr>
            <w:tcW w:w="6351" w:type="dxa"/>
            <w:tcBorders>
              <w:top w:val="nil"/>
              <w:left w:val="nil"/>
              <w:bottom w:val="nil"/>
              <w:right w:val="nil"/>
            </w:tcBorders>
            <w:shd w:val="clear" w:color="FFFFFF" w:fill="FFFFFF"/>
            <w:vAlign w:val="bottom"/>
            <w:hideMark/>
          </w:tcPr>
          <w:p w14:paraId="28BA53B2" w14:textId="77777777" w:rsidR="00B040FE" w:rsidRPr="000D1B3E" w:rsidRDefault="00B040FE" w:rsidP="0047225D">
            <w:pPr>
              <w:spacing w:after="0"/>
              <w:rPr>
                <w:rFonts w:cs="Arial"/>
                <w:sz w:val="18"/>
                <w:szCs w:val="18"/>
              </w:rPr>
            </w:pPr>
            <w:r w:rsidRPr="000D1B3E">
              <w:rPr>
                <w:rFonts w:cs="Arial"/>
                <w:sz w:val="18"/>
                <w:szCs w:val="18"/>
              </w:rPr>
              <w:t>Trade creditors and accruals</w:t>
            </w:r>
          </w:p>
        </w:tc>
        <w:tc>
          <w:tcPr>
            <w:tcW w:w="1259" w:type="dxa"/>
            <w:tcBorders>
              <w:top w:val="nil"/>
              <w:left w:val="nil"/>
              <w:bottom w:val="nil"/>
              <w:right w:val="nil"/>
            </w:tcBorders>
            <w:shd w:val="clear" w:color="FFFFFF" w:fill="FFFFFF"/>
            <w:noWrap/>
            <w:vAlign w:val="bottom"/>
            <w:hideMark/>
          </w:tcPr>
          <w:p w14:paraId="0F29A065" w14:textId="77777777" w:rsidR="00B040FE" w:rsidRPr="000D1B3E" w:rsidRDefault="00B040FE" w:rsidP="0047225D">
            <w:pPr>
              <w:spacing w:after="0"/>
              <w:jc w:val="right"/>
              <w:rPr>
                <w:rFonts w:cs="Arial"/>
                <w:b/>
                <w:bCs/>
                <w:sz w:val="18"/>
                <w:szCs w:val="18"/>
              </w:rPr>
            </w:pPr>
            <w:r w:rsidRPr="000D1B3E">
              <w:rPr>
                <w:rFonts w:cs="Arial"/>
                <w:b/>
                <w:bCs/>
                <w:sz w:val="18"/>
                <w:szCs w:val="18"/>
              </w:rPr>
              <w:t>914,519</w:t>
            </w:r>
          </w:p>
        </w:tc>
        <w:tc>
          <w:tcPr>
            <w:tcW w:w="236" w:type="dxa"/>
            <w:tcBorders>
              <w:top w:val="nil"/>
              <w:left w:val="nil"/>
              <w:bottom w:val="nil"/>
              <w:right w:val="nil"/>
            </w:tcBorders>
            <w:shd w:val="clear" w:color="FFFFFF" w:fill="FFFFFF"/>
            <w:noWrap/>
            <w:vAlign w:val="bottom"/>
            <w:hideMark/>
          </w:tcPr>
          <w:p w14:paraId="4AFAF62B" w14:textId="77777777" w:rsidR="00B040FE" w:rsidRPr="000D1B3E" w:rsidRDefault="00B040FE" w:rsidP="0047225D">
            <w:pPr>
              <w:spacing w:after="0"/>
              <w:rPr>
                <w:rFonts w:cs="Arial"/>
                <w:sz w:val="18"/>
                <w:szCs w:val="18"/>
              </w:rPr>
            </w:pPr>
            <w:r w:rsidRPr="000D1B3E">
              <w:rPr>
                <w:rFonts w:cs="Arial"/>
                <w:sz w:val="18"/>
                <w:szCs w:val="18"/>
              </w:rPr>
              <w:t> </w:t>
            </w:r>
          </w:p>
        </w:tc>
        <w:tc>
          <w:tcPr>
            <w:tcW w:w="1241" w:type="dxa"/>
            <w:tcBorders>
              <w:top w:val="nil"/>
              <w:left w:val="nil"/>
              <w:bottom w:val="nil"/>
              <w:right w:val="nil"/>
            </w:tcBorders>
            <w:shd w:val="clear" w:color="FFFFFF" w:fill="FFFFFF"/>
            <w:noWrap/>
            <w:vAlign w:val="bottom"/>
            <w:hideMark/>
          </w:tcPr>
          <w:p w14:paraId="18C2A14C" w14:textId="77777777" w:rsidR="00B040FE" w:rsidRPr="000D1B3E" w:rsidRDefault="00B040FE" w:rsidP="0047225D">
            <w:pPr>
              <w:spacing w:after="0"/>
              <w:jc w:val="right"/>
              <w:rPr>
                <w:rFonts w:cs="Arial"/>
                <w:sz w:val="18"/>
                <w:szCs w:val="18"/>
              </w:rPr>
            </w:pPr>
            <w:r w:rsidRPr="000D1B3E">
              <w:rPr>
                <w:rFonts w:cs="Arial"/>
                <w:sz w:val="18"/>
                <w:szCs w:val="18"/>
              </w:rPr>
              <w:t>594,071</w:t>
            </w:r>
          </w:p>
        </w:tc>
      </w:tr>
      <w:tr w:rsidR="00B040FE" w:rsidRPr="000D1B3E" w14:paraId="6AFDA3EE" w14:textId="77777777" w:rsidTr="005E5E0C">
        <w:trPr>
          <w:trHeight w:val="250"/>
        </w:trPr>
        <w:tc>
          <w:tcPr>
            <w:tcW w:w="6351" w:type="dxa"/>
            <w:tcBorders>
              <w:top w:val="nil"/>
              <w:left w:val="nil"/>
              <w:bottom w:val="nil"/>
              <w:right w:val="nil"/>
            </w:tcBorders>
            <w:shd w:val="clear" w:color="FFFFFF" w:fill="FFFFFF"/>
            <w:vAlign w:val="bottom"/>
            <w:hideMark/>
          </w:tcPr>
          <w:p w14:paraId="46D6A271" w14:textId="77777777" w:rsidR="00B040FE" w:rsidRPr="000D1B3E" w:rsidRDefault="00B040FE" w:rsidP="0047225D">
            <w:pPr>
              <w:spacing w:after="0"/>
              <w:rPr>
                <w:rFonts w:cs="Arial"/>
                <w:b/>
                <w:bCs/>
                <w:sz w:val="18"/>
                <w:szCs w:val="18"/>
              </w:rPr>
            </w:pPr>
            <w:r w:rsidRPr="000D1B3E">
              <w:rPr>
                <w:rFonts w:cs="Arial"/>
                <w:b/>
                <w:bCs/>
                <w:sz w:val="18"/>
                <w:szCs w:val="18"/>
              </w:rPr>
              <w:t>Total suppliers</w:t>
            </w:r>
          </w:p>
        </w:tc>
        <w:tc>
          <w:tcPr>
            <w:tcW w:w="1259" w:type="dxa"/>
            <w:tcBorders>
              <w:top w:val="single" w:sz="4" w:space="0" w:color="auto"/>
              <w:left w:val="nil"/>
              <w:bottom w:val="single" w:sz="4" w:space="0" w:color="auto"/>
              <w:right w:val="nil"/>
            </w:tcBorders>
            <w:shd w:val="clear" w:color="FFFFFF" w:fill="FFFFFF"/>
            <w:noWrap/>
            <w:vAlign w:val="bottom"/>
            <w:hideMark/>
          </w:tcPr>
          <w:p w14:paraId="332294CE" w14:textId="77777777" w:rsidR="00B040FE" w:rsidRPr="000D1B3E" w:rsidRDefault="00B040FE" w:rsidP="0047225D">
            <w:pPr>
              <w:spacing w:after="0"/>
              <w:jc w:val="right"/>
              <w:rPr>
                <w:rFonts w:cs="Arial"/>
                <w:b/>
                <w:bCs/>
                <w:sz w:val="18"/>
                <w:szCs w:val="18"/>
              </w:rPr>
            </w:pPr>
            <w:r w:rsidRPr="000D1B3E">
              <w:rPr>
                <w:rFonts w:cs="Arial"/>
                <w:b/>
                <w:bCs/>
                <w:sz w:val="18"/>
                <w:szCs w:val="18"/>
              </w:rPr>
              <w:t>914,519</w:t>
            </w:r>
          </w:p>
        </w:tc>
        <w:tc>
          <w:tcPr>
            <w:tcW w:w="236" w:type="dxa"/>
            <w:tcBorders>
              <w:top w:val="nil"/>
              <w:left w:val="nil"/>
              <w:bottom w:val="nil"/>
              <w:right w:val="nil"/>
            </w:tcBorders>
            <w:shd w:val="clear" w:color="FFFFFF" w:fill="FFFFFF"/>
            <w:noWrap/>
            <w:vAlign w:val="bottom"/>
            <w:hideMark/>
          </w:tcPr>
          <w:p w14:paraId="50B36ED0" w14:textId="77777777" w:rsidR="00B040FE" w:rsidRPr="000D1B3E" w:rsidRDefault="00B040FE" w:rsidP="0047225D">
            <w:pPr>
              <w:spacing w:after="0"/>
              <w:rPr>
                <w:rFonts w:cs="Arial"/>
                <w:sz w:val="18"/>
                <w:szCs w:val="18"/>
              </w:rPr>
            </w:pPr>
            <w:r w:rsidRPr="000D1B3E">
              <w:rPr>
                <w:rFonts w:cs="Arial"/>
                <w:sz w:val="18"/>
                <w:szCs w:val="18"/>
              </w:rPr>
              <w:t> </w:t>
            </w:r>
          </w:p>
        </w:tc>
        <w:tc>
          <w:tcPr>
            <w:tcW w:w="1241" w:type="dxa"/>
            <w:tcBorders>
              <w:top w:val="single" w:sz="4" w:space="0" w:color="auto"/>
              <w:left w:val="nil"/>
              <w:bottom w:val="single" w:sz="4" w:space="0" w:color="auto"/>
              <w:right w:val="nil"/>
            </w:tcBorders>
            <w:shd w:val="clear" w:color="FFFFFF" w:fill="FFFFFF"/>
            <w:noWrap/>
            <w:vAlign w:val="bottom"/>
            <w:hideMark/>
          </w:tcPr>
          <w:p w14:paraId="0EAF0273" w14:textId="77777777" w:rsidR="00B040FE" w:rsidRPr="000D1B3E" w:rsidRDefault="00B040FE" w:rsidP="0047225D">
            <w:pPr>
              <w:spacing w:after="0"/>
              <w:jc w:val="right"/>
              <w:rPr>
                <w:rFonts w:cs="Arial"/>
                <w:sz w:val="18"/>
                <w:szCs w:val="18"/>
              </w:rPr>
            </w:pPr>
            <w:r w:rsidRPr="000D1B3E">
              <w:rPr>
                <w:rFonts w:cs="Arial"/>
                <w:sz w:val="18"/>
                <w:szCs w:val="18"/>
              </w:rPr>
              <w:t>594,071</w:t>
            </w:r>
          </w:p>
        </w:tc>
      </w:tr>
    </w:tbl>
    <w:p w14:paraId="13EB0FC0" w14:textId="77777777" w:rsidR="00B040FE" w:rsidRPr="000D1B3E" w:rsidRDefault="00B040FE" w:rsidP="000D1B3E">
      <w:pPr>
        <w:spacing w:before="240" w:line="240" w:lineRule="auto"/>
        <w:rPr>
          <w:rFonts w:cs="Arial"/>
          <w:sz w:val="18"/>
          <w:szCs w:val="18"/>
        </w:rPr>
      </w:pPr>
      <w:r w:rsidRPr="000D1B3E">
        <w:rPr>
          <w:rFonts w:cs="Arial"/>
          <w:sz w:val="18"/>
          <w:szCs w:val="18"/>
        </w:rPr>
        <w:t>Settlement is expected to be made for suppliers within 20 days (</w:t>
      </w:r>
      <w:r w:rsidRPr="000D1B3E">
        <w:rPr>
          <w:rFonts w:cs="Arial"/>
          <w:sz w:val="18"/>
          <w:szCs w:val="18"/>
        </w:rPr>
        <w:fldChar w:fldCharType="begin"/>
      </w:r>
      <w:r w:rsidRPr="000D1B3E">
        <w:rPr>
          <w:rFonts w:cs="Arial"/>
          <w:sz w:val="18"/>
          <w:szCs w:val="18"/>
        </w:rPr>
        <w:instrText xml:space="preserve"> DOCPROPERTY  prYear  \* MERGEFORMAT </w:instrText>
      </w:r>
      <w:r w:rsidRPr="000D1B3E">
        <w:rPr>
          <w:rFonts w:cs="Arial"/>
          <w:sz w:val="18"/>
          <w:szCs w:val="18"/>
        </w:rPr>
        <w:fldChar w:fldCharType="separate"/>
      </w:r>
      <w:r w:rsidRPr="000D1B3E">
        <w:rPr>
          <w:rFonts w:cs="Arial"/>
          <w:sz w:val="18"/>
          <w:szCs w:val="18"/>
        </w:rPr>
        <w:t>2023</w:t>
      </w:r>
      <w:r w:rsidRPr="000D1B3E">
        <w:rPr>
          <w:rFonts w:cs="Arial"/>
          <w:sz w:val="18"/>
          <w:szCs w:val="18"/>
        </w:rPr>
        <w:fldChar w:fldCharType="end"/>
      </w:r>
      <w:r w:rsidRPr="000D1B3E">
        <w:rPr>
          <w:rFonts w:cs="Arial"/>
          <w:sz w:val="18"/>
          <w:szCs w:val="18"/>
        </w:rPr>
        <w:t>: 20 days).</w:t>
      </w:r>
    </w:p>
    <w:tbl>
      <w:tblPr>
        <w:tblW w:w="9087" w:type="dxa"/>
        <w:tblLayout w:type="fixed"/>
        <w:tblLook w:val="04A0" w:firstRow="1" w:lastRow="0" w:firstColumn="1" w:lastColumn="0" w:noHBand="0" w:noVBand="1"/>
      </w:tblPr>
      <w:tblGrid>
        <w:gridCol w:w="6351"/>
        <w:gridCol w:w="1259"/>
        <w:gridCol w:w="236"/>
        <w:gridCol w:w="1241"/>
      </w:tblGrid>
      <w:tr w:rsidR="00B040FE" w:rsidRPr="000D1B3E" w14:paraId="30044EED" w14:textId="77777777" w:rsidTr="005E5E0C">
        <w:trPr>
          <w:trHeight w:val="260"/>
        </w:trPr>
        <w:tc>
          <w:tcPr>
            <w:tcW w:w="6351" w:type="dxa"/>
            <w:tcBorders>
              <w:top w:val="nil"/>
              <w:left w:val="nil"/>
              <w:bottom w:val="nil"/>
              <w:right w:val="nil"/>
            </w:tcBorders>
            <w:shd w:val="clear" w:color="FFFFFF" w:fill="FFFFFF"/>
            <w:noWrap/>
            <w:vAlign w:val="bottom"/>
            <w:hideMark/>
          </w:tcPr>
          <w:p w14:paraId="00CF5276" w14:textId="77777777" w:rsidR="00B040FE" w:rsidRPr="000D1B3E" w:rsidRDefault="00B040FE" w:rsidP="0047225D">
            <w:pPr>
              <w:spacing w:after="0"/>
              <w:rPr>
                <w:rFonts w:cs="Arial"/>
                <w:b/>
                <w:bCs/>
                <w:sz w:val="18"/>
                <w:szCs w:val="18"/>
                <w:u w:val="single"/>
              </w:rPr>
            </w:pPr>
            <w:bookmarkStart w:id="194" w:name="Note_OPBTABLE1" w:colFirst="0" w:colLast="0"/>
            <w:r w:rsidRPr="000D1B3E">
              <w:rPr>
                <w:rFonts w:cs="Arial"/>
                <w:b/>
                <w:bCs/>
                <w:sz w:val="18"/>
                <w:szCs w:val="18"/>
                <w:u w:val="single"/>
              </w:rPr>
              <w:t>Note 2.3B: Other payables</w:t>
            </w:r>
          </w:p>
        </w:tc>
        <w:tc>
          <w:tcPr>
            <w:tcW w:w="1259" w:type="dxa"/>
            <w:tcBorders>
              <w:top w:val="nil"/>
              <w:left w:val="nil"/>
              <w:bottom w:val="nil"/>
              <w:right w:val="nil"/>
            </w:tcBorders>
            <w:shd w:val="clear" w:color="FFFFFF" w:fill="FFFFFF"/>
            <w:noWrap/>
            <w:vAlign w:val="bottom"/>
            <w:hideMark/>
          </w:tcPr>
          <w:p w14:paraId="2C9B2407" w14:textId="77777777" w:rsidR="00B040FE" w:rsidRPr="000D1B3E" w:rsidRDefault="00B040FE" w:rsidP="0047225D">
            <w:pPr>
              <w:spacing w:after="0"/>
              <w:rPr>
                <w:rFonts w:cs="Arial"/>
                <w:sz w:val="18"/>
                <w:szCs w:val="18"/>
              </w:rPr>
            </w:pPr>
            <w:r w:rsidRPr="000D1B3E">
              <w:rPr>
                <w:rFonts w:cs="Arial"/>
                <w:sz w:val="18"/>
                <w:szCs w:val="18"/>
              </w:rPr>
              <w:t> </w:t>
            </w:r>
          </w:p>
        </w:tc>
        <w:tc>
          <w:tcPr>
            <w:tcW w:w="236" w:type="dxa"/>
            <w:tcBorders>
              <w:top w:val="nil"/>
              <w:left w:val="nil"/>
              <w:bottom w:val="nil"/>
              <w:right w:val="nil"/>
            </w:tcBorders>
            <w:shd w:val="clear" w:color="FFFFFF" w:fill="FFFFFF"/>
            <w:noWrap/>
            <w:vAlign w:val="bottom"/>
            <w:hideMark/>
          </w:tcPr>
          <w:p w14:paraId="56C1EBFF" w14:textId="77777777" w:rsidR="00B040FE" w:rsidRPr="000D1B3E" w:rsidRDefault="00B040FE" w:rsidP="0047225D">
            <w:pPr>
              <w:spacing w:after="0"/>
              <w:rPr>
                <w:rFonts w:cs="Arial"/>
                <w:sz w:val="18"/>
                <w:szCs w:val="18"/>
              </w:rPr>
            </w:pPr>
            <w:r w:rsidRPr="000D1B3E">
              <w:rPr>
                <w:rFonts w:cs="Arial"/>
                <w:sz w:val="18"/>
                <w:szCs w:val="18"/>
              </w:rPr>
              <w:t> </w:t>
            </w:r>
          </w:p>
        </w:tc>
        <w:tc>
          <w:tcPr>
            <w:tcW w:w="1241" w:type="dxa"/>
            <w:tcBorders>
              <w:top w:val="nil"/>
              <w:left w:val="nil"/>
              <w:bottom w:val="nil"/>
              <w:right w:val="nil"/>
            </w:tcBorders>
            <w:shd w:val="clear" w:color="FFFFFF" w:fill="FFFFFF"/>
            <w:noWrap/>
            <w:vAlign w:val="bottom"/>
            <w:hideMark/>
          </w:tcPr>
          <w:p w14:paraId="6887779A" w14:textId="77777777" w:rsidR="00B040FE" w:rsidRPr="000D1B3E" w:rsidRDefault="00B040FE" w:rsidP="0047225D">
            <w:pPr>
              <w:spacing w:after="0"/>
              <w:rPr>
                <w:rFonts w:cs="Arial"/>
                <w:sz w:val="18"/>
                <w:szCs w:val="18"/>
              </w:rPr>
            </w:pPr>
            <w:r w:rsidRPr="000D1B3E">
              <w:rPr>
                <w:rFonts w:cs="Arial"/>
                <w:sz w:val="18"/>
                <w:szCs w:val="18"/>
              </w:rPr>
              <w:t> </w:t>
            </w:r>
          </w:p>
        </w:tc>
      </w:tr>
      <w:bookmarkEnd w:id="194"/>
      <w:tr w:rsidR="00B040FE" w:rsidRPr="000D1B3E" w14:paraId="141A5A78" w14:textId="77777777" w:rsidTr="005E5E0C">
        <w:trPr>
          <w:trHeight w:val="250"/>
        </w:trPr>
        <w:tc>
          <w:tcPr>
            <w:tcW w:w="6351" w:type="dxa"/>
            <w:tcBorders>
              <w:top w:val="nil"/>
              <w:left w:val="nil"/>
              <w:bottom w:val="nil"/>
              <w:right w:val="nil"/>
            </w:tcBorders>
            <w:shd w:val="clear" w:color="FFFFFF" w:fill="FFFFFF"/>
            <w:vAlign w:val="bottom"/>
            <w:hideMark/>
          </w:tcPr>
          <w:p w14:paraId="305496DE" w14:textId="77777777" w:rsidR="00B040FE" w:rsidRPr="000D1B3E" w:rsidRDefault="00B040FE" w:rsidP="0047225D">
            <w:pPr>
              <w:spacing w:after="0"/>
              <w:rPr>
                <w:rFonts w:cs="Arial"/>
                <w:sz w:val="18"/>
                <w:szCs w:val="18"/>
              </w:rPr>
            </w:pPr>
            <w:r w:rsidRPr="000D1B3E">
              <w:rPr>
                <w:rFonts w:cs="Arial"/>
                <w:sz w:val="18"/>
                <w:szCs w:val="18"/>
              </w:rPr>
              <w:t>Salaries and wages</w:t>
            </w:r>
          </w:p>
        </w:tc>
        <w:tc>
          <w:tcPr>
            <w:tcW w:w="1259" w:type="dxa"/>
            <w:tcBorders>
              <w:top w:val="nil"/>
              <w:left w:val="nil"/>
              <w:bottom w:val="nil"/>
              <w:right w:val="nil"/>
            </w:tcBorders>
            <w:shd w:val="clear" w:color="FFFFFF" w:fill="FFFFFF"/>
            <w:noWrap/>
            <w:vAlign w:val="bottom"/>
            <w:hideMark/>
          </w:tcPr>
          <w:p w14:paraId="382C820A" w14:textId="77777777" w:rsidR="00B040FE" w:rsidRPr="000D1B3E" w:rsidRDefault="00B040FE" w:rsidP="0047225D">
            <w:pPr>
              <w:spacing w:after="0"/>
              <w:jc w:val="right"/>
              <w:rPr>
                <w:rFonts w:cs="Arial"/>
                <w:b/>
                <w:bCs/>
                <w:sz w:val="18"/>
                <w:szCs w:val="18"/>
              </w:rPr>
            </w:pPr>
            <w:r w:rsidRPr="000D1B3E">
              <w:rPr>
                <w:rFonts w:cs="Arial"/>
                <w:b/>
                <w:bCs/>
                <w:sz w:val="18"/>
                <w:szCs w:val="18"/>
              </w:rPr>
              <w:t>18,024</w:t>
            </w:r>
          </w:p>
        </w:tc>
        <w:tc>
          <w:tcPr>
            <w:tcW w:w="236" w:type="dxa"/>
            <w:tcBorders>
              <w:top w:val="nil"/>
              <w:left w:val="nil"/>
              <w:bottom w:val="nil"/>
              <w:right w:val="nil"/>
            </w:tcBorders>
            <w:shd w:val="clear" w:color="FFFFFF" w:fill="FFFFFF"/>
            <w:noWrap/>
            <w:vAlign w:val="bottom"/>
            <w:hideMark/>
          </w:tcPr>
          <w:p w14:paraId="1E8586BD" w14:textId="77777777" w:rsidR="00B040FE" w:rsidRPr="000D1B3E" w:rsidRDefault="00B040FE" w:rsidP="0047225D">
            <w:pPr>
              <w:spacing w:after="0"/>
              <w:rPr>
                <w:rFonts w:cs="Arial"/>
                <w:sz w:val="18"/>
                <w:szCs w:val="18"/>
              </w:rPr>
            </w:pPr>
            <w:r w:rsidRPr="000D1B3E">
              <w:rPr>
                <w:rFonts w:cs="Arial"/>
                <w:sz w:val="18"/>
                <w:szCs w:val="18"/>
              </w:rPr>
              <w:t> </w:t>
            </w:r>
          </w:p>
        </w:tc>
        <w:tc>
          <w:tcPr>
            <w:tcW w:w="1241" w:type="dxa"/>
            <w:tcBorders>
              <w:top w:val="nil"/>
              <w:left w:val="nil"/>
              <w:bottom w:val="nil"/>
              <w:right w:val="nil"/>
            </w:tcBorders>
            <w:shd w:val="clear" w:color="FFFFFF" w:fill="FFFFFF"/>
            <w:noWrap/>
            <w:vAlign w:val="bottom"/>
            <w:hideMark/>
          </w:tcPr>
          <w:p w14:paraId="038EB09E" w14:textId="77777777" w:rsidR="00B040FE" w:rsidRPr="000D1B3E" w:rsidRDefault="00B040FE" w:rsidP="0047225D">
            <w:pPr>
              <w:spacing w:after="0"/>
              <w:jc w:val="right"/>
              <w:rPr>
                <w:rFonts w:cs="Arial"/>
                <w:sz w:val="18"/>
                <w:szCs w:val="18"/>
              </w:rPr>
            </w:pPr>
            <w:r w:rsidRPr="000D1B3E">
              <w:rPr>
                <w:rFonts w:cs="Arial"/>
                <w:sz w:val="18"/>
                <w:szCs w:val="18"/>
              </w:rPr>
              <w:t>12,133</w:t>
            </w:r>
          </w:p>
        </w:tc>
      </w:tr>
      <w:tr w:rsidR="00B040FE" w:rsidRPr="000D1B3E" w14:paraId="587EC867" w14:textId="77777777" w:rsidTr="005E5E0C">
        <w:trPr>
          <w:trHeight w:val="250"/>
        </w:trPr>
        <w:tc>
          <w:tcPr>
            <w:tcW w:w="6351" w:type="dxa"/>
            <w:tcBorders>
              <w:top w:val="nil"/>
              <w:left w:val="nil"/>
              <w:bottom w:val="nil"/>
              <w:right w:val="nil"/>
            </w:tcBorders>
            <w:shd w:val="clear" w:color="FFFFFF" w:fill="FFFFFF"/>
            <w:vAlign w:val="bottom"/>
            <w:hideMark/>
          </w:tcPr>
          <w:p w14:paraId="520D627E" w14:textId="77777777" w:rsidR="00B040FE" w:rsidRPr="000D1B3E" w:rsidRDefault="00B040FE" w:rsidP="0047225D">
            <w:pPr>
              <w:spacing w:after="0"/>
              <w:rPr>
                <w:rFonts w:cs="Arial"/>
                <w:sz w:val="18"/>
                <w:szCs w:val="18"/>
              </w:rPr>
            </w:pPr>
            <w:r w:rsidRPr="000D1B3E">
              <w:rPr>
                <w:rFonts w:cs="Arial"/>
                <w:sz w:val="18"/>
                <w:szCs w:val="18"/>
              </w:rPr>
              <w:t>Superannuation</w:t>
            </w:r>
          </w:p>
        </w:tc>
        <w:tc>
          <w:tcPr>
            <w:tcW w:w="1259" w:type="dxa"/>
            <w:tcBorders>
              <w:top w:val="nil"/>
              <w:left w:val="nil"/>
              <w:bottom w:val="nil"/>
              <w:right w:val="nil"/>
            </w:tcBorders>
            <w:shd w:val="clear" w:color="FFFFFF" w:fill="FFFFFF"/>
            <w:noWrap/>
            <w:vAlign w:val="bottom"/>
            <w:hideMark/>
          </w:tcPr>
          <w:p w14:paraId="66885EC0" w14:textId="77777777" w:rsidR="00B040FE" w:rsidRPr="000D1B3E" w:rsidRDefault="00B040FE" w:rsidP="0047225D">
            <w:pPr>
              <w:spacing w:after="0"/>
              <w:jc w:val="right"/>
              <w:rPr>
                <w:rFonts w:cs="Arial"/>
                <w:b/>
                <w:bCs/>
                <w:sz w:val="18"/>
                <w:szCs w:val="18"/>
              </w:rPr>
            </w:pPr>
            <w:r w:rsidRPr="000D1B3E">
              <w:rPr>
                <w:rFonts w:cs="Arial"/>
                <w:b/>
                <w:bCs/>
                <w:sz w:val="18"/>
                <w:szCs w:val="18"/>
              </w:rPr>
              <w:t>2,932</w:t>
            </w:r>
          </w:p>
        </w:tc>
        <w:tc>
          <w:tcPr>
            <w:tcW w:w="236" w:type="dxa"/>
            <w:tcBorders>
              <w:top w:val="nil"/>
              <w:left w:val="nil"/>
              <w:bottom w:val="nil"/>
              <w:right w:val="nil"/>
            </w:tcBorders>
            <w:shd w:val="clear" w:color="FFFFFF" w:fill="FFFFFF"/>
            <w:noWrap/>
            <w:vAlign w:val="bottom"/>
            <w:hideMark/>
          </w:tcPr>
          <w:p w14:paraId="18A7E9EF" w14:textId="77777777" w:rsidR="00B040FE" w:rsidRPr="000D1B3E" w:rsidRDefault="00B040FE" w:rsidP="0047225D">
            <w:pPr>
              <w:spacing w:after="0"/>
              <w:rPr>
                <w:rFonts w:cs="Arial"/>
                <w:sz w:val="18"/>
                <w:szCs w:val="18"/>
              </w:rPr>
            </w:pPr>
            <w:r w:rsidRPr="000D1B3E">
              <w:rPr>
                <w:rFonts w:cs="Arial"/>
                <w:sz w:val="18"/>
                <w:szCs w:val="18"/>
              </w:rPr>
              <w:t> </w:t>
            </w:r>
          </w:p>
        </w:tc>
        <w:tc>
          <w:tcPr>
            <w:tcW w:w="1241" w:type="dxa"/>
            <w:tcBorders>
              <w:top w:val="nil"/>
              <w:left w:val="nil"/>
              <w:bottom w:val="nil"/>
              <w:right w:val="nil"/>
            </w:tcBorders>
            <w:shd w:val="clear" w:color="FFFFFF" w:fill="FFFFFF"/>
            <w:noWrap/>
            <w:vAlign w:val="bottom"/>
            <w:hideMark/>
          </w:tcPr>
          <w:p w14:paraId="7CC624CD" w14:textId="77777777" w:rsidR="00B040FE" w:rsidRPr="000D1B3E" w:rsidRDefault="00B040FE" w:rsidP="0047225D">
            <w:pPr>
              <w:spacing w:after="0"/>
              <w:jc w:val="right"/>
              <w:rPr>
                <w:rFonts w:cs="Arial"/>
                <w:sz w:val="18"/>
                <w:szCs w:val="18"/>
              </w:rPr>
            </w:pPr>
            <w:r w:rsidRPr="000D1B3E">
              <w:rPr>
                <w:rFonts w:cs="Arial"/>
                <w:sz w:val="18"/>
                <w:szCs w:val="18"/>
              </w:rPr>
              <w:t>2,090</w:t>
            </w:r>
          </w:p>
        </w:tc>
      </w:tr>
      <w:tr w:rsidR="00B040FE" w:rsidRPr="000D1B3E" w14:paraId="6224261B" w14:textId="77777777" w:rsidTr="005E5E0C">
        <w:trPr>
          <w:trHeight w:val="250"/>
        </w:trPr>
        <w:tc>
          <w:tcPr>
            <w:tcW w:w="6351" w:type="dxa"/>
            <w:tcBorders>
              <w:top w:val="nil"/>
              <w:left w:val="nil"/>
              <w:bottom w:val="nil"/>
              <w:right w:val="nil"/>
            </w:tcBorders>
            <w:shd w:val="clear" w:color="FFFFFF" w:fill="FFFFFF"/>
            <w:vAlign w:val="bottom"/>
            <w:hideMark/>
          </w:tcPr>
          <w:p w14:paraId="12DB020B" w14:textId="77777777" w:rsidR="00B040FE" w:rsidRPr="000D1B3E" w:rsidRDefault="00B040FE" w:rsidP="0047225D">
            <w:pPr>
              <w:spacing w:after="0"/>
              <w:rPr>
                <w:rFonts w:cs="Arial"/>
                <w:sz w:val="18"/>
                <w:szCs w:val="18"/>
              </w:rPr>
            </w:pPr>
            <w:r w:rsidRPr="000D1B3E">
              <w:rPr>
                <w:rFonts w:cs="Arial"/>
                <w:sz w:val="18"/>
                <w:szCs w:val="18"/>
              </w:rPr>
              <w:t>Other</w:t>
            </w:r>
          </w:p>
        </w:tc>
        <w:tc>
          <w:tcPr>
            <w:tcW w:w="1259" w:type="dxa"/>
            <w:tcBorders>
              <w:top w:val="nil"/>
              <w:left w:val="nil"/>
              <w:bottom w:val="nil"/>
              <w:right w:val="nil"/>
            </w:tcBorders>
            <w:shd w:val="clear" w:color="FFFFFF" w:fill="FFFFFF"/>
            <w:noWrap/>
            <w:vAlign w:val="bottom"/>
            <w:hideMark/>
          </w:tcPr>
          <w:p w14:paraId="76EA25AD" w14:textId="77777777" w:rsidR="00B040FE" w:rsidRPr="000D1B3E" w:rsidRDefault="00B040FE" w:rsidP="0047225D">
            <w:pPr>
              <w:spacing w:after="0"/>
              <w:jc w:val="right"/>
              <w:rPr>
                <w:rFonts w:cs="Arial"/>
                <w:b/>
                <w:bCs/>
                <w:sz w:val="18"/>
                <w:szCs w:val="18"/>
              </w:rPr>
            </w:pPr>
            <w:r w:rsidRPr="000D1B3E">
              <w:rPr>
                <w:rFonts w:cs="Arial"/>
                <w:b/>
                <w:bCs/>
                <w:sz w:val="18"/>
                <w:szCs w:val="18"/>
              </w:rPr>
              <w:t>81</w:t>
            </w:r>
          </w:p>
        </w:tc>
        <w:tc>
          <w:tcPr>
            <w:tcW w:w="236" w:type="dxa"/>
            <w:tcBorders>
              <w:top w:val="nil"/>
              <w:left w:val="nil"/>
              <w:bottom w:val="nil"/>
              <w:right w:val="nil"/>
            </w:tcBorders>
            <w:shd w:val="clear" w:color="FFFFFF" w:fill="FFFFFF"/>
            <w:noWrap/>
            <w:vAlign w:val="bottom"/>
            <w:hideMark/>
          </w:tcPr>
          <w:p w14:paraId="0FB45B35" w14:textId="77777777" w:rsidR="00B040FE" w:rsidRPr="000D1B3E" w:rsidRDefault="00B040FE" w:rsidP="0047225D">
            <w:pPr>
              <w:spacing w:after="0"/>
              <w:rPr>
                <w:rFonts w:cs="Arial"/>
                <w:sz w:val="18"/>
                <w:szCs w:val="18"/>
              </w:rPr>
            </w:pPr>
            <w:r w:rsidRPr="000D1B3E">
              <w:rPr>
                <w:rFonts w:cs="Arial"/>
                <w:sz w:val="18"/>
                <w:szCs w:val="18"/>
              </w:rPr>
              <w:t> </w:t>
            </w:r>
          </w:p>
        </w:tc>
        <w:tc>
          <w:tcPr>
            <w:tcW w:w="1241" w:type="dxa"/>
            <w:tcBorders>
              <w:top w:val="nil"/>
              <w:left w:val="nil"/>
              <w:bottom w:val="nil"/>
              <w:right w:val="nil"/>
            </w:tcBorders>
            <w:shd w:val="clear" w:color="FFFFFF" w:fill="FFFFFF"/>
            <w:noWrap/>
            <w:vAlign w:val="bottom"/>
            <w:hideMark/>
          </w:tcPr>
          <w:p w14:paraId="151BAF63" w14:textId="77777777" w:rsidR="00B040FE" w:rsidRPr="000D1B3E" w:rsidRDefault="00B040FE" w:rsidP="0047225D">
            <w:pPr>
              <w:spacing w:after="0"/>
              <w:jc w:val="right"/>
              <w:rPr>
                <w:rFonts w:cs="Arial"/>
                <w:sz w:val="18"/>
                <w:szCs w:val="18"/>
              </w:rPr>
            </w:pPr>
            <w:r w:rsidRPr="000D1B3E">
              <w:rPr>
                <w:rFonts w:cs="Arial"/>
                <w:sz w:val="18"/>
                <w:szCs w:val="18"/>
              </w:rPr>
              <w:t>187</w:t>
            </w:r>
          </w:p>
        </w:tc>
      </w:tr>
      <w:tr w:rsidR="00B040FE" w:rsidRPr="000D1B3E" w14:paraId="3F02FC8D" w14:textId="77777777" w:rsidTr="005E5E0C">
        <w:trPr>
          <w:trHeight w:val="250"/>
        </w:trPr>
        <w:tc>
          <w:tcPr>
            <w:tcW w:w="6351" w:type="dxa"/>
            <w:tcBorders>
              <w:top w:val="nil"/>
              <w:left w:val="nil"/>
              <w:bottom w:val="nil"/>
              <w:right w:val="nil"/>
            </w:tcBorders>
            <w:shd w:val="clear" w:color="FFFFFF" w:fill="FFFFFF"/>
            <w:vAlign w:val="bottom"/>
            <w:hideMark/>
          </w:tcPr>
          <w:p w14:paraId="1FD6BC0B" w14:textId="77777777" w:rsidR="00B040FE" w:rsidRPr="000D1B3E" w:rsidRDefault="00B040FE" w:rsidP="0047225D">
            <w:pPr>
              <w:spacing w:after="0"/>
              <w:rPr>
                <w:rFonts w:cs="Arial"/>
                <w:b/>
                <w:bCs/>
                <w:sz w:val="18"/>
                <w:szCs w:val="18"/>
              </w:rPr>
            </w:pPr>
            <w:r w:rsidRPr="000D1B3E">
              <w:rPr>
                <w:rFonts w:cs="Arial"/>
                <w:b/>
                <w:bCs/>
                <w:sz w:val="18"/>
                <w:szCs w:val="18"/>
              </w:rPr>
              <w:t xml:space="preserve">Total other payables </w:t>
            </w:r>
          </w:p>
        </w:tc>
        <w:tc>
          <w:tcPr>
            <w:tcW w:w="1259" w:type="dxa"/>
            <w:tcBorders>
              <w:top w:val="single" w:sz="4" w:space="0" w:color="auto"/>
              <w:left w:val="nil"/>
              <w:bottom w:val="single" w:sz="4" w:space="0" w:color="auto"/>
              <w:right w:val="nil"/>
            </w:tcBorders>
            <w:shd w:val="clear" w:color="FFFFFF" w:fill="FFFFFF"/>
            <w:noWrap/>
            <w:vAlign w:val="bottom"/>
            <w:hideMark/>
          </w:tcPr>
          <w:p w14:paraId="0BF8AA7F" w14:textId="77777777" w:rsidR="00B040FE" w:rsidRPr="000D1B3E" w:rsidRDefault="00B040FE" w:rsidP="0047225D">
            <w:pPr>
              <w:spacing w:after="0"/>
              <w:jc w:val="right"/>
              <w:rPr>
                <w:rFonts w:cs="Arial"/>
                <w:b/>
                <w:bCs/>
                <w:sz w:val="18"/>
                <w:szCs w:val="18"/>
              </w:rPr>
            </w:pPr>
            <w:r w:rsidRPr="000D1B3E">
              <w:rPr>
                <w:rFonts w:cs="Arial"/>
                <w:b/>
                <w:bCs/>
                <w:sz w:val="18"/>
                <w:szCs w:val="18"/>
              </w:rPr>
              <w:t>21,037</w:t>
            </w:r>
          </w:p>
        </w:tc>
        <w:tc>
          <w:tcPr>
            <w:tcW w:w="236" w:type="dxa"/>
            <w:tcBorders>
              <w:top w:val="nil"/>
              <w:left w:val="nil"/>
              <w:bottom w:val="nil"/>
              <w:right w:val="nil"/>
            </w:tcBorders>
            <w:shd w:val="clear" w:color="FFFFFF" w:fill="FFFFFF"/>
            <w:noWrap/>
            <w:vAlign w:val="bottom"/>
            <w:hideMark/>
          </w:tcPr>
          <w:p w14:paraId="5DB17BF6" w14:textId="77777777" w:rsidR="00B040FE" w:rsidRPr="000D1B3E" w:rsidRDefault="00B040FE" w:rsidP="0047225D">
            <w:pPr>
              <w:spacing w:after="0"/>
              <w:rPr>
                <w:rFonts w:cs="Arial"/>
                <w:sz w:val="18"/>
                <w:szCs w:val="18"/>
              </w:rPr>
            </w:pPr>
            <w:r w:rsidRPr="000D1B3E">
              <w:rPr>
                <w:rFonts w:cs="Arial"/>
                <w:sz w:val="18"/>
                <w:szCs w:val="18"/>
              </w:rPr>
              <w:t> </w:t>
            </w:r>
          </w:p>
        </w:tc>
        <w:tc>
          <w:tcPr>
            <w:tcW w:w="1241" w:type="dxa"/>
            <w:tcBorders>
              <w:top w:val="single" w:sz="4" w:space="0" w:color="auto"/>
              <w:left w:val="nil"/>
              <w:bottom w:val="single" w:sz="4" w:space="0" w:color="auto"/>
              <w:right w:val="nil"/>
            </w:tcBorders>
            <w:shd w:val="clear" w:color="FFFFFF" w:fill="FFFFFF"/>
            <w:noWrap/>
            <w:vAlign w:val="bottom"/>
            <w:hideMark/>
          </w:tcPr>
          <w:p w14:paraId="7CED848C" w14:textId="77777777" w:rsidR="00B040FE" w:rsidRPr="000D1B3E" w:rsidRDefault="00B040FE" w:rsidP="0047225D">
            <w:pPr>
              <w:spacing w:after="0"/>
              <w:jc w:val="right"/>
              <w:rPr>
                <w:rFonts w:cs="Arial"/>
                <w:sz w:val="18"/>
                <w:szCs w:val="18"/>
              </w:rPr>
            </w:pPr>
            <w:r w:rsidRPr="000D1B3E">
              <w:rPr>
                <w:rFonts w:cs="Arial"/>
                <w:sz w:val="18"/>
                <w:szCs w:val="18"/>
              </w:rPr>
              <w:t>14,410</w:t>
            </w:r>
          </w:p>
        </w:tc>
      </w:tr>
    </w:tbl>
    <w:p w14:paraId="301664A1" w14:textId="77777777" w:rsidR="00B040FE" w:rsidRPr="000D1B3E" w:rsidRDefault="00B040FE" w:rsidP="000D1B3E">
      <w:pPr>
        <w:pStyle w:val="PolicytextDept"/>
        <w:pBdr>
          <w:left w:val="single" w:sz="4" w:space="4" w:color="800080"/>
          <w:right w:val="single" w:sz="4" w:space="4" w:color="800080"/>
        </w:pBdr>
        <w:spacing w:before="240"/>
        <w:rPr>
          <w:b/>
        </w:rPr>
      </w:pPr>
      <w:r w:rsidRPr="000D1B3E">
        <w:rPr>
          <w:b/>
        </w:rPr>
        <w:t>Accounting Policy</w:t>
      </w:r>
    </w:p>
    <w:p w14:paraId="661F3573" w14:textId="77777777" w:rsidR="00B040FE" w:rsidRPr="000D1B3E" w:rsidRDefault="00B040FE" w:rsidP="00B040FE">
      <w:pPr>
        <w:pStyle w:val="PolicytextDept"/>
        <w:pBdr>
          <w:left w:val="single" w:sz="4" w:space="4" w:color="800080"/>
          <w:right w:val="single" w:sz="4" w:space="4" w:color="800080"/>
        </w:pBdr>
        <w:rPr>
          <w:b/>
        </w:rPr>
      </w:pPr>
      <w:r w:rsidRPr="000D1B3E">
        <w:t>Financial liabilities, including supplier and other payables, are initially measured at fair value, net of transaction costs. These liabilities are subsequently measured at amortised cost using the effective interest method, with interest expense recognised on an effective yield basis.</w:t>
      </w:r>
      <w:r w:rsidRPr="000D1B3E">
        <w:rPr>
          <w:b/>
        </w:rPr>
        <w:t xml:space="preserve"> </w:t>
      </w:r>
    </w:p>
    <w:p w14:paraId="5652691F" w14:textId="77777777" w:rsidR="00B040FE" w:rsidRPr="000D1B3E" w:rsidRDefault="00B040FE" w:rsidP="00B040FE">
      <w:pPr>
        <w:pStyle w:val="PolicytextDept"/>
        <w:pBdr>
          <w:left w:val="single" w:sz="4" w:space="4" w:color="800080"/>
          <w:right w:val="single" w:sz="4" w:space="4" w:color="800080"/>
        </w:pBdr>
        <w:rPr>
          <w:bCs w:val="0"/>
        </w:rPr>
      </w:pPr>
      <w:r w:rsidRPr="000D1B3E">
        <w:rPr>
          <w:bCs w:val="0"/>
        </w:rPr>
        <w:t>Liabilities are recognised to the extent that the goods or services have been received (and irrespective of having been invoiced).</w:t>
      </w:r>
    </w:p>
    <w:p w14:paraId="3297BD21" w14:textId="77777777" w:rsidR="00B040FE" w:rsidRPr="000D1B3E" w:rsidRDefault="00B040FE" w:rsidP="00B040FE">
      <w:pPr>
        <w:pStyle w:val="PolicytextDept"/>
        <w:pBdr>
          <w:left w:val="single" w:sz="4" w:space="4" w:color="800080"/>
          <w:right w:val="single" w:sz="4" w:space="4" w:color="800080"/>
        </w:pBdr>
      </w:pPr>
      <w:r w:rsidRPr="000D1B3E">
        <w:t>Accounting policies for Salaries and wages and Superannuation are contained in Section 3. People and Relationships.</w:t>
      </w:r>
    </w:p>
    <w:p w14:paraId="544FBEC5" w14:textId="77777777" w:rsidR="00B040FE" w:rsidRPr="000D1B3E" w:rsidRDefault="00B040FE" w:rsidP="000D1B3E">
      <w:pPr>
        <w:pStyle w:val="SubHeading"/>
        <w:shd w:val="clear" w:color="auto" w:fill="000000" w:themeFill="accent6"/>
        <w:rPr>
          <w:sz w:val="18"/>
          <w:szCs w:val="18"/>
        </w:rPr>
      </w:pPr>
      <w:bookmarkStart w:id="195" w:name="_Toc65742850"/>
      <w:bookmarkStart w:id="196" w:name="_Toc173417297"/>
      <w:r w:rsidRPr="000D1B3E">
        <w:rPr>
          <w:sz w:val="18"/>
          <w:szCs w:val="18"/>
        </w:rPr>
        <w:t>Unearned Income</w:t>
      </w:r>
      <w:bookmarkEnd w:id="195"/>
      <w:bookmarkEnd w:id="196"/>
    </w:p>
    <w:p w14:paraId="125663D6" w14:textId="77777777" w:rsidR="00B040FE" w:rsidRPr="000D1B3E" w:rsidRDefault="00B040FE" w:rsidP="00B040FE">
      <w:pPr>
        <w:pStyle w:val="ContinuedNotesHeading-Level1"/>
        <w:rPr>
          <w:rFonts w:cs="Arial"/>
          <w:sz w:val="18"/>
          <w:szCs w:val="18"/>
        </w:rPr>
      </w:pPr>
    </w:p>
    <w:tbl>
      <w:tblPr>
        <w:tblW w:w="9087" w:type="dxa"/>
        <w:tblLayout w:type="fixed"/>
        <w:tblLook w:val="04A0" w:firstRow="1" w:lastRow="0" w:firstColumn="1" w:lastColumn="0" w:noHBand="0" w:noVBand="1"/>
      </w:tblPr>
      <w:tblGrid>
        <w:gridCol w:w="6351"/>
        <w:gridCol w:w="1259"/>
        <w:gridCol w:w="236"/>
        <w:gridCol w:w="1241"/>
      </w:tblGrid>
      <w:tr w:rsidR="00B040FE" w:rsidRPr="000D1B3E" w14:paraId="20FEFF89" w14:textId="77777777" w:rsidTr="005E5E0C">
        <w:trPr>
          <w:trHeight w:val="253"/>
        </w:trPr>
        <w:tc>
          <w:tcPr>
            <w:tcW w:w="6351" w:type="dxa"/>
            <w:tcBorders>
              <w:top w:val="nil"/>
              <w:left w:val="nil"/>
              <w:bottom w:val="nil"/>
              <w:right w:val="nil"/>
            </w:tcBorders>
            <w:shd w:val="clear" w:color="FFFFFF" w:fill="FFFFFF"/>
            <w:noWrap/>
            <w:vAlign w:val="bottom"/>
            <w:hideMark/>
          </w:tcPr>
          <w:p w14:paraId="1740D22D" w14:textId="77777777" w:rsidR="00B040FE" w:rsidRPr="000D1B3E" w:rsidRDefault="00B040FE" w:rsidP="0047225D">
            <w:pPr>
              <w:spacing w:after="0"/>
              <w:rPr>
                <w:rFonts w:cs="Arial"/>
                <w:b/>
                <w:bCs/>
                <w:sz w:val="18"/>
                <w:szCs w:val="18"/>
                <w:u w:val="single"/>
              </w:rPr>
            </w:pPr>
            <w:bookmarkStart w:id="197" w:name="Note_PPPTABLE1" w:colFirst="0" w:colLast="0"/>
            <w:r w:rsidRPr="000D1B3E">
              <w:rPr>
                <w:rFonts w:cs="Arial"/>
                <w:b/>
                <w:bCs/>
                <w:sz w:val="18"/>
                <w:szCs w:val="18"/>
                <w:u w:val="single"/>
              </w:rPr>
              <w:t>Note 2.4: Unearned revenue</w:t>
            </w:r>
          </w:p>
        </w:tc>
        <w:tc>
          <w:tcPr>
            <w:tcW w:w="1259" w:type="dxa"/>
            <w:tcBorders>
              <w:top w:val="nil"/>
              <w:left w:val="nil"/>
              <w:bottom w:val="nil"/>
              <w:right w:val="nil"/>
            </w:tcBorders>
            <w:shd w:val="clear" w:color="FFFFFF" w:fill="FFFFFF"/>
            <w:noWrap/>
            <w:vAlign w:val="bottom"/>
            <w:hideMark/>
          </w:tcPr>
          <w:p w14:paraId="2CCBBC20" w14:textId="77777777" w:rsidR="00B040FE" w:rsidRPr="000D1B3E" w:rsidRDefault="00B040FE" w:rsidP="0047225D">
            <w:pPr>
              <w:spacing w:after="0"/>
              <w:rPr>
                <w:rFonts w:cs="Arial"/>
                <w:sz w:val="18"/>
                <w:szCs w:val="18"/>
              </w:rPr>
            </w:pPr>
            <w:r w:rsidRPr="000D1B3E">
              <w:rPr>
                <w:rFonts w:cs="Arial"/>
                <w:sz w:val="18"/>
                <w:szCs w:val="18"/>
              </w:rPr>
              <w:t> </w:t>
            </w:r>
          </w:p>
        </w:tc>
        <w:tc>
          <w:tcPr>
            <w:tcW w:w="236" w:type="dxa"/>
            <w:tcBorders>
              <w:top w:val="nil"/>
              <w:left w:val="nil"/>
              <w:bottom w:val="nil"/>
              <w:right w:val="nil"/>
            </w:tcBorders>
            <w:shd w:val="clear" w:color="FFFFFF" w:fill="FFFFFF"/>
            <w:noWrap/>
            <w:vAlign w:val="bottom"/>
            <w:hideMark/>
          </w:tcPr>
          <w:p w14:paraId="1EFCDECF" w14:textId="77777777" w:rsidR="00B040FE" w:rsidRPr="000D1B3E" w:rsidRDefault="00B040FE" w:rsidP="0047225D">
            <w:pPr>
              <w:spacing w:after="0"/>
              <w:rPr>
                <w:rFonts w:cs="Arial"/>
                <w:sz w:val="18"/>
                <w:szCs w:val="18"/>
              </w:rPr>
            </w:pPr>
            <w:r w:rsidRPr="000D1B3E">
              <w:rPr>
                <w:rFonts w:cs="Arial"/>
                <w:sz w:val="18"/>
                <w:szCs w:val="18"/>
              </w:rPr>
              <w:t> </w:t>
            </w:r>
          </w:p>
        </w:tc>
        <w:tc>
          <w:tcPr>
            <w:tcW w:w="1241" w:type="dxa"/>
            <w:tcBorders>
              <w:top w:val="nil"/>
              <w:left w:val="nil"/>
              <w:bottom w:val="nil"/>
              <w:right w:val="nil"/>
            </w:tcBorders>
            <w:shd w:val="clear" w:color="FFFFFF" w:fill="FFFFFF"/>
            <w:noWrap/>
            <w:vAlign w:val="bottom"/>
            <w:hideMark/>
          </w:tcPr>
          <w:p w14:paraId="65FC741A" w14:textId="77777777" w:rsidR="00B040FE" w:rsidRPr="000D1B3E" w:rsidRDefault="00B040FE" w:rsidP="0047225D">
            <w:pPr>
              <w:spacing w:after="0"/>
              <w:rPr>
                <w:rFonts w:cs="Arial"/>
                <w:sz w:val="18"/>
                <w:szCs w:val="18"/>
              </w:rPr>
            </w:pPr>
            <w:r w:rsidRPr="000D1B3E">
              <w:rPr>
                <w:rFonts w:cs="Arial"/>
                <w:sz w:val="18"/>
                <w:szCs w:val="18"/>
              </w:rPr>
              <w:t> </w:t>
            </w:r>
          </w:p>
        </w:tc>
      </w:tr>
      <w:bookmarkEnd w:id="197"/>
      <w:tr w:rsidR="00B040FE" w:rsidRPr="000D1B3E" w14:paraId="18015719" w14:textId="77777777" w:rsidTr="005E5E0C">
        <w:trPr>
          <w:trHeight w:val="250"/>
        </w:trPr>
        <w:tc>
          <w:tcPr>
            <w:tcW w:w="6351" w:type="dxa"/>
            <w:tcBorders>
              <w:top w:val="nil"/>
              <w:left w:val="nil"/>
              <w:bottom w:val="nil"/>
              <w:right w:val="nil"/>
            </w:tcBorders>
            <w:shd w:val="clear" w:color="FFFFFF" w:fill="FFFFFF"/>
            <w:vAlign w:val="bottom"/>
            <w:hideMark/>
          </w:tcPr>
          <w:p w14:paraId="719DE86F" w14:textId="77777777" w:rsidR="00B040FE" w:rsidRPr="000D1B3E" w:rsidRDefault="00B040FE" w:rsidP="0047225D">
            <w:pPr>
              <w:spacing w:after="0"/>
              <w:rPr>
                <w:rFonts w:cs="Arial"/>
                <w:sz w:val="18"/>
                <w:szCs w:val="18"/>
              </w:rPr>
            </w:pPr>
            <w:r w:rsidRPr="000D1B3E">
              <w:rPr>
                <w:rFonts w:cs="Arial"/>
                <w:sz w:val="18"/>
                <w:szCs w:val="18"/>
              </w:rPr>
              <w:t>Revenue received in advance - external entities</w:t>
            </w:r>
          </w:p>
        </w:tc>
        <w:tc>
          <w:tcPr>
            <w:tcW w:w="1259" w:type="dxa"/>
            <w:tcBorders>
              <w:top w:val="nil"/>
              <w:left w:val="nil"/>
              <w:bottom w:val="nil"/>
              <w:right w:val="nil"/>
            </w:tcBorders>
            <w:shd w:val="clear" w:color="FFFFFF" w:fill="FFFFFF"/>
            <w:noWrap/>
            <w:vAlign w:val="bottom"/>
            <w:hideMark/>
          </w:tcPr>
          <w:p w14:paraId="51EAD6F8" w14:textId="77777777" w:rsidR="00B040FE" w:rsidRPr="000D1B3E" w:rsidRDefault="00B040FE" w:rsidP="0047225D">
            <w:pPr>
              <w:spacing w:after="0"/>
              <w:jc w:val="right"/>
              <w:rPr>
                <w:rFonts w:cs="Arial"/>
                <w:b/>
                <w:bCs/>
                <w:sz w:val="18"/>
                <w:szCs w:val="18"/>
              </w:rPr>
            </w:pPr>
            <w:r w:rsidRPr="000D1B3E">
              <w:rPr>
                <w:rFonts w:cs="Arial"/>
                <w:b/>
                <w:bCs/>
                <w:sz w:val="18"/>
                <w:szCs w:val="18"/>
              </w:rPr>
              <w:t>413,969</w:t>
            </w:r>
          </w:p>
        </w:tc>
        <w:tc>
          <w:tcPr>
            <w:tcW w:w="236" w:type="dxa"/>
            <w:tcBorders>
              <w:top w:val="nil"/>
              <w:left w:val="nil"/>
              <w:bottom w:val="nil"/>
              <w:right w:val="nil"/>
            </w:tcBorders>
            <w:shd w:val="clear" w:color="FFFFFF" w:fill="FFFFFF"/>
            <w:noWrap/>
            <w:vAlign w:val="bottom"/>
            <w:hideMark/>
          </w:tcPr>
          <w:p w14:paraId="3945D09F" w14:textId="77777777" w:rsidR="00B040FE" w:rsidRPr="000D1B3E" w:rsidRDefault="00B040FE" w:rsidP="0047225D">
            <w:pPr>
              <w:spacing w:after="0"/>
              <w:rPr>
                <w:rFonts w:cs="Arial"/>
                <w:b/>
                <w:bCs/>
                <w:sz w:val="18"/>
                <w:szCs w:val="18"/>
              </w:rPr>
            </w:pPr>
            <w:r w:rsidRPr="000D1B3E">
              <w:rPr>
                <w:rFonts w:cs="Arial"/>
                <w:b/>
                <w:bCs/>
                <w:sz w:val="18"/>
                <w:szCs w:val="18"/>
              </w:rPr>
              <w:t> </w:t>
            </w:r>
          </w:p>
        </w:tc>
        <w:tc>
          <w:tcPr>
            <w:tcW w:w="1241" w:type="dxa"/>
            <w:tcBorders>
              <w:top w:val="nil"/>
              <w:left w:val="nil"/>
              <w:bottom w:val="nil"/>
              <w:right w:val="nil"/>
            </w:tcBorders>
            <w:shd w:val="clear" w:color="FFFFFF" w:fill="FFFFFF"/>
            <w:noWrap/>
            <w:vAlign w:val="bottom"/>
            <w:hideMark/>
          </w:tcPr>
          <w:p w14:paraId="46612626" w14:textId="77777777" w:rsidR="00B040FE" w:rsidRPr="000D1B3E" w:rsidRDefault="00B040FE" w:rsidP="0047225D">
            <w:pPr>
              <w:spacing w:after="0"/>
              <w:jc w:val="right"/>
              <w:rPr>
                <w:rFonts w:cs="Arial"/>
                <w:sz w:val="18"/>
                <w:szCs w:val="18"/>
              </w:rPr>
            </w:pPr>
            <w:r w:rsidRPr="000D1B3E">
              <w:rPr>
                <w:rFonts w:cs="Arial"/>
                <w:sz w:val="18"/>
                <w:szCs w:val="18"/>
              </w:rPr>
              <w:t>506,442</w:t>
            </w:r>
          </w:p>
        </w:tc>
      </w:tr>
      <w:tr w:rsidR="00B040FE" w:rsidRPr="000D1B3E" w14:paraId="4A023BF0" w14:textId="77777777" w:rsidTr="005E5E0C">
        <w:trPr>
          <w:trHeight w:val="260"/>
        </w:trPr>
        <w:tc>
          <w:tcPr>
            <w:tcW w:w="6351" w:type="dxa"/>
            <w:tcBorders>
              <w:top w:val="nil"/>
              <w:left w:val="nil"/>
              <w:bottom w:val="nil"/>
              <w:right w:val="nil"/>
            </w:tcBorders>
            <w:shd w:val="clear" w:color="FFFFFF" w:fill="FFFFFF"/>
            <w:vAlign w:val="bottom"/>
            <w:hideMark/>
          </w:tcPr>
          <w:p w14:paraId="06772504" w14:textId="77777777" w:rsidR="00B040FE" w:rsidRPr="000D1B3E" w:rsidRDefault="00B040FE" w:rsidP="0047225D">
            <w:pPr>
              <w:spacing w:after="0"/>
              <w:rPr>
                <w:rFonts w:cs="Arial"/>
                <w:b/>
                <w:bCs/>
                <w:sz w:val="18"/>
                <w:szCs w:val="18"/>
              </w:rPr>
            </w:pPr>
            <w:r w:rsidRPr="000D1B3E">
              <w:rPr>
                <w:rFonts w:cs="Arial"/>
                <w:b/>
                <w:bCs/>
                <w:sz w:val="18"/>
                <w:szCs w:val="18"/>
              </w:rPr>
              <w:t>Total unearned revenue</w:t>
            </w:r>
          </w:p>
        </w:tc>
        <w:tc>
          <w:tcPr>
            <w:tcW w:w="1259" w:type="dxa"/>
            <w:tcBorders>
              <w:top w:val="single" w:sz="4" w:space="0" w:color="auto"/>
              <w:left w:val="nil"/>
              <w:bottom w:val="single" w:sz="4" w:space="0" w:color="auto"/>
              <w:right w:val="nil"/>
            </w:tcBorders>
            <w:shd w:val="clear" w:color="FFFFFF" w:fill="FFFFFF"/>
            <w:noWrap/>
            <w:vAlign w:val="bottom"/>
            <w:hideMark/>
          </w:tcPr>
          <w:p w14:paraId="23D3B025" w14:textId="77777777" w:rsidR="00B040FE" w:rsidRPr="000D1B3E" w:rsidRDefault="00B040FE" w:rsidP="0047225D">
            <w:pPr>
              <w:spacing w:after="0"/>
              <w:jc w:val="right"/>
              <w:rPr>
                <w:rFonts w:cs="Arial"/>
                <w:b/>
                <w:bCs/>
                <w:sz w:val="18"/>
                <w:szCs w:val="18"/>
              </w:rPr>
            </w:pPr>
            <w:r w:rsidRPr="000D1B3E">
              <w:rPr>
                <w:rFonts w:cs="Arial"/>
                <w:b/>
                <w:bCs/>
                <w:sz w:val="18"/>
                <w:szCs w:val="18"/>
              </w:rPr>
              <w:t>413,969</w:t>
            </w:r>
          </w:p>
        </w:tc>
        <w:tc>
          <w:tcPr>
            <w:tcW w:w="236" w:type="dxa"/>
            <w:tcBorders>
              <w:top w:val="nil"/>
              <w:left w:val="nil"/>
              <w:bottom w:val="nil"/>
              <w:right w:val="nil"/>
            </w:tcBorders>
            <w:shd w:val="clear" w:color="FFFFFF" w:fill="FFFFFF"/>
            <w:noWrap/>
            <w:vAlign w:val="bottom"/>
            <w:hideMark/>
          </w:tcPr>
          <w:p w14:paraId="0B193CEF" w14:textId="77777777" w:rsidR="00B040FE" w:rsidRPr="000D1B3E" w:rsidRDefault="00B040FE" w:rsidP="0047225D">
            <w:pPr>
              <w:spacing w:after="0"/>
              <w:rPr>
                <w:rFonts w:cs="Arial"/>
                <w:sz w:val="18"/>
                <w:szCs w:val="18"/>
              </w:rPr>
            </w:pPr>
            <w:r w:rsidRPr="000D1B3E">
              <w:rPr>
                <w:rFonts w:cs="Arial"/>
                <w:sz w:val="18"/>
                <w:szCs w:val="18"/>
              </w:rPr>
              <w:t> </w:t>
            </w:r>
          </w:p>
        </w:tc>
        <w:tc>
          <w:tcPr>
            <w:tcW w:w="1241" w:type="dxa"/>
            <w:tcBorders>
              <w:top w:val="single" w:sz="4" w:space="0" w:color="auto"/>
              <w:left w:val="nil"/>
              <w:bottom w:val="single" w:sz="4" w:space="0" w:color="auto"/>
              <w:right w:val="nil"/>
            </w:tcBorders>
            <w:shd w:val="clear" w:color="FFFFFF" w:fill="FFFFFF"/>
            <w:noWrap/>
            <w:vAlign w:val="bottom"/>
            <w:hideMark/>
          </w:tcPr>
          <w:p w14:paraId="624346DB" w14:textId="77777777" w:rsidR="00B040FE" w:rsidRPr="000D1B3E" w:rsidRDefault="00B040FE" w:rsidP="0047225D">
            <w:pPr>
              <w:spacing w:after="0"/>
              <w:jc w:val="right"/>
              <w:rPr>
                <w:rFonts w:cs="Arial"/>
                <w:sz w:val="18"/>
                <w:szCs w:val="18"/>
              </w:rPr>
            </w:pPr>
            <w:r w:rsidRPr="000D1B3E">
              <w:rPr>
                <w:rFonts w:cs="Arial"/>
                <w:sz w:val="18"/>
                <w:szCs w:val="18"/>
              </w:rPr>
              <w:t>506,442</w:t>
            </w:r>
          </w:p>
        </w:tc>
      </w:tr>
    </w:tbl>
    <w:p w14:paraId="52C2541B" w14:textId="77777777" w:rsidR="00B040FE" w:rsidRPr="000D1B3E" w:rsidRDefault="00B040FE" w:rsidP="00B040FE">
      <w:pPr>
        <w:pStyle w:val="ContinuedNotesHeading-Level1"/>
        <w:rPr>
          <w:rFonts w:cs="Arial"/>
          <w:sz w:val="18"/>
          <w:szCs w:val="18"/>
        </w:rPr>
      </w:pPr>
    </w:p>
    <w:p w14:paraId="04217B8F" w14:textId="77777777" w:rsidR="00B040FE" w:rsidRPr="000D1B3E" w:rsidRDefault="00B040FE" w:rsidP="00B040FE">
      <w:pPr>
        <w:pStyle w:val="PolicyheadingDept"/>
        <w:pBdr>
          <w:top w:val="single" w:sz="4" w:space="0" w:color="800080"/>
        </w:pBdr>
      </w:pPr>
      <w:r w:rsidRPr="000D1B3E">
        <w:t>Accounting Policy</w:t>
      </w:r>
    </w:p>
    <w:p w14:paraId="138DD812" w14:textId="77777777" w:rsidR="00B040FE" w:rsidRPr="000D1B3E" w:rsidRDefault="00B040FE" w:rsidP="00B040FE">
      <w:pPr>
        <w:pStyle w:val="PolicytextDept"/>
        <w:pBdr>
          <w:top w:val="single" w:sz="4" w:space="0" w:color="800080"/>
        </w:pBdr>
      </w:pPr>
      <w:r w:rsidRPr="000D1B3E">
        <w:t xml:space="preserve">Accounting policies for unearned income are contained in Note 1.2A Rendering of services. </w:t>
      </w:r>
    </w:p>
    <w:p w14:paraId="756EDC4D" w14:textId="77777777" w:rsidR="00B040FE" w:rsidRPr="000D1B3E" w:rsidRDefault="00B040FE" w:rsidP="000D1B3E">
      <w:pPr>
        <w:pStyle w:val="SubHeading"/>
        <w:shd w:val="clear" w:color="auto" w:fill="000000" w:themeFill="accent6"/>
        <w:rPr>
          <w:sz w:val="18"/>
          <w:szCs w:val="18"/>
        </w:rPr>
      </w:pPr>
      <w:bookmarkStart w:id="198" w:name="_Toc65742851"/>
      <w:bookmarkStart w:id="199" w:name="_Toc173417298"/>
      <w:r w:rsidRPr="000D1B3E">
        <w:rPr>
          <w:sz w:val="18"/>
          <w:szCs w:val="18"/>
        </w:rPr>
        <w:t>Interest Bearing Liabilities</w:t>
      </w:r>
      <w:bookmarkEnd w:id="198"/>
      <w:bookmarkEnd w:id="199"/>
    </w:p>
    <w:tbl>
      <w:tblPr>
        <w:tblW w:w="9087" w:type="dxa"/>
        <w:tblLayout w:type="fixed"/>
        <w:tblLook w:val="04A0" w:firstRow="1" w:lastRow="0" w:firstColumn="1" w:lastColumn="0" w:noHBand="0" w:noVBand="1"/>
      </w:tblPr>
      <w:tblGrid>
        <w:gridCol w:w="6351"/>
        <w:gridCol w:w="1259"/>
        <w:gridCol w:w="236"/>
        <w:gridCol w:w="1241"/>
      </w:tblGrid>
      <w:tr w:rsidR="00B040FE" w:rsidRPr="000D1B3E" w14:paraId="523B6FE9" w14:textId="77777777" w:rsidTr="005E5E0C">
        <w:trPr>
          <w:trHeight w:val="260"/>
        </w:trPr>
        <w:tc>
          <w:tcPr>
            <w:tcW w:w="6351" w:type="dxa"/>
            <w:tcBorders>
              <w:top w:val="nil"/>
              <w:left w:val="nil"/>
              <w:bottom w:val="nil"/>
              <w:right w:val="nil"/>
            </w:tcBorders>
            <w:shd w:val="clear" w:color="FFFFFF" w:fill="FFFFFF"/>
            <w:noWrap/>
            <w:vAlign w:val="bottom"/>
            <w:hideMark/>
          </w:tcPr>
          <w:p w14:paraId="39066A69" w14:textId="77777777" w:rsidR="00B040FE" w:rsidRPr="000D1B3E" w:rsidRDefault="00B040FE" w:rsidP="0047225D">
            <w:pPr>
              <w:spacing w:after="0"/>
              <w:rPr>
                <w:rFonts w:cs="Arial"/>
                <w:b/>
                <w:bCs/>
                <w:sz w:val="18"/>
                <w:szCs w:val="18"/>
                <w:u w:val="single"/>
              </w:rPr>
            </w:pPr>
            <w:bookmarkStart w:id="200" w:name="Note_LEATABLE1" w:colFirst="0" w:colLast="0"/>
            <w:r w:rsidRPr="000D1B3E">
              <w:rPr>
                <w:rFonts w:cs="Arial"/>
                <w:b/>
                <w:bCs/>
                <w:sz w:val="18"/>
                <w:szCs w:val="18"/>
                <w:u w:val="single"/>
              </w:rPr>
              <w:t>Note 2.5: Leases</w:t>
            </w:r>
          </w:p>
        </w:tc>
        <w:tc>
          <w:tcPr>
            <w:tcW w:w="1259" w:type="dxa"/>
            <w:tcBorders>
              <w:top w:val="nil"/>
              <w:left w:val="nil"/>
              <w:bottom w:val="nil"/>
              <w:right w:val="nil"/>
            </w:tcBorders>
            <w:shd w:val="clear" w:color="FFFFFF" w:fill="FFFFFF"/>
            <w:noWrap/>
            <w:vAlign w:val="bottom"/>
            <w:hideMark/>
          </w:tcPr>
          <w:p w14:paraId="462D2279" w14:textId="77777777" w:rsidR="00B040FE" w:rsidRPr="000D1B3E" w:rsidRDefault="00B040FE" w:rsidP="0047225D">
            <w:pPr>
              <w:spacing w:after="0"/>
              <w:rPr>
                <w:rFonts w:cs="Arial"/>
                <w:sz w:val="18"/>
                <w:szCs w:val="18"/>
              </w:rPr>
            </w:pPr>
            <w:r w:rsidRPr="000D1B3E">
              <w:rPr>
                <w:rFonts w:cs="Arial"/>
                <w:sz w:val="18"/>
                <w:szCs w:val="18"/>
              </w:rPr>
              <w:t> </w:t>
            </w:r>
          </w:p>
        </w:tc>
        <w:tc>
          <w:tcPr>
            <w:tcW w:w="236" w:type="dxa"/>
            <w:tcBorders>
              <w:top w:val="nil"/>
              <w:left w:val="nil"/>
              <w:bottom w:val="nil"/>
              <w:right w:val="nil"/>
            </w:tcBorders>
            <w:shd w:val="clear" w:color="FFFFFF" w:fill="FFFFFF"/>
            <w:noWrap/>
            <w:vAlign w:val="bottom"/>
            <w:hideMark/>
          </w:tcPr>
          <w:p w14:paraId="4C905E1D" w14:textId="77777777" w:rsidR="00B040FE" w:rsidRPr="000D1B3E" w:rsidRDefault="00B040FE" w:rsidP="0047225D">
            <w:pPr>
              <w:spacing w:after="0"/>
              <w:rPr>
                <w:rFonts w:cs="Arial"/>
                <w:sz w:val="18"/>
                <w:szCs w:val="18"/>
              </w:rPr>
            </w:pPr>
            <w:r w:rsidRPr="000D1B3E">
              <w:rPr>
                <w:rFonts w:cs="Arial"/>
                <w:sz w:val="18"/>
                <w:szCs w:val="18"/>
              </w:rPr>
              <w:t> </w:t>
            </w:r>
          </w:p>
        </w:tc>
        <w:tc>
          <w:tcPr>
            <w:tcW w:w="1241" w:type="dxa"/>
            <w:tcBorders>
              <w:top w:val="nil"/>
              <w:left w:val="nil"/>
              <w:bottom w:val="nil"/>
              <w:right w:val="nil"/>
            </w:tcBorders>
            <w:shd w:val="clear" w:color="FFFFFF" w:fill="FFFFFF"/>
            <w:noWrap/>
            <w:vAlign w:val="bottom"/>
            <w:hideMark/>
          </w:tcPr>
          <w:p w14:paraId="5977566D" w14:textId="77777777" w:rsidR="00B040FE" w:rsidRPr="000D1B3E" w:rsidRDefault="00B040FE" w:rsidP="0047225D">
            <w:pPr>
              <w:spacing w:after="0"/>
              <w:rPr>
                <w:rFonts w:cs="Arial"/>
                <w:sz w:val="18"/>
                <w:szCs w:val="18"/>
              </w:rPr>
            </w:pPr>
            <w:r w:rsidRPr="000D1B3E">
              <w:rPr>
                <w:rFonts w:cs="Arial"/>
                <w:sz w:val="18"/>
                <w:szCs w:val="18"/>
              </w:rPr>
              <w:t> </w:t>
            </w:r>
          </w:p>
        </w:tc>
      </w:tr>
      <w:bookmarkEnd w:id="200"/>
      <w:tr w:rsidR="00B040FE" w:rsidRPr="000D1B3E" w14:paraId="4A0D259B" w14:textId="77777777" w:rsidTr="005E5E0C">
        <w:trPr>
          <w:trHeight w:val="250"/>
        </w:trPr>
        <w:tc>
          <w:tcPr>
            <w:tcW w:w="6351" w:type="dxa"/>
            <w:tcBorders>
              <w:top w:val="nil"/>
              <w:left w:val="nil"/>
              <w:bottom w:val="nil"/>
              <w:right w:val="nil"/>
            </w:tcBorders>
            <w:shd w:val="clear" w:color="FFFFFF" w:fill="FFFFFF"/>
            <w:vAlign w:val="bottom"/>
            <w:hideMark/>
          </w:tcPr>
          <w:p w14:paraId="4D410F17" w14:textId="77777777" w:rsidR="00B040FE" w:rsidRPr="000D1B3E" w:rsidRDefault="00B040FE" w:rsidP="0047225D">
            <w:pPr>
              <w:spacing w:after="0"/>
              <w:rPr>
                <w:rFonts w:cs="Arial"/>
                <w:sz w:val="18"/>
                <w:szCs w:val="18"/>
              </w:rPr>
            </w:pPr>
            <w:r w:rsidRPr="000D1B3E">
              <w:rPr>
                <w:rFonts w:cs="Arial"/>
                <w:sz w:val="18"/>
                <w:szCs w:val="18"/>
              </w:rPr>
              <w:t>Lease liabilities</w:t>
            </w:r>
          </w:p>
        </w:tc>
        <w:tc>
          <w:tcPr>
            <w:tcW w:w="1259" w:type="dxa"/>
            <w:tcBorders>
              <w:top w:val="nil"/>
              <w:left w:val="nil"/>
              <w:bottom w:val="nil"/>
              <w:right w:val="nil"/>
            </w:tcBorders>
            <w:shd w:val="clear" w:color="FFFFFF" w:fill="FFFFFF"/>
            <w:noWrap/>
            <w:vAlign w:val="bottom"/>
            <w:hideMark/>
          </w:tcPr>
          <w:p w14:paraId="53ECD034" w14:textId="77777777" w:rsidR="00B040FE" w:rsidRPr="000D1B3E" w:rsidRDefault="00B040FE" w:rsidP="0047225D">
            <w:pPr>
              <w:spacing w:after="0"/>
              <w:rPr>
                <w:rFonts w:cs="Arial"/>
                <w:sz w:val="18"/>
                <w:szCs w:val="18"/>
              </w:rPr>
            </w:pPr>
            <w:r w:rsidRPr="000D1B3E">
              <w:rPr>
                <w:rFonts w:cs="Arial"/>
                <w:sz w:val="18"/>
                <w:szCs w:val="18"/>
              </w:rPr>
              <w:t> </w:t>
            </w:r>
          </w:p>
        </w:tc>
        <w:tc>
          <w:tcPr>
            <w:tcW w:w="236" w:type="dxa"/>
            <w:tcBorders>
              <w:top w:val="nil"/>
              <w:left w:val="nil"/>
              <w:bottom w:val="nil"/>
              <w:right w:val="nil"/>
            </w:tcBorders>
            <w:shd w:val="clear" w:color="FFFFFF" w:fill="FFFFFF"/>
            <w:noWrap/>
            <w:vAlign w:val="bottom"/>
            <w:hideMark/>
          </w:tcPr>
          <w:p w14:paraId="3EFC357B" w14:textId="77777777" w:rsidR="00B040FE" w:rsidRPr="000D1B3E" w:rsidRDefault="00B040FE" w:rsidP="0047225D">
            <w:pPr>
              <w:spacing w:after="0"/>
              <w:rPr>
                <w:rFonts w:cs="Arial"/>
                <w:sz w:val="18"/>
                <w:szCs w:val="18"/>
              </w:rPr>
            </w:pPr>
            <w:r w:rsidRPr="000D1B3E">
              <w:rPr>
                <w:rFonts w:cs="Arial"/>
                <w:sz w:val="18"/>
                <w:szCs w:val="18"/>
              </w:rPr>
              <w:t> </w:t>
            </w:r>
          </w:p>
        </w:tc>
        <w:tc>
          <w:tcPr>
            <w:tcW w:w="1241" w:type="dxa"/>
            <w:tcBorders>
              <w:top w:val="nil"/>
              <w:left w:val="nil"/>
              <w:bottom w:val="nil"/>
              <w:right w:val="nil"/>
            </w:tcBorders>
            <w:shd w:val="clear" w:color="FFFFFF" w:fill="FFFFFF"/>
            <w:noWrap/>
            <w:vAlign w:val="bottom"/>
            <w:hideMark/>
          </w:tcPr>
          <w:p w14:paraId="6C9C7A4F" w14:textId="77777777" w:rsidR="00B040FE" w:rsidRPr="000D1B3E" w:rsidRDefault="00B040FE" w:rsidP="0047225D">
            <w:pPr>
              <w:spacing w:after="0"/>
              <w:rPr>
                <w:rFonts w:cs="Arial"/>
                <w:sz w:val="18"/>
                <w:szCs w:val="18"/>
              </w:rPr>
            </w:pPr>
            <w:r w:rsidRPr="000D1B3E">
              <w:rPr>
                <w:rFonts w:cs="Arial"/>
                <w:sz w:val="18"/>
                <w:szCs w:val="18"/>
              </w:rPr>
              <w:t> </w:t>
            </w:r>
          </w:p>
        </w:tc>
      </w:tr>
      <w:tr w:rsidR="00B040FE" w:rsidRPr="000D1B3E" w14:paraId="7B30A246" w14:textId="77777777" w:rsidTr="005E5E0C">
        <w:trPr>
          <w:trHeight w:val="250"/>
        </w:trPr>
        <w:tc>
          <w:tcPr>
            <w:tcW w:w="6351" w:type="dxa"/>
            <w:tcBorders>
              <w:top w:val="nil"/>
              <w:left w:val="nil"/>
              <w:bottom w:val="nil"/>
              <w:right w:val="nil"/>
            </w:tcBorders>
            <w:shd w:val="clear" w:color="FFFFFF" w:fill="FFFFFF"/>
            <w:noWrap/>
            <w:vAlign w:val="bottom"/>
            <w:hideMark/>
          </w:tcPr>
          <w:p w14:paraId="75687D5A" w14:textId="77777777" w:rsidR="00B040FE" w:rsidRPr="000D1B3E" w:rsidRDefault="00B040FE" w:rsidP="0047225D">
            <w:pPr>
              <w:spacing w:after="0"/>
              <w:ind w:firstLineChars="100" w:firstLine="180"/>
              <w:rPr>
                <w:rFonts w:cs="Arial"/>
                <w:sz w:val="18"/>
                <w:szCs w:val="18"/>
              </w:rPr>
            </w:pPr>
            <w:r w:rsidRPr="000D1B3E">
              <w:rPr>
                <w:rFonts w:cs="Arial"/>
                <w:sz w:val="18"/>
                <w:szCs w:val="18"/>
              </w:rPr>
              <w:t>Buildings</w:t>
            </w:r>
          </w:p>
        </w:tc>
        <w:tc>
          <w:tcPr>
            <w:tcW w:w="1259" w:type="dxa"/>
            <w:tcBorders>
              <w:top w:val="nil"/>
              <w:left w:val="nil"/>
              <w:bottom w:val="nil"/>
              <w:right w:val="nil"/>
            </w:tcBorders>
            <w:shd w:val="clear" w:color="FFFFFF" w:fill="FFFFFF"/>
            <w:noWrap/>
            <w:vAlign w:val="bottom"/>
            <w:hideMark/>
          </w:tcPr>
          <w:p w14:paraId="449DE1ED" w14:textId="77777777" w:rsidR="00B040FE" w:rsidRPr="000D1B3E" w:rsidRDefault="00B040FE" w:rsidP="0047225D">
            <w:pPr>
              <w:spacing w:after="0"/>
              <w:jc w:val="right"/>
              <w:rPr>
                <w:rFonts w:cs="Arial"/>
                <w:b/>
                <w:bCs/>
                <w:sz w:val="18"/>
                <w:szCs w:val="18"/>
              </w:rPr>
            </w:pPr>
            <w:r w:rsidRPr="000D1B3E">
              <w:rPr>
                <w:rFonts w:cs="Arial"/>
                <w:b/>
                <w:bCs/>
                <w:sz w:val="18"/>
                <w:szCs w:val="18"/>
              </w:rPr>
              <w:t>165,582</w:t>
            </w:r>
          </w:p>
        </w:tc>
        <w:tc>
          <w:tcPr>
            <w:tcW w:w="236" w:type="dxa"/>
            <w:tcBorders>
              <w:top w:val="nil"/>
              <w:left w:val="nil"/>
              <w:bottom w:val="nil"/>
              <w:right w:val="nil"/>
            </w:tcBorders>
            <w:shd w:val="clear" w:color="FFFFFF" w:fill="FFFFFF"/>
            <w:noWrap/>
            <w:vAlign w:val="bottom"/>
            <w:hideMark/>
          </w:tcPr>
          <w:p w14:paraId="77F1213A" w14:textId="77777777" w:rsidR="00B040FE" w:rsidRPr="000D1B3E" w:rsidRDefault="00B040FE" w:rsidP="0047225D">
            <w:pPr>
              <w:spacing w:after="0"/>
              <w:rPr>
                <w:rFonts w:cs="Arial"/>
                <w:sz w:val="18"/>
                <w:szCs w:val="18"/>
              </w:rPr>
            </w:pPr>
            <w:r w:rsidRPr="000D1B3E">
              <w:rPr>
                <w:rFonts w:cs="Arial"/>
                <w:sz w:val="18"/>
                <w:szCs w:val="18"/>
              </w:rPr>
              <w:t> </w:t>
            </w:r>
          </w:p>
        </w:tc>
        <w:tc>
          <w:tcPr>
            <w:tcW w:w="1241" w:type="dxa"/>
            <w:tcBorders>
              <w:top w:val="nil"/>
              <w:left w:val="nil"/>
              <w:bottom w:val="nil"/>
              <w:right w:val="nil"/>
            </w:tcBorders>
            <w:shd w:val="clear" w:color="FFFFFF" w:fill="FFFFFF"/>
            <w:noWrap/>
            <w:vAlign w:val="bottom"/>
            <w:hideMark/>
          </w:tcPr>
          <w:p w14:paraId="7894AFFE" w14:textId="77777777" w:rsidR="00B040FE" w:rsidRPr="000D1B3E" w:rsidRDefault="00B040FE" w:rsidP="0047225D">
            <w:pPr>
              <w:spacing w:after="0"/>
              <w:jc w:val="right"/>
              <w:rPr>
                <w:rFonts w:cs="Arial"/>
                <w:sz w:val="18"/>
                <w:szCs w:val="18"/>
              </w:rPr>
            </w:pPr>
            <w:r w:rsidRPr="000D1B3E">
              <w:rPr>
                <w:rFonts w:cs="Arial"/>
                <w:sz w:val="18"/>
                <w:szCs w:val="18"/>
              </w:rPr>
              <w:t>147,810</w:t>
            </w:r>
          </w:p>
        </w:tc>
      </w:tr>
      <w:tr w:rsidR="00B040FE" w:rsidRPr="000D1B3E" w14:paraId="3BEB9DD6" w14:textId="77777777" w:rsidTr="005E5E0C">
        <w:trPr>
          <w:trHeight w:val="250"/>
        </w:trPr>
        <w:tc>
          <w:tcPr>
            <w:tcW w:w="6351" w:type="dxa"/>
            <w:tcBorders>
              <w:top w:val="nil"/>
              <w:left w:val="nil"/>
              <w:bottom w:val="nil"/>
              <w:right w:val="nil"/>
            </w:tcBorders>
            <w:shd w:val="clear" w:color="FFFFFF" w:fill="FFFFFF"/>
            <w:noWrap/>
            <w:vAlign w:val="bottom"/>
            <w:hideMark/>
          </w:tcPr>
          <w:p w14:paraId="13CE5324" w14:textId="77777777" w:rsidR="00B040FE" w:rsidRPr="000D1B3E" w:rsidRDefault="00B040FE" w:rsidP="0047225D">
            <w:pPr>
              <w:spacing w:after="0"/>
              <w:ind w:firstLineChars="100" w:firstLine="180"/>
              <w:rPr>
                <w:rFonts w:cs="Arial"/>
                <w:sz w:val="18"/>
                <w:szCs w:val="18"/>
              </w:rPr>
            </w:pPr>
            <w:r w:rsidRPr="000D1B3E">
              <w:rPr>
                <w:rFonts w:cs="Arial"/>
                <w:sz w:val="18"/>
                <w:szCs w:val="18"/>
              </w:rPr>
              <w:t>Plant and equipment</w:t>
            </w:r>
          </w:p>
        </w:tc>
        <w:tc>
          <w:tcPr>
            <w:tcW w:w="1259" w:type="dxa"/>
            <w:tcBorders>
              <w:top w:val="nil"/>
              <w:left w:val="nil"/>
              <w:bottom w:val="nil"/>
              <w:right w:val="nil"/>
            </w:tcBorders>
            <w:shd w:val="clear" w:color="FFFFFF" w:fill="FFFFFF"/>
            <w:noWrap/>
            <w:vAlign w:val="bottom"/>
            <w:hideMark/>
          </w:tcPr>
          <w:p w14:paraId="6D583B5B" w14:textId="77777777" w:rsidR="00B040FE" w:rsidRPr="000D1B3E" w:rsidRDefault="00B040FE" w:rsidP="0047225D">
            <w:pPr>
              <w:spacing w:after="0"/>
              <w:jc w:val="right"/>
              <w:rPr>
                <w:rFonts w:cs="Arial"/>
                <w:b/>
                <w:bCs/>
                <w:sz w:val="18"/>
                <w:szCs w:val="18"/>
              </w:rPr>
            </w:pPr>
            <w:r w:rsidRPr="000D1B3E">
              <w:rPr>
                <w:rFonts w:cs="Arial"/>
                <w:b/>
                <w:bCs/>
                <w:sz w:val="18"/>
                <w:szCs w:val="18"/>
              </w:rPr>
              <w:t>1,077</w:t>
            </w:r>
          </w:p>
        </w:tc>
        <w:tc>
          <w:tcPr>
            <w:tcW w:w="236" w:type="dxa"/>
            <w:tcBorders>
              <w:top w:val="nil"/>
              <w:left w:val="nil"/>
              <w:bottom w:val="nil"/>
              <w:right w:val="nil"/>
            </w:tcBorders>
            <w:shd w:val="clear" w:color="FFFFFF" w:fill="FFFFFF"/>
            <w:noWrap/>
            <w:vAlign w:val="bottom"/>
            <w:hideMark/>
          </w:tcPr>
          <w:p w14:paraId="6CEA037F" w14:textId="77777777" w:rsidR="00B040FE" w:rsidRPr="000D1B3E" w:rsidRDefault="00B040FE" w:rsidP="0047225D">
            <w:pPr>
              <w:spacing w:after="0"/>
              <w:rPr>
                <w:rFonts w:cs="Arial"/>
                <w:sz w:val="18"/>
                <w:szCs w:val="18"/>
              </w:rPr>
            </w:pPr>
            <w:r w:rsidRPr="000D1B3E">
              <w:rPr>
                <w:rFonts w:cs="Arial"/>
                <w:sz w:val="18"/>
                <w:szCs w:val="18"/>
              </w:rPr>
              <w:t> </w:t>
            </w:r>
          </w:p>
        </w:tc>
        <w:tc>
          <w:tcPr>
            <w:tcW w:w="1241" w:type="dxa"/>
            <w:tcBorders>
              <w:top w:val="nil"/>
              <w:left w:val="nil"/>
              <w:bottom w:val="nil"/>
              <w:right w:val="nil"/>
            </w:tcBorders>
            <w:shd w:val="clear" w:color="FFFFFF" w:fill="FFFFFF"/>
            <w:noWrap/>
            <w:vAlign w:val="bottom"/>
            <w:hideMark/>
          </w:tcPr>
          <w:p w14:paraId="68951FA3" w14:textId="77777777" w:rsidR="00B040FE" w:rsidRPr="000D1B3E" w:rsidRDefault="00B040FE" w:rsidP="0047225D">
            <w:pPr>
              <w:spacing w:after="0"/>
              <w:jc w:val="right"/>
              <w:rPr>
                <w:rFonts w:cs="Arial"/>
                <w:sz w:val="18"/>
                <w:szCs w:val="18"/>
              </w:rPr>
            </w:pPr>
            <w:r w:rsidRPr="000D1B3E">
              <w:rPr>
                <w:rFonts w:cs="Arial"/>
                <w:sz w:val="18"/>
                <w:szCs w:val="18"/>
              </w:rPr>
              <w:t>144</w:t>
            </w:r>
          </w:p>
        </w:tc>
      </w:tr>
      <w:tr w:rsidR="00B040FE" w:rsidRPr="000D1B3E" w14:paraId="5CC60B44" w14:textId="77777777" w:rsidTr="005E5E0C">
        <w:trPr>
          <w:trHeight w:val="260"/>
        </w:trPr>
        <w:tc>
          <w:tcPr>
            <w:tcW w:w="6351" w:type="dxa"/>
            <w:tcBorders>
              <w:top w:val="nil"/>
              <w:left w:val="nil"/>
              <w:bottom w:val="nil"/>
              <w:right w:val="nil"/>
            </w:tcBorders>
            <w:shd w:val="clear" w:color="FFFFFF" w:fill="FFFFFF"/>
            <w:vAlign w:val="bottom"/>
            <w:hideMark/>
          </w:tcPr>
          <w:p w14:paraId="5912EA9D" w14:textId="77777777" w:rsidR="00B040FE" w:rsidRPr="000D1B3E" w:rsidRDefault="00B040FE" w:rsidP="0047225D">
            <w:pPr>
              <w:spacing w:after="0"/>
              <w:rPr>
                <w:rFonts w:cs="Arial"/>
                <w:b/>
                <w:bCs/>
                <w:sz w:val="18"/>
                <w:szCs w:val="18"/>
              </w:rPr>
            </w:pPr>
            <w:r w:rsidRPr="000D1B3E">
              <w:rPr>
                <w:rFonts w:cs="Arial"/>
                <w:b/>
                <w:bCs/>
                <w:sz w:val="18"/>
                <w:szCs w:val="18"/>
              </w:rPr>
              <w:t xml:space="preserve">Total leases </w:t>
            </w:r>
          </w:p>
        </w:tc>
        <w:tc>
          <w:tcPr>
            <w:tcW w:w="1259" w:type="dxa"/>
            <w:tcBorders>
              <w:top w:val="single" w:sz="4" w:space="0" w:color="auto"/>
              <w:left w:val="nil"/>
              <w:bottom w:val="single" w:sz="4" w:space="0" w:color="auto"/>
              <w:right w:val="nil"/>
            </w:tcBorders>
            <w:shd w:val="clear" w:color="FFFFFF" w:fill="FFFFFF"/>
            <w:noWrap/>
            <w:vAlign w:val="bottom"/>
            <w:hideMark/>
          </w:tcPr>
          <w:p w14:paraId="45BF7B00" w14:textId="77777777" w:rsidR="00B040FE" w:rsidRPr="000D1B3E" w:rsidRDefault="00B040FE" w:rsidP="0047225D">
            <w:pPr>
              <w:spacing w:after="0"/>
              <w:jc w:val="right"/>
              <w:rPr>
                <w:rFonts w:cs="Arial"/>
                <w:b/>
                <w:bCs/>
                <w:sz w:val="18"/>
                <w:szCs w:val="18"/>
              </w:rPr>
            </w:pPr>
            <w:r w:rsidRPr="000D1B3E">
              <w:rPr>
                <w:rFonts w:cs="Arial"/>
                <w:b/>
                <w:bCs/>
                <w:sz w:val="18"/>
                <w:szCs w:val="18"/>
              </w:rPr>
              <w:t>166,659</w:t>
            </w:r>
          </w:p>
        </w:tc>
        <w:tc>
          <w:tcPr>
            <w:tcW w:w="236" w:type="dxa"/>
            <w:tcBorders>
              <w:top w:val="nil"/>
              <w:left w:val="nil"/>
              <w:bottom w:val="nil"/>
              <w:right w:val="nil"/>
            </w:tcBorders>
            <w:shd w:val="clear" w:color="FFFFFF" w:fill="FFFFFF"/>
            <w:noWrap/>
            <w:vAlign w:val="bottom"/>
            <w:hideMark/>
          </w:tcPr>
          <w:p w14:paraId="5DDE9367" w14:textId="77777777" w:rsidR="00B040FE" w:rsidRPr="000D1B3E" w:rsidRDefault="00B040FE" w:rsidP="0047225D">
            <w:pPr>
              <w:spacing w:after="0"/>
              <w:rPr>
                <w:rFonts w:cs="Arial"/>
                <w:sz w:val="18"/>
                <w:szCs w:val="18"/>
              </w:rPr>
            </w:pPr>
            <w:r w:rsidRPr="000D1B3E">
              <w:rPr>
                <w:rFonts w:cs="Arial"/>
                <w:sz w:val="18"/>
                <w:szCs w:val="18"/>
              </w:rPr>
              <w:t> </w:t>
            </w:r>
          </w:p>
        </w:tc>
        <w:tc>
          <w:tcPr>
            <w:tcW w:w="1241" w:type="dxa"/>
            <w:tcBorders>
              <w:top w:val="single" w:sz="4" w:space="0" w:color="auto"/>
              <w:left w:val="nil"/>
              <w:bottom w:val="single" w:sz="4" w:space="0" w:color="auto"/>
              <w:right w:val="nil"/>
            </w:tcBorders>
            <w:shd w:val="clear" w:color="FFFFFF" w:fill="FFFFFF"/>
            <w:noWrap/>
            <w:vAlign w:val="bottom"/>
            <w:hideMark/>
          </w:tcPr>
          <w:p w14:paraId="3EC9BF8B" w14:textId="77777777" w:rsidR="00B040FE" w:rsidRPr="000D1B3E" w:rsidRDefault="00B040FE" w:rsidP="0047225D">
            <w:pPr>
              <w:spacing w:after="0"/>
              <w:jc w:val="right"/>
              <w:rPr>
                <w:rFonts w:cs="Arial"/>
                <w:sz w:val="18"/>
                <w:szCs w:val="18"/>
              </w:rPr>
            </w:pPr>
            <w:r w:rsidRPr="000D1B3E">
              <w:rPr>
                <w:rFonts w:cs="Arial"/>
                <w:sz w:val="18"/>
                <w:szCs w:val="18"/>
              </w:rPr>
              <w:t>147,954</w:t>
            </w:r>
          </w:p>
        </w:tc>
      </w:tr>
    </w:tbl>
    <w:p w14:paraId="34AB0C64" w14:textId="77777777" w:rsidR="00B040FE" w:rsidRPr="000D1B3E" w:rsidRDefault="00B040FE" w:rsidP="00B040FE">
      <w:pPr>
        <w:spacing w:line="240" w:lineRule="auto"/>
        <w:rPr>
          <w:rFonts w:cs="Arial"/>
          <w:sz w:val="18"/>
          <w:szCs w:val="18"/>
        </w:rPr>
      </w:pPr>
    </w:p>
    <w:tbl>
      <w:tblPr>
        <w:tblW w:w="9087" w:type="dxa"/>
        <w:tblLayout w:type="fixed"/>
        <w:tblLook w:val="04A0" w:firstRow="1" w:lastRow="0" w:firstColumn="1" w:lastColumn="0" w:noHBand="0" w:noVBand="1"/>
      </w:tblPr>
      <w:tblGrid>
        <w:gridCol w:w="6351"/>
        <w:gridCol w:w="1259"/>
        <w:gridCol w:w="236"/>
        <w:gridCol w:w="1241"/>
      </w:tblGrid>
      <w:tr w:rsidR="00B040FE" w:rsidRPr="000D1B3E" w14:paraId="415DCD22" w14:textId="77777777" w:rsidTr="005E5E0C">
        <w:trPr>
          <w:trHeight w:val="260"/>
        </w:trPr>
        <w:tc>
          <w:tcPr>
            <w:tcW w:w="6351" w:type="dxa"/>
            <w:tcBorders>
              <w:top w:val="nil"/>
              <w:left w:val="nil"/>
              <w:bottom w:val="nil"/>
              <w:right w:val="nil"/>
            </w:tcBorders>
            <w:shd w:val="clear" w:color="FFFFFF" w:fill="FFFFFF"/>
            <w:noWrap/>
            <w:vAlign w:val="bottom"/>
            <w:hideMark/>
          </w:tcPr>
          <w:p w14:paraId="21072641" w14:textId="77777777" w:rsidR="00B040FE" w:rsidRPr="000D1B3E" w:rsidRDefault="00B040FE" w:rsidP="0047225D">
            <w:pPr>
              <w:spacing w:after="0"/>
              <w:rPr>
                <w:rFonts w:cs="Arial"/>
                <w:b/>
                <w:bCs/>
                <w:sz w:val="18"/>
                <w:szCs w:val="18"/>
                <w:u w:val="single"/>
              </w:rPr>
            </w:pPr>
            <w:bookmarkStart w:id="201" w:name="Note_LEMTABLE1" w:colFirst="0" w:colLast="0"/>
            <w:r w:rsidRPr="000D1B3E">
              <w:rPr>
                <w:rFonts w:cs="Arial"/>
                <w:b/>
                <w:bCs/>
                <w:sz w:val="18"/>
                <w:szCs w:val="18"/>
                <w:u w:val="single"/>
              </w:rPr>
              <w:t>Note 2.5: Leases - Maturity</w:t>
            </w:r>
          </w:p>
        </w:tc>
        <w:tc>
          <w:tcPr>
            <w:tcW w:w="1259" w:type="dxa"/>
            <w:tcBorders>
              <w:top w:val="nil"/>
              <w:left w:val="nil"/>
              <w:bottom w:val="nil"/>
              <w:right w:val="nil"/>
            </w:tcBorders>
            <w:shd w:val="clear" w:color="FFFFFF" w:fill="FFFFFF"/>
            <w:noWrap/>
            <w:vAlign w:val="bottom"/>
            <w:hideMark/>
          </w:tcPr>
          <w:p w14:paraId="2A5361DB" w14:textId="77777777" w:rsidR="00B040FE" w:rsidRPr="000D1B3E" w:rsidRDefault="00B040FE" w:rsidP="0047225D">
            <w:pPr>
              <w:spacing w:after="0"/>
              <w:rPr>
                <w:rFonts w:cs="Arial"/>
                <w:sz w:val="18"/>
                <w:szCs w:val="18"/>
              </w:rPr>
            </w:pPr>
            <w:r w:rsidRPr="000D1B3E">
              <w:rPr>
                <w:rFonts w:cs="Arial"/>
                <w:sz w:val="18"/>
                <w:szCs w:val="18"/>
              </w:rPr>
              <w:t> </w:t>
            </w:r>
          </w:p>
        </w:tc>
        <w:tc>
          <w:tcPr>
            <w:tcW w:w="236" w:type="dxa"/>
            <w:tcBorders>
              <w:top w:val="nil"/>
              <w:left w:val="nil"/>
              <w:bottom w:val="nil"/>
              <w:right w:val="nil"/>
            </w:tcBorders>
            <w:shd w:val="clear" w:color="FFFFFF" w:fill="FFFFFF"/>
            <w:noWrap/>
            <w:vAlign w:val="bottom"/>
            <w:hideMark/>
          </w:tcPr>
          <w:p w14:paraId="5BDDEB05" w14:textId="77777777" w:rsidR="00B040FE" w:rsidRPr="000D1B3E" w:rsidRDefault="00B040FE" w:rsidP="0047225D">
            <w:pPr>
              <w:spacing w:after="0"/>
              <w:rPr>
                <w:rFonts w:cs="Arial"/>
                <w:sz w:val="18"/>
                <w:szCs w:val="18"/>
              </w:rPr>
            </w:pPr>
            <w:r w:rsidRPr="000D1B3E">
              <w:rPr>
                <w:rFonts w:cs="Arial"/>
                <w:sz w:val="18"/>
                <w:szCs w:val="18"/>
              </w:rPr>
              <w:t> </w:t>
            </w:r>
          </w:p>
        </w:tc>
        <w:tc>
          <w:tcPr>
            <w:tcW w:w="1241" w:type="dxa"/>
            <w:tcBorders>
              <w:top w:val="nil"/>
              <w:left w:val="nil"/>
              <w:bottom w:val="nil"/>
              <w:right w:val="nil"/>
            </w:tcBorders>
            <w:shd w:val="clear" w:color="FFFFFF" w:fill="FFFFFF"/>
            <w:noWrap/>
            <w:vAlign w:val="bottom"/>
            <w:hideMark/>
          </w:tcPr>
          <w:p w14:paraId="6B8DFE33" w14:textId="77777777" w:rsidR="00B040FE" w:rsidRPr="000D1B3E" w:rsidRDefault="00B040FE" w:rsidP="0047225D">
            <w:pPr>
              <w:spacing w:after="0"/>
              <w:rPr>
                <w:rFonts w:cs="Arial"/>
                <w:sz w:val="18"/>
                <w:szCs w:val="18"/>
              </w:rPr>
            </w:pPr>
            <w:r w:rsidRPr="000D1B3E">
              <w:rPr>
                <w:rFonts w:cs="Arial"/>
                <w:sz w:val="18"/>
                <w:szCs w:val="18"/>
              </w:rPr>
              <w:t> </w:t>
            </w:r>
          </w:p>
        </w:tc>
      </w:tr>
      <w:bookmarkEnd w:id="201"/>
      <w:tr w:rsidR="00B040FE" w:rsidRPr="000D1B3E" w14:paraId="2A005C15" w14:textId="77777777" w:rsidTr="005E5E0C">
        <w:trPr>
          <w:trHeight w:val="250"/>
        </w:trPr>
        <w:tc>
          <w:tcPr>
            <w:tcW w:w="6351" w:type="dxa"/>
            <w:tcBorders>
              <w:top w:val="nil"/>
              <w:left w:val="nil"/>
              <w:bottom w:val="nil"/>
              <w:right w:val="nil"/>
            </w:tcBorders>
            <w:shd w:val="clear" w:color="FFFFFF" w:fill="FFFFFF"/>
            <w:vAlign w:val="bottom"/>
            <w:hideMark/>
          </w:tcPr>
          <w:p w14:paraId="46936CB0" w14:textId="77777777" w:rsidR="00B040FE" w:rsidRPr="000D1B3E" w:rsidRDefault="00B040FE" w:rsidP="0047225D">
            <w:pPr>
              <w:spacing w:after="0"/>
              <w:rPr>
                <w:rFonts w:cs="Arial"/>
                <w:b/>
                <w:bCs/>
                <w:sz w:val="18"/>
                <w:szCs w:val="18"/>
              </w:rPr>
            </w:pPr>
            <w:r w:rsidRPr="000D1B3E">
              <w:rPr>
                <w:rFonts w:cs="Arial"/>
                <w:b/>
                <w:bCs/>
                <w:sz w:val="18"/>
                <w:szCs w:val="18"/>
              </w:rPr>
              <w:t>Maturity analysis - contractual undiscounted cash flows</w:t>
            </w:r>
          </w:p>
        </w:tc>
        <w:tc>
          <w:tcPr>
            <w:tcW w:w="1259" w:type="dxa"/>
            <w:tcBorders>
              <w:top w:val="nil"/>
              <w:left w:val="nil"/>
              <w:bottom w:val="nil"/>
              <w:right w:val="nil"/>
            </w:tcBorders>
            <w:shd w:val="clear" w:color="FFFFFF" w:fill="FFFFFF"/>
            <w:noWrap/>
            <w:vAlign w:val="bottom"/>
            <w:hideMark/>
          </w:tcPr>
          <w:p w14:paraId="20BD85E3" w14:textId="77777777" w:rsidR="00B040FE" w:rsidRPr="000D1B3E" w:rsidRDefault="00B040FE" w:rsidP="0047225D">
            <w:pPr>
              <w:spacing w:after="0"/>
              <w:jc w:val="right"/>
              <w:rPr>
                <w:rFonts w:cs="Arial"/>
                <w:b/>
                <w:bCs/>
                <w:sz w:val="18"/>
                <w:szCs w:val="18"/>
              </w:rPr>
            </w:pPr>
            <w:r w:rsidRPr="000D1B3E">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21C62929" w14:textId="77777777" w:rsidR="00B040FE" w:rsidRPr="000D1B3E" w:rsidRDefault="00B040FE" w:rsidP="0047225D">
            <w:pPr>
              <w:spacing w:after="0"/>
              <w:rPr>
                <w:rFonts w:cs="Arial"/>
                <w:sz w:val="18"/>
                <w:szCs w:val="18"/>
              </w:rPr>
            </w:pPr>
            <w:r w:rsidRPr="000D1B3E">
              <w:rPr>
                <w:rFonts w:cs="Arial"/>
                <w:sz w:val="18"/>
                <w:szCs w:val="18"/>
              </w:rPr>
              <w:t> </w:t>
            </w:r>
          </w:p>
        </w:tc>
        <w:tc>
          <w:tcPr>
            <w:tcW w:w="1241" w:type="dxa"/>
            <w:tcBorders>
              <w:top w:val="nil"/>
              <w:left w:val="nil"/>
              <w:bottom w:val="nil"/>
              <w:right w:val="nil"/>
            </w:tcBorders>
            <w:shd w:val="clear" w:color="FFFFFF" w:fill="FFFFFF"/>
            <w:noWrap/>
            <w:vAlign w:val="bottom"/>
            <w:hideMark/>
          </w:tcPr>
          <w:p w14:paraId="4A25DF9D" w14:textId="77777777" w:rsidR="00B040FE" w:rsidRPr="000D1B3E" w:rsidRDefault="00B040FE" w:rsidP="0047225D">
            <w:pPr>
              <w:spacing w:after="0"/>
              <w:jc w:val="right"/>
              <w:rPr>
                <w:rFonts w:cs="Arial"/>
                <w:b/>
                <w:bCs/>
                <w:sz w:val="18"/>
                <w:szCs w:val="18"/>
              </w:rPr>
            </w:pPr>
            <w:r w:rsidRPr="000D1B3E">
              <w:rPr>
                <w:rFonts w:cs="Arial"/>
                <w:b/>
                <w:bCs/>
                <w:sz w:val="18"/>
                <w:szCs w:val="18"/>
              </w:rPr>
              <w:t> </w:t>
            </w:r>
          </w:p>
        </w:tc>
      </w:tr>
      <w:tr w:rsidR="00B040FE" w:rsidRPr="000D1B3E" w14:paraId="500C2700" w14:textId="77777777" w:rsidTr="005E5E0C">
        <w:trPr>
          <w:trHeight w:val="250"/>
        </w:trPr>
        <w:tc>
          <w:tcPr>
            <w:tcW w:w="6351" w:type="dxa"/>
            <w:tcBorders>
              <w:top w:val="nil"/>
              <w:left w:val="nil"/>
              <w:bottom w:val="nil"/>
              <w:right w:val="nil"/>
            </w:tcBorders>
            <w:shd w:val="clear" w:color="FFFFFF" w:fill="FFFFFF"/>
            <w:noWrap/>
            <w:vAlign w:val="bottom"/>
            <w:hideMark/>
          </w:tcPr>
          <w:p w14:paraId="6AD9677F" w14:textId="77777777" w:rsidR="00B040FE" w:rsidRPr="000D1B3E" w:rsidRDefault="00B040FE" w:rsidP="0047225D">
            <w:pPr>
              <w:spacing w:after="0"/>
              <w:ind w:firstLineChars="100" w:firstLine="180"/>
              <w:rPr>
                <w:rFonts w:cs="Arial"/>
                <w:sz w:val="18"/>
                <w:szCs w:val="18"/>
              </w:rPr>
            </w:pPr>
            <w:r w:rsidRPr="000D1B3E">
              <w:rPr>
                <w:rFonts w:cs="Arial"/>
                <w:sz w:val="18"/>
                <w:szCs w:val="18"/>
              </w:rPr>
              <w:t>Within 1 year</w:t>
            </w:r>
          </w:p>
        </w:tc>
        <w:tc>
          <w:tcPr>
            <w:tcW w:w="1259" w:type="dxa"/>
            <w:tcBorders>
              <w:top w:val="nil"/>
              <w:left w:val="nil"/>
              <w:bottom w:val="nil"/>
              <w:right w:val="nil"/>
            </w:tcBorders>
            <w:shd w:val="clear" w:color="FFFFFF" w:fill="FFFFFF"/>
            <w:noWrap/>
            <w:vAlign w:val="bottom"/>
            <w:hideMark/>
          </w:tcPr>
          <w:p w14:paraId="3164531F" w14:textId="77777777" w:rsidR="00B040FE" w:rsidRPr="000D1B3E" w:rsidRDefault="00B040FE" w:rsidP="0047225D">
            <w:pPr>
              <w:spacing w:after="0"/>
              <w:jc w:val="right"/>
              <w:rPr>
                <w:rFonts w:cs="Arial"/>
                <w:b/>
                <w:bCs/>
                <w:sz w:val="18"/>
                <w:szCs w:val="18"/>
              </w:rPr>
            </w:pPr>
            <w:r w:rsidRPr="000D1B3E">
              <w:rPr>
                <w:rFonts w:cs="Arial"/>
                <w:b/>
                <w:bCs/>
                <w:sz w:val="18"/>
                <w:szCs w:val="18"/>
              </w:rPr>
              <w:t>34,020</w:t>
            </w:r>
          </w:p>
        </w:tc>
        <w:tc>
          <w:tcPr>
            <w:tcW w:w="236" w:type="dxa"/>
            <w:tcBorders>
              <w:top w:val="nil"/>
              <w:left w:val="nil"/>
              <w:bottom w:val="nil"/>
              <w:right w:val="nil"/>
            </w:tcBorders>
            <w:shd w:val="clear" w:color="FFFFFF" w:fill="FFFFFF"/>
            <w:noWrap/>
            <w:vAlign w:val="bottom"/>
            <w:hideMark/>
          </w:tcPr>
          <w:p w14:paraId="70D599F6" w14:textId="77777777" w:rsidR="00B040FE" w:rsidRPr="000D1B3E" w:rsidRDefault="00B040FE" w:rsidP="0047225D">
            <w:pPr>
              <w:spacing w:after="0"/>
              <w:rPr>
                <w:rFonts w:cs="Arial"/>
                <w:sz w:val="18"/>
                <w:szCs w:val="18"/>
              </w:rPr>
            </w:pPr>
            <w:r w:rsidRPr="000D1B3E">
              <w:rPr>
                <w:rFonts w:cs="Arial"/>
                <w:sz w:val="18"/>
                <w:szCs w:val="18"/>
              </w:rPr>
              <w:t> </w:t>
            </w:r>
          </w:p>
        </w:tc>
        <w:tc>
          <w:tcPr>
            <w:tcW w:w="1241" w:type="dxa"/>
            <w:tcBorders>
              <w:top w:val="nil"/>
              <w:left w:val="nil"/>
              <w:bottom w:val="nil"/>
              <w:right w:val="nil"/>
            </w:tcBorders>
            <w:shd w:val="clear" w:color="FFFFFF" w:fill="FFFFFF"/>
            <w:noWrap/>
            <w:vAlign w:val="bottom"/>
            <w:hideMark/>
          </w:tcPr>
          <w:p w14:paraId="4D805A11" w14:textId="77777777" w:rsidR="00B040FE" w:rsidRPr="000D1B3E" w:rsidRDefault="00B040FE" w:rsidP="0047225D">
            <w:pPr>
              <w:spacing w:after="0"/>
              <w:jc w:val="right"/>
              <w:rPr>
                <w:rFonts w:cs="Arial"/>
                <w:sz w:val="18"/>
                <w:szCs w:val="18"/>
              </w:rPr>
            </w:pPr>
            <w:r w:rsidRPr="000D1B3E">
              <w:rPr>
                <w:rFonts w:cs="Arial"/>
                <w:sz w:val="18"/>
                <w:szCs w:val="18"/>
              </w:rPr>
              <w:t>31,595</w:t>
            </w:r>
          </w:p>
        </w:tc>
      </w:tr>
      <w:tr w:rsidR="00B040FE" w:rsidRPr="000D1B3E" w14:paraId="2F13CFE3" w14:textId="77777777" w:rsidTr="005E5E0C">
        <w:trPr>
          <w:trHeight w:val="250"/>
        </w:trPr>
        <w:tc>
          <w:tcPr>
            <w:tcW w:w="6351" w:type="dxa"/>
            <w:tcBorders>
              <w:top w:val="nil"/>
              <w:left w:val="nil"/>
              <w:bottom w:val="nil"/>
              <w:right w:val="nil"/>
            </w:tcBorders>
            <w:shd w:val="clear" w:color="FFFFFF" w:fill="FFFFFF"/>
            <w:noWrap/>
            <w:vAlign w:val="bottom"/>
            <w:hideMark/>
          </w:tcPr>
          <w:p w14:paraId="7D410942" w14:textId="77777777" w:rsidR="00B040FE" w:rsidRPr="000D1B3E" w:rsidRDefault="00B040FE" w:rsidP="0047225D">
            <w:pPr>
              <w:spacing w:after="0"/>
              <w:ind w:firstLineChars="100" w:firstLine="180"/>
              <w:rPr>
                <w:rFonts w:cs="Arial"/>
                <w:sz w:val="18"/>
                <w:szCs w:val="18"/>
              </w:rPr>
            </w:pPr>
            <w:r w:rsidRPr="000D1B3E">
              <w:rPr>
                <w:rFonts w:cs="Arial"/>
                <w:sz w:val="18"/>
                <w:szCs w:val="18"/>
              </w:rPr>
              <w:t>Between 1 to 5 years</w:t>
            </w:r>
          </w:p>
        </w:tc>
        <w:tc>
          <w:tcPr>
            <w:tcW w:w="1259" w:type="dxa"/>
            <w:tcBorders>
              <w:top w:val="nil"/>
              <w:left w:val="nil"/>
              <w:bottom w:val="nil"/>
              <w:right w:val="nil"/>
            </w:tcBorders>
            <w:shd w:val="clear" w:color="FFFFFF" w:fill="FFFFFF"/>
            <w:noWrap/>
            <w:vAlign w:val="bottom"/>
            <w:hideMark/>
          </w:tcPr>
          <w:p w14:paraId="430D1626" w14:textId="77777777" w:rsidR="00B040FE" w:rsidRPr="000D1B3E" w:rsidRDefault="00B040FE" w:rsidP="0047225D">
            <w:pPr>
              <w:spacing w:after="0"/>
              <w:jc w:val="right"/>
              <w:rPr>
                <w:rFonts w:cs="Arial"/>
                <w:b/>
                <w:bCs/>
                <w:sz w:val="18"/>
                <w:szCs w:val="18"/>
              </w:rPr>
            </w:pPr>
            <w:r w:rsidRPr="000D1B3E">
              <w:rPr>
                <w:rFonts w:cs="Arial"/>
                <w:b/>
                <w:bCs/>
                <w:sz w:val="18"/>
                <w:szCs w:val="18"/>
              </w:rPr>
              <w:t>96,170</w:t>
            </w:r>
          </w:p>
        </w:tc>
        <w:tc>
          <w:tcPr>
            <w:tcW w:w="236" w:type="dxa"/>
            <w:tcBorders>
              <w:top w:val="nil"/>
              <w:left w:val="nil"/>
              <w:bottom w:val="nil"/>
              <w:right w:val="nil"/>
            </w:tcBorders>
            <w:shd w:val="clear" w:color="FFFFFF" w:fill="FFFFFF"/>
            <w:noWrap/>
            <w:vAlign w:val="bottom"/>
            <w:hideMark/>
          </w:tcPr>
          <w:p w14:paraId="68177C4E" w14:textId="77777777" w:rsidR="00B040FE" w:rsidRPr="000D1B3E" w:rsidRDefault="00B040FE" w:rsidP="0047225D">
            <w:pPr>
              <w:spacing w:after="0"/>
              <w:rPr>
                <w:rFonts w:cs="Arial"/>
                <w:sz w:val="18"/>
                <w:szCs w:val="18"/>
              </w:rPr>
            </w:pPr>
            <w:r w:rsidRPr="000D1B3E">
              <w:rPr>
                <w:rFonts w:cs="Arial"/>
                <w:sz w:val="18"/>
                <w:szCs w:val="18"/>
              </w:rPr>
              <w:t> </w:t>
            </w:r>
          </w:p>
        </w:tc>
        <w:tc>
          <w:tcPr>
            <w:tcW w:w="1241" w:type="dxa"/>
            <w:tcBorders>
              <w:top w:val="nil"/>
              <w:left w:val="nil"/>
              <w:bottom w:val="nil"/>
              <w:right w:val="nil"/>
            </w:tcBorders>
            <w:shd w:val="clear" w:color="FFFFFF" w:fill="FFFFFF"/>
            <w:noWrap/>
            <w:vAlign w:val="bottom"/>
            <w:hideMark/>
          </w:tcPr>
          <w:p w14:paraId="6808A7A2" w14:textId="77777777" w:rsidR="00B040FE" w:rsidRPr="000D1B3E" w:rsidRDefault="00B040FE" w:rsidP="0047225D">
            <w:pPr>
              <w:spacing w:after="0"/>
              <w:jc w:val="right"/>
              <w:rPr>
                <w:rFonts w:cs="Arial"/>
                <w:sz w:val="18"/>
                <w:szCs w:val="18"/>
              </w:rPr>
            </w:pPr>
            <w:r w:rsidRPr="000D1B3E">
              <w:rPr>
                <w:rFonts w:cs="Arial"/>
                <w:sz w:val="18"/>
                <w:szCs w:val="18"/>
              </w:rPr>
              <w:t>81,988</w:t>
            </w:r>
          </w:p>
        </w:tc>
      </w:tr>
      <w:tr w:rsidR="00B040FE" w:rsidRPr="000D1B3E" w14:paraId="35F226A1" w14:textId="77777777" w:rsidTr="005E5E0C">
        <w:trPr>
          <w:trHeight w:val="250"/>
        </w:trPr>
        <w:tc>
          <w:tcPr>
            <w:tcW w:w="6351" w:type="dxa"/>
            <w:tcBorders>
              <w:top w:val="nil"/>
              <w:left w:val="nil"/>
              <w:bottom w:val="nil"/>
              <w:right w:val="nil"/>
            </w:tcBorders>
            <w:shd w:val="clear" w:color="FFFFFF" w:fill="FFFFFF"/>
            <w:noWrap/>
            <w:vAlign w:val="bottom"/>
            <w:hideMark/>
          </w:tcPr>
          <w:p w14:paraId="261B0FBB" w14:textId="77777777" w:rsidR="00B040FE" w:rsidRPr="000D1B3E" w:rsidRDefault="00B040FE" w:rsidP="0047225D">
            <w:pPr>
              <w:spacing w:after="0"/>
              <w:ind w:firstLineChars="100" w:firstLine="180"/>
              <w:rPr>
                <w:rFonts w:cs="Arial"/>
                <w:sz w:val="18"/>
                <w:szCs w:val="18"/>
              </w:rPr>
            </w:pPr>
            <w:r w:rsidRPr="000D1B3E">
              <w:rPr>
                <w:rFonts w:cs="Arial"/>
                <w:sz w:val="18"/>
                <w:szCs w:val="18"/>
              </w:rPr>
              <w:t>More than 5 years</w:t>
            </w:r>
          </w:p>
        </w:tc>
        <w:tc>
          <w:tcPr>
            <w:tcW w:w="1259" w:type="dxa"/>
            <w:tcBorders>
              <w:top w:val="nil"/>
              <w:left w:val="nil"/>
              <w:bottom w:val="nil"/>
              <w:right w:val="nil"/>
            </w:tcBorders>
            <w:shd w:val="clear" w:color="FFFFFF" w:fill="FFFFFF"/>
            <w:noWrap/>
            <w:vAlign w:val="bottom"/>
            <w:hideMark/>
          </w:tcPr>
          <w:p w14:paraId="773751B8" w14:textId="77777777" w:rsidR="00B040FE" w:rsidRPr="000D1B3E" w:rsidRDefault="00B040FE" w:rsidP="0047225D">
            <w:pPr>
              <w:spacing w:after="0"/>
              <w:jc w:val="right"/>
              <w:rPr>
                <w:rFonts w:cs="Arial"/>
                <w:b/>
                <w:bCs/>
                <w:sz w:val="18"/>
                <w:szCs w:val="18"/>
              </w:rPr>
            </w:pPr>
            <w:r w:rsidRPr="000D1B3E">
              <w:rPr>
                <w:rFonts w:cs="Arial"/>
                <w:b/>
                <w:bCs/>
                <w:sz w:val="18"/>
                <w:szCs w:val="18"/>
              </w:rPr>
              <w:t>50,261</w:t>
            </w:r>
          </w:p>
        </w:tc>
        <w:tc>
          <w:tcPr>
            <w:tcW w:w="236" w:type="dxa"/>
            <w:tcBorders>
              <w:top w:val="nil"/>
              <w:left w:val="nil"/>
              <w:bottom w:val="nil"/>
              <w:right w:val="nil"/>
            </w:tcBorders>
            <w:shd w:val="clear" w:color="FFFFFF" w:fill="FFFFFF"/>
            <w:noWrap/>
            <w:vAlign w:val="bottom"/>
            <w:hideMark/>
          </w:tcPr>
          <w:p w14:paraId="2047096A" w14:textId="77777777" w:rsidR="00B040FE" w:rsidRPr="000D1B3E" w:rsidRDefault="00B040FE" w:rsidP="0047225D">
            <w:pPr>
              <w:spacing w:after="0"/>
              <w:rPr>
                <w:rFonts w:cs="Arial"/>
                <w:sz w:val="18"/>
                <w:szCs w:val="18"/>
              </w:rPr>
            </w:pPr>
            <w:r w:rsidRPr="000D1B3E">
              <w:rPr>
                <w:rFonts w:cs="Arial"/>
                <w:sz w:val="18"/>
                <w:szCs w:val="18"/>
              </w:rPr>
              <w:t> </w:t>
            </w:r>
          </w:p>
        </w:tc>
        <w:tc>
          <w:tcPr>
            <w:tcW w:w="1241" w:type="dxa"/>
            <w:tcBorders>
              <w:top w:val="nil"/>
              <w:left w:val="nil"/>
              <w:bottom w:val="nil"/>
              <w:right w:val="nil"/>
            </w:tcBorders>
            <w:shd w:val="clear" w:color="FFFFFF" w:fill="FFFFFF"/>
            <w:noWrap/>
            <w:vAlign w:val="bottom"/>
            <w:hideMark/>
          </w:tcPr>
          <w:p w14:paraId="6040EDDD" w14:textId="77777777" w:rsidR="00B040FE" w:rsidRPr="000D1B3E" w:rsidRDefault="00B040FE" w:rsidP="0047225D">
            <w:pPr>
              <w:spacing w:after="0"/>
              <w:jc w:val="right"/>
              <w:rPr>
                <w:rFonts w:cs="Arial"/>
                <w:sz w:val="18"/>
                <w:szCs w:val="18"/>
              </w:rPr>
            </w:pPr>
            <w:r w:rsidRPr="000D1B3E">
              <w:rPr>
                <w:rFonts w:cs="Arial"/>
                <w:sz w:val="18"/>
                <w:szCs w:val="18"/>
              </w:rPr>
              <w:t>40,530</w:t>
            </w:r>
          </w:p>
        </w:tc>
      </w:tr>
      <w:tr w:rsidR="00B040FE" w:rsidRPr="000D1B3E" w14:paraId="017131A7" w14:textId="77777777" w:rsidTr="005E5E0C">
        <w:trPr>
          <w:trHeight w:val="260"/>
        </w:trPr>
        <w:tc>
          <w:tcPr>
            <w:tcW w:w="6351" w:type="dxa"/>
            <w:tcBorders>
              <w:top w:val="nil"/>
              <w:left w:val="nil"/>
              <w:bottom w:val="nil"/>
              <w:right w:val="nil"/>
            </w:tcBorders>
            <w:shd w:val="clear" w:color="FFFFFF" w:fill="FFFFFF"/>
            <w:vAlign w:val="bottom"/>
            <w:hideMark/>
          </w:tcPr>
          <w:p w14:paraId="25C0C52F" w14:textId="77777777" w:rsidR="00B040FE" w:rsidRPr="000D1B3E" w:rsidRDefault="00B040FE" w:rsidP="0047225D">
            <w:pPr>
              <w:spacing w:after="0"/>
              <w:rPr>
                <w:rFonts w:cs="Arial"/>
                <w:b/>
                <w:bCs/>
                <w:sz w:val="18"/>
                <w:szCs w:val="18"/>
              </w:rPr>
            </w:pPr>
            <w:r w:rsidRPr="000D1B3E">
              <w:rPr>
                <w:rFonts w:cs="Arial"/>
                <w:b/>
                <w:bCs/>
                <w:sz w:val="18"/>
                <w:szCs w:val="18"/>
              </w:rPr>
              <w:t>Total leases</w:t>
            </w:r>
          </w:p>
        </w:tc>
        <w:tc>
          <w:tcPr>
            <w:tcW w:w="1259" w:type="dxa"/>
            <w:tcBorders>
              <w:top w:val="single" w:sz="4" w:space="0" w:color="auto"/>
              <w:left w:val="nil"/>
              <w:bottom w:val="single" w:sz="4" w:space="0" w:color="auto"/>
              <w:right w:val="nil"/>
            </w:tcBorders>
            <w:shd w:val="clear" w:color="FFFFFF" w:fill="FFFFFF"/>
            <w:noWrap/>
            <w:vAlign w:val="bottom"/>
            <w:hideMark/>
          </w:tcPr>
          <w:p w14:paraId="6F59559E" w14:textId="77777777" w:rsidR="00B040FE" w:rsidRPr="000D1B3E" w:rsidRDefault="00B040FE" w:rsidP="0047225D">
            <w:pPr>
              <w:spacing w:after="0"/>
              <w:jc w:val="right"/>
              <w:rPr>
                <w:rFonts w:cs="Arial"/>
                <w:b/>
                <w:bCs/>
                <w:sz w:val="18"/>
                <w:szCs w:val="18"/>
              </w:rPr>
            </w:pPr>
            <w:r w:rsidRPr="000D1B3E">
              <w:rPr>
                <w:rFonts w:cs="Arial"/>
                <w:b/>
                <w:bCs/>
                <w:sz w:val="18"/>
                <w:szCs w:val="18"/>
              </w:rPr>
              <w:t>180,451</w:t>
            </w:r>
          </w:p>
        </w:tc>
        <w:tc>
          <w:tcPr>
            <w:tcW w:w="236" w:type="dxa"/>
            <w:tcBorders>
              <w:top w:val="nil"/>
              <w:left w:val="nil"/>
              <w:bottom w:val="nil"/>
              <w:right w:val="nil"/>
            </w:tcBorders>
            <w:shd w:val="clear" w:color="FFFFFF" w:fill="FFFFFF"/>
            <w:noWrap/>
            <w:vAlign w:val="bottom"/>
            <w:hideMark/>
          </w:tcPr>
          <w:p w14:paraId="51367B6B" w14:textId="77777777" w:rsidR="00B040FE" w:rsidRPr="000D1B3E" w:rsidRDefault="00B040FE" w:rsidP="0047225D">
            <w:pPr>
              <w:spacing w:after="0"/>
              <w:rPr>
                <w:rFonts w:cs="Arial"/>
                <w:sz w:val="18"/>
                <w:szCs w:val="18"/>
              </w:rPr>
            </w:pPr>
            <w:r w:rsidRPr="000D1B3E">
              <w:rPr>
                <w:rFonts w:cs="Arial"/>
                <w:sz w:val="18"/>
                <w:szCs w:val="18"/>
              </w:rPr>
              <w:t> </w:t>
            </w:r>
          </w:p>
        </w:tc>
        <w:tc>
          <w:tcPr>
            <w:tcW w:w="1241" w:type="dxa"/>
            <w:tcBorders>
              <w:top w:val="single" w:sz="4" w:space="0" w:color="auto"/>
              <w:left w:val="nil"/>
              <w:bottom w:val="single" w:sz="4" w:space="0" w:color="auto"/>
              <w:right w:val="nil"/>
            </w:tcBorders>
            <w:shd w:val="clear" w:color="FFFFFF" w:fill="FFFFFF"/>
            <w:noWrap/>
            <w:vAlign w:val="bottom"/>
            <w:hideMark/>
          </w:tcPr>
          <w:p w14:paraId="32299CCD" w14:textId="77777777" w:rsidR="00B040FE" w:rsidRPr="000D1B3E" w:rsidRDefault="00B040FE" w:rsidP="0047225D">
            <w:pPr>
              <w:spacing w:after="0"/>
              <w:jc w:val="right"/>
              <w:rPr>
                <w:rFonts w:cs="Arial"/>
                <w:sz w:val="18"/>
                <w:szCs w:val="18"/>
              </w:rPr>
            </w:pPr>
            <w:r w:rsidRPr="000D1B3E">
              <w:rPr>
                <w:rFonts w:cs="Arial"/>
                <w:sz w:val="18"/>
                <w:szCs w:val="18"/>
              </w:rPr>
              <w:t>154,113</w:t>
            </w:r>
          </w:p>
        </w:tc>
      </w:tr>
    </w:tbl>
    <w:p w14:paraId="7166DCBB" w14:textId="10E3F4EA" w:rsidR="00B040FE" w:rsidRPr="000D1B3E" w:rsidRDefault="00B040FE" w:rsidP="000D1B3E">
      <w:pPr>
        <w:spacing w:before="240" w:line="240" w:lineRule="auto"/>
        <w:rPr>
          <w:rFonts w:cs="Arial"/>
          <w:sz w:val="18"/>
          <w:szCs w:val="18"/>
        </w:rPr>
      </w:pPr>
      <w:r w:rsidRPr="000D1B3E">
        <w:rPr>
          <w:rFonts w:cs="Arial"/>
          <w:sz w:val="18"/>
          <w:szCs w:val="18"/>
        </w:rPr>
        <w:t>The Agency, in its capacity, as lessee, has entered into leasing arrangements to meet its operational obligations.</w:t>
      </w:r>
      <w:r w:rsidR="00133885" w:rsidRPr="000D1B3E">
        <w:rPr>
          <w:rFonts w:cs="Arial"/>
          <w:sz w:val="18"/>
          <w:szCs w:val="18"/>
        </w:rPr>
        <w:t xml:space="preserve"> </w:t>
      </w:r>
      <w:r w:rsidRPr="000D1B3E">
        <w:rPr>
          <w:rFonts w:cs="Arial"/>
          <w:sz w:val="18"/>
          <w:szCs w:val="18"/>
        </w:rPr>
        <w:t>These leases are managed through an agreement with Services Australia and JLL under Whole of Government (WoG) arrangements. Each lease has terms and conditions specified in relation to when contingent rent is payable, variable lease payments, renewal or purchase options, annual percentage rent increase, escalation clauses and restrictions. These lease terms are set as per commercial market arrangements.</w:t>
      </w:r>
    </w:p>
    <w:p w14:paraId="3B2380EF" w14:textId="77777777" w:rsidR="000D1B3E" w:rsidRPr="003203A1" w:rsidRDefault="000D1B3E" w:rsidP="000D1B3E">
      <w:pPr>
        <w:spacing w:after="0" w:line="240" w:lineRule="auto"/>
        <w:rPr>
          <w:b/>
          <w:bCs/>
        </w:rPr>
      </w:pPr>
      <w:r w:rsidRPr="003203A1">
        <w:rPr>
          <w:b/>
          <w:bCs/>
        </w:rPr>
        <w:lastRenderedPageBreak/>
        <w:t>National Disability Insurance Agency</w:t>
      </w:r>
    </w:p>
    <w:p w14:paraId="5C1626C4" w14:textId="77777777" w:rsidR="000D1B3E" w:rsidRDefault="000D1B3E" w:rsidP="000D1B3E">
      <w:pPr>
        <w:pBdr>
          <w:bottom w:val="single" w:sz="8" w:space="1" w:color="auto"/>
        </w:pBdr>
        <w:rPr>
          <w:b/>
          <w:bCs/>
        </w:rPr>
      </w:pPr>
      <w:r w:rsidRPr="003203A1">
        <w:rPr>
          <w:b/>
          <w:bCs/>
        </w:rPr>
        <w:t>NOTES TO AND FORMING PART OF THE FINANCIAL STATEMENTS</w:t>
      </w:r>
    </w:p>
    <w:p w14:paraId="58DA1427" w14:textId="77777777" w:rsidR="000D1B3E" w:rsidRDefault="000D1B3E" w:rsidP="000D1B3E">
      <w:pPr>
        <w:pBdr>
          <w:bottom w:val="single" w:sz="8" w:space="1" w:color="auto"/>
        </w:pBdr>
        <w:rPr>
          <w:b/>
          <w:bCs/>
        </w:rPr>
        <w:sectPr w:rsidR="000D1B3E" w:rsidSect="00BC1253">
          <w:type w:val="continuous"/>
          <w:pgSz w:w="11906" w:h="16838" w:code="9"/>
          <w:pgMar w:top="1361" w:right="1361" w:bottom="1361" w:left="1361" w:header="958" w:footer="737" w:gutter="0"/>
          <w:cols w:space="708"/>
          <w:docGrid w:linePitch="360"/>
        </w:sectPr>
      </w:pPr>
    </w:p>
    <w:p w14:paraId="122EED0B" w14:textId="77777777" w:rsidR="00B040FE" w:rsidRDefault="00B040FE" w:rsidP="00B040FE">
      <w:pPr>
        <w:spacing w:line="240" w:lineRule="auto"/>
        <w:rPr>
          <w:rFonts w:cs="Arial"/>
          <w:sz w:val="18"/>
          <w:szCs w:val="18"/>
        </w:rPr>
      </w:pPr>
      <w:r w:rsidRPr="006421A2">
        <w:rPr>
          <w:rFonts w:cs="Arial"/>
          <w:sz w:val="18"/>
          <w:szCs w:val="18"/>
        </w:rPr>
        <w:t>The above lease disclosures should be read in conjunction with the accompanying notes</w:t>
      </w:r>
      <w:r>
        <w:rPr>
          <w:rFonts w:cs="Arial"/>
          <w:sz w:val="18"/>
          <w:szCs w:val="18"/>
        </w:rPr>
        <w:t xml:space="preserve"> </w:t>
      </w:r>
      <w:r w:rsidRPr="00046007">
        <w:rPr>
          <w:rFonts w:cs="Arial"/>
          <w:sz w:val="18"/>
          <w:szCs w:val="18"/>
        </w:rPr>
        <w:t>1</w:t>
      </w:r>
      <w:r>
        <w:rPr>
          <w:rFonts w:cs="Arial"/>
          <w:sz w:val="18"/>
          <w:szCs w:val="18"/>
        </w:rPr>
        <w:t>.1</w:t>
      </w:r>
      <w:r w:rsidRPr="00046007">
        <w:rPr>
          <w:rFonts w:cs="Arial"/>
          <w:sz w:val="18"/>
          <w:szCs w:val="18"/>
        </w:rPr>
        <w:t>B, 1.1D, 1.2B and 2.2A</w:t>
      </w:r>
      <w:r w:rsidRPr="006421A2">
        <w:rPr>
          <w:rFonts w:cs="Arial"/>
          <w:sz w:val="18"/>
          <w:szCs w:val="18"/>
        </w:rPr>
        <w:t>.</w:t>
      </w:r>
    </w:p>
    <w:p w14:paraId="231D6A63" w14:textId="77777777" w:rsidR="00B040FE" w:rsidRDefault="00B040FE" w:rsidP="00B040FE">
      <w:pPr>
        <w:spacing w:line="240" w:lineRule="auto"/>
        <w:rPr>
          <w:rFonts w:cs="Arial"/>
          <w:sz w:val="18"/>
          <w:szCs w:val="18"/>
          <w:lang w:eastAsia="en-AU"/>
        </w:rPr>
      </w:pPr>
      <w:r w:rsidRPr="00CC7F99">
        <w:rPr>
          <w:rFonts w:cs="Arial"/>
          <w:sz w:val="18"/>
          <w:szCs w:val="18"/>
          <w:lang w:eastAsia="en-AU"/>
        </w:rPr>
        <w:t xml:space="preserve">Total cash outflow for leases for the </w:t>
      </w:r>
      <w:r>
        <w:rPr>
          <w:rFonts w:cs="Arial"/>
          <w:sz w:val="18"/>
          <w:szCs w:val="18"/>
          <w:lang w:eastAsia="en-AU"/>
        </w:rPr>
        <w:t>year</w:t>
      </w:r>
      <w:r w:rsidRPr="00CC7F99">
        <w:rPr>
          <w:rFonts w:cs="Arial"/>
          <w:sz w:val="18"/>
          <w:szCs w:val="18"/>
          <w:lang w:eastAsia="en-AU"/>
        </w:rPr>
        <w:t xml:space="preserve"> ended </w:t>
      </w:r>
      <w:r>
        <w:rPr>
          <w:rFonts w:cs="Arial"/>
          <w:sz w:val="18"/>
          <w:szCs w:val="18"/>
          <w:lang w:eastAsia="en-AU"/>
        </w:rPr>
        <w:fldChar w:fldCharType="begin"/>
      </w:r>
      <w:r>
        <w:rPr>
          <w:rFonts w:cs="Arial"/>
          <w:sz w:val="18"/>
          <w:szCs w:val="18"/>
          <w:lang w:eastAsia="en-AU"/>
        </w:rPr>
        <w:instrText xml:space="preserve"> DOCPROPERTY  pEnd  \* MERGEFORMAT </w:instrText>
      </w:r>
      <w:r>
        <w:rPr>
          <w:rFonts w:cs="Arial"/>
          <w:sz w:val="18"/>
          <w:szCs w:val="18"/>
          <w:lang w:eastAsia="en-AU"/>
        </w:rPr>
        <w:fldChar w:fldCharType="separate"/>
      </w:r>
      <w:r>
        <w:rPr>
          <w:rFonts w:cs="Arial"/>
          <w:sz w:val="18"/>
          <w:szCs w:val="18"/>
          <w:lang w:eastAsia="en-AU"/>
        </w:rPr>
        <w:t>30 June</w:t>
      </w:r>
      <w:r>
        <w:rPr>
          <w:rFonts w:cs="Arial"/>
          <w:sz w:val="18"/>
          <w:szCs w:val="18"/>
          <w:lang w:eastAsia="en-AU"/>
        </w:rPr>
        <w:fldChar w:fldCharType="end"/>
      </w:r>
      <w:r>
        <w:rPr>
          <w:rFonts w:cs="Arial"/>
          <w:sz w:val="18"/>
          <w:szCs w:val="18"/>
          <w:lang w:eastAsia="en-AU"/>
        </w:rPr>
        <w:t xml:space="preserve"> </w:t>
      </w:r>
      <w:r w:rsidRPr="00CC7F99">
        <w:rPr>
          <w:rFonts w:cs="Arial"/>
          <w:sz w:val="18"/>
          <w:szCs w:val="18"/>
          <w:lang w:eastAsia="en-AU"/>
        </w:rPr>
        <w:fldChar w:fldCharType="begin"/>
      </w:r>
      <w:r w:rsidRPr="00CC7F99">
        <w:rPr>
          <w:rFonts w:cs="Arial"/>
          <w:sz w:val="18"/>
          <w:szCs w:val="18"/>
          <w:lang w:eastAsia="en-AU"/>
        </w:rPr>
        <w:instrText xml:space="preserve"> DOCPROPERTY  crYear  \* MERGEFORMAT </w:instrText>
      </w:r>
      <w:r w:rsidRPr="00CC7F99">
        <w:rPr>
          <w:rFonts w:cs="Arial"/>
          <w:sz w:val="18"/>
          <w:szCs w:val="18"/>
          <w:lang w:eastAsia="en-AU"/>
        </w:rPr>
        <w:fldChar w:fldCharType="separate"/>
      </w:r>
      <w:r>
        <w:rPr>
          <w:rFonts w:cs="Arial"/>
          <w:sz w:val="18"/>
          <w:szCs w:val="18"/>
          <w:lang w:eastAsia="en-AU"/>
        </w:rPr>
        <w:t>2024</w:t>
      </w:r>
      <w:r w:rsidRPr="00CC7F99">
        <w:rPr>
          <w:rFonts w:cs="Arial"/>
          <w:sz w:val="18"/>
          <w:szCs w:val="18"/>
          <w:lang w:eastAsia="en-AU"/>
        </w:rPr>
        <w:fldChar w:fldCharType="end"/>
      </w:r>
      <w:r w:rsidRPr="00CC7F99">
        <w:rPr>
          <w:rFonts w:cs="Arial"/>
          <w:sz w:val="18"/>
          <w:szCs w:val="18"/>
          <w:lang w:eastAsia="en-AU"/>
        </w:rPr>
        <w:t xml:space="preserve"> was $</w:t>
      </w:r>
      <w:r>
        <w:rPr>
          <w:rFonts w:cs="Arial"/>
          <w:sz w:val="18"/>
          <w:szCs w:val="18"/>
          <w:lang w:eastAsia="en-AU"/>
        </w:rPr>
        <w:t>31.68</w:t>
      </w:r>
      <w:r w:rsidRPr="007348B7">
        <w:rPr>
          <w:rFonts w:cs="Arial"/>
          <w:sz w:val="18"/>
          <w:szCs w:val="18"/>
          <w:lang w:eastAsia="en-AU"/>
        </w:rPr>
        <w:t>m</w:t>
      </w:r>
      <w:r>
        <w:rPr>
          <w:rFonts w:cs="Arial"/>
          <w:sz w:val="18"/>
          <w:szCs w:val="18"/>
          <w:lang w:eastAsia="en-AU"/>
        </w:rPr>
        <w:t xml:space="preserve"> (2022-23: $42.3m)</w:t>
      </w:r>
      <w:r w:rsidRPr="00CC7F99">
        <w:rPr>
          <w:rFonts w:cs="Arial"/>
          <w:sz w:val="18"/>
          <w:szCs w:val="18"/>
          <w:lang w:eastAsia="en-AU"/>
        </w:rPr>
        <w:t>.</w:t>
      </w:r>
    </w:p>
    <w:p w14:paraId="6EE4E523" w14:textId="77777777" w:rsidR="00B040FE" w:rsidRPr="0075388D" w:rsidRDefault="00B040FE" w:rsidP="00B040FE">
      <w:pPr>
        <w:pStyle w:val="PolicytextDept"/>
        <w:pBdr>
          <w:left w:val="single" w:sz="4" w:space="4" w:color="800080"/>
          <w:right w:val="single" w:sz="4" w:space="4" w:color="800080"/>
        </w:pBdr>
        <w:rPr>
          <w:b/>
        </w:rPr>
      </w:pPr>
      <w:r w:rsidRPr="0075388D">
        <w:rPr>
          <w:b/>
        </w:rPr>
        <w:t>Accounting Policy</w:t>
      </w:r>
    </w:p>
    <w:p w14:paraId="5E375611" w14:textId="77777777" w:rsidR="00B040FE" w:rsidRDefault="00B040FE" w:rsidP="00B040FE">
      <w:pPr>
        <w:pStyle w:val="PolicytextDept"/>
        <w:pBdr>
          <w:left w:val="single" w:sz="4" w:space="4" w:color="800080"/>
          <w:right w:val="single" w:sz="4" w:space="4" w:color="800080"/>
        </w:pBdr>
      </w:pPr>
      <w:r w:rsidRPr="00B76521">
        <w:t xml:space="preserve">For all new contracts entered into, the </w:t>
      </w:r>
      <w:r>
        <w:t>Agency</w:t>
      </w:r>
      <w:r w:rsidRPr="00B76521">
        <w:t xml:space="preserve"> considers whether the contract is, or contains a lease. A lease is defined as ‘a contract, or part of a contract, that conveys the right to use an asset (the underlying asset) for a period of time in exchange for consideration’.</w:t>
      </w:r>
    </w:p>
    <w:p w14:paraId="0BEDA8D0" w14:textId="77777777" w:rsidR="00B040FE" w:rsidRDefault="00B040FE" w:rsidP="00B040FE">
      <w:pPr>
        <w:pStyle w:val="PolicytextDept"/>
        <w:pBdr>
          <w:left w:val="single" w:sz="4" w:space="4" w:color="800080"/>
          <w:right w:val="single" w:sz="4" w:space="4" w:color="800080"/>
        </w:pBdr>
      </w:pPr>
      <w:r w:rsidRPr="00B76521">
        <w:t>Once it has been determined that a contract is, or contains a lease, the lease liability is initially measured at the present</w:t>
      </w:r>
      <w:r>
        <w:t xml:space="preserve"> </w:t>
      </w:r>
      <w:r w:rsidRPr="00B76521">
        <w:t xml:space="preserve">value of the lease payments unpaid at the commencement date, discounted using the interest rate implicit in the lease, if that rate is readily determinable, or the </w:t>
      </w:r>
      <w:r>
        <w:t>Agency’</w:t>
      </w:r>
      <w:r w:rsidRPr="00B76521">
        <w:t>s incremental borrowing rate.</w:t>
      </w:r>
    </w:p>
    <w:p w14:paraId="3771F6D9" w14:textId="77777777" w:rsidR="00B040FE" w:rsidRDefault="00B040FE" w:rsidP="00B040FE">
      <w:pPr>
        <w:pStyle w:val="PolicytextDept"/>
        <w:pBdr>
          <w:left w:val="single" w:sz="4" w:space="4" w:color="800080"/>
          <w:right w:val="single" w:sz="4" w:space="4" w:color="800080"/>
        </w:pBdr>
      </w:pPr>
      <w:r w:rsidRPr="00B76521">
        <w:t>Subsequent to initial measurement, the liability will be reduced for payments made and increased for interest. It is remeasured to reflect any reassessment or modification to the lease. When the lease liability is remeasured, the corresponding adjustment is reflected in the right-of-use asset or profit and loss depending on the nature of the reassessment or modification.</w:t>
      </w:r>
    </w:p>
    <w:p w14:paraId="6C549CA7" w14:textId="77777777" w:rsidR="00B040FE" w:rsidRPr="00E630D0" w:rsidRDefault="00B040FE" w:rsidP="000D1B3E">
      <w:pPr>
        <w:pStyle w:val="SubHeading"/>
        <w:shd w:val="clear" w:color="auto" w:fill="000000" w:themeFill="accent6"/>
      </w:pPr>
      <w:bookmarkStart w:id="202" w:name="_Toc65742852"/>
      <w:bookmarkStart w:id="203" w:name="_Toc173417299"/>
      <w:r w:rsidRPr="00E630D0">
        <w:t>Provisions</w:t>
      </w:r>
      <w:bookmarkEnd w:id="202"/>
      <w:bookmarkEnd w:id="203"/>
    </w:p>
    <w:p w14:paraId="050AA995" w14:textId="77777777" w:rsidR="00B040FE" w:rsidRDefault="00B040FE" w:rsidP="00B040FE">
      <w:pPr>
        <w:pStyle w:val="ContinuedNotesHeading-Level1"/>
        <w:rPr>
          <w:sz w:val="18"/>
          <w:szCs w:val="18"/>
        </w:rPr>
      </w:pPr>
    </w:p>
    <w:tbl>
      <w:tblPr>
        <w:tblW w:w="9136" w:type="dxa"/>
        <w:tblLayout w:type="fixed"/>
        <w:tblCellMar>
          <w:left w:w="57" w:type="dxa"/>
          <w:right w:w="57" w:type="dxa"/>
        </w:tblCellMar>
        <w:tblLook w:val="04A0" w:firstRow="1" w:lastRow="0" w:firstColumn="1" w:lastColumn="0" w:noHBand="0" w:noVBand="1"/>
      </w:tblPr>
      <w:tblGrid>
        <w:gridCol w:w="3544"/>
        <w:gridCol w:w="1417"/>
        <w:gridCol w:w="1666"/>
        <w:gridCol w:w="1311"/>
        <w:gridCol w:w="1198"/>
      </w:tblGrid>
      <w:tr w:rsidR="00B040FE" w:rsidRPr="000D1B3E" w14:paraId="2767F6C6" w14:textId="77777777" w:rsidTr="005E5E0C">
        <w:trPr>
          <w:trHeight w:val="688"/>
        </w:trPr>
        <w:tc>
          <w:tcPr>
            <w:tcW w:w="3544" w:type="dxa"/>
            <w:tcBorders>
              <w:top w:val="single" w:sz="4" w:space="0" w:color="auto"/>
              <w:left w:val="nil"/>
              <w:bottom w:val="nil"/>
              <w:right w:val="nil"/>
            </w:tcBorders>
            <w:shd w:val="clear" w:color="FFFFFF" w:fill="FFFFFF"/>
            <w:vAlign w:val="bottom"/>
            <w:hideMark/>
          </w:tcPr>
          <w:p w14:paraId="051876CC" w14:textId="77777777" w:rsidR="00B040FE" w:rsidRPr="000D1B3E" w:rsidRDefault="00B040FE" w:rsidP="0047225D">
            <w:pPr>
              <w:spacing w:after="0"/>
              <w:rPr>
                <w:rFonts w:cs="Arial"/>
                <w:sz w:val="18"/>
                <w:szCs w:val="18"/>
              </w:rPr>
            </w:pPr>
            <w:bookmarkStart w:id="204" w:name="Note_ROPTABLE1" w:colFirst="0" w:colLast="0"/>
            <w:r w:rsidRPr="000D1B3E">
              <w:rPr>
                <w:rFonts w:cs="Arial"/>
                <w:sz w:val="18"/>
                <w:szCs w:val="18"/>
              </w:rPr>
              <w:t> </w:t>
            </w:r>
          </w:p>
        </w:tc>
        <w:tc>
          <w:tcPr>
            <w:tcW w:w="1417" w:type="dxa"/>
            <w:tcBorders>
              <w:top w:val="single" w:sz="4" w:space="0" w:color="auto"/>
              <w:left w:val="nil"/>
              <w:bottom w:val="nil"/>
              <w:right w:val="nil"/>
            </w:tcBorders>
            <w:shd w:val="clear" w:color="FFFFFF" w:fill="FFFFFF"/>
            <w:vAlign w:val="bottom"/>
            <w:hideMark/>
          </w:tcPr>
          <w:p w14:paraId="16923665" w14:textId="77777777" w:rsidR="00B040FE" w:rsidRPr="000D1B3E" w:rsidRDefault="00B040FE" w:rsidP="0047225D">
            <w:pPr>
              <w:spacing w:after="0"/>
              <w:jc w:val="right"/>
              <w:rPr>
                <w:rFonts w:cs="Arial"/>
                <w:b/>
                <w:bCs/>
                <w:sz w:val="18"/>
                <w:szCs w:val="18"/>
              </w:rPr>
            </w:pPr>
            <w:r w:rsidRPr="000D1B3E">
              <w:rPr>
                <w:rFonts w:cs="Arial"/>
                <w:b/>
                <w:bCs/>
                <w:sz w:val="18"/>
                <w:szCs w:val="18"/>
              </w:rPr>
              <w:t>Participant plan provision</w:t>
            </w:r>
          </w:p>
        </w:tc>
        <w:tc>
          <w:tcPr>
            <w:tcW w:w="1666" w:type="dxa"/>
            <w:tcBorders>
              <w:top w:val="single" w:sz="4" w:space="0" w:color="auto"/>
              <w:left w:val="nil"/>
              <w:bottom w:val="nil"/>
              <w:right w:val="nil"/>
            </w:tcBorders>
            <w:shd w:val="clear" w:color="FFFFFF" w:fill="FFFFFF"/>
            <w:vAlign w:val="bottom"/>
            <w:hideMark/>
          </w:tcPr>
          <w:p w14:paraId="023D82B5" w14:textId="77777777" w:rsidR="00B040FE" w:rsidRPr="000D1B3E" w:rsidRDefault="00B040FE" w:rsidP="0047225D">
            <w:pPr>
              <w:spacing w:after="0"/>
              <w:jc w:val="right"/>
              <w:rPr>
                <w:rFonts w:cs="Arial"/>
                <w:b/>
                <w:bCs/>
                <w:sz w:val="18"/>
                <w:szCs w:val="18"/>
              </w:rPr>
            </w:pPr>
            <w:r w:rsidRPr="000D1B3E">
              <w:rPr>
                <w:rFonts w:cs="Arial"/>
                <w:b/>
                <w:bCs/>
                <w:sz w:val="18"/>
                <w:szCs w:val="18"/>
              </w:rPr>
              <w:t>Provision for restoration obligations</w:t>
            </w:r>
          </w:p>
        </w:tc>
        <w:tc>
          <w:tcPr>
            <w:tcW w:w="1311" w:type="dxa"/>
            <w:tcBorders>
              <w:top w:val="single" w:sz="4" w:space="0" w:color="auto"/>
              <w:left w:val="nil"/>
              <w:bottom w:val="nil"/>
              <w:right w:val="nil"/>
            </w:tcBorders>
            <w:shd w:val="clear" w:color="FFFFFF" w:fill="FFFFFF"/>
          </w:tcPr>
          <w:p w14:paraId="0CCC0E35" w14:textId="77777777" w:rsidR="00B040FE" w:rsidRPr="000D1B3E" w:rsidRDefault="00B040FE" w:rsidP="0047225D">
            <w:pPr>
              <w:spacing w:after="0"/>
              <w:jc w:val="right"/>
              <w:rPr>
                <w:rFonts w:cs="Arial"/>
                <w:b/>
                <w:bCs/>
                <w:sz w:val="18"/>
                <w:szCs w:val="18"/>
              </w:rPr>
            </w:pPr>
            <w:r w:rsidRPr="000D1B3E">
              <w:rPr>
                <w:rFonts w:cs="Arial"/>
                <w:b/>
                <w:bCs/>
                <w:sz w:val="18"/>
                <w:szCs w:val="18"/>
              </w:rPr>
              <w:t xml:space="preserve">Provision for historical Scheme debt </w:t>
            </w:r>
          </w:p>
        </w:tc>
        <w:tc>
          <w:tcPr>
            <w:tcW w:w="1198" w:type="dxa"/>
            <w:tcBorders>
              <w:top w:val="single" w:sz="4" w:space="0" w:color="auto"/>
              <w:left w:val="nil"/>
              <w:bottom w:val="nil"/>
              <w:right w:val="nil"/>
            </w:tcBorders>
            <w:shd w:val="clear" w:color="FFFFFF" w:fill="FFFFFF"/>
            <w:vAlign w:val="bottom"/>
            <w:hideMark/>
          </w:tcPr>
          <w:p w14:paraId="0B49C06E" w14:textId="77777777" w:rsidR="00B040FE" w:rsidRPr="000D1B3E" w:rsidRDefault="00B040FE" w:rsidP="0047225D">
            <w:pPr>
              <w:spacing w:after="0"/>
              <w:jc w:val="right"/>
              <w:rPr>
                <w:rFonts w:cs="Arial"/>
                <w:b/>
                <w:bCs/>
                <w:sz w:val="18"/>
                <w:szCs w:val="18"/>
              </w:rPr>
            </w:pPr>
            <w:r w:rsidRPr="000D1B3E">
              <w:rPr>
                <w:rFonts w:cs="Arial"/>
                <w:b/>
                <w:bCs/>
                <w:sz w:val="18"/>
                <w:szCs w:val="18"/>
              </w:rPr>
              <w:t>Total</w:t>
            </w:r>
          </w:p>
        </w:tc>
      </w:tr>
      <w:bookmarkEnd w:id="204"/>
      <w:tr w:rsidR="00B040FE" w:rsidRPr="000D1B3E" w14:paraId="3A5DE61D" w14:textId="77777777" w:rsidTr="005E5E0C">
        <w:trPr>
          <w:trHeight w:val="260"/>
        </w:trPr>
        <w:tc>
          <w:tcPr>
            <w:tcW w:w="3544" w:type="dxa"/>
            <w:tcBorders>
              <w:top w:val="nil"/>
              <w:left w:val="nil"/>
              <w:bottom w:val="single" w:sz="4" w:space="0" w:color="auto"/>
              <w:right w:val="nil"/>
            </w:tcBorders>
            <w:shd w:val="clear" w:color="FFFFFF" w:fill="FFFFFF"/>
            <w:vAlign w:val="bottom"/>
            <w:hideMark/>
          </w:tcPr>
          <w:p w14:paraId="5A72C4B3" w14:textId="77777777" w:rsidR="00B040FE" w:rsidRPr="000D1B3E" w:rsidRDefault="00B040FE" w:rsidP="0047225D">
            <w:pPr>
              <w:spacing w:after="0"/>
              <w:rPr>
                <w:rFonts w:cs="Arial"/>
                <w:sz w:val="18"/>
                <w:szCs w:val="18"/>
              </w:rPr>
            </w:pPr>
            <w:r w:rsidRPr="000D1B3E">
              <w:rPr>
                <w:rFonts w:cs="Arial"/>
                <w:sz w:val="18"/>
                <w:szCs w:val="18"/>
              </w:rPr>
              <w:t> </w:t>
            </w:r>
          </w:p>
        </w:tc>
        <w:tc>
          <w:tcPr>
            <w:tcW w:w="1417" w:type="dxa"/>
            <w:tcBorders>
              <w:top w:val="nil"/>
              <w:left w:val="nil"/>
              <w:bottom w:val="single" w:sz="4" w:space="0" w:color="auto"/>
              <w:right w:val="nil"/>
            </w:tcBorders>
            <w:shd w:val="clear" w:color="FFFFFF" w:fill="FFFFFF"/>
            <w:vAlign w:val="bottom"/>
            <w:hideMark/>
          </w:tcPr>
          <w:p w14:paraId="7FF0F7DE" w14:textId="77777777" w:rsidR="00B040FE" w:rsidRPr="000D1B3E" w:rsidRDefault="00B040FE" w:rsidP="0047225D">
            <w:pPr>
              <w:spacing w:after="0"/>
              <w:jc w:val="right"/>
              <w:rPr>
                <w:rFonts w:cs="Arial"/>
                <w:b/>
                <w:bCs/>
                <w:sz w:val="18"/>
                <w:szCs w:val="18"/>
              </w:rPr>
            </w:pPr>
            <w:r w:rsidRPr="000D1B3E">
              <w:rPr>
                <w:rFonts w:cs="Arial"/>
                <w:b/>
                <w:bCs/>
                <w:sz w:val="18"/>
                <w:szCs w:val="18"/>
              </w:rPr>
              <w:t>$’000</w:t>
            </w:r>
          </w:p>
        </w:tc>
        <w:tc>
          <w:tcPr>
            <w:tcW w:w="1666" w:type="dxa"/>
            <w:tcBorders>
              <w:top w:val="nil"/>
              <w:left w:val="nil"/>
              <w:bottom w:val="single" w:sz="4" w:space="0" w:color="auto"/>
              <w:right w:val="nil"/>
            </w:tcBorders>
            <w:shd w:val="clear" w:color="FFFFFF" w:fill="FFFFFF"/>
            <w:vAlign w:val="bottom"/>
            <w:hideMark/>
          </w:tcPr>
          <w:p w14:paraId="5A61EE9E" w14:textId="77777777" w:rsidR="00B040FE" w:rsidRPr="000D1B3E" w:rsidRDefault="00B040FE" w:rsidP="0047225D">
            <w:pPr>
              <w:spacing w:after="0"/>
              <w:jc w:val="right"/>
              <w:rPr>
                <w:rFonts w:cs="Arial"/>
                <w:b/>
                <w:bCs/>
                <w:sz w:val="18"/>
                <w:szCs w:val="18"/>
              </w:rPr>
            </w:pPr>
            <w:r w:rsidRPr="000D1B3E">
              <w:rPr>
                <w:rFonts w:cs="Arial"/>
                <w:b/>
                <w:bCs/>
                <w:sz w:val="18"/>
                <w:szCs w:val="18"/>
              </w:rPr>
              <w:t>$’000</w:t>
            </w:r>
          </w:p>
        </w:tc>
        <w:tc>
          <w:tcPr>
            <w:tcW w:w="1311" w:type="dxa"/>
            <w:tcBorders>
              <w:top w:val="nil"/>
              <w:left w:val="nil"/>
              <w:bottom w:val="single" w:sz="4" w:space="0" w:color="auto"/>
              <w:right w:val="nil"/>
            </w:tcBorders>
            <w:shd w:val="clear" w:color="FFFFFF" w:fill="FFFFFF"/>
          </w:tcPr>
          <w:p w14:paraId="7A0BFDAF" w14:textId="77777777" w:rsidR="00B040FE" w:rsidRPr="000D1B3E" w:rsidRDefault="00B040FE" w:rsidP="0047225D">
            <w:pPr>
              <w:spacing w:after="0"/>
              <w:jc w:val="right"/>
              <w:rPr>
                <w:rFonts w:cs="Arial"/>
                <w:b/>
                <w:bCs/>
                <w:sz w:val="18"/>
                <w:szCs w:val="18"/>
              </w:rPr>
            </w:pPr>
            <w:r w:rsidRPr="000D1B3E">
              <w:rPr>
                <w:rFonts w:cs="Arial"/>
                <w:b/>
                <w:bCs/>
                <w:sz w:val="18"/>
                <w:szCs w:val="18"/>
              </w:rPr>
              <w:t>$’000</w:t>
            </w:r>
          </w:p>
        </w:tc>
        <w:tc>
          <w:tcPr>
            <w:tcW w:w="1198" w:type="dxa"/>
            <w:tcBorders>
              <w:top w:val="nil"/>
              <w:left w:val="nil"/>
              <w:bottom w:val="single" w:sz="4" w:space="0" w:color="auto"/>
              <w:right w:val="nil"/>
            </w:tcBorders>
            <w:shd w:val="clear" w:color="FFFFFF" w:fill="FFFFFF"/>
            <w:vAlign w:val="bottom"/>
            <w:hideMark/>
          </w:tcPr>
          <w:p w14:paraId="39101E0F" w14:textId="77777777" w:rsidR="00B040FE" w:rsidRPr="000D1B3E" w:rsidRDefault="00B040FE" w:rsidP="0047225D">
            <w:pPr>
              <w:spacing w:after="0"/>
              <w:jc w:val="right"/>
              <w:rPr>
                <w:rFonts w:cs="Arial"/>
                <w:b/>
                <w:bCs/>
                <w:sz w:val="18"/>
                <w:szCs w:val="18"/>
              </w:rPr>
            </w:pPr>
            <w:r w:rsidRPr="000D1B3E">
              <w:rPr>
                <w:rFonts w:cs="Arial"/>
                <w:b/>
                <w:bCs/>
                <w:sz w:val="18"/>
                <w:szCs w:val="18"/>
              </w:rPr>
              <w:t>$’000</w:t>
            </w:r>
          </w:p>
        </w:tc>
      </w:tr>
      <w:tr w:rsidR="00B040FE" w:rsidRPr="000D1B3E" w14:paraId="4CA5C272" w14:textId="77777777" w:rsidTr="005E5E0C">
        <w:trPr>
          <w:trHeight w:val="250"/>
        </w:trPr>
        <w:tc>
          <w:tcPr>
            <w:tcW w:w="3544" w:type="dxa"/>
            <w:tcBorders>
              <w:top w:val="nil"/>
              <w:left w:val="nil"/>
              <w:bottom w:val="nil"/>
              <w:right w:val="nil"/>
            </w:tcBorders>
            <w:shd w:val="clear" w:color="FFFFFF" w:fill="FFFFFF"/>
            <w:vAlign w:val="bottom"/>
            <w:hideMark/>
          </w:tcPr>
          <w:p w14:paraId="3F51B702" w14:textId="77777777" w:rsidR="00B040FE" w:rsidRPr="000D1B3E" w:rsidRDefault="00B040FE" w:rsidP="0047225D">
            <w:pPr>
              <w:spacing w:after="0"/>
              <w:rPr>
                <w:rFonts w:cs="Arial"/>
                <w:b/>
                <w:bCs/>
                <w:sz w:val="18"/>
                <w:szCs w:val="18"/>
              </w:rPr>
            </w:pPr>
            <w:r w:rsidRPr="000D1B3E">
              <w:rPr>
                <w:rFonts w:cs="Arial"/>
                <w:b/>
                <w:bCs/>
                <w:sz w:val="18"/>
                <w:szCs w:val="18"/>
              </w:rPr>
              <w:t>Carrying amount 1 July 2023</w:t>
            </w:r>
          </w:p>
        </w:tc>
        <w:tc>
          <w:tcPr>
            <w:tcW w:w="1417" w:type="dxa"/>
            <w:tcBorders>
              <w:top w:val="nil"/>
              <w:left w:val="nil"/>
              <w:bottom w:val="nil"/>
              <w:right w:val="nil"/>
            </w:tcBorders>
            <w:shd w:val="clear" w:color="FFFFFF" w:fill="FFFFFF"/>
            <w:noWrap/>
            <w:vAlign w:val="bottom"/>
            <w:hideMark/>
          </w:tcPr>
          <w:p w14:paraId="3CE6A4B7" w14:textId="77777777" w:rsidR="00B040FE" w:rsidRPr="000D1B3E" w:rsidRDefault="00B040FE" w:rsidP="0047225D">
            <w:pPr>
              <w:spacing w:after="0"/>
              <w:jc w:val="right"/>
              <w:rPr>
                <w:rFonts w:cs="Arial"/>
                <w:b/>
                <w:bCs/>
                <w:sz w:val="18"/>
                <w:szCs w:val="18"/>
              </w:rPr>
            </w:pPr>
            <w:r w:rsidRPr="000D1B3E">
              <w:rPr>
                <w:rFonts w:cs="Arial"/>
                <w:b/>
                <w:bCs/>
                <w:sz w:val="18"/>
                <w:szCs w:val="18"/>
              </w:rPr>
              <w:t>1,948,638</w:t>
            </w:r>
          </w:p>
        </w:tc>
        <w:tc>
          <w:tcPr>
            <w:tcW w:w="1666" w:type="dxa"/>
            <w:tcBorders>
              <w:top w:val="nil"/>
              <w:left w:val="nil"/>
              <w:bottom w:val="nil"/>
              <w:right w:val="nil"/>
            </w:tcBorders>
            <w:shd w:val="clear" w:color="FFFFFF" w:fill="FFFFFF"/>
            <w:noWrap/>
            <w:vAlign w:val="bottom"/>
            <w:hideMark/>
          </w:tcPr>
          <w:p w14:paraId="7749C3EA" w14:textId="77777777" w:rsidR="00B040FE" w:rsidRPr="000D1B3E" w:rsidRDefault="00B040FE" w:rsidP="0047225D">
            <w:pPr>
              <w:spacing w:after="0"/>
              <w:jc w:val="right"/>
              <w:rPr>
                <w:rFonts w:cs="Arial"/>
                <w:b/>
                <w:bCs/>
                <w:sz w:val="18"/>
                <w:szCs w:val="18"/>
              </w:rPr>
            </w:pPr>
            <w:r w:rsidRPr="000D1B3E">
              <w:rPr>
                <w:rFonts w:cs="Arial"/>
                <w:b/>
                <w:bCs/>
                <w:sz w:val="18"/>
                <w:szCs w:val="18"/>
              </w:rPr>
              <w:t>5,936</w:t>
            </w:r>
          </w:p>
        </w:tc>
        <w:tc>
          <w:tcPr>
            <w:tcW w:w="1311" w:type="dxa"/>
            <w:tcBorders>
              <w:top w:val="nil"/>
              <w:left w:val="nil"/>
              <w:bottom w:val="nil"/>
              <w:right w:val="nil"/>
            </w:tcBorders>
            <w:shd w:val="clear" w:color="FFFFFF" w:fill="FFFFFF"/>
          </w:tcPr>
          <w:p w14:paraId="63EDD421" w14:textId="77777777" w:rsidR="00B040FE" w:rsidRPr="000D1B3E" w:rsidRDefault="00B040FE" w:rsidP="0047225D">
            <w:pPr>
              <w:spacing w:after="0"/>
              <w:jc w:val="right"/>
              <w:rPr>
                <w:rFonts w:cs="Arial"/>
                <w:b/>
                <w:bCs/>
                <w:sz w:val="18"/>
                <w:szCs w:val="18"/>
              </w:rPr>
            </w:pPr>
            <w:r w:rsidRPr="000D1B3E">
              <w:rPr>
                <w:rFonts w:cs="Arial"/>
                <w:b/>
                <w:bCs/>
                <w:sz w:val="18"/>
                <w:szCs w:val="18"/>
              </w:rPr>
              <w:t>-</w:t>
            </w:r>
          </w:p>
        </w:tc>
        <w:tc>
          <w:tcPr>
            <w:tcW w:w="1198" w:type="dxa"/>
            <w:tcBorders>
              <w:top w:val="nil"/>
              <w:left w:val="nil"/>
              <w:bottom w:val="nil"/>
              <w:right w:val="nil"/>
            </w:tcBorders>
            <w:shd w:val="clear" w:color="FFFFFF" w:fill="FFFFFF"/>
            <w:noWrap/>
            <w:vAlign w:val="bottom"/>
            <w:hideMark/>
          </w:tcPr>
          <w:p w14:paraId="35EFD406" w14:textId="77777777" w:rsidR="00B040FE" w:rsidRPr="000D1B3E" w:rsidRDefault="00B040FE" w:rsidP="0047225D">
            <w:pPr>
              <w:spacing w:after="0"/>
              <w:jc w:val="right"/>
              <w:rPr>
                <w:rFonts w:cs="Arial"/>
                <w:b/>
                <w:bCs/>
                <w:sz w:val="18"/>
                <w:szCs w:val="18"/>
              </w:rPr>
            </w:pPr>
            <w:r w:rsidRPr="000D1B3E">
              <w:rPr>
                <w:rFonts w:cs="Arial"/>
                <w:b/>
                <w:bCs/>
                <w:sz w:val="18"/>
                <w:szCs w:val="18"/>
              </w:rPr>
              <w:t>1,954,574</w:t>
            </w:r>
          </w:p>
        </w:tc>
      </w:tr>
      <w:tr w:rsidR="00B040FE" w:rsidRPr="000D1B3E" w14:paraId="112C797E" w14:textId="77777777" w:rsidTr="005E5E0C">
        <w:trPr>
          <w:trHeight w:val="250"/>
        </w:trPr>
        <w:tc>
          <w:tcPr>
            <w:tcW w:w="3544" w:type="dxa"/>
            <w:tcBorders>
              <w:top w:val="nil"/>
              <w:left w:val="nil"/>
              <w:bottom w:val="nil"/>
              <w:right w:val="nil"/>
            </w:tcBorders>
            <w:shd w:val="clear" w:color="FFFFFF" w:fill="FFFFFF"/>
            <w:vAlign w:val="bottom"/>
            <w:hideMark/>
          </w:tcPr>
          <w:p w14:paraId="0E216835" w14:textId="77777777" w:rsidR="00B040FE" w:rsidRPr="000D1B3E" w:rsidRDefault="00B040FE" w:rsidP="0047225D">
            <w:pPr>
              <w:spacing w:after="0"/>
              <w:rPr>
                <w:rFonts w:cs="Arial"/>
                <w:sz w:val="18"/>
                <w:szCs w:val="18"/>
              </w:rPr>
            </w:pPr>
            <w:r w:rsidRPr="000D1B3E">
              <w:rPr>
                <w:rFonts w:cs="Arial"/>
                <w:sz w:val="18"/>
                <w:szCs w:val="18"/>
              </w:rPr>
              <w:t>Additional provisions made</w:t>
            </w:r>
          </w:p>
        </w:tc>
        <w:tc>
          <w:tcPr>
            <w:tcW w:w="1417" w:type="dxa"/>
            <w:tcBorders>
              <w:top w:val="nil"/>
              <w:left w:val="nil"/>
              <w:bottom w:val="nil"/>
              <w:right w:val="nil"/>
            </w:tcBorders>
            <w:shd w:val="clear" w:color="FFFFFF" w:fill="FFFFFF"/>
            <w:noWrap/>
            <w:vAlign w:val="bottom"/>
            <w:hideMark/>
          </w:tcPr>
          <w:p w14:paraId="32A77619" w14:textId="77777777" w:rsidR="00B040FE" w:rsidRPr="000D1B3E" w:rsidRDefault="00B040FE" w:rsidP="0047225D">
            <w:pPr>
              <w:spacing w:after="0"/>
              <w:jc w:val="right"/>
              <w:rPr>
                <w:rFonts w:cs="Arial"/>
                <w:b/>
                <w:bCs/>
                <w:sz w:val="18"/>
                <w:szCs w:val="18"/>
              </w:rPr>
            </w:pPr>
            <w:r w:rsidRPr="000D1B3E">
              <w:rPr>
                <w:rFonts w:cs="Arial"/>
                <w:b/>
                <w:bCs/>
                <w:sz w:val="18"/>
                <w:szCs w:val="18"/>
              </w:rPr>
              <w:t>2,301,298</w:t>
            </w:r>
          </w:p>
        </w:tc>
        <w:tc>
          <w:tcPr>
            <w:tcW w:w="1666" w:type="dxa"/>
            <w:tcBorders>
              <w:top w:val="nil"/>
              <w:left w:val="nil"/>
              <w:bottom w:val="nil"/>
              <w:right w:val="nil"/>
            </w:tcBorders>
            <w:shd w:val="clear" w:color="FFFFFF" w:fill="FFFFFF"/>
            <w:noWrap/>
            <w:vAlign w:val="bottom"/>
            <w:hideMark/>
          </w:tcPr>
          <w:p w14:paraId="5D6A6370" w14:textId="77777777" w:rsidR="00B040FE" w:rsidRPr="000D1B3E" w:rsidRDefault="00B040FE" w:rsidP="0047225D">
            <w:pPr>
              <w:spacing w:after="0"/>
              <w:jc w:val="right"/>
              <w:rPr>
                <w:rFonts w:cs="Arial"/>
                <w:b/>
                <w:bCs/>
                <w:sz w:val="18"/>
                <w:szCs w:val="18"/>
              </w:rPr>
            </w:pPr>
            <w:r w:rsidRPr="000D1B3E">
              <w:rPr>
                <w:rFonts w:cs="Arial"/>
                <w:b/>
                <w:bCs/>
                <w:sz w:val="18"/>
                <w:szCs w:val="18"/>
              </w:rPr>
              <w:t>3,311</w:t>
            </w:r>
          </w:p>
        </w:tc>
        <w:tc>
          <w:tcPr>
            <w:tcW w:w="1311" w:type="dxa"/>
            <w:tcBorders>
              <w:top w:val="nil"/>
              <w:left w:val="nil"/>
              <w:bottom w:val="nil"/>
              <w:right w:val="nil"/>
            </w:tcBorders>
            <w:shd w:val="clear" w:color="FFFFFF" w:fill="FFFFFF"/>
          </w:tcPr>
          <w:p w14:paraId="5575AF08" w14:textId="77777777" w:rsidR="00B040FE" w:rsidRPr="000D1B3E" w:rsidRDefault="00B040FE" w:rsidP="0047225D">
            <w:pPr>
              <w:spacing w:after="0"/>
              <w:jc w:val="right"/>
              <w:rPr>
                <w:rFonts w:cs="Arial"/>
                <w:b/>
                <w:bCs/>
                <w:sz w:val="18"/>
                <w:szCs w:val="18"/>
              </w:rPr>
            </w:pPr>
            <w:r w:rsidRPr="000D1B3E">
              <w:rPr>
                <w:rFonts w:cs="Arial"/>
                <w:b/>
                <w:bCs/>
                <w:sz w:val="18"/>
                <w:szCs w:val="18"/>
              </w:rPr>
              <w:t>9,088</w:t>
            </w:r>
          </w:p>
        </w:tc>
        <w:tc>
          <w:tcPr>
            <w:tcW w:w="1198" w:type="dxa"/>
            <w:tcBorders>
              <w:top w:val="nil"/>
              <w:left w:val="nil"/>
              <w:bottom w:val="nil"/>
              <w:right w:val="nil"/>
            </w:tcBorders>
            <w:shd w:val="clear" w:color="FFFFFF" w:fill="FFFFFF"/>
            <w:noWrap/>
            <w:vAlign w:val="bottom"/>
            <w:hideMark/>
          </w:tcPr>
          <w:p w14:paraId="1EC89C9A" w14:textId="77777777" w:rsidR="00B040FE" w:rsidRPr="000D1B3E" w:rsidRDefault="00B040FE" w:rsidP="0047225D">
            <w:pPr>
              <w:spacing w:after="0"/>
              <w:jc w:val="right"/>
              <w:rPr>
                <w:rFonts w:cs="Arial"/>
                <w:b/>
                <w:bCs/>
                <w:sz w:val="18"/>
                <w:szCs w:val="18"/>
              </w:rPr>
            </w:pPr>
            <w:r w:rsidRPr="000D1B3E">
              <w:rPr>
                <w:rFonts w:cs="Arial"/>
                <w:b/>
                <w:bCs/>
                <w:sz w:val="18"/>
                <w:szCs w:val="18"/>
              </w:rPr>
              <w:t>2,313,697</w:t>
            </w:r>
          </w:p>
        </w:tc>
      </w:tr>
      <w:tr w:rsidR="00B040FE" w:rsidRPr="000D1B3E" w14:paraId="76377AB5" w14:textId="77777777" w:rsidTr="005E5E0C">
        <w:trPr>
          <w:trHeight w:val="250"/>
        </w:trPr>
        <w:tc>
          <w:tcPr>
            <w:tcW w:w="3544" w:type="dxa"/>
            <w:tcBorders>
              <w:top w:val="nil"/>
              <w:left w:val="nil"/>
              <w:bottom w:val="nil"/>
              <w:right w:val="nil"/>
            </w:tcBorders>
            <w:shd w:val="clear" w:color="FFFFFF" w:fill="FFFFFF"/>
            <w:vAlign w:val="bottom"/>
            <w:hideMark/>
          </w:tcPr>
          <w:p w14:paraId="723D9D6E" w14:textId="77777777" w:rsidR="00B040FE" w:rsidRPr="000D1B3E" w:rsidRDefault="00B040FE" w:rsidP="0047225D">
            <w:pPr>
              <w:spacing w:after="0"/>
              <w:rPr>
                <w:rFonts w:cs="Arial"/>
                <w:sz w:val="18"/>
                <w:szCs w:val="18"/>
              </w:rPr>
            </w:pPr>
            <w:r w:rsidRPr="000D1B3E">
              <w:rPr>
                <w:rFonts w:cs="Arial"/>
                <w:sz w:val="18"/>
                <w:szCs w:val="18"/>
              </w:rPr>
              <w:t>Amounts reversed</w:t>
            </w:r>
          </w:p>
        </w:tc>
        <w:tc>
          <w:tcPr>
            <w:tcW w:w="1417" w:type="dxa"/>
            <w:tcBorders>
              <w:top w:val="nil"/>
              <w:left w:val="nil"/>
              <w:bottom w:val="nil"/>
              <w:right w:val="nil"/>
            </w:tcBorders>
            <w:shd w:val="clear" w:color="FFFFFF" w:fill="FFFFFF"/>
            <w:noWrap/>
            <w:vAlign w:val="bottom"/>
            <w:hideMark/>
          </w:tcPr>
          <w:p w14:paraId="40CD69D1" w14:textId="77777777" w:rsidR="00B040FE" w:rsidRPr="000D1B3E" w:rsidRDefault="00B040FE" w:rsidP="0047225D">
            <w:pPr>
              <w:spacing w:after="0"/>
              <w:jc w:val="right"/>
              <w:rPr>
                <w:rFonts w:cs="Arial"/>
                <w:b/>
                <w:bCs/>
                <w:sz w:val="18"/>
                <w:szCs w:val="18"/>
              </w:rPr>
            </w:pPr>
            <w:r w:rsidRPr="000D1B3E">
              <w:rPr>
                <w:rFonts w:cs="Arial"/>
                <w:b/>
                <w:bCs/>
                <w:sz w:val="18"/>
                <w:szCs w:val="18"/>
              </w:rPr>
              <w:t>(380,790)</w:t>
            </w:r>
          </w:p>
        </w:tc>
        <w:tc>
          <w:tcPr>
            <w:tcW w:w="1666" w:type="dxa"/>
            <w:tcBorders>
              <w:top w:val="nil"/>
              <w:left w:val="nil"/>
              <w:bottom w:val="nil"/>
              <w:right w:val="nil"/>
            </w:tcBorders>
            <w:shd w:val="clear" w:color="FFFFFF" w:fill="FFFFFF"/>
            <w:noWrap/>
            <w:vAlign w:val="bottom"/>
            <w:hideMark/>
          </w:tcPr>
          <w:p w14:paraId="23613D49" w14:textId="77777777" w:rsidR="00B040FE" w:rsidRPr="000D1B3E" w:rsidRDefault="00B040FE" w:rsidP="0047225D">
            <w:pPr>
              <w:spacing w:after="0"/>
              <w:jc w:val="right"/>
              <w:rPr>
                <w:rFonts w:cs="Arial"/>
                <w:b/>
                <w:bCs/>
                <w:sz w:val="18"/>
                <w:szCs w:val="18"/>
              </w:rPr>
            </w:pPr>
            <w:r w:rsidRPr="000D1B3E">
              <w:rPr>
                <w:rFonts w:cs="Arial"/>
                <w:b/>
                <w:bCs/>
                <w:sz w:val="18"/>
                <w:szCs w:val="18"/>
              </w:rPr>
              <w:t>(227)</w:t>
            </w:r>
          </w:p>
        </w:tc>
        <w:tc>
          <w:tcPr>
            <w:tcW w:w="1311" w:type="dxa"/>
            <w:tcBorders>
              <w:top w:val="nil"/>
              <w:left w:val="nil"/>
              <w:bottom w:val="nil"/>
              <w:right w:val="nil"/>
            </w:tcBorders>
            <w:shd w:val="clear" w:color="FFFFFF" w:fill="FFFFFF"/>
          </w:tcPr>
          <w:p w14:paraId="6478E27F" w14:textId="77777777" w:rsidR="00B040FE" w:rsidRPr="000D1B3E" w:rsidRDefault="00B040FE" w:rsidP="0047225D">
            <w:pPr>
              <w:spacing w:after="0"/>
              <w:jc w:val="right"/>
              <w:rPr>
                <w:rFonts w:cs="Arial"/>
                <w:b/>
                <w:bCs/>
                <w:sz w:val="18"/>
                <w:szCs w:val="18"/>
              </w:rPr>
            </w:pPr>
            <w:r w:rsidRPr="000D1B3E">
              <w:rPr>
                <w:rFonts w:cs="Arial"/>
                <w:b/>
                <w:bCs/>
                <w:sz w:val="18"/>
                <w:szCs w:val="18"/>
              </w:rPr>
              <w:t>-</w:t>
            </w:r>
          </w:p>
        </w:tc>
        <w:tc>
          <w:tcPr>
            <w:tcW w:w="1198" w:type="dxa"/>
            <w:tcBorders>
              <w:top w:val="nil"/>
              <w:left w:val="nil"/>
              <w:bottom w:val="nil"/>
              <w:right w:val="nil"/>
            </w:tcBorders>
            <w:shd w:val="clear" w:color="FFFFFF" w:fill="FFFFFF"/>
            <w:noWrap/>
            <w:vAlign w:val="bottom"/>
            <w:hideMark/>
          </w:tcPr>
          <w:p w14:paraId="0C961F32" w14:textId="77777777" w:rsidR="00B040FE" w:rsidRPr="000D1B3E" w:rsidRDefault="00B040FE" w:rsidP="0047225D">
            <w:pPr>
              <w:spacing w:after="0"/>
              <w:jc w:val="right"/>
              <w:rPr>
                <w:rFonts w:cs="Arial"/>
                <w:b/>
                <w:bCs/>
                <w:sz w:val="18"/>
                <w:szCs w:val="18"/>
              </w:rPr>
            </w:pPr>
            <w:r w:rsidRPr="000D1B3E">
              <w:rPr>
                <w:rFonts w:cs="Arial"/>
                <w:b/>
                <w:bCs/>
                <w:sz w:val="18"/>
                <w:szCs w:val="18"/>
              </w:rPr>
              <w:t>(381,017)</w:t>
            </w:r>
          </w:p>
        </w:tc>
      </w:tr>
      <w:tr w:rsidR="00B040FE" w:rsidRPr="000D1B3E" w14:paraId="07685025" w14:textId="77777777" w:rsidTr="005E5E0C">
        <w:trPr>
          <w:trHeight w:val="250"/>
        </w:trPr>
        <w:tc>
          <w:tcPr>
            <w:tcW w:w="3544" w:type="dxa"/>
            <w:tcBorders>
              <w:top w:val="nil"/>
              <w:left w:val="nil"/>
              <w:bottom w:val="nil"/>
              <w:right w:val="nil"/>
            </w:tcBorders>
            <w:shd w:val="clear" w:color="FFFFFF" w:fill="FFFFFF"/>
            <w:vAlign w:val="bottom"/>
            <w:hideMark/>
          </w:tcPr>
          <w:p w14:paraId="496B5EC6" w14:textId="77777777" w:rsidR="00B040FE" w:rsidRPr="000D1B3E" w:rsidRDefault="00B040FE" w:rsidP="0047225D">
            <w:pPr>
              <w:spacing w:after="0"/>
              <w:rPr>
                <w:rFonts w:cs="Arial"/>
                <w:sz w:val="18"/>
                <w:szCs w:val="18"/>
              </w:rPr>
            </w:pPr>
            <w:r w:rsidRPr="000D1B3E">
              <w:rPr>
                <w:rFonts w:cs="Arial"/>
                <w:sz w:val="18"/>
                <w:szCs w:val="18"/>
              </w:rPr>
              <w:t>Amounts used</w:t>
            </w:r>
          </w:p>
        </w:tc>
        <w:tc>
          <w:tcPr>
            <w:tcW w:w="1417" w:type="dxa"/>
            <w:tcBorders>
              <w:top w:val="nil"/>
              <w:left w:val="nil"/>
              <w:bottom w:val="nil"/>
              <w:right w:val="nil"/>
            </w:tcBorders>
            <w:shd w:val="clear" w:color="FFFFFF" w:fill="FFFFFF"/>
            <w:noWrap/>
            <w:vAlign w:val="bottom"/>
            <w:hideMark/>
          </w:tcPr>
          <w:p w14:paraId="371FB6DC" w14:textId="77777777" w:rsidR="00B040FE" w:rsidRPr="000D1B3E" w:rsidRDefault="00B040FE" w:rsidP="0047225D">
            <w:pPr>
              <w:spacing w:after="0"/>
              <w:jc w:val="right"/>
              <w:rPr>
                <w:rFonts w:cs="Arial"/>
                <w:b/>
                <w:bCs/>
                <w:sz w:val="18"/>
                <w:szCs w:val="18"/>
              </w:rPr>
            </w:pPr>
            <w:r w:rsidRPr="000D1B3E">
              <w:rPr>
                <w:rFonts w:cs="Arial"/>
                <w:b/>
                <w:bCs/>
                <w:sz w:val="18"/>
                <w:szCs w:val="18"/>
              </w:rPr>
              <w:t>(1,802,993)</w:t>
            </w:r>
          </w:p>
        </w:tc>
        <w:tc>
          <w:tcPr>
            <w:tcW w:w="1666" w:type="dxa"/>
            <w:tcBorders>
              <w:top w:val="nil"/>
              <w:left w:val="nil"/>
              <w:bottom w:val="nil"/>
              <w:right w:val="nil"/>
            </w:tcBorders>
            <w:shd w:val="clear" w:color="FFFFFF" w:fill="FFFFFF"/>
            <w:noWrap/>
            <w:vAlign w:val="bottom"/>
            <w:hideMark/>
          </w:tcPr>
          <w:p w14:paraId="56B6E319" w14:textId="77777777" w:rsidR="00B040FE" w:rsidRPr="000D1B3E" w:rsidRDefault="00B040FE" w:rsidP="0047225D">
            <w:pPr>
              <w:spacing w:after="0"/>
              <w:jc w:val="right"/>
              <w:rPr>
                <w:rFonts w:cs="Arial"/>
                <w:b/>
                <w:bCs/>
                <w:sz w:val="18"/>
                <w:szCs w:val="18"/>
              </w:rPr>
            </w:pPr>
            <w:r w:rsidRPr="000D1B3E">
              <w:rPr>
                <w:rFonts w:cs="Arial"/>
                <w:b/>
                <w:bCs/>
                <w:sz w:val="18"/>
                <w:szCs w:val="18"/>
              </w:rPr>
              <w:t>(1,103)</w:t>
            </w:r>
          </w:p>
        </w:tc>
        <w:tc>
          <w:tcPr>
            <w:tcW w:w="1311" w:type="dxa"/>
            <w:tcBorders>
              <w:top w:val="nil"/>
              <w:left w:val="nil"/>
              <w:bottom w:val="nil"/>
              <w:right w:val="nil"/>
            </w:tcBorders>
            <w:shd w:val="clear" w:color="FFFFFF" w:fill="FFFFFF"/>
          </w:tcPr>
          <w:p w14:paraId="4133135E" w14:textId="77777777" w:rsidR="00B040FE" w:rsidRPr="000D1B3E" w:rsidRDefault="00B040FE" w:rsidP="0047225D">
            <w:pPr>
              <w:spacing w:after="0"/>
              <w:jc w:val="right"/>
              <w:rPr>
                <w:rFonts w:cs="Arial"/>
                <w:b/>
                <w:bCs/>
                <w:sz w:val="18"/>
                <w:szCs w:val="18"/>
              </w:rPr>
            </w:pPr>
            <w:r w:rsidRPr="000D1B3E">
              <w:rPr>
                <w:rFonts w:cs="Arial"/>
                <w:b/>
                <w:bCs/>
                <w:sz w:val="18"/>
                <w:szCs w:val="18"/>
              </w:rPr>
              <w:t>-</w:t>
            </w:r>
          </w:p>
        </w:tc>
        <w:tc>
          <w:tcPr>
            <w:tcW w:w="1198" w:type="dxa"/>
            <w:tcBorders>
              <w:top w:val="nil"/>
              <w:left w:val="nil"/>
              <w:bottom w:val="nil"/>
              <w:right w:val="nil"/>
            </w:tcBorders>
            <w:shd w:val="clear" w:color="FFFFFF" w:fill="FFFFFF"/>
            <w:noWrap/>
            <w:vAlign w:val="bottom"/>
            <w:hideMark/>
          </w:tcPr>
          <w:p w14:paraId="5F7ADC75" w14:textId="77777777" w:rsidR="00B040FE" w:rsidRPr="000D1B3E" w:rsidRDefault="00B040FE" w:rsidP="0047225D">
            <w:pPr>
              <w:spacing w:after="0"/>
              <w:jc w:val="right"/>
              <w:rPr>
                <w:rFonts w:cs="Arial"/>
                <w:b/>
                <w:bCs/>
                <w:sz w:val="18"/>
                <w:szCs w:val="18"/>
              </w:rPr>
            </w:pPr>
            <w:r w:rsidRPr="000D1B3E">
              <w:rPr>
                <w:rFonts w:cs="Arial"/>
                <w:b/>
                <w:bCs/>
                <w:sz w:val="18"/>
                <w:szCs w:val="18"/>
              </w:rPr>
              <w:t>(1,804,096)</w:t>
            </w:r>
          </w:p>
        </w:tc>
      </w:tr>
      <w:tr w:rsidR="00B040FE" w:rsidRPr="000D1B3E" w14:paraId="0257127F" w14:textId="77777777" w:rsidTr="005E5E0C">
        <w:trPr>
          <w:trHeight w:val="270"/>
        </w:trPr>
        <w:tc>
          <w:tcPr>
            <w:tcW w:w="3544" w:type="dxa"/>
            <w:tcBorders>
              <w:top w:val="nil"/>
              <w:left w:val="nil"/>
              <w:bottom w:val="nil"/>
              <w:right w:val="nil"/>
            </w:tcBorders>
            <w:shd w:val="clear" w:color="FFFFFF" w:fill="FFFFFF"/>
            <w:hideMark/>
          </w:tcPr>
          <w:p w14:paraId="47D75489" w14:textId="77777777" w:rsidR="00B040FE" w:rsidRPr="000D1B3E" w:rsidRDefault="00B040FE" w:rsidP="0047225D">
            <w:pPr>
              <w:spacing w:after="0"/>
              <w:rPr>
                <w:rFonts w:cs="Arial"/>
                <w:sz w:val="18"/>
                <w:szCs w:val="18"/>
              </w:rPr>
            </w:pPr>
            <w:r w:rsidRPr="000D1B3E">
              <w:rPr>
                <w:rFonts w:cs="Arial"/>
                <w:sz w:val="18"/>
                <w:szCs w:val="18"/>
              </w:rPr>
              <w:t>Unwinding of discount or change in discount rate</w:t>
            </w:r>
          </w:p>
        </w:tc>
        <w:tc>
          <w:tcPr>
            <w:tcW w:w="1417" w:type="dxa"/>
            <w:tcBorders>
              <w:top w:val="nil"/>
              <w:left w:val="nil"/>
              <w:bottom w:val="nil"/>
              <w:right w:val="nil"/>
            </w:tcBorders>
            <w:shd w:val="clear" w:color="FFFFFF" w:fill="FFFFFF"/>
            <w:noWrap/>
            <w:vAlign w:val="bottom"/>
            <w:hideMark/>
          </w:tcPr>
          <w:p w14:paraId="2AD2F558" w14:textId="77777777" w:rsidR="00B040FE" w:rsidRPr="000D1B3E" w:rsidRDefault="00B040FE" w:rsidP="0047225D">
            <w:pPr>
              <w:spacing w:after="0"/>
              <w:jc w:val="right"/>
              <w:rPr>
                <w:rFonts w:cs="Arial"/>
                <w:b/>
                <w:bCs/>
                <w:sz w:val="18"/>
                <w:szCs w:val="18"/>
              </w:rPr>
            </w:pPr>
            <w:r w:rsidRPr="000D1B3E">
              <w:rPr>
                <w:rFonts w:cs="Arial"/>
                <w:b/>
                <w:bCs/>
                <w:sz w:val="18"/>
                <w:szCs w:val="18"/>
              </w:rPr>
              <w:t>-</w:t>
            </w:r>
          </w:p>
        </w:tc>
        <w:tc>
          <w:tcPr>
            <w:tcW w:w="1666" w:type="dxa"/>
            <w:tcBorders>
              <w:top w:val="nil"/>
              <w:left w:val="nil"/>
              <w:bottom w:val="nil"/>
              <w:right w:val="nil"/>
            </w:tcBorders>
            <w:shd w:val="clear" w:color="FFFFFF" w:fill="FFFFFF"/>
            <w:noWrap/>
            <w:vAlign w:val="bottom"/>
            <w:hideMark/>
          </w:tcPr>
          <w:p w14:paraId="7A1B082F" w14:textId="77777777" w:rsidR="00B040FE" w:rsidRPr="000D1B3E" w:rsidRDefault="00B040FE" w:rsidP="0047225D">
            <w:pPr>
              <w:spacing w:after="0"/>
              <w:jc w:val="right"/>
              <w:rPr>
                <w:rFonts w:cs="Arial"/>
                <w:b/>
                <w:bCs/>
                <w:sz w:val="18"/>
                <w:szCs w:val="18"/>
              </w:rPr>
            </w:pPr>
            <w:r w:rsidRPr="000D1B3E">
              <w:rPr>
                <w:rFonts w:cs="Arial"/>
                <w:b/>
                <w:bCs/>
                <w:sz w:val="18"/>
                <w:szCs w:val="18"/>
              </w:rPr>
              <w:t>(450)</w:t>
            </w:r>
          </w:p>
        </w:tc>
        <w:tc>
          <w:tcPr>
            <w:tcW w:w="1311" w:type="dxa"/>
            <w:tcBorders>
              <w:top w:val="nil"/>
              <w:left w:val="nil"/>
              <w:bottom w:val="nil"/>
              <w:right w:val="nil"/>
            </w:tcBorders>
            <w:shd w:val="clear" w:color="FFFFFF" w:fill="FFFFFF"/>
            <w:vAlign w:val="bottom"/>
          </w:tcPr>
          <w:p w14:paraId="7A15DD65" w14:textId="77777777" w:rsidR="00B040FE" w:rsidRPr="000D1B3E" w:rsidRDefault="00B040FE" w:rsidP="0047225D">
            <w:pPr>
              <w:spacing w:after="0"/>
              <w:jc w:val="right"/>
              <w:rPr>
                <w:rFonts w:cs="Arial"/>
                <w:b/>
                <w:bCs/>
                <w:sz w:val="18"/>
                <w:szCs w:val="18"/>
              </w:rPr>
            </w:pPr>
            <w:r w:rsidRPr="000D1B3E">
              <w:rPr>
                <w:rFonts w:cs="Arial"/>
                <w:b/>
                <w:bCs/>
                <w:sz w:val="18"/>
                <w:szCs w:val="18"/>
              </w:rPr>
              <w:t>-</w:t>
            </w:r>
          </w:p>
        </w:tc>
        <w:tc>
          <w:tcPr>
            <w:tcW w:w="1198" w:type="dxa"/>
            <w:tcBorders>
              <w:top w:val="nil"/>
              <w:left w:val="nil"/>
              <w:bottom w:val="nil"/>
              <w:right w:val="nil"/>
            </w:tcBorders>
            <w:shd w:val="clear" w:color="FFFFFF" w:fill="FFFFFF"/>
            <w:noWrap/>
            <w:vAlign w:val="bottom"/>
            <w:hideMark/>
          </w:tcPr>
          <w:p w14:paraId="33DB624E" w14:textId="77777777" w:rsidR="00B040FE" w:rsidRPr="000D1B3E" w:rsidRDefault="00B040FE" w:rsidP="0047225D">
            <w:pPr>
              <w:spacing w:after="0"/>
              <w:jc w:val="right"/>
              <w:rPr>
                <w:rFonts w:cs="Arial"/>
                <w:b/>
                <w:bCs/>
                <w:sz w:val="18"/>
                <w:szCs w:val="18"/>
              </w:rPr>
            </w:pPr>
            <w:r w:rsidRPr="000D1B3E">
              <w:rPr>
                <w:rFonts w:cs="Arial"/>
                <w:b/>
                <w:bCs/>
                <w:sz w:val="18"/>
                <w:szCs w:val="18"/>
              </w:rPr>
              <w:t>(450)</w:t>
            </w:r>
          </w:p>
        </w:tc>
      </w:tr>
      <w:tr w:rsidR="00B040FE" w:rsidRPr="000D1B3E" w14:paraId="587E2A70" w14:textId="77777777" w:rsidTr="005E5E0C">
        <w:trPr>
          <w:trHeight w:val="260"/>
        </w:trPr>
        <w:tc>
          <w:tcPr>
            <w:tcW w:w="3544" w:type="dxa"/>
            <w:tcBorders>
              <w:top w:val="single" w:sz="4" w:space="0" w:color="auto"/>
              <w:left w:val="nil"/>
              <w:bottom w:val="single" w:sz="4" w:space="0" w:color="auto"/>
              <w:right w:val="nil"/>
            </w:tcBorders>
            <w:shd w:val="clear" w:color="FFFFFF" w:fill="FFFFFF"/>
            <w:vAlign w:val="bottom"/>
            <w:hideMark/>
          </w:tcPr>
          <w:p w14:paraId="616D428A" w14:textId="77777777" w:rsidR="00B040FE" w:rsidRPr="000D1B3E" w:rsidRDefault="00B040FE" w:rsidP="0047225D">
            <w:pPr>
              <w:spacing w:after="0"/>
              <w:rPr>
                <w:rFonts w:cs="Arial"/>
                <w:b/>
                <w:bCs/>
                <w:sz w:val="18"/>
                <w:szCs w:val="18"/>
              </w:rPr>
            </w:pPr>
            <w:r w:rsidRPr="000D1B3E">
              <w:rPr>
                <w:rFonts w:cs="Arial"/>
                <w:b/>
                <w:bCs/>
                <w:sz w:val="18"/>
                <w:szCs w:val="18"/>
              </w:rPr>
              <w:t>Closing balance 30 June 2024</w:t>
            </w:r>
          </w:p>
        </w:tc>
        <w:tc>
          <w:tcPr>
            <w:tcW w:w="1417" w:type="dxa"/>
            <w:tcBorders>
              <w:top w:val="single" w:sz="4" w:space="0" w:color="auto"/>
              <w:left w:val="nil"/>
              <w:bottom w:val="single" w:sz="4" w:space="0" w:color="auto"/>
              <w:right w:val="nil"/>
            </w:tcBorders>
            <w:shd w:val="clear" w:color="FFFFFF" w:fill="FFFFFF"/>
            <w:noWrap/>
            <w:vAlign w:val="bottom"/>
            <w:hideMark/>
          </w:tcPr>
          <w:p w14:paraId="379E8F03" w14:textId="77777777" w:rsidR="00B040FE" w:rsidRPr="000D1B3E" w:rsidRDefault="00B040FE" w:rsidP="0047225D">
            <w:pPr>
              <w:spacing w:after="0"/>
              <w:jc w:val="right"/>
              <w:rPr>
                <w:rFonts w:cs="Arial"/>
                <w:b/>
                <w:bCs/>
                <w:sz w:val="18"/>
                <w:szCs w:val="18"/>
              </w:rPr>
            </w:pPr>
            <w:r w:rsidRPr="000D1B3E">
              <w:rPr>
                <w:rFonts w:cs="Arial"/>
                <w:b/>
                <w:bCs/>
                <w:sz w:val="18"/>
                <w:szCs w:val="18"/>
              </w:rPr>
              <w:t>2,066,153</w:t>
            </w:r>
          </w:p>
        </w:tc>
        <w:tc>
          <w:tcPr>
            <w:tcW w:w="1666" w:type="dxa"/>
            <w:tcBorders>
              <w:top w:val="single" w:sz="4" w:space="0" w:color="auto"/>
              <w:left w:val="nil"/>
              <w:bottom w:val="single" w:sz="4" w:space="0" w:color="auto"/>
              <w:right w:val="nil"/>
            </w:tcBorders>
            <w:shd w:val="clear" w:color="FFFFFF" w:fill="FFFFFF"/>
            <w:noWrap/>
            <w:vAlign w:val="bottom"/>
            <w:hideMark/>
          </w:tcPr>
          <w:p w14:paraId="58E13FA1" w14:textId="77777777" w:rsidR="00B040FE" w:rsidRPr="000D1B3E" w:rsidRDefault="00B040FE" w:rsidP="0047225D">
            <w:pPr>
              <w:spacing w:after="0"/>
              <w:jc w:val="right"/>
              <w:rPr>
                <w:rFonts w:cs="Arial"/>
                <w:b/>
                <w:bCs/>
                <w:sz w:val="18"/>
                <w:szCs w:val="18"/>
              </w:rPr>
            </w:pPr>
            <w:r w:rsidRPr="000D1B3E">
              <w:rPr>
                <w:rFonts w:cs="Arial"/>
                <w:b/>
                <w:bCs/>
                <w:sz w:val="18"/>
                <w:szCs w:val="18"/>
              </w:rPr>
              <w:t>7,467</w:t>
            </w:r>
          </w:p>
        </w:tc>
        <w:tc>
          <w:tcPr>
            <w:tcW w:w="1311" w:type="dxa"/>
            <w:tcBorders>
              <w:top w:val="single" w:sz="4" w:space="0" w:color="auto"/>
              <w:left w:val="nil"/>
              <w:bottom w:val="single" w:sz="4" w:space="0" w:color="auto"/>
              <w:right w:val="nil"/>
            </w:tcBorders>
            <w:shd w:val="clear" w:color="FFFFFF" w:fill="FFFFFF"/>
          </w:tcPr>
          <w:p w14:paraId="5452DFA6" w14:textId="77777777" w:rsidR="00B040FE" w:rsidRPr="000D1B3E" w:rsidRDefault="00B040FE" w:rsidP="0047225D">
            <w:pPr>
              <w:spacing w:after="0"/>
              <w:jc w:val="right"/>
              <w:rPr>
                <w:rFonts w:cs="Arial"/>
                <w:b/>
                <w:bCs/>
                <w:sz w:val="18"/>
                <w:szCs w:val="18"/>
              </w:rPr>
            </w:pPr>
            <w:r w:rsidRPr="000D1B3E">
              <w:rPr>
                <w:rFonts w:cs="Arial"/>
                <w:b/>
                <w:bCs/>
                <w:sz w:val="18"/>
                <w:szCs w:val="18"/>
              </w:rPr>
              <w:t>9,088</w:t>
            </w:r>
          </w:p>
        </w:tc>
        <w:tc>
          <w:tcPr>
            <w:tcW w:w="1198" w:type="dxa"/>
            <w:tcBorders>
              <w:top w:val="single" w:sz="4" w:space="0" w:color="auto"/>
              <w:left w:val="nil"/>
              <w:bottom w:val="single" w:sz="4" w:space="0" w:color="auto"/>
              <w:right w:val="nil"/>
            </w:tcBorders>
            <w:shd w:val="clear" w:color="FFFFFF" w:fill="FFFFFF"/>
            <w:noWrap/>
            <w:vAlign w:val="bottom"/>
            <w:hideMark/>
          </w:tcPr>
          <w:p w14:paraId="0A5ACD2F" w14:textId="77777777" w:rsidR="00B040FE" w:rsidRPr="000D1B3E" w:rsidRDefault="00B040FE" w:rsidP="0047225D">
            <w:pPr>
              <w:spacing w:after="0"/>
              <w:jc w:val="right"/>
              <w:rPr>
                <w:rFonts w:cs="Arial"/>
                <w:b/>
                <w:bCs/>
                <w:sz w:val="18"/>
                <w:szCs w:val="18"/>
              </w:rPr>
            </w:pPr>
            <w:r w:rsidRPr="000D1B3E">
              <w:rPr>
                <w:rFonts w:cs="Arial"/>
                <w:b/>
                <w:bCs/>
                <w:sz w:val="18"/>
                <w:szCs w:val="18"/>
              </w:rPr>
              <w:t>2,082,708</w:t>
            </w:r>
          </w:p>
        </w:tc>
      </w:tr>
    </w:tbl>
    <w:p w14:paraId="7B2EE486" w14:textId="77777777" w:rsidR="00B040FE" w:rsidRPr="000D1B3E" w:rsidRDefault="00B040FE" w:rsidP="00B040FE">
      <w:pPr>
        <w:spacing w:line="240" w:lineRule="auto"/>
        <w:rPr>
          <w:rFonts w:cs="Arial"/>
          <w:sz w:val="18"/>
          <w:szCs w:val="18"/>
        </w:rPr>
      </w:pPr>
    </w:p>
    <w:p w14:paraId="5101E0B7" w14:textId="77777777" w:rsidR="00B040FE" w:rsidRPr="000D1B3E" w:rsidRDefault="00B040FE" w:rsidP="000D1B3E">
      <w:pPr>
        <w:spacing w:before="120" w:after="120" w:line="264" w:lineRule="auto"/>
        <w:rPr>
          <w:rFonts w:cs="Arial"/>
          <w:sz w:val="18"/>
          <w:szCs w:val="18"/>
        </w:rPr>
      </w:pPr>
      <w:r w:rsidRPr="000D1B3E">
        <w:rPr>
          <w:rFonts w:cs="Arial"/>
          <w:sz w:val="18"/>
          <w:szCs w:val="18"/>
        </w:rPr>
        <w:t>The Agency makes a provision for the reasonable and necessary supports provided to participants during the period but not yet notified to the Agency. The provision represents the best estimate of the amount based on available evidence in relation to rates of expenditure by participants and is informed by actuarial analysis.</w:t>
      </w:r>
    </w:p>
    <w:p w14:paraId="0FEBE9FB" w14:textId="77777777" w:rsidR="00B040FE" w:rsidRPr="000D1B3E" w:rsidRDefault="00B040FE" w:rsidP="000D1B3E">
      <w:pPr>
        <w:spacing w:before="120" w:after="120" w:line="264" w:lineRule="auto"/>
        <w:rPr>
          <w:rFonts w:cs="Arial"/>
          <w:sz w:val="18"/>
          <w:szCs w:val="18"/>
        </w:rPr>
      </w:pPr>
      <w:r w:rsidRPr="000D1B3E">
        <w:rPr>
          <w:rFonts w:cs="Arial"/>
          <w:sz w:val="18"/>
          <w:szCs w:val="18"/>
        </w:rPr>
        <w:t>No liability is recorded for any participant supports to be provided in future reporting periods as the relevant recognition criteria are not met.</w:t>
      </w:r>
    </w:p>
    <w:p w14:paraId="687C05B1" w14:textId="77777777" w:rsidR="00B040FE" w:rsidRPr="000D1B3E" w:rsidRDefault="00B040FE" w:rsidP="000D1B3E">
      <w:pPr>
        <w:pStyle w:val="CEOBrief-Paragraph1"/>
        <w:numPr>
          <w:ilvl w:val="0"/>
          <w:numId w:val="0"/>
        </w:numPr>
        <w:spacing w:line="264" w:lineRule="auto"/>
        <w:rPr>
          <w:sz w:val="18"/>
          <w:szCs w:val="18"/>
        </w:rPr>
      </w:pPr>
      <w:r w:rsidRPr="000D1B3E">
        <w:rPr>
          <w:sz w:val="18"/>
          <w:szCs w:val="18"/>
        </w:rPr>
        <w:t xml:space="preserve">In 2023-24, the Agency assessed that a risk margin was no longer required in its estimation of the participant plan provision. Improvements to the calculation of the provision and the predictability of payment data have removed the need for a risk margin. </w:t>
      </w:r>
    </w:p>
    <w:p w14:paraId="78F34A63" w14:textId="77777777" w:rsidR="00B040FE" w:rsidRPr="000D1B3E" w:rsidRDefault="00B040FE" w:rsidP="000D1B3E">
      <w:pPr>
        <w:spacing w:before="120" w:after="120" w:line="264" w:lineRule="auto"/>
        <w:rPr>
          <w:rFonts w:cs="Arial"/>
          <w:sz w:val="18"/>
          <w:szCs w:val="18"/>
        </w:rPr>
      </w:pPr>
      <w:r w:rsidRPr="000D1B3E">
        <w:rPr>
          <w:rFonts w:cs="Arial"/>
          <w:sz w:val="18"/>
          <w:szCs w:val="18"/>
        </w:rPr>
        <w:t>The change in the accounting has resulted in a decrease of $175.1m in the participant plan provision for 2023- 24.</w:t>
      </w:r>
    </w:p>
    <w:p w14:paraId="609B1B5E" w14:textId="77777777" w:rsidR="00B040FE" w:rsidRPr="000D1B3E" w:rsidRDefault="00B040FE" w:rsidP="000D1B3E">
      <w:pPr>
        <w:spacing w:before="120" w:after="120" w:line="264" w:lineRule="auto"/>
        <w:rPr>
          <w:rFonts w:cs="Arial"/>
          <w:sz w:val="18"/>
          <w:szCs w:val="18"/>
        </w:rPr>
      </w:pPr>
      <w:r w:rsidRPr="000D1B3E">
        <w:rPr>
          <w:rFonts w:cs="Arial"/>
          <w:sz w:val="18"/>
          <w:szCs w:val="18"/>
        </w:rPr>
        <w:t>The Agency has 28 (</w:t>
      </w:r>
      <w:r w:rsidRPr="000D1B3E">
        <w:rPr>
          <w:rFonts w:cs="Arial"/>
          <w:sz w:val="18"/>
          <w:szCs w:val="18"/>
        </w:rPr>
        <w:fldChar w:fldCharType="begin"/>
      </w:r>
      <w:r w:rsidRPr="000D1B3E">
        <w:rPr>
          <w:rFonts w:cs="Arial"/>
          <w:sz w:val="18"/>
          <w:szCs w:val="18"/>
        </w:rPr>
        <w:instrText xml:space="preserve"> DOCPROPERTY  prYear  \* MERGEFORMAT </w:instrText>
      </w:r>
      <w:r w:rsidRPr="000D1B3E">
        <w:rPr>
          <w:rFonts w:cs="Arial"/>
          <w:sz w:val="18"/>
          <w:szCs w:val="18"/>
        </w:rPr>
        <w:fldChar w:fldCharType="separate"/>
      </w:r>
      <w:r w:rsidRPr="000D1B3E">
        <w:rPr>
          <w:rFonts w:cs="Arial"/>
          <w:sz w:val="18"/>
          <w:szCs w:val="18"/>
        </w:rPr>
        <w:t>2023</w:t>
      </w:r>
      <w:r w:rsidRPr="000D1B3E">
        <w:rPr>
          <w:rFonts w:cs="Arial"/>
          <w:sz w:val="18"/>
          <w:szCs w:val="18"/>
        </w:rPr>
        <w:fldChar w:fldCharType="end"/>
      </w:r>
      <w:r w:rsidRPr="000D1B3E">
        <w:rPr>
          <w:rFonts w:cs="Arial"/>
          <w:sz w:val="18"/>
          <w:szCs w:val="18"/>
        </w:rPr>
        <w:t>: 34) agreements for the leasing of premises, which have provisions requiring the entity to restore the premises to their original condition at the conclusion of the lease. The Agency has made a provision to reflect the present value of this obligation.</w:t>
      </w:r>
    </w:p>
    <w:p w14:paraId="7626D654" w14:textId="77777777" w:rsidR="00B040FE" w:rsidRPr="000D1B3E" w:rsidRDefault="00B040FE" w:rsidP="000D1B3E">
      <w:pPr>
        <w:spacing w:before="120" w:after="120" w:line="264" w:lineRule="auto"/>
        <w:rPr>
          <w:rFonts w:cs="Arial"/>
          <w:sz w:val="18"/>
          <w:szCs w:val="18"/>
        </w:rPr>
      </w:pPr>
      <w:r w:rsidRPr="000D1B3E">
        <w:rPr>
          <w:rFonts w:cs="Arial"/>
          <w:sz w:val="18"/>
          <w:szCs w:val="18"/>
        </w:rPr>
        <w:t xml:space="preserve">The Agency is reviewing the circumstances in which debts were historically raised against support claims from some participants and providers. As the Agency has identified that some historical participant and provider debts require further assessment, a provision for the estimated financial impact of these assessments has been reported. The financial impact is based on the results of actuarial analysis to date and is split between providers ($6.6m) and participants ($2.5m). </w:t>
      </w:r>
    </w:p>
    <w:p w14:paraId="4AF94701" w14:textId="77777777" w:rsidR="00B040FE" w:rsidRDefault="00B040FE" w:rsidP="00B040FE">
      <w:pPr>
        <w:pStyle w:val="PolicytextDept"/>
        <w:rPr>
          <w:b/>
          <w:bCs w:val="0"/>
        </w:rPr>
        <w:sectPr w:rsidR="00B040FE" w:rsidSect="00BC1253">
          <w:type w:val="continuous"/>
          <w:pgSz w:w="11906" w:h="16838" w:code="9"/>
          <w:pgMar w:top="1361" w:right="1361" w:bottom="1361" w:left="1361" w:header="958" w:footer="737" w:gutter="0"/>
          <w:cols w:space="708"/>
          <w:docGrid w:linePitch="360"/>
        </w:sectPr>
      </w:pPr>
      <w:bookmarkStart w:id="205" w:name="_Toc443469538"/>
      <w:bookmarkStart w:id="206" w:name="_Toc444065792"/>
      <w:bookmarkStart w:id="207" w:name="_Toc444079989"/>
      <w:bookmarkStart w:id="208" w:name="_Toc447030543"/>
      <w:bookmarkStart w:id="209" w:name="_Toc447030695"/>
      <w:bookmarkStart w:id="210" w:name="_Toc447030788"/>
      <w:bookmarkStart w:id="211" w:name="OLE_LINK9"/>
    </w:p>
    <w:p w14:paraId="5825E02E" w14:textId="77777777" w:rsidR="00B040FE" w:rsidRDefault="00B040FE" w:rsidP="00B040FE">
      <w:pPr>
        <w:pStyle w:val="PolicytextDept"/>
        <w:rPr>
          <w:b/>
          <w:bCs w:val="0"/>
        </w:rPr>
        <w:sectPr w:rsidR="00B040FE" w:rsidSect="00B040FE">
          <w:type w:val="continuous"/>
          <w:pgSz w:w="11906" w:h="16838" w:code="9"/>
          <w:pgMar w:top="1134" w:right="1700" w:bottom="1134" w:left="1134" w:header="958" w:footer="737" w:gutter="0"/>
          <w:cols w:space="708"/>
          <w:docGrid w:linePitch="360"/>
        </w:sectPr>
      </w:pPr>
    </w:p>
    <w:p w14:paraId="5810BDAF" w14:textId="77777777" w:rsidR="000D1B3E" w:rsidRPr="003203A1" w:rsidRDefault="000D1B3E" w:rsidP="000D1B3E">
      <w:pPr>
        <w:spacing w:after="0" w:line="240" w:lineRule="auto"/>
        <w:rPr>
          <w:b/>
          <w:bCs/>
        </w:rPr>
      </w:pPr>
      <w:r w:rsidRPr="003203A1">
        <w:rPr>
          <w:b/>
          <w:bCs/>
        </w:rPr>
        <w:lastRenderedPageBreak/>
        <w:t>National Disability Insurance Agency</w:t>
      </w:r>
    </w:p>
    <w:p w14:paraId="1549C722" w14:textId="77777777" w:rsidR="000D1B3E" w:rsidRDefault="000D1B3E" w:rsidP="000D1B3E">
      <w:pPr>
        <w:pBdr>
          <w:bottom w:val="single" w:sz="8" w:space="1" w:color="auto"/>
        </w:pBdr>
        <w:rPr>
          <w:b/>
          <w:bCs/>
        </w:rPr>
      </w:pPr>
      <w:r w:rsidRPr="003203A1">
        <w:rPr>
          <w:b/>
          <w:bCs/>
        </w:rPr>
        <w:t>NOTES TO AND FORMING PART OF THE FINANCIAL STATEMENTS</w:t>
      </w:r>
    </w:p>
    <w:p w14:paraId="4016375A" w14:textId="77777777" w:rsidR="00B040FE" w:rsidRPr="00EF5DEF" w:rsidRDefault="00B040FE" w:rsidP="00B040FE">
      <w:pPr>
        <w:pStyle w:val="PolicytextDept"/>
        <w:rPr>
          <w:b/>
          <w:bCs w:val="0"/>
        </w:rPr>
      </w:pPr>
      <w:r w:rsidRPr="00283706">
        <w:rPr>
          <w:b/>
          <w:bCs w:val="0"/>
        </w:rPr>
        <w:t>Key judgements and estimates</w:t>
      </w:r>
    </w:p>
    <w:p w14:paraId="2F564E17" w14:textId="77777777" w:rsidR="00B040FE" w:rsidRPr="00283706" w:rsidRDefault="00B040FE" w:rsidP="00B040FE">
      <w:pPr>
        <w:pStyle w:val="PolicytextDept"/>
      </w:pPr>
      <w:r w:rsidRPr="00283706">
        <w:t>The Agency recognises a liability for the costs of reasonable and necessary supports at the time that services are provided to participants in the Scheme. Due to the payment and claiming process the Agency may not be aware of all services rendered at the time of closing the financial statements. The Agency makes an estimate of the outstanding liability by reviewing historical payments experience.</w:t>
      </w:r>
    </w:p>
    <w:p w14:paraId="1CFE8C65" w14:textId="77777777" w:rsidR="00B040FE" w:rsidRDefault="00B040FE" w:rsidP="00B040FE">
      <w:pPr>
        <w:pStyle w:val="PolicytextDept"/>
      </w:pPr>
      <w:r w:rsidRPr="00283706">
        <w:t>In 2023–24, the Agency assessed that a risk margin was no longer required in its estimation of the participant plan provision. Improvements to the calculation of the provision and the predictability of payment data have removed the need for a risk margin.</w:t>
      </w:r>
    </w:p>
    <w:p w14:paraId="6C5CAF78" w14:textId="77777777" w:rsidR="00B040FE" w:rsidRDefault="00B040FE" w:rsidP="00B040FE">
      <w:pPr>
        <w:pStyle w:val="PolicytextDept"/>
      </w:pPr>
      <w:r>
        <w:t>The change in the accounting has resulted in a decrease of $175.1 million in the participant plan provision for 2023- 24.</w:t>
      </w:r>
    </w:p>
    <w:p w14:paraId="3AC471F3" w14:textId="0B8AAB05" w:rsidR="00B040FE" w:rsidRPr="00283706" w:rsidRDefault="00B040FE" w:rsidP="00B040FE">
      <w:pPr>
        <w:pStyle w:val="PolicytextDept"/>
      </w:pPr>
      <w:r w:rsidRPr="00283706">
        <w:t>One of the outputs from the valuation process is the resulting expected ultimate utilisation rates by support year, where the projected ultimate payments are compared to the aggregated Committed Supports contained within participant’s plans in the relevant period.</w:t>
      </w:r>
      <w:r w:rsidR="00681953">
        <w:t xml:space="preserve"> </w:t>
      </w:r>
      <w:r w:rsidRPr="00283706">
        <w:t>At 30 June 2024, the utilisation rates shown have been calculated using Committed Supports that allow for projected development, which means that they consider the retrospective changes that occur due to plan shortening and other adjustments such as plan indexation.</w:t>
      </w:r>
      <w:r w:rsidR="00681953">
        <w:t xml:space="preserve"> </w:t>
      </w:r>
      <w:r w:rsidRPr="00283706">
        <w:t>The allowance of future development in the Committed Supports used to estimate the utilisation rates provides a better indication of where the utilisation rates will ultimately land.</w:t>
      </w:r>
    </w:p>
    <w:p w14:paraId="1D544BB9" w14:textId="1953A095" w:rsidR="00B040FE" w:rsidRPr="00283706" w:rsidRDefault="00B040FE" w:rsidP="00B040FE">
      <w:pPr>
        <w:pStyle w:val="PolicytextDept"/>
      </w:pPr>
      <w:r w:rsidRPr="00283706">
        <w:t>To aid comparability, the utilisation rates shown for 2023 have been re-stated to use Committed Supports that allow for projected development.</w:t>
      </w:r>
      <w:r w:rsidR="00681953">
        <w:t xml:space="preserve"> </w:t>
      </w:r>
      <w:r w:rsidRPr="00283706">
        <w:t>As at 30 June 2024, the expected ultimate utilisation (excluding risk margin) of Committed Supports by support year is as follows:</w:t>
      </w:r>
    </w:p>
    <w:p w14:paraId="45E9C6E2" w14:textId="77777777" w:rsidR="00B040FE" w:rsidRPr="00283706" w:rsidRDefault="00B040FE" w:rsidP="00B040FE">
      <w:pPr>
        <w:pStyle w:val="PolicytextDept"/>
        <w:spacing w:after="0"/>
      </w:pPr>
      <w:r w:rsidRPr="00283706">
        <w:t xml:space="preserve">    2013-14: 64.1% (2023: 64.1%)</w:t>
      </w:r>
    </w:p>
    <w:p w14:paraId="347F9B4D" w14:textId="77777777" w:rsidR="00B040FE" w:rsidRPr="00283706" w:rsidRDefault="00B040FE" w:rsidP="00B040FE">
      <w:pPr>
        <w:pStyle w:val="PolicytextDept"/>
        <w:spacing w:after="0"/>
      </w:pPr>
      <w:r w:rsidRPr="00283706">
        <w:t>    2014-15: 74.6% (2023: 74.6%)</w:t>
      </w:r>
    </w:p>
    <w:p w14:paraId="1E75B297" w14:textId="77777777" w:rsidR="00B040FE" w:rsidRPr="00283706" w:rsidRDefault="00B040FE" w:rsidP="00B040FE">
      <w:pPr>
        <w:pStyle w:val="PolicytextDept"/>
        <w:spacing w:after="0"/>
      </w:pPr>
      <w:r w:rsidRPr="00283706">
        <w:t xml:space="preserve">    2015-16: 74.9% (2023: 74.9%)</w:t>
      </w:r>
    </w:p>
    <w:p w14:paraId="245107A0" w14:textId="77777777" w:rsidR="00B040FE" w:rsidRPr="00283706" w:rsidRDefault="00B040FE" w:rsidP="00B040FE">
      <w:pPr>
        <w:pStyle w:val="PolicytextDept"/>
        <w:spacing w:after="0"/>
      </w:pPr>
      <w:r w:rsidRPr="00283706">
        <w:t xml:space="preserve">    2016-17: 67.4% (2023: 67.4%)</w:t>
      </w:r>
    </w:p>
    <w:p w14:paraId="539E4483" w14:textId="77777777" w:rsidR="00B040FE" w:rsidRPr="00283706" w:rsidRDefault="00B040FE" w:rsidP="00B040FE">
      <w:pPr>
        <w:pStyle w:val="PolicytextDept"/>
        <w:spacing w:after="0"/>
      </w:pPr>
      <w:r w:rsidRPr="00283706">
        <w:t xml:space="preserve">    2017-18: 70.0% (2023: 70.0%)</w:t>
      </w:r>
    </w:p>
    <w:p w14:paraId="79B7490D" w14:textId="77777777" w:rsidR="00B040FE" w:rsidRPr="00283706" w:rsidRDefault="00B040FE" w:rsidP="00B040FE">
      <w:pPr>
        <w:pStyle w:val="PolicytextDept"/>
        <w:spacing w:after="0"/>
      </w:pPr>
      <w:r w:rsidRPr="00283706">
        <w:t>    2018-19: 71.2% (2023: 71.3%)</w:t>
      </w:r>
    </w:p>
    <w:p w14:paraId="077A7468" w14:textId="77777777" w:rsidR="00B040FE" w:rsidRPr="00283706" w:rsidRDefault="00B040FE" w:rsidP="00B040FE">
      <w:pPr>
        <w:pStyle w:val="PolicytextDept"/>
        <w:spacing w:after="0"/>
      </w:pPr>
      <w:r w:rsidRPr="00283706">
        <w:t xml:space="preserve">    2019-20: 71.1% (2023: 71.1%)</w:t>
      </w:r>
    </w:p>
    <w:p w14:paraId="7FD076D8" w14:textId="77777777" w:rsidR="00B040FE" w:rsidRPr="00283706" w:rsidRDefault="00B040FE" w:rsidP="00B040FE">
      <w:pPr>
        <w:pStyle w:val="PolicytextDept"/>
        <w:spacing w:after="0"/>
      </w:pPr>
      <w:r w:rsidRPr="00283706">
        <w:t>    2020-21: 72.7% (2023: 72.8%)</w:t>
      </w:r>
    </w:p>
    <w:p w14:paraId="7B6C3E17" w14:textId="77777777" w:rsidR="00B040FE" w:rsidRPr="00283706" w:rsidRDefault="00B040FE" w:rsidP="00B040FE">
      <w:pPr>
        <w:pStyle w:val="PolicytextDept"/>
        <w:spacing w:after="0"/>
      </w:pPr>
      <w:r w:rsidRPr="00283706">
        <w:t>    2021-22: 75.1% (2023: 75.5%)</w:t>
      </w:r>
    </w:p>
    <w:p w14:paraId="029701DA" w14:textId="77777777" w:rsidR="00B040FE" w:rsidRPr="00283706" w:rsidRDefault="00B040FE" w:rsidP="00B040FE">
      <w:pPr>
        <w:pStyle w:val="PolicytextDept"/>
        <w:spacing w:after="0"/>
      </w:pPr>
      <w:r w:rsidRPr="00283706">
        <w:t>    2022-23: 76.2% (2023: 77.</w:t>
      </w:r>
      <w:r>
        <w:t>3</w:t>
      </w:r>
      <w:r w:rsidRPr="00283706">
        <w:t>%)</w:t>
      </w:r>
    </w:p>
    <w:p w14:paraId="762EC7A8" w14:textId="77777777" w:rsidR="00B040FE" w:rsidRPr="00EF5DEF" w:rsidRDefault="00B040FE" w:rsidP="00B040FE">
      <w:pPr>
        <w:pStyle w:val="PolicytextDept"/>
        <w:spacing w:after="0"/>
      </w:pPr>
      <w:r w:rsidRPr="00283706">
        <w:t xml:space="preserve">    2023-24: 78.1%</w:t>
      </w:r>
      <w:r w:rsidRPr="00EF5DEF">
        <w:tab/>
      </w:r>
    </w:p>
    <w:p w14:paraId="7BAE7277" w14:textId="77777777" w:rsidR="00B040FE" w:rsidRPr="00283706" w:rsidRDefault="00B040FE" w:rsidP="00B040FE">
      <w:pPr>
        <w:pStyle w:val="PolicytextDept"/>
        <w:spacing w:after="0"/>
      </w:pPr>
    </w:p>
    <w:p w14:paraId="6E6A2881" w14:textId="35327086" w:rsidR="00B040FE" w:rsidRPr="00D532EF" w:rsidRDefault="00B040FE" w:rsidP="00B040FE">
      <w:pPr>
        <w:pStyle w:val="PolicytextDept"/>
      </w:pPr>
      <w:r>
        <w:t>The above utilisation rates are re-calculated annually by the Scheme Actuary to take into account actual payments made over the year, the latest value of the Participant Plan Provision and the Residential Aged Care (RAC) Payable, as well as retrospective changes in the Committed Supports.</w:t>
      </w:r>
      <w:r w:rsidR="00681953">
        <w:t xml:space="preserve"> </w:t>
      </w:r>
      <w:r>
        <w:t>For the 2023-24 support year, for each 0.5 percentage point increase/(decrease) in the ultimate utilisation rate, the estimated liability increases/(decreases) by $269.4 million.</w:t>
      </w:r>
    </w:p>
    <w:p w14:paraId="79A0BEA4" w14:textId="77777777" w:rsidR="00B040FE" w:rsidRPr="005D19C0" w:rsidRDefault="00B040FE" w:rsidP="00B040FE">
      <w:pPr>
        <w:pBdr>
          <w:top w:val="single" w:sz="4" w:space="1" w:color="800080"/>
          <w:left w:val="single" w:sz="4" w:space="4" w:color="800080"/>
          <w:bottom w:val="single" w:sz="4" w:space="1" w:color="800080"/>
          <w:right w:val="single" w:sz="4" w:space="4" w:color="800080"/>
        </w:pBdr>
        <w:spacing w:after="120" w:line="120" w:lineRule="atLeast"/>
        <w:ind w:right="607"/>
        <w:rPr>
          <w:rFonts w:cs="Arial"/>
          <w:sz w:val="18"/>
          <w:szCs w:val="18"/>
        </w:rPr>
        <w:sectPr w:rsidR="00B040FE" w:rsidRPr="005D19C0" w:rsidSect="00BC1253">
          <w:pgSz w:w="11906" w:h="16838" w:code="9"/>
          <w:pgMar w:top="1361" w:right="1361" w:bottom="1361" w:left="1361" w:header="561" w:footer="374" w:gutter="0"/>
          <w:cols w:space="708"/>
          <w:docGrid w:linePitch="360"/>
        </w:sectPr>
      </w:pPr>
    </w:p>
    <w:p w14:paraId="3B3EE477" w14:textId="77777777" w:rsidR="000D1B3E" w:rsidRPr="000D1B3E" w:rsidRDefault="000D1B3E" w:rsidP="000D1B3E">
      <w:pPr>
        <w:spacing w:after="0" w:line="240" w:lineRule="auto"/>
        <w:rPr>
          <w:b/>
          <w:bCs/>
        </w:rPr>
      </w:pPr>
      <w:bookmarkStart w:id="212" w:name="_Toc65742853"/>
      <w:bookmarkStart w:id="213" w:name="_Toc173417300"/>
      <w:bookmarkStart w:id="214" w:name="_Toc443469540"/>
      <w:bookmarkStart w:id="215" w:name="_Toc444065794"/>
      <w:bookmarkStart w:id="216" w:name="_Toc444079991"/>
      <w:bookmarkEnd w:id="205"/>
      <w:bookmarkEnd w:id="206"/>
      <w:bookmarkEnd w:id="207"/>
      <w:bookmarkEnd w:id="208"/>
      <w:bookmarkEnd w:id="209"/>
      <w:bookmarkEnd w:id="210"/>
      <w:bookmarkEnd w:id="211"/>
      <w:r w:rsidRPr="000D1B3E">
        <w:rPr>
          <w:b/>
          <w:bCs/>
        </w:rPr>
        <w:lastRenderedPageBreak/>
        <w:t>National Disability Insurance Agency</w:t>
      </w:r>
    </w:p>
    <w:p w14:paraId="76CF86AA" w14:textId="77777777" w:rsidR="000D1B3E" w:rsidRPr="000D1B3E" w:rsidRDefault="000D1B3E" w:rsidP="000D1B3E">
      <w:pPr>
        <w:pBdr>
          <w:bottom w:val="single" w:sz="8" w:space="1" w:color="auto"/>
        </w:pBdr>
        <w:rPr>
          <w:b/>
          <w:bCs/>
        </w:rPr>
      </w:pPr>
      <w:r w:rsidRPr="000D1B3E">
        <w:rPr>
          <w:b/>
          <w:bCs/>
        </w:rPr>
        <w:t>NOTES TO AND FORMING PART OF THE FINANCIAL STATEMENTS</w:t>
      </w:r>
    </w:p>
    <w:p w14:paraId="26BE9B6E" w14:textId="77777777" w:rsidR="00B040FE" w:rsidRDefault="00B040FE" w:rsidP="00B040FE">
      <w:pPr>
        <w:pStyle w:val="SectionHeading"/>
        <w:numPr>
          <w:ilvl w:val="0"/>
          <w:numId w:val="30"/>
        </w:numPr>
      </w:pPr>
      <w:r>
        <w:t>People and Relationship</w:t>
      </w:r>
      <w:bookmarkEnd w:id="212"/>
      <w:r>
        <w:t>s</w:t>
      </w:r>
      <w:bookmarkEnd w:id="213"/>
    </w:p>
    <w:p w14:paraId="795D9C8E" w14:textId="77777777" w:rsidR="00B040FE" w:rsidRDefault="00B040FE" w:rsidP="00B040FE">
      <w:pPr>
        <w:pStyle w:val="SectionHeadingDescription"/>
      </w:pPr>
      <w:r w:rsidRPr="00D16B96">
        <w:t>This section describes a range of employment and post-employment benefits provided to our employees and our relationships with other key people.</w:t>
      </w:r>
    </w:p>
    <w:p w14:paraId="174BEC60" w14:textId="77777777" w:rsidR="00B040FE" w:rsidRPr="00D16B96" w:rsidRDefault="00B040FE" w:rsidP="000D1B3E">
      <w:pPr>
        <w:spacing w:after="0"/>
      </w:pPr>
    </w:p>
    <w:p w14:paraId="56B7CADB" w14:textId="77777777" w:rsidR="00B040FE" w:rsidRPr="00303D57" w:rsidRDefault="00B040FE" w:rsidP="00B040FE">
      <w:pPr>
        <w:pStyle w:val="PolicyheadingDept"/>
        <w:pBdr>
          <w:left w:val="single" w:sz="4" w:space="4" w:color="800080"/>
          <w:right w:val="single" w:sz="4" w:space="4" w:color="800080"/>
        </w:pBdr>
      </w:pPr>
      <w:bookmarkStart w:id="217" w:name="_Toc443469546"/>
      <w:bookmarkStart w:id="218" w:name="_Toc444065801"/>
      <w:bookmarkStart w:id="219" w:name="_Toc444079997"/>
      <w:r w:rsidRPr="00303D57">
        <w:t>Accounting Policy</w:t>
      </w:r>
    </w:p>
    <w:p w14:paraId="63EE254C" w14:textId="77777777" w:rsidR="00B040FE" w:rsidRDefault="00B040FE" w:rsidP="00B040FE">
      <w:pPr>
        <w:pStyle w:val="PolicytextDept"/>
        <w:pBdr>
          <w:left w:val="single" w:sz="4" w:space="4" w:color="800080"/>
          <w:right w:val="single" w:sz="4" w:space="4" w:color="800080"/>
        </w:pBdr>
      </w:pPr>
      <w:r w:rsidRPr="000E2388">
        <w:t xml:space="preserve">Liabilities for ‘short-term employee benefits’ (as defined in AASB 119 </w:t>
      </w:r>
      <w:r w:rsidRPr="00F870F0">
        <w:rPr>
          <w:i/>
        </w:rPr>
        <w:t>Employee Benefits</w:t>
      </w:r>
      <w:r w:rsidRPr="000E2388">
        <w:t xml:space="preserve">) and termination benefits expected within twelve months of the end of the reporting period are measured at their nominal amounts. </w:t>
      </w:r>
    </w:p>
    <w:p w14:paraId="4219CA79" w14:textId="77777777" w:rsidR="00B040FE" w:rsidRPr="000A5DB5" w:rsidRDefault="00B040FE" w:rsidP="00B040FE">
      <w:pPr>
        <w:pStyle w:val="PolicyheadingDept"/>
        <w:pBdr>
          <w:left w:val="single" w:sz="4" w:space="4" w:color="800080"/>
          <w:right w:val="single" w:sz="4" w:space="4" w:color="800080"/>
        </w:pBdr>
        <w:rPr>
          <w:b w:val="0"/>
          <w:i/>
          <w:u w:val="single"/>
        </w:rPr>
      </w:pPr>
      <w:r w:rsidRPr="000A5DB5">
        <w:rPr>
          <w:b w:val="0"/>
          <w:i/>
          <w:u w:val="single"/>
        </w:rPr>
        <w:t>Leave</w:t>
      </w:r>
    </w:p>
    <w:p w14:paraId="72795314" w14:textId="77777777" w:rsidR="00B040FE" w:rsidRPr="000E2388" w:rsidRDefault="00B040FE" w:rsidP="00B040FE">
      <w:pPr>
        <w:pStyle w:val="PolicytextDept"/>
        <w:pBdr>
          <w:left w:val="single" w:sz="4" w:space="4" w:color="800080"/>
          <w:right w:val="single" w:sz="4" w:space="4" w:color="800080"/>
        </w:pBdr>
      </w:pPr>
      <w:r w:rsidRPr="000E2388">
        <w:t>The liability for employee benefits includes provision for annual</w:t>
      </w:r>
      <w:r>
        <w:t xml:space="preserve"> leave and long service leave.</w:t>
      </w:r>
      <w:r w:rsidRPr="000E2388">
        <w:tab/>
      </w:r>
    </w:p>
    <w:p w14:paraId="33751F47" w14:textId="77777777" w:rsidR="00B040FE" w:rsidRPr="00DE3B79" w:rsidRDefault="00B040FE" w:rsidP="00B040FE">
      <w:pPr>
        <w:pStyle w:val="PolicytextDept"/>
        <w:pBdr>
          <w:left w:val="single" w:sz="4" w:space="4" w:color="800080"/>
          <w:right w:val="single" w:sz="4" w:space="4" w:color="800080"/>
        </w:pBdr>
      </w:pPr>
      <w:r w:rsidRPr="000E2388">
        <w:t xml:space="preserve">The leave liabilities are calculated on the basis of employees’ remuneration at the estimated salary rates that will be applied at the time the leave is taken, including the Agency’s employer superannuation contribution rates to the extent that the leave is likely to be taken during service rather than paid out </w:t>
      </w:r>
      <w:r w:rsidRPr="00DE3B79">
        <w:t xml:space="preserve">on termination. </w:t>
      </w:r>
    </w:p>
    <w:p w14:paraId="2F3DA7C2" w14:textId="77777777" w:rsidR="00B040FE" w:rsidRPr="00DE3B79" w:rsidRDefault="00B040FE" w:rsidP="00B040FE">
      <w:pPr>
        <w:pStyle w:val="PolicyheadingDept"/>
        <w:pBdr>
          <w:left w:val="single" w:sz="4" w:space="4" w:color="800080"/>
          <w:right w:val="single" w:sz="4" w:space="4" w:color="800080"/>
        </w:pBdr>
        <w:rPr>
          <w:b w:val="0"/>
          <w:i/>
          <w:u w:val="single"/>
        </w:rPr>
      </w:pPr>
      <w:r w:rsidRPr="00DE3B79">
        <w:rPr>
          <w:b w:val="0"/>
          <w:i/>
          <w:u w:val="single"/>
        </w:rPr>
        <w:t>Superannuation</w:t>
      </w:r>
    </w:p>
    <w:p w14:paraId="6B598375" w14:textId="77777777" w:rsidR="00B040FE" w:rsidRPr="00DE3B79" w:rsidRDefault="00B040FE" w:rsidP="00B040FE">
      <w:pPr>
        <w:pStyle w:val="PolicytextDept"/>
        <w:pBdr>
          <w:left w:val="single" w:sz="4" w:space="4" w:color="800080"/>
          <w:right w:val="single" w:sz="4" w:space="4" w:color="800080"/>
        </w:pBdr>
      </w:pPr>
      <w:r w:rsidRPr="00DE3B79">
        <w:t>Agency staff are members of the Commonwealth Superannuation Scheme (CSS), the Public Sector Superannuation Scheme (PSS), the PSS accumulation plan (PSSap) or other superannuation funds held outside the Australian Government. The CSS and PSS are defined benefit schemes for the Australian Government. The PSSap is a defined contribution scheme.</w:t>
      </w:r>
      <w:r w:rsidRPr="00DE3B79">
        <w:tab/>
      </w:r>
    </w:p>
    <w:p w14:paraId="6415125E" w14:textId="77777777" w:rsidR="00B040FE" w:rsidRPr="00DE3B79" w:rsidRDefault="00B040FE" w:rsidP="00B040FE">
      <w:pPr>
        <w:pStyle w:val="PolicytextDept"/>
        <w:pBdr>
          <w:left w:val="single" w:sz="4" w:space="4" w:color="800080"/>
          <w:right w:val="single" w:sz="4" w:space="4" w:color="800080"/>
        </w:pBdr>
      </w:pPr>
      <w:r w:rsidRPr="00DE3B79">
        <w:t>The liability for defined benefits is recognised in the financial statements of the Australian Government and is settled by the Australian Government in due course. This liability is reported in the Department of Finance’s administered schedules and notes.</w:t>
      </w:r>
    </w:p>
    <w:p w14:paraId="176E8B86" w14:textId="77777777" w:rsidR="00B040FE" w:rsidRPr="000E2388" w:rsidRDefault="00B040FE" w:rsidP="00B040FE">
      <w:pPr>
        <w:pStyle w:val="PolicytextDept"/>
        <w:pBdr>
          <w:left w:val="single" w:sz="4" w:space="4" w:color="800080"/>
          <w:right w:val="single" w:sz="4" w:space="4" w:color="800080"/>
        </w:pBdr>
      </w:pPr>
      <w:r w:rsidRPr="00DE3B79">
        <w:t>The Agency makes employer contributions to employee superannuation schemes at rates determined by an actuary to be sufficient to meet the current cost to the Government. The Agency accounts for these contributions as if they were contributions to defined contribution plans.</w:t>
      </w:r>
      <w:r w:rsidRPr="00D1232D">
        <w:t xml:space="preserve"> </w:t>
      </w:r>
    </w:p>
    <w:p w14:paraId="06EB5253" w14:textId="77777777" w:rsidR="00B040FE" w:rsidRDefault="00B040FE" w:rsidP="00B040FE">
      <w:pPr>
        <w:pStyle w:val="PolicytextDept"/>
        <w:pBdr>
          <w:left w:val="single" w:sz="4" w:space="4" w:color="800080"/>
          <w:right w:val="single" w:sz="4" w:space="4" w:color="800080"/>
        </w:pBdr>
      </w:pPr>
      <w:r w:rsidRPr="000E2388">
        <w:t xml:space="preserve">The liability for </w:t>
      </w:r>
      <w:r>
        <w:t xml:space="preserve">superannuation recognised at Note 2.3B Other payables </w:t>
      </w:r>
      <w:r w:rsidRPr="000E2388">
        <w:t xml:space="preserve">represents </w:t>
      </w:r>
      <w:r>
        <w:t>contributions outstanding at balance date</w:t>
      </w:r>
      <w:r w:rsidRPr="000E2388">
        <w:t xml:space="preserve">. </w:t>
      </w:r>
    </w:p>
    <w:p w14:paraId="0CC1E7F0" w14:textId="77777777" w:rsidR="00B040FE" w:rsidRDefault="00B040FE" w:rsidP="00B040FE">
      <w:pPr>
        <w:pStyle w:val="PolicytextDept"/>
        <w:pBdr>
          <w:left w:val="single" w:sz="4" w:space="4" w:color="800080"/>
          <w:right w:val="single" w:sz="4" w:space="4" w:color="800080"/>
        </w:pBdr>
        <w:rPr>
          <w:b/>
        </w:rPr>
      </w:pPr>
      <w:r>
        <w:rPr>
          <w:b/>
        </w:rPr>
        <w:t>Key Accounting judgements and estimates</w:t>
      </w:r>
    </w:p>
    <w:p w14:paraId="05EB94FE" w14:textId="77777777" w:rsidR="00B040FE" w:rsidRPr="00E40981" w:rsidRDefault="00B040FE" w:rsidP="00B040FE">
      <w:pPr>
        <w:pStyle w:val="PolicytextDept"/>
        <w:pBdr>
          <w:left w:val="single" w:sz="4" w:space="4" w:color="800080"/>
          <w:right w:val="single" w:sz="4" w:space="4" w:color="800080"/>
        </w:pBdr>
        <w:rPr>
          <w:b/>
          <w:i/>
        </w:rPr>
      </w:pPr>
      <w:r w:rsidRPr="007348B7">
        <w:t xml:space="preserve">The liability for long service leave has been determined by reference to the work of the Australian Government Actuary as at 30 June </w:t>
      </w:r>
      <w:r w:rsidR="008D64B9">
        <w:fldChar w:fldCharType="begin"/>
      </w:r>
      <w:r w:rsidR="008D64B9">
        <w:instrText>DOCPROPERTY  crYear  \* MERGEFORMAT</w:instrText>
      </w:r>
      <w:r w:rsidR="008D64B9">
        <w:fldChar w:fldCharType="separate"/>
      </w:r>
      <w:r>
        <w:t>2024</w:t>
      </w:r>
      <w:r w:rsidR="008D64B9">
        <w:fldChar w:fldCharType="end"/>
      </w:r>
      <w:r w:rsidRPr="007348B7">
        <w:t>.</w:t>
      </w:r>
      <w:r w:rsidRPr="00D50D0E">
        <w:t xml:space="preserve"> The estimate of the present value of the</w:t>
      </w:r>
      <w:r w:rsidRPr="00BD3638">
        <w:t xml:space="preserve"> liability for long service leave takes into account attrition rates and pay increases through promotion and inflation</w:t>
      </w:r>
      <w:r>
        <w:t>. The estimate of future costs requires management and independent actuarial assessment of assumed salary growth rates, future on-cost rates and the experience of employee departures. The future costs are then discounted to present value using market yields on government bonds in accordance with AASB 119</w:t>
      </w:r>
      <w:r>
        <w:rPr>
          <w:i/>
        </w:rPr>
        <w:t>.</w:t>
      </w:r>
    </w:p>
    <w:p w14:paraId="39BF8D98" w14:textId="77777777" w:rsidR="00B040FE" w:rsidRDefault="00B040FE" w:rsidP="00B040FE">
      <w:pPr>
        <w:spacing w:line="240" w:lineRule="auto"/>
        <w:rPr>
          <w:b/>
          <w:sz w:val="20"/>
        </w:rPr>
      </w:pPr>
      <w:r>
        <w:br w:type="page"/>
      </w:r>
    </w:p>
    <w:p w14:paraId="6ECBD8EE" w14:textId="77777777" w:rsidR="000D1B3E" w:rsidRPr="000D1B3E" w:rsidRDefault="000D1B3E" w:rsidP="000D1B3E">
      <w:pPr>
        <w:spacing w:after="0" w:line="240" w:lineRule="auto"/>
        <w:rPr>
          <w:b/>
          <w:bCs/>
        </w:rPr>
      </w:pPr>
      <w:bookmarkStart w:id="220" w:name="_Toc447030547"/>
      <w:bookmarkStart w:id="221" w:name="_Toc447030699"/>
      <w:bookmarkStart w:id="222" w:name="_Toc447030792"/>
      <w:bookmarkStart w:id="223" w:name="_Toc65742855"/>
      <w:bookmarkStart w:id="224" w:name="_Toc173417301"/>
      <w:r w:rsidRPr="000D1B3E">
        <w:rPr>
          <w:b/>
          <w:bCs/>
        </w:rPr>
        <w:lastRenderedPageBreak/>
        <w:t>National Disability Insurance Agency</w:t>
      </w:r>
    </w:p>
    <w:p w14:paraId="1D4E23A4" w14:textId="77777777" w:rsidR="000D1B3E" w:rsidRPr="000D1B3E" w:rsidRDefault="000D1B3E" w:rsidP="000D1B3E">
      <w:pPr>
        <w:pBdr>
          <w:bottom w:val="single" w:sz="8" w:space="1" w:color="auto"/>
        </w:pBdr>
        <w:rPr>
          <w:b/>
          <w:bCs/>
        </w:rPr>
      </w:pPr>
      <w:r w:rsidRPr="000D1B3E">
        <w:rPr>
          <w:b/>
          <w:bCs/>
        </w:rPr>
        <w:t>NOTES TO AND FORMING PART OF THE FINANCIAL STATEMENTS</w:t>
      </w:r>
    </w:p>
    <w:p w14:paraId="04A7D857" w14:textId="77777777" w:rsidR="00B040FE" w:rsidRPr="007204D0" w:rsidRDefault="00B040FE" w:rsidP="000D1B3E">
      <w:pPr>
        <w:pStyle w:val="SubHeading"/>
        <w:shd w:val="clear" w:color="auto" w:fill="000000" w:themeFill="accent6"/>
      </w:pPr>
      <w:r>
        <w:t>Key</w:t>
      </w:r>
      <w:r w:rsidRPr="007204D0">
        <w:t xml:space="preserve"> Management Personnel Remuneration</w:t>
      </w:r>
      <w:bookmarkEnd w:id="217"/>
      <w:bookmarkEnd w:id="218"/>
      <w:bookmarkEnd w:id="219"/>
      <w:bookmarkEnd w:id="220"/>
      <w:bookmarkEnd w:id="221"/>
      <w:bookmarkEnd w:id="222"/>
      <w:bookmarkEnd w:id="223"/>
      <w:bookmarkEnd w:id="224"/>
    </w:p>
    <w:p w14:paraId="36232619" w14:textId="77777777" w:rsidR="00B040FE" w:rsidRDefault="00B040FE" w:rsidP="000D1B3E">
      <w:pPr>
        <w:autoSpaceDE w:val="0"/>
        <w:autoSpaceDN w:val="0"/>
        <w:adjustRightInd w:val="0"/>
        <w:spacing w:after="0" w:line="240" w:lineRule="auto"/>
        <w:rPr>
          <w:rFonts w:ascii="Cambria" w:hAnsi="Cambria" w:cs="Cambria"/>
          <w:sz w:val="18"/>
          <w:szCs w:val="18"/>
          <w:lang w:eastAsia="en-AU"/>
        </w:rPr>
      </w:pPr>
    </w:p>
    <w:p w14:paraId="7D79522A" w14:textId="77777777" w:rsidR="00B040FE" w:rsidRDefault="00B040FE" w:rsidP="00B040FE">
      <w:pPr>
        <w:autoSpaceDE w:val="0"/>
        <w:autoSpaceDN w:val="0"/>
        <w:adjustRightInd w:val="0"/>
        <w:spacing w:line="240" w:lineRule="auto"/>
        <w:rPr>
          <w:sz w:val="18"/>
        </w:rPr>
      </w:pPr>
      <w:r>
        <w:rPr>
          <w:rFonts w:cs="Arial"/>
          <w:sz w:val="18"/>
          <w:szCs w:val="18"/>
        </w:rPr>
        <w:t>Key M</w:t>
      </w:r>
      <w:r w:rsidRPr="00F5486F">
        <w:rPr>
          <w:rFonts w:cs="Arial"/>
          <w:sz w:val="18"/>
          <w:szCs w:val="18"/>
        </w:rPr>
        <w:t xml:space="preserve">anagement </w:t>
      </w:r>
      <w:r>
        <w:rPr>
          <w:rFonts w:cs="Arial"/>
          <w:sz w:val="18"/>
          <w:szCs w:val="18"/>
        </w:rPr>
        <w:t>P</w:t>
      </w:r>
      <w:r w:rsidRPr="00F5486F">
        <w:rPr>
          <w:rFonts w:cs="Arial"/>
          <w:sz w:val="18"/>
          <w:szCs w:val="18"/>
        </w:rPr>
        <w:t xml:space="preserve">ersonnel </w:t>
      </w:r>
      <w:r>
        <w:rPr>
          <w:rFonts w:cs="Arial"/>
          <w:sz w:val="18"/>
          <w:szCs w:val="18"/>
        </w:rPr>
        <w:t xml:space="preserve">(KMP) </w:t>
      </w:r>
      <w:r w:rsidRPr="00F5486F">
        <w:rPr>
          <w:rFonts w:cs="Arial"/>
          <w:sz w:val="18"/>
          <w:szCs w:val="18"/>
        </w:rPr>
        <w:t>are those persons having authority and responsibility for planning, directing, and</w:t>
      </w:r>
      <w:r>
        <w:rPr>
          <w:rFonts w:cs="Arial"/>
          <w:sz w:val="18"/>
          <w:szCs w:val="18"/>
        </w:rPr>
        <w:t xml:space="preserve"> </w:t>
      </w:r>
      <w:r w:rsidRPr="00F5486F">
        <w:rPr>
          <w:rFonts w:cs="Arial"/>
          <w:sz w:val="18"/>
          <w:szCs w:val="18"/>
        </w:rPr>
        <w:t xml:space="preserve">controlling the activities of the </w:t>
      </w:r>
      <w:r>
        <w:rPr>
          <w:rFonts w:cs="Arial"/>
          <w:sz w:val="18"/>
          <w:szCs w:val="18"/>
        </w:rPr>
        <w:t>Agency, directly or indirectly</w:t>
      </w:r>
      <w:r w:rsidRPr="00F5486F">
        <w:rPr>
          <w:rFonts w:cs="Arial"/>
          <w:sz w:val="18"/>
          <w:szCs w:val="18"/>
        </w:rPr>
        <w:t xml:space="preserve">. </w:t>
      </w:r>
      <w:r w:rsidRPr="001B184D">
        <w:rPr>
          <w:rFonts w:cs="Arial"/>
          <w:sz w:val="18"/>
          <w:szCs w:val="18"/>
        </w:rPr>
        <w:t>The Agency has</w:t>
      </w:r>
      <w:r w:rsidRPr="00F5486F">
        <w:rPr>
          <w:rFonts w:cs="Arial"/>
          <w:sz w:val="18"/>
          <w:szCs w:val="18"/>
        </w:rPr>
        <w:t xml:space="preserve"> determined the </w:t>
      </w:r>
      <w:r>
        <w:rPr>
          <w:rFonts w:cs="Arial"/>
          <w:sz w:val="18"/>
          <w:szCs w:val="18"/>
        </w:rPr>
        <w:t>K</w:t>
      </w:r>
      <w:r w:rsidRPr="00F5486F">
        <w:rPr>
          <w:rFonts w:cs="Arial"/>
          <w:sz w:val="18"/>
          <w:szCs w:val="18"/>
        </w:rPr>
        <w:t>ey</w:t>
      </w:r>
      <w:r>
        <w:rPr>
          <w:rFonts w:cs="Arial"/>
          <w:sz w:val="18"/>
          <w:szCs w:val="18"/>
        </w:rPr>
        <w:t xml:space="preserve"> Management Personnel to be </w:t>
      </w:r>
      <w:r w:rsidRPr="00EA2C48">
        <w:rPr>
          <w:rFonts w:cs="Arial"/>
          <w:sz w:val="18"/>
          <w:szCs w:val="18"/>
        </w:rPr>
        <w:t xml:space="preserve">Board </w:t>
      </w:r>
      <w:r>
        <w:rPr>
          <w:rFonts w:cs="Arial"/>
          <w:sz w:val="18"/>
          <w:szCs w:val="18"/>
        </w:rPr>
        <w:t>m</w:t>
      </w:r>
      <w:r w:rsidRPr="00EA2C48">
        <w:rPr>
          <w:rFonts w:cs="Arial"/>
          <w:sz w:val="18"/>
          <w:szCs w:val="18"/>
        </w:rPr>
        <w:t>embers,</w:t>
      </w:r>
      <w:r>
        <w:rPr>
          <w:rFonts w:cs="Arial"/>
          <w:sz w:val="18"/>
          <w:szCs w:val="18"/>
        </w:rPr>
        <w:t xml:space="preserve"> the Chief Executive, </w:t>
      </w:r>
      <w:r w:rsidRPr="00F5486F">
        <w:rPr>
          <w:rFonts w:cs="Arial"/>
          <w:sz w:val="18"/>
          <w:szCs w:val="18"/>
        </w:rPr>
        <w:t>and</w:t>
      </w:r>
      <w:r>
        <w:rPr>
          <w:rFonts w:cs="Arial"/>
          <w:sz w:val="18"/>
          <w:szCs w:val="18"/>
        </w:rPr>
        <w:t xml:space="preserve"> other members of the Strategic Leadership Team. </w:t>
      </w:r>
      <w:r>
        <w:rPr>
          <w:sz w:val="18"/>
        </w:rPr>
        <w:t>Despite the formal definition of Key Management Personnel, Board members are independent of management.</w:t>
      </w:r>
    </w:p>
    <w:p w14:paraId="0F060489" w14:textId="77777777" w:rsidR="00B040FE" w:rsidRDefault="00B040FE" w:rsidP="00B040FE">
      <w:pPr>
        <w:autoSpaceDE w:val="0"/>
        <w:autoSpaceDN w:val="0"/>
        <w:adjustRightInd w:val="0"/>
        <w:spacing w:line="240" w:lineRule="auto"/>
        <w:rPr>
          <w:rFonts w:cs="Arial"/>
          <w:sz w:val="18"/>
          <w:szCs w:val="18"/>
        </w:rPr>
      </w:pPr>
      <w:r w:rsidRPr="00930A78">
        <w:rPr>
          <w:rFonts w:cs="Arial"/>
          <w:sz w:val="18"/>
          <w:szCs w:val="18"/>
        </w:rPr>
        <w:t xml:space="preserve">Key </w:t>
      </w:r>
      <w:r>
        <w:rPr>
          <w:rFonts w:cs="Arial"/>
          <w:sz w:val="18"/>
          <w:szCs w:val="18"/>
        </w:rPr>
        <w:t>M</w:t>
      </w:r>
      <w:r w:rsidRPr="00930A78">
        <w:rPr>
          <w:rFonts w:cs="Arial"/>
          <w:sz w:val="18"/>
          <w:szCs w:val="18"/>
        </w:rPr>
        <w:t xml:space="preserve">anagement </w:t>
      </w:r>
      <w:r>
        <w:rPr>
          <w:rFonts w:cs="Arial"/>
          <w:sz w:val="18"/>
          <w:szCs w:val="18"/>
        </w:rPr>
        <w:t>P</w:t>
      </w:r>
      <w:r w:rsidRPr="00930A78">
        <w:rPr>
          <w:rFonts w:cs="Arial"/>
          <w:sz w:val="18"/>
          <w:szCs w:val="18"/>
        </w:rPr>
        <w:t xml:space="preserve">ersonnel </w:t>
      </w:r>
      <w:r>
        <w:rPr>
          <w:rFonts w:cs="Arial"/>
          <w:sz w:val="18"/>
          <w:szCs w:val="18"/>
        </w:rPr>
        <w:t>r</w:t>
      </w:r>
      <w:r w:rsidRPr="00930A78">
        <w:rPr>
          <w:rFonts w:cs="Arial"/>
          <w:sz w:val="18"/>
          <w:szCs w:val="18"/>
        </w:rPr>
        <w:t>emuneration</w:t>
      </w:r>
      <w:r>
        <w:rPr>
          <w:rFonts w:cs="Arial"/>
          <w:sz w:val="18"/>
          <w:szCs w:val="18"/>
        </w:rPr>
        <w:t xml:space="preserve"> </w:t>
      </w:r>
      <w:r w:rsidRPr="00F5486F">
        <w:rPr>
          <w:rFonts w:cs="Arial"/>
          <w:sz w:val="18"/>
          <w:szCs w:val="18"/>
        </w:rPr>
        <w:t>is</w:t>
      </w:r>
      <w:r>
        <w:rPr>
          <w:rFonts w:cs="Arial"/>
          <w:sz w:val="18"/>
          <w:szCs w:val="18"/>
        </w:rPr>
        <w:t xml:space="preserve"> reported in the table below: </w:t>
      </w:r>
    </w:p>
    <w:tbl>
      <w:tblPr>
        <w:tblW w:w="9087" w:type="dxa"/>
        <w:tblLayout w:type="fixed"/>
        <w:tblLook w:val="04A0" w:firstRow="1" w:lastRow="0" w:firstColumn="1" w:lastColumn="0" w:noHBand="0" w:noVBand="1"/>
      </w:tblPr>
      <w:tblGrid>
        <w:gridCol w:w="6353"/>
        <w:gridCol w:w="1257"/>
        <w:gridCol w:w="236"/>
        <w:gridCol w:w="1241"/>
      </w:tblGrid>
      <w:tr w:rsidR="00B040FE" w14:paraId="44240948" w14:textId="77777777" w:rsidTr="005E5E0C">
        <w:trPr>
          <w:trHeight w:val="260"/>
        </w:trPr>
        <w:tc>
          <w:tcPr>
            <w:tcW w:w="6353" w:type="dxa"/>
            <w:tcBorders>
              <w:top w:val="nil"/>
              <w:left w:val="nil"/>
              <w:bottom w:val="nil"/>
              <w:right w:val="nil"/>
            </w:tcBorders>
            <w:shd w:val="clear" w:color="FFFFFF" w:fill="FFFFFF"/>
            <w:noWrap/>
            <w:vAlign w:val="bottom"/>
            <w:hideMark/>
          </w:tcPr>
          <w:p w14:paraId="1E97AA0D" w14:textId="77777777" w:rsidR="00B040FE" w:rsidRDefault="00B040FE" w:rsidP="000D1B3E">
            <w:pPr>
              <w:spacing w:after="0"/>
              <w:rPr>
                <w:rFonts w:cs="Arial"/>
                <w:b/>
                <w:bCs/>
                <w:sz w:val="18"/>
                <w:szCs w:val="18"/>
              </w:rPr>
            </w:pPr>
            <w:bookmarkStart w:id="225" w:name="Note_ERETABLE1" w:colFirst="0" w:colLast="0"/>
            <w:r>
              <w:rPr>
                <w:rFonts w:cs="Arial"/>
                <w:b/>
                <w:bCs/>
                <w:sz w:val="18"/>
                <w:szCs w:val="18"/>
              </w:rPr>
              <w:t> </w:t>
            </w:r>
          </w:p>
        </w:tc>
        <w:tc>
          <w:tcPr>
            <w:tcW w:w="1257" w:type="dxa"/>
            <w:tcBorders>
              <w:top w:val="nil"/>
              <w:left w:val="nil"/>
              <w:bottom w:val="nil"/>
              <w:right w:val="nil"/>
            </w:tcBorders>
            <w:shd w:val="clear" w:color="FFFFFF" w:fill="FFFFFF"/>
            <w:vAlign w:val="bottom"/>
            <w:hideMark/>
          </w:tcPr>
          <w:p w14:paraId="3B6378AF" w14:textId="77777777" w:rsidR="00B040FE" w:rsidRDefault="00B040FE" w:rsidP="000D1B3E">
            <w:pPr>
              <w:spacing w:after="0"/>
              <w:jc w:val="right"/>
              <w:rPr>
                <w:rFonts w:cs="Arial"/>
                <w:b/>
                <w:bCs/>
                <w:sz w:val="18"/>
                <w:szCs w:val="18"/>
              </w:rPr>
            </w:pPr>
            <w:r>
              <w:rPr>
                <w:rFonts w:cs="Arial"/>
                <w:b/>
                <w:bCs/>
                <w:sz w:val="18"/>
                <w:szCs w:val="18"/>
              </w:rPr>
              <w:t>2024</w:t>
            </w:r>
          </w:p>
        </w:tc>
        <w:tc>
          <w:tcPr>
            <w:tcW w:w="236" w:type="dxa"/>
            <w:tcBorders>
              <w:top w:val="nil"/>
              <w:left w:val="nil"/>
              <w:bottom w:val="nil"/>
              <w:right w:val="nil"/>
            </w:tcBorders>
            <w:shd w:val="clear" w:color="FFFFFF" w:fill="FFFFFF"/>
            <w:noWrap/>
            <w:vAlign w:val="bottom"/>
            <w:hideMark/>
          </w:tcPr>
          <w:p w14:paraId="7219A1BF" w14:textId="77777777" w:rsidR="00B040FE" w:rsidRDefault="00B040FE" w:rsidP="000D1B3E">
            <w:pPr>
              <w:spacing w:after="0"/>
              <w:rPr>
                <w:rFonts w:cs="Arial"/>
                <w:sz w:val="18"/>
                <w:szCs w:val="18"/>
              </w:rPr>
            </w:pPr>
            <w:r>
              <w:rPr>
                <w:rFonts w:cs="Arial"/>
                <w:sz w:val="18"/>
                <w:szCs w:val="18"/>
              </w:rPr>
              <w:t> </w:t>
            </w:r>
          </w:p>
        </w:tc>
        <w:tc>
          <w:tcPr>
            <w:tcW w:w="1241" w:type="dxa"/>
            <w:tcBorders>
              <w:top w:val="nil"/>
              <w:left w:val="nil"/>
              <w:bottom w:val="nil"/>
              <w:right w:val="nil"/>
            </w:tcBorders>
            <w:shd w:val="clear" w:color="FFFFFF" w:fill="FFFFFF"/>
            <w:vAlign w:val="bottom"/>
            <w:hideMark/>
          </w:tcPr>
          <w:p w14:paraId="5C5F03DC" w14:textId="77777777" w:rsidR="00B040FE" w:rsidRDefault="00B040FE" w:rsidP="000D1B3E">
            <w:pPr>
              <w:spacing w:after="0"/>
              <w:jc w:val="right"/>
              <w:rPr>
                <w:rFonts w:cs="Arial"/>
                <w:sz w:val="18"/>
                <w:szCs w:val="18"/>
              </w:rPr>
            </w:pPr>
            <w:r>
              <w:rPr>
                <w:rFonts w:cs="Arial"/>
                <w:sz w:val="18"/>
                <w:szCs w:val="18"/>
              </w:rPr>
              <w:t>2023</w:t>
            </w:r>
          </w:p>
        </w:tc>
      </w:tr>
      <w:bookmarkEnd w:id="225"/>
      <w:tr w:rsidR="00B040FE" w14:paraId="467112ED" w14:textId="77777777" w:rsidTr="005E5E0C">
        <w:trPr>
          <w:trHeight w:val="260"/>
        </w:trPr>
        <w:tc>
          <w:tcPr>
            <w:tcW w:w="6353" w:type="dxa"/>
            <w:tcBorders>
              <w:top w:val="nil"/>
              <w:left w:val="nil"/>
              <w:bottom w:val="nil"/>
              <w:right w:val="nil"/>
            </w:tcBorders>
            <w:shd w:val="clear" w:color="FFFFFF" w:fill="FFFFFF"/>
            <w:noWrap/>
            <w:vAlign w:val="bottom"/>
            <w:hideMark/>
          </w:tcPr>
          <w:p w14:paraId="3584DA63" w14:textId="77777777" w:rsidR="00B040FE" w:rsidRDefault="00B040FE" w:rsidP="000D1B3E">
            <w:pPr>
              <w:spacing w:after="0"/>
              <w:rPr>
                <w:rFonts w:cs="Arial"/>
                <w:sz w:val="18"/>
                <w:szCs w:val="18"/>
              </w:rPr>
            </w:pPr>
            <w:r>
              <w:rPr>
                <w:rFonts w:cs="Arial"/>
                <w:sz w:val="18"/>
                <w:szCs w:val="18"/>
              </w:rPr>
              <w:t> </w:t>
            </w:r>
          </w:p>
        </w:tc>
        <w:tc>
          <w:tcPr>
            <w:tcW w:w="1257" w:type="dxa"/>
            <w:tcBorders>
              <w:top w:val="nil"/>
              <w:left w:val="nil"/>
              <w:bottom w:val="nil"/>
              <w:right w:val="nil"/>
            </w:tcBorders>
            <w:shd w:val="clear" w:color="FFFFFF" w:fill="FFFFFF"/>
            <w:vAlign w:val="bottom"/>
            <w:hideMark/>
          </w:tcPr>
          <w:p w14:paraId="44BAC987" w14:textId="77777777" w:rsidR="00B040FE" w:rsidRDefault="00B040FE" w:rsidP="000D1B3E">
            <w:pPr>
              <w:spacing w:after="0"/>
              <w:jc w:val="right"/>
              <w:rPr>
                <w:rFonts w:cs="Arial"/>
                <w:b/>
                <w:bCs/>
                <w:sz w:val="18"/>
                <w:szCs w:val="18"/>
              </w:rPr>
            </w:pPr>
            <w:r>
              <w:rPr>
                <w:rFonts w:cs="Arial"/>
                <w:b/>
                <w:bCs/>
                <w:sz w:val="18"/>
                <w:szCs w:val="18"/>
              </w:rPr>
              <w:t>$'000</w:t>
            </w:r>
          </w:p>
        </w:tc>
        <w:tc>
          <w:tcPr>
            <w:tcW w:w="236" w:type="dxa"/>
            <w:tcBorders>
              <w:top w:val="nil"/>
              <w:left w:val="nil"/>
              <w:bottom w:val="nil"/>
              <w:right w:val="nil"/>
            </w:tcBorders>
            <w:shd w:val="clear" w:color="FFFFFF" w:fill="FFFFFF"/>
            <w:noWrap/>
            <w:vAlign w:val="bottom"/>
            <w:hideMark/>
          </w:tcPr>
          <w:p w14:paraId="4CD21769" w14:textId="77777777" w:rsidR="00B040FE" w:rsidRDefault="00B040FE" w:rsidP="000D1B3E">
            <w:pPr>
              <w:spacing w:after="0"/>
              <w:rPr>
                <w:rFonts w:cs="Arial"/>
                <w:sz w:val="18"/>
                <w:szCs w:val="18"/>
              </w:rPr>
            </w:pPr>
            <w:r>
              <w:rPr>
                <w:rFonts w:cs="Arial"/>
                <w:sz w:val="18"/>
                <w:szCs w:val="18"/>
              </w:rPr>
              <w:t> </w:t>
            </w:r>
          </w:p>
        </w:tc>
        <w:tc>
          <w:tcPr>
            <w:tcW w:w="1241" w:type="dxa"/>
            <w:tcBorders>
              <w:top w:val="nil"/>
              <w:left w:val="nil"/>
              <w:bottom w:val="nil"/>
              <w:right w:val="nil"/>
            </w:tcBorders>
            <w:shd w:val="clear" w:color="FFFFFF" w:fill="FFFFFF"/>
            <w:vAlign w:val="bottom"/>
            <w:hideMark/>
          </w:tcPr>
          <w:p w14:paraId="32D8E90B" w14:textId="77777777" w:rsidR="00B040FE" w:rsidRDefault="00B040FE" w:rsidP="000D1B3E">
            <w:pPr>
              <w:spacing w:after="0"/>
              <w:jc w:val="right"/>
              <w:rPr>
                <w:rFonts w:cs="Arial"/>
                <w:sz w:val="18"/>
                <w:szCs w:val="18"/>
              </w:rPr>
            </w:pPr>
            <w:r>
              <w:rPr>
                <w:rFonts w:cs="Arial"/>
                <w:sz w:val="18"/>
                <w:szCs w:val="18"/>
              </w:rPr>
              <w:t>$'000</w:t>
            </w:r>
          </w:p>
        </w:tc>
      </w:tr>
      <w:tr w:rsidR="00B040FE" w14:paraId="4FB0946A" w14:textId="77777777" w:rsidTr="005E5E0C">
        <w:trPr>
          <w:trHeight w:val="280"/>
        </w:trPr>
        <w:tc>
          <w:tcPr>
            <w:tcW w:w="6353" w:type="dxa"/>
            <w:tcBorders>
              <w:top w:val="nil"/>
              <w:left w:val="nil"/>
              <w:bottom w:val="nil"/>
              <w:right w:val="nil"/>
            </w:tcBorders>
            <w:shd w:val="clear" w:color="FFFFFF" w:fill="FFFFFF"/>
            <w:noWrap/>
            <w:vAlign w:val="bottom"/>
            <w:hideMark/>
          </w:tcPr>
          <w:p w14:paraId="7AEFF652" w14:textId="77777777" w:rsidR="00B040FE" w:rsidRDefault="00B040FE" w:rsidP="000D1B3E">
            <w:pPr>
              <w:spacing w:after="0"/>
              <w:rPr>
                <w:rFonts w:cs="Arial"/>
                <w:b/>
                <w:bCs/>
                <w:sz w:val="18"/>
                <w:szCs w:val="18"/>
                <w:u w:val="single"/>
              </w:rPr>
            </w:pPr>
            <w:r>
              <w:rPr>
                <w:rFonts w:cs="Arial"/>
                <w:b/>
                <w:bCs/>
                <w:sz w:val="18"/>
                <w:szCs w:val="18"/>
                <w:u w:val="single"/>
              </w:rPr>
              <w:t>Note 3.1: Key Management Personnel Remuneration</w:t>
            </w:r>
            <w:r>
              <w:rPr>
                <w:rFonts w:cs="Arial"/>
                <w:b/>
                <w:bCs/>
                <w:sz w:val="18"/>
                <w:szCs w:val="18"/>
                <w:u w:val="single"/>
                <w:vertAlign w:val="superscript"/>
              </w:rPr>
              <w:t>1</w:t>
            </w:r>
          </w:p>
        </w:tc>
        <w:tc>
          <w:tcPr>
            <w:tcW w:w="1257" w:type="dxa"/>
            <w:tcBorders>
              <w:top w:val="nil"/>
              <w:left w:val="nil"/>
              <w:bottom w:val="nil"/>
              <w:right w:val="nil"/>
            </w:tcBorders>
            <w:shd w:val="clear" w:color="FFFFFF" w:fill="FFFFFF"/>
            <w:vAlign w:val="bottom"/>
            <w:hideMark/>
          </w:tcPr>
          <w:p w14:paraId="62C99B07" w14:textId="77777777" w:rsidR="00B040FE" w:rsidRDefault="00B040FE" w:rsidP="000D1B3E">
            <w:pPr>
              <w:spacing w:after="0"/>
              <w:jc w:val="right"/>
              <w:rPr>
                <w:rFonts w:cs="Arial"/>
                <w:b/>
                <w:bCs/>
                <w:sz w:val="18"/>
                <w:szCs w:val="18"/>
              </w:rPr>
            </w:pPr>
            <w:r>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6B4D4377" w14:textId="77777777" w:rsidR="00B040FE" w:rsidRDefault="00B040FE" w:rsidP="000D1B3E">
            <w:pPr>
              <w:spacing w:after="0"/>
              <w:rPr>
                <w:rFonts w:cs="Arial"/>
                <w:sz w:val="18"/>
                <w:szCs w:val="18"/>
              </w:rPr>
            </w:pPr>
            <w:r>
              <w:rPr>
                <w:rFonts w:cs="Arial"/>
                <w:sz w:val="18"/>
                <w:szCs w:val="18"/>
              </w:rPr>
              <w:t> </w:t>
            </w:r>
          </w:p>
        </w:tc>
        <w:tc>
          <w:tcPr>
            <w:tcW w:w="1241" w:type="dxa"/>
            <w:tcBorders>
              <w:top w:val="nil"/>
              <w:left w:val="nil"/>
              <w:bottom w:val="nil"/>
              <w:right w:val="nil"/>
            </w:tcBorders>
            <w:shd w:val="clear" w:color="FFFFFF" w:fill="FFFFFF"/>
            <w:vAlign w:val="bottom"/>
            <w:hideMark/>
          </w:tcPr>
          <w:p w14:paraId="0E2229F7" w14:textId="77777777" w:rsidR="00B040FE" w:rsidRDefault="00B040FE" w:rsidP="000D1B3E">
            <w:pPr>
              <w:spacing w:after="0"/>
              <w:jc w:val="right"/>
              <w:rPr>
                <w:rFonts w:cs="Arial"/>
                <w:sz w:val="18"/>
                <w:szCs w:val="18"/>
              </w:rPr>
            </w:pPr>
            <w:r>
              <w:rPr>
                <w:rFonts w:cs="Arial"/>
                <w:sz w:val="18"/>
                <w:szCs w:val="18"/>
              </w:rPr>
              <w:t> </w:t>
            </w:r>
          </w:p>
        </w:tc>
      </w:tr>
      <w:tr w:rsidR="00B040FE" w14:paraId="0E0E4FCE" w14:textId="77777777" w:rsidTr="005E5E0C">
        <w:trPr>
          <w:trHeight w:val="270"/>
        </w:trPr>
        <w:tc>
          <w:tcPr>
            <w:tcW w:w="6353" w:type="dxa"/>
            <w:tcBorders>
              <w:top w:val="nil"/>
              <w:left w:val="nil"/>
              <w:bottom w:val="nil"/>
              <w:right w:val="nil"/>
            </w:tcBorders>
            <w:shd w:val="clear" w:color="FFFFFF" w:fill="FFFFFF"/>
            <w:noWrap/>
            <w:vAlign w:val="bottom"/>
            <w:hideMark/>
          </w:tcPr>
          <w:p w14:paraId="443A7C60" w14:textId="77777777" w:rsidR="00B040FE" w:rsidRDefault="00B040FE" w:rsidP="000D1B3E">
            <w:pPr>
              <w:spacing w:after="0"/>
              <w:ind w:firstLineChars="100" w:firstLine="180"/>
              <w:rPr>
                <w:rFonts w:cs="Arial"/>
                <w:sz w:val="18"/>
                <w:szCs w:val="18"/>
              </w:rPr>
            </w:pPr>
            <w:r>
              <w:rPr>
                <w:rFonts w:cs="Arial"/>
                <w:sz w:val="18"/>
                <w:szCs w:val="18"/>
              </w:rPr>
              <w:t>Short-term employee benefits</w:t>
            </w:r>
            <w:r>
              <w:rPr>
                <w:rFonts w:cs="Arial"/>
                <w:sz w:val="18"/>
                <w:szCs w:val="18"/>
                <w:vertAlign w:val="superscript"/>
              </w:rPr>
              <w:t>2, 3</w:t>
            </w:r>
          </w:p>
        </w:tc>
        <w:tc>
          <w:tcPr>
            <w:tcW w:w="1257" w:type="dxa"/>
            <w:tcBorders>
              <w:top w:val="nil"/>
              <w:left w:val="nil"/>
              <w:bottom w:val="nil"/>
              <w:right w:val="nil"/>
            </w:tcBorders>
            <w:shd w:val="clear" w:color="FFFFFF" w:fill="FFFFFF"/>
            <w:noWrap/>
            <w:vAlign w:val="bottom"/>
            <w:hideMark/>
          </w:tcPr>
          <w:p w14:paraId="12C24EDC" w14:textId="77777777" w:rsidR="00B040FE" w:rsidRDefault="00B040FE" w:rsidP="000D1B3E">
            <w:pPr>
              <w:spacing w:after="0"/>
              <w:jc w:val="right"/>
              <w:rPr>
                <w:rFonts w:cs="Arial"/>
                <w:b/>
                <w:bCs/>
                <w:sz w:val="18"/>
                <w:szCs w:val="18"/>
              </w:rPr>
            </w:pPr>
            <w:r>
              <w:rPr>
                <w:rFonts w:cs="Arial"/>
                <w:b/>
                <w:bCs/>
                <w:sz w:val="18"/>
                <w:szCs w:val="18"/>
              </w:rPr>
              <w:t>5,021</w:t>
            </w:r>
          </w:p>
        </w:tc>
        <w:tc>
          <w:tcPr>
            <w:tcW w:w="236" w:type="dxa"/>
            <w:tcBorders>
              <w:top w:val="nil"/>
              <w:left w:val="nil"/>
              <w:bottom w:val="nil"/>
              <w:right w:val="nil"/>
            </w:tcBorders>
            <w:shd w:val="clear" w:color="FFFFFF" w:fill="FFFFFF"/>
            <w:noWrap/>
            <w:vAlign w:val="bottom"/>
            <w:hideMark/>
          </w:tcPr>
          <w:p w14:paraId="43581B8C" w14:textId="77777777" w:rsidR="00B040FE" w:rsidRDefault="00B040FE" w:rsidP="000D1B3E">
            <w:pPr>
              <w:spacing w:after="0"/>
              <w:rPr>
                <w:rFonts w:cs="Arial"/>
                <w:b/>
                <w:bCs/>
                <w:color w:val="00B050"/>
                <w:sz w:val="18"/>
                <w:szCs w:val="18"/>
              </w:rPr>
            </w:pPr>
            <w:r>
              <w:rPr>
                <w:rFonts w:cs="Arial"/>
                <w:b/>
                <w:bCs/>
                <w:color w:val="00B050"/>
                <w:sz w:val="18"/>
                <w:szCs w:val="18"/>
              </w:rPr>
              <w:t> </w:t>
            </w:r>
          </w:p>
        </w:tc>
        <w:tc>
          <w:tcPr>
            <w:tcW w:w="1241" w:type="dxa"/>
            <w:tcBorders>
              <w:top w:val="nil"/>
              <w:left w:val="nil"/>
              <w:bottom w:val="nil"/>
              <w:right w:val="nil"/>
            </w:tcBorders>
            <w:shd w:val="clear" w:color="FFFFFF" w:fill="FFFFFF"/>
            <w:noWrap/>
            <w:vAlign w:val="bottom"/>
            <w:hideMark/>
          </w:tcPr>
          <w:p w14:paraId="2625AA98" w14:textId="77777777" w:rsidR="00B040FE" w:rsidRDefault="00B040FE" w:rsidP="000D1B3E">
            <w:pPr>
              <w:spacing w:after="0"/>
              <w:jc w:val="right"/>
              <w:rPr>
                <w:rFonts w:cs="Arial"/>
                <w:sz w:val="18"/>
                <w:szCs w:val="18"/>
              </w:rPr>
            </w:pPr>
            <w:r>
              <w:rPr>
                <w:rFonts w:cs="Arial"/>
                <w:sz w:val="18"/>
                <w:szCs w:val="18"/>
              </w:rPr>
              <w:t>5,365</w:t>
            </w:r>
          </w:p>
        </w:tc>
      </w:tr>
      <w:tr w:rsidR="00B040FE" w14:paraId="65F862CE" w14:textId="77777777" w:rsidTr="005E5E0C">
        <w:trPr>
          <w:trHeight w:val="250"/>
        </w:trPr>
        <w:tc>
          <w:tcPr>
            <w:tcW w:w="6353" w:type="dxa"/>
            <w:tcBorders>
              <w:top w:val="nil"/>
              <w:left w:val="nil"/>
              <w:bottom w:val="nil"/>
              <w:right w:val="nil"/>
            </w:tcBorders>
            <w:shd w:val="clear" w:color="FFFFFF" w:fill="FFFFFF"/>
            <w:noWrap/>
            <w:vAlign w:val="bottom"/>
            <w:hideMark/>
          </w:tcPr>
          <w:p w14:paraId="5618495B" w14:textId="77777777" w:rsidR="00B040FE" w:rsidRDefault="00B040FE" w:rsidP="000D1B3E">
            <w:pPr>
              <w:spacing w:after="0"/>
              <w:ind w:firstLineChars="100" w:firstLine="180"/>
              <w:rPr>
                <w:rFonts w:cs="Arial"/>
                <w:sz w:val="18"/>
                <w:szCs w:val="18"/>
              </w:rPr>
            </w:pPr>
            <w:r>
              <w:rPr>
                <w:rFonts w:cs="Arial"/>
                <w:sz w:val="18"/>
                <w:szCs w:val="18"/>
              </w:rPr>
              <w:t>Post-employment benefits</w:t>
            </w:r>
          </w:p>
        </w:tc>
        <w:tc>
          <w:tcPr>
            <w:tcW w:w="1257" w:type="dxa"/>
            <w:tcBorders>
              <w:top w:val="nil"/>
              <w:left w:val="nil"/>
              <w:bottom w:val="nil"/>
              <w:right w:val="nil"/>
            </w:tcBorders>
            <w:shd w:val="clear" w:color="FFFFFF" w:fill="FFFFFF"/>
            <w:noWrap/>
            <w:vAlign w:val="bottom"/>
            <w:hideMark/>
          </w:tcPr>
          <w:p w14:paraId="7CC318BF" w14:textId="77777777" w:rsidR="00B040FE" w:rsidRDefault="00B040FE" w:rsidP="000D1B3E">
            <w:pPr>
              <w:spacing w:after="0"/>
              <w:jc w:val="right"/>
              <w:rPr>
                <w:rFonts w:cs="Arial"/>
                <w:b/>
                <w:bCs/>
                <w:sz w:val="18"/>
                <w:szCs w:val="18"/>
              </w:rPr>
            </w:pPr>
            <w:r>
              <w:rPr>
                <w:rFonts w:cs="Arial"/>
                <w:b/>
                <w:bCs/>
                <w:sz w:val="18"/>
                <w:szCs w:val="18"/>
              </w:rPr>
              <w:t>638</w:t>
            </w:r>
          </w:p>
        </w:tc>
        <w:tc>
          <w:tcPr>
            <w:tcW w:w="236" w:type="dxa"/>
            <w:tcBorders>
              <w:top w:val="nil"/>
              <w:left w:val="nil"/>
              <w:bottom w:val="nil"/>
              <w:right w:val="nil"/>
            </w:tcBorders>
            <w:shd w:val="clear" w:color="FFFFFF" w:fill="FFFFFF"/>
            <w:noWrap/>
            <w:vAlign w:val="bottom"/>
            <w:hideMark/>
          </w:tcPr>
          <w:p w14:paraId="63995EC8" w14:textId="77777777" w:rsidR="00B040FE" w:rsidRDefault="00B040FE" w:rsidP="000D1B3E">
            <w:pPr>
              <w:spacing w:after="0"/>
              <w:rPr>
                <w:rFonts w:cs="Arial"/>
                <w:b/>
                <w:bCs/>
                <w:sz w:val="18"/>
                <w:szCs w:val="18"/>
              </w:rPr>
            </w:pPr>
            <w:r>
              <w:rPr>
                <w:rFonts w:cs="Arial"/>
                <w:b/>
                <w:bCs/>
                <w:sz w:val="18"/>
                <w:szCs w:val="18"/>
              </w:rPr>
              <w:t> </w:t>
            </w:r>
          </w:p>
        </w:tc>
        <w:tc>
          <w:tcPr>
            <w:tcW w:w="1241" w:type="dxa"/>
            <w:tcBorders>
              <w:top w:val="nil"/>
              <w:left w:val="nil"/>
              <w:bottom w:val="nil"/>
              <w:right w:val="nil"/>
            </w:tcBorders>
            <w:shd w:val="clear" w:color="FFFFFF" w:fill="FFFFFF"/>
            <w:noWrap/>
            <w:vAlign w:val="bottom"/>
            <w:hideMark/>
          </w:tcPr>
          <w:p w14:paraId="0DD60131" w14:textId="77777777" w:rsidR="00B040FE" w:rsidRDefault="00B040FE" w:rsidP="000D1B3E">
            <w:pPr>
              <w:spacing w:after="0"/>
              <w:jc w:val="right"/>
              <w:rPr>
                <w:rFonts w:cs="Arial"/>
                <w:sz w:val="18"/>
                <w:szCs w:val="18"/>
              </w:rPr>
            </w:pPr>
            <w:r>
              <w:rPr>
                <w:rFonts w:cs="Arial"/>
                <w:sz w:val="18"/>
                <w:szCs w:val="18"/>
              </w:rPr>
              <w:t>568</w:t>
            </w:r>
          </w:p>
        </w:tc>
      </w:tr>
      <w:tr w:rsidR="00B040FE" w14:paraId="73018E90" w14:textId="77777777" w:rsidTr="005E5E0C">
        <w:trPr>
          <w:trHeight w:val="250"/>
        </w:trPr>
        <w:tc>
          <w:tcPr>
            <w:tcW w:w="6353" w:type="dxa"/>
            <w:tcBorders>
              <w:top w:val="nil"/>
              <w:left w:val="nil"/>
              <w:bottom w:val="nil"/>
              <w:right w:val="nil"/>
            </w:tcBorders>
            <w:shd w:val="clear" w:color="FFFFFF" w:fill="FFFFFF"/>
            <w:noWrap/>
            <w:vAlign w:val="bottom"/>
            <w:hideMark/>
          </w:tcPr>
          <w:p w14:paraId="04F366E9" w14:textId="77777777" w:rsidR="00B040FE" w:rsidRDefault="00B040FE" w:rsidP="000D1B3E">
            <w:pPr>
              <w:spacing w:after="0"/>
              <w:ind w:firstLineChars="100" w:firstLine="180"/>
              <w:rPr>
                <w:rFonts w:cs="Arial"/>
                <w:sz w:val="18"/>
                <w:szCs w:val="18"/>
              </w:rPr>
            </w:pPr>
            <w:r>
              <w:rPr>
                <w:rFonts w:cs="Arial"/>
                <w:sz w:val="18"/>
                <w:szCs w:val="18"/>
              </w:rPr>
              <w:t>Other long-term employee benefits</w:t>
            </w:r>
          </w:p>
        </w:tc>
        <w:tc>
          <w:tcPr>
            <w:tcW w:w="1257" w:type="dxa"/>
            <w:tcBorders>
              <w:top w:val="nil"/>
              <w:left w:val="nil"/>
              <w:bottom w:val="nil"/>
              <w:right w:val="nil"/>
            </w:tcBorders>
            <w:shd w:val="clear" w:color="FFFFFF" w:fill="FFFFFF"/>
            <w:noWrap/>
            <w:vAlign w:val="bottom"/>
            <w:hideMark/>
          </w:tcPr>
          <w:p w14:paraId="08BFA59B" w14:textId="77777777" w:rsidR="00B040FE" w:rsidRDefault="00B040FE" w:rsidP="000D1B3E">
            <w:pPr>
              <w:spacing w:after="0"/>
              <w:jc w:val="right"/>
              <w:rPr>
                <w:rFonts w:cs="Arial"/>
                <w:b/>
                <w:bCs/>
                <w:sz w:val="18"/>
                <w:szCs w:val="18"/>
              </w:rPr>
            </w:pPr>
            <w:r>
              <w:rPr>
                <w:rFonts w:cs="Arial"/>
                <w:b/>
                <w:bCs/>
                <w:sz w:val="18"/>
                <w:szCs w:val="18"/>
              </w:rPr>
              <w:t>99</w:t>
            </w:r>
          </w:p>
        </w:tc>
        <w:tc>
          <w:tcPr>
            <w:tcW w:w="236" w:type="dxa"/>
            <w:tcBorders>
              <w:top w:val="nil"/>
              <w:left w:val="nil"/>
              <w:bottom w:val="nil"/>
              <w:right w:val="nil"/>
            </w:tcBorders>
            <w:shd w:val="clear" w:color="FFFFFF" w:fill="FFFFFF"/>
            <w:noWrap/>
            <w:vAlign w:val="bottom"/>
            <w:hideMark/>
          </w:tcPr>
          <w:p w14:paraId="3B40DE2F" w14:textId="77777777" w:rsidR="00B040FE" w:rsidRDefault="00B040FE" w:rsidP="000D1B3E">
            <w:pPr>
              <w:spacing w:after="0"/>
              <w:rPr>
                <w:rFonts w:cs="Arial"/>
                <w:b/>
                <w:bCs/>
                <w:sz w:val="18"/>
                <w:szCs w:val="18"/>
              </w:rPr>
            </w:pPr>
            <w:r>
              <w:rPr>
                <w:rFonts w:cs="Arial"/>
                <w:b/>
                <w:bCs/>
                <w:sz w:val="18"/>
                <w:szCs w:val="18"/>
              </w:rPr>
              <w:t> </w:t>
            </w:r>
          </w:p>
        </w:tc>
        <w:tc>
          <w:tcPr>
            <w:tcW w:w="1241" w:type="dxa"/>
            <w:tcBorders>
              <w:top w:val="nil"/>
              <w:left w:val="nil"/>
              <w:bottom w:val="nil"/>
              <w:right w:val="nil"/>
            </w:tcBorders>
            <w:shd w:val="clear" w:color="FFFFFF" w:fill="FFFFFF"/>
            <w:noWrap/>
            <w:vAlign w:val="bottom"/>
            <w:hideMark/>
          </w:tcPr>
          <w:p w14:paraId="429897BA" w14:textId="77777777" w:rsidR="00B040FE" w:rsidRDefault="00B040FE" w:rsidP="000D1B3E">
            <w:pPr>
              <w:spacing w:after="0"/>
              <w:jc w:val="right"/>
              <w:rPr>
                <w:rFonts w:cs="Arial"/>
                <w:sz w:val="18"/>
                <w:szCs w:val="18"/>
              </w:rPr>
            </w:pPr>
            <w:r>
              <w:rPr>
                <w:rFonts w:cs="Arial"/>
                <w:sz w:val="18"/>
                <w:szCs w:val="18"/>
              </w:rPr>
              <w:t>81</w:t>
            </w:r>
          </w:p>
        </w:tc>
      </w:tr>
      <w:tr w:rsidR="00B040FE" w14:paraId="780AD33F" w14:textId="77777777" w:rsidTr="005E5E0C">
        <w:trPr>
          <w:trHeight w:val="250"/>
        </w:trPr>
        <w:tc>
          <w:tcPr>
            <w:tcW w:w="6353" w:type="dxa"/>
            <w:tcBorders>
              <w:top w:val="nil"/>
              <w:left w:val="nil"/>
              <w:bottom w:val="nil"/>
              <w:right w:val="nil"/>
            </w:tcBorders>
            <w:shd w:val="clear" w:color="FFFFFF" w:fill="FFFFFF"/>
            <w:noWrap/>
            <w:vAlign w:val="bottom"/>
            <w:hideMark/>
          </w:tcPr>
          <w:p w14:paraId="1DC71BE8" w14:textId="77777777" w:rsidR="00B040FE" w:rsidRDefault="00B040FE" w:rsidP="000D1B3E">
            <w:pPr>
              <w:spacing w:after="0"/>
              <w:ind w:firstLineChars="100" w:firstLine="180"/>
              <w:rPr>
                <w:rFonts w:cs="Arial"/>
                <w:sz w:val="18"/>
                <w:szCs w:val="18"/>
              </w:rPr>
            </w:pPr>
            <w:r>
              <w:rPr>
                <w:rFonts w:cs="Arial"/>
                <w:sz w:val="18"/>
                <w:szCs w:val="18"/>
              </w:rPr>
              <w:t>Termination benefits</w:t>
            </w:r>
          </w:p>
        </w:tc>
        <w:tc>
          <w:tcPr>
            <w:tcW w:w="1257" w:type="dxa"/>
            <w:tcBorders>
              <w:top w:val="nil"/>
              <w:left w:val="nil"/>
              <w:bottom w:val="nil"/>
              <w:right w:val="nil"/>
            </w:tcBorders>
            <w:shd w:val="clear" w:color="FFFFFF" w:fill="FFFFFF"/>
            <w:noWrap/>
            <w:vAlign w:val="bottom"/>
            <w:hideMark/>
          </w:tcPr>
          <w:p w14:paraId="7A8654D7" w14:textId="77777777" w:rsidR="00B040FE" w:rsidRDefault="00B040FE" w:rsidP="000D1B3E">
            <w:pPr>
              <w:spacing w:after="0"/>
              <w:jc w:val="right"/>
              <w:rPr>
                <w:rFonts w:cs="Arial"/>
                <w:b/>
                <w:bCs/>
                <w:sz w:val="18"/>
                <w:szCs w:val="18"/>
              </w:rPr>
            </w:pPr>
            <w:r>
              <w:rPr>
                <w:rFonts w:cs="Arial"/>
                <w:b/>
                <w:bCs/>
                <w:sz w:val="18"/>
                <w:szCs w:val="18"/>
              </w:rPr>
              <w:t>-</w:t>
            </w:r>
          </w:p>
        </w:tc>
        <w:tc>
          <w:tcPr>
            <w:tcW w:w="236" w:type="dxa"/>
            <w:tcBorders>
              <w:top w:val="nil"/>
              <w:left w:val="nil"/>
              <w:bottom w:val="nil"/>
              <w:right w:val="nil"/>
            </w:tcBorders>
            <w:shd w:val="clear" w:color="FFFFFF" w:fill="FFFFFF"/>
            <w:noWrap/>
            <w:vAlign w:val="bottom"/>
            <w:hideMark/>
          </w:tcPr>
          <w:p w14:paraId="0E71B9D7" w14:textId="77777777" w:rsidR="00B040FE" w:rsidRDefault="00B040FE" w:rsidP="000D1B3E">
            <w:pPr>
              <w:spacing w:after="0"/>
              <w:rPr>
                <w:rFonts w:cs="Arial"/>
                <w:b/>
                <w:bCs/>
                <w:sz w:val="18"/>
                <w:szCs w:val="18"/>
              </w:rPr>
            </w:pPr>
            <w:r>
              <w:rPr>
                <w:rFonts w:cs="Arial"/>
                <w:b/>
                <w:bCs/>
                <w:sz w:val="18"/>
                <w:szCs w:val="18"/>
              </w:rPr>
              <w:t> </w:t>
            </w:r>
          </w:p>
        </w:tc>
        <w:tc>
          <w:tcPr>
            <w:tcW w:w="1241" w:type="dxa"/>
            <w:tcBorders>
              <w:top w:val="nil"/>
              <w:left w:val="nil"/>
              <w:bottom w:val="nil"/>
              <w:right w:val="nil"/>
            </w:tcBorders>
            <w:shd w:val="clear" w:color="FFFFFF" w:fill="FFFFFF"/>
            <w:noWrap/>
            <w:vAlign w:val="bottom"/>
            <w:hideMark/>
          </w:tcPr>
          <w:p w14:paraId="3BF318CA" w14:textId="77777777" w:rsidR="00B040FE" w:rsidRDefault="00B040FE" w:rsidP="000D1B3E">
            <w:pPr>
              <w:spacing w:after="0"/>
              <w:jc w:val="right"/>
              <w:rPr>
                <w:rFonts w:cs="Arial"/>
                <w:sz w:val="18"/>
                <w:szCs w:val="18"/>
              </w:rPr>
            </w:pPr>
            <w:r>
              <w:rPr>
                <w:rFonts w:cs="Arial"/>
                <w:sz w:val="18"/>
                <w:szCs w:val="18"/>
              </w:rPr>
              <w:t>237</w:t>
            </w:r>
          </w:p>
        </w:tc>
      </w:tr>
      <w:tr w:rsidR="00B040FE" w14:paraId="3D5186F0" w14:textId="77777777" w:rsidTr="005E5E0C">
        <w:trPr>
          <w:trHeight w:val="280"/>
        </w:trPr>
        <w:tc>
          <w:tcPr>
            <w:tcW w:w="6353" w:type="dxa"/>
            <w:tcBorders>
              <w:top w:val="nil"/>
              <w:left w:val="nil"/>
              <w:bottom w:val="nil"/>
              <w:right w:val="nil"/>
            </w:tcBorders>
            <w:shd w:val="clear" w:color="FFFFFF" w:fill="FFFFFF"/>
            <w:vAlign w:val="bottom"/>
            <w:hideMark/>
          </w:tcPr>
          <w:p w14:paraId="52571E3B" w14:textId="77777777" w:rsidR="00B040FE" w:rsidRDefault="00B040FE" w:rsidP="000D1B3E">
            <w:pPr>
              <w:spacing w:after="0"/>
              <w:rPr>
                <w:rFonts w:cs="Arial"/>
                <w:b/>
                <w:bCs/>
                <w:sz w:val="18"/>
                <w:szCs w:val="18"/>
              </w:rPr>
            </w:pPr>
            <w:r>
              <w:rPr>
                <w:rFonts w:cs="Arial"/>
                <w:b/>
                <w:bCs/>
                <w:sz w:val="18"/>
                <w:szCs w:val="18"/>
              </w:rPr>
              <w:t>Total Key Management Personnel remuneration expenses</w:t>
            </w:r>
            <w:r>
              <w:rPr>
                <w:rFonts w:cs="Arial"/>
                <w:b/>
                <w:bCs/>
                <w:sz w:val="18"/>
                <w:szCs w:val="18"/>
                <w:vertAlign w:val="superscript"/>
              </w:rPr>
              <w:t>4</w:t>
            </w:r>
          </w:p>
        </w:tc>
        <w:tc>
          <w:tcPr>
            <w:tcW w:w="1257" w:type="dxa"/>
            <w:tcBorders>
              <w:top w:val="single" w:sz="4" w:space="0" w:color="auto"/>
              <w:left w:val="nil"/>
              <w:bottom w:val="single" w:sz="4" w:space="0" w:color="auto"/>
              <w:right w:val="nil"/>
            </w:tcBorders>
            <w:shd w:val="clear" w:color="FFFFFF" w:fill="FFFFFF"/>
            <w:noWrap/>
            <w:vAlign w:val="bottom"/>
            <w:hideMark/>
          </w:tcPr>
          <w:p w14:paraId="732FB17F" w14:textId="77777777" w:rsidR="00B040FE" w:rsidRDefault="00B040FE" w:rsidP="000D1B3E">
            <w:pPr>
              <w:spacing w:after="0"/>
              <w:jc w:val="right"/>
              <w:rPr>
                <w:rFonts w:cs="Arial"/>
                <w:b/>
                <w:bCs/>
                <w:sz w:val="18"/>
                <w:szCs w:val="18"/>
              </w:rPr>
            </w:pPr>
            <w:r>
              <w:rPr>
                <w:rFonts w:cs="Arial"/>
                <w:b/>
                <w:bCs/>
                <w:sz w:val="18"/>
                <w:szCs w:val="18"/>
              </w:rPr>
              <w:t>5,758</w:t>
            </w:r>
          </w:p>
        </w:tc>
        <w:tc>
          <w:tcPr>
            <w:tcW w:w="236" w:type="dxa"/>
            <w:tcBorders>
              <w:top w:val="nil"/>
              <w:left w:val="nil"/>
              <w:bottom w:val="nil"/>
              <w:right w:val="nil"/>
            </w:tcBorders>
            <w:shd w:val="clear" w:color="FFFFFF" w:fill="FFFFFF"/>
            <w:noWrap/>
            <w:vAlign w:val="bottom"/>
            <w:hideMark/>
          </w:tcPr>
          <w:p w14:paraId="07B93CD7" w14:textId="77777777" w:rsidR="00B040FE" w:rsidRDefault="00B040FE" w:rsidP="000D1B3E">
            <w:pPr>
              <w:spacing w:after="0"/>
              <w:rPr>
                <w:rFonts w:cs="Arial"/>
                <w:b/>
                <w:bCs/>
                <w:sz w:val="18"/>
                <w:szCs w:val="18"/>
              </w:rPr>
            </w:pPr>
            <w:r>
              <w:rPr>
                <w:rFonts w:cs="Arial"/>
                <w:b/>
                <w:bCs/>
                <w:sz w:val="18"/>
                <w:szCs w:val="18"/>
              </w:rPr>
              <w:t> </w:t>
            </w:r>
          </w:p>
        </w:tc>
        <w:tc>
          <w:tcPr>
            <w:tcW w:w="1241" w:type="dxa"/>
            <w:tcBorders>
              <w:top w:val="single" w:sz="4" w:space="0" w:color="auto"/>
              <w:left w:val="nil"/>
              <w:bottom w:val="single" w:sz="4" w:space="0" w:color="auto"/>
              <w:right w:val="nil"/>
            </w:tcBorders>
            <w:shd w:val="clear" w:color="FFFFFF" w:fill="FFFFFF"/>
            <w:noWrap/>
            <w:vAlign w:val="bottom"/>
            <w:hideMark/>
          </w:tcPr>
          <w:p w14:paraId="685FC691" w14:textId="77777777" w:rsidR="00B040FE" w:rsidRDefault="00B040FE" w:rsidP="000D1B3E">
            <w:pPr>
              <w:spacing w:after="0"/>
              <w:jc w:val="right"/>
              <w:rPr>
                <w:rFonts w:cs="Arial"/>
                <w:sz w:val="18"/>
                <w:szCs w:val="18"/>
              </w:rPr>
            </w:pPr>
            <w:r>
              <w:rPr>
                <w:rFonts w:cs="Arial"/>
                <w:sz w:val="18"/>
                <w:szCs w:val="18"/>
              </w:rPr>
              <w:t>6,251</w:t>
            </w:r>
          </w:p>
        </w:tc>
      </w:tr>
    </w:tbl>
    <w:p w14:paraId="06E5E211" w14:textId="3F77912A" w:rsidR="00B040FE" w:rsidRDefault="00B040FE" w:rsidP="000D1B3E">
      <w:pPr>
        <w:spacing w:before="120" w:after="120"/>
        <w:rPr>
          <w:rFonts w:cs="Arial"/>
          <w:sz w:val="18"/>
          <w:szCs w:val="18"/>
        </w:rPr>
      </w:pPr>
      <w:r w:rsidRPr="00455E98">
        <w:rPr>
          <w:rFonts w:cs="Arial"/>
          <w:sz w:val="18"/>
          <w:szCs w:val="18"/>
        </w:rPr>
        <w:t xml:space="preserve">The total number of Key Management Personnel that are included in the above table is </w:t>
      </w:r>
      <w:r>
        <w:rPr>
          <w:rFonts w:cs="Arial"/>
          <w:sz w:val="18"/>
          <w:szCs w:val="18"/>
        </w:rPr>
        <w:t xml:space="preserve">21 </w:t>
      </w:r>
      <w:r w:rsidRPr="00455E98">
        <w:rPr>
          <w:rFonts w:cs="Arial"/>
          <w:sz w:val="18"/>
          <w:szCs w:val="18"/>
        </w:rPr>
        <w:t>(</w:t>
      </w:r>
      <w:r w:rsidRPr="00455E98">
        <w:rPr>
          <w:rFonts w:cs="Arial"/>
          <w:sz w:val="18"/>
          <w:szCs w:val="18"/>
        </w:rPr>
        <w:fldChar w:fldCharType="begin"/>
      </w:r>
      <w:r w:rsidRPr="00455E98">
        <w:rPr>
          <w:rFonts w:cs="Arial"/>
          <w:sz w:val="18"/>
          <w:szCs w:val="18"/>
        </w:rPr>
        <w:instrText xml:space="preserve"> DOCPROPERTY  prYear  \* MERGEFORMAT </w:instrText>
      </w:r>
      <w:r w:rsidRPr="00455E98">
        <w:rPr>
          <w:rFonts w:cs="Arial"/>
          <w:sz w:val="18"/>
          <w:szCs w:val="18"/>
        </w:rPr>
        <w:fldChar w:fldCharType="separate"/>
      </w:r>
      <w:r>
        <w:rPr>
          <w:rFonts w:cs="Arial"/>
          <w:sz w:val="18"/>
          <w:szCs w:val="18"/>
        </w:rPr>
        <w:t>2023</w:t>
      </w:r>
      <w:r w:rsidRPr="00455E98">
        <w:rPr>
          <w:rFonts w:cs="Arial"/>
          <w:sz w:val="18"/>
          <w:szCs w:val="18"/>
        </w:rPr>
        <w:fldChar w:fldCharType="end"/>
      </w:r>
      <w:r w:rsidRPr="00455E98">
        <w:rPr>
          <w:rFonts w:cs="Arial"/>
          <w:sz w:val="18"/>
          <w:szCs w:val="18"/>
        </w:rPr>
        <w:t xml:space="preserve">: </w:t>
      </w:r>
      <w:r>
        <w:rPr>
          <w:rFonts w:cs="Arial"/>
          <w:sz w:val="18"/>
          <w:szCs w:val="18"/>
        </w:rPr>
        <w:t>33</w:t>
      </w:r>
      <w:r w:rsidRPr="00455E98">
        <w:rPr>
          <w:rFonts w:cs="Arial"/>
          <w:sz w:val="18"/>
          <w:szCs w:val="18"/>
        </w:rPr>
        <w:t>).</w:t>
      </w:r>
    </w:p>
    <w:p w14:paraId="74F49B3B" w14:textId="12D2965C" w:rsidR="00B040FE" w:rsidRDefault="00B040FE" w:rsidP="000D1B3E">
      <w:pPr>
        <w:spacing w:before="120" w:after="120"/>
        <w:rPr>
          <w:rFonts w:cs="Arial"/>
          <w:sz w:val="18"/>
          <w:szCs w:val="18"/>
        </w:rPr>
      </w:pPr>
      <w:r w:rsidRPr="0055271D">
        <w:rPr>
          <w:rFonts w:cs="Arial"/>
          <w:sz w:val="18"/>
          <w:szCs w:val="18"/>
        </w:rPr>
        <w:t>During the 2023-24 Financial Year, the Agency identified payment discrepancies in relation to a number of KMPs as per with the Remuneration Determinations set by the Remuneration Tribunal. The correct remuneration amounts are recognised in the above disclosure. The payment discrepancies have been addressed by the Agency.</w:t>
      </w:r>
    </w:p>
    <w:p w14:paraId="66F424B0" w14:textId="77777777" w:rsidR="00B040FE" w:rsidRPr="007348B7" w:rsidRDefault="00B040FE" w:rsidP="0047225D">
      <w:pPr>
        <w:spacing w:after="0"/>
        <w:rPr>
          <w:rFonts w:cs="Arial"/>
          <w:sz w:val="16"/>
          <w:szCs w:val="16"/>
        </w:rPr>
      </w:pPr>
      <w:bookmarkStart w:id="226" w:name="_Toc427244156"/>
      <w:r w:rsidRPr="09362A5D">
        <w:rPr>
          <w:rFonts w:cs="Arial"/>
          <w:sz w:val="16"/>
          <w:szCs w:val="16"/>
          <w:vertAlign w:val="superscript"/>
        </w:rPr>
        <w:t xml:space="preserve">1 </w:t>
      </w:r>
      <w:r w:rsidRPr="09362A5D">
        <w:rPr>
          <w:rFonts w:cs="Arial"/>
          <w:sz w:val="16"/>
          <w:szCs w:val="16"/>
        </w:rPr>
        <w:t xml:space="preserve">All remuneration in the table above and reported in </w:t>
      </w:r>
      <w:r w:rsidRPr="001917EC">
        <w:rPr>
          <w:rFonts w:cs="Arial"/>
          <w:sz w:val="16"/>
          <w:szCs w:val="16"/>
        </w:rPr>
        <w:t>Appendix</w:t>
      </w:r>
      <w:r>
        <w:rPr>
          <w:rFonts w:cs="Arial"/>
          <w:sz w:val="16"/>
          <w:szCs w:val="16"/>
        </w:rPr>
        <w:t xml:space="preserve"> </w:t>
      </w:r>
      <w:r w:rsidRPr="001917EC">
        <w:rPr>
          <w:rFonts w:cs="Arial"/>
          <w:sz w:val="16"/>
          <w:szCs w:val="16"/>
        </w:rPr>
        <w:t>6.6</w:t>
      </w:r>
      <w:r w:rsidRPr="09362A5D">
        <w:rPr>
          <w:rFonts w:cs="Arial"/>
          <w:sz w:val="16"/>
          <w:szCs w:val="16"/>
        </w:rPr>
        <w:t xml:space="preserve"> of the annual report is calculated on an accrual basis. </w:t>
      </w:r>
    </w:p>
    <w:p w14:paraId="3F305053" w14:textId="77777777" w:rsidR="00B040FE" w:rsidRPr="007348B7" w:rsidRDefault="00B040FE" w:rsidP="0047225D">
      <w:pPr>
        <w:spacing w:after="0"/>
        <w:rPr>
          <w:rFonts w:cs="Arial"/>
          <w:sz w:val="16"/>
          <w:szCs w:val="18"/>
        </w:rPr>
      </w:pPr>
      <w:r w:rsidRPr="007348B7">
        <w:rPr>
          <w:rFonts w:cs="Arial"/>
          <w:sz w:val="16"/>
          <w:szCs w:val="18"/>
          <w:vertAlign w:val="superscript"/>
        </w:rPr>
        <w:t xml:space="preserve">2 </w:t>
      </w:r>
      <w:r w:rsidRPr="007348B7">
        <w:rPr>
          <w:rFonts w:cs="Arial"/>
          <w:sz w:val="16"/>
          <w:szCs w:val="18"/>
        </w:rPr>
        <w:t>Employee benefits include salary and vehicle allowances.</w:t>
      </w:r>
      <w:bookmarkEnd w:id="226"/>
    </w:p>
    <w:p w14:paraId="3B865891" w14:textId="77777777" w:rsidR="00B040FE" w:rsidRPr="007348B7" w:rsidRDefault="00B040FE" w:rsidP="0047225D">
      <w:pPr>
        <w:spacing w:after="0"/>
        <w:rPr>
          <w:rFonts w:cs="Arial"/>
          <w:sz w:val="16"/>
          <w:szCs w:val="18"/>
        </w:rPr>
      </w:pPr>
      <w:r w:rsidRPr="007348B7">
        <w:rPr>
          <w:rFonts w:cs="Arial"/>
          <w:sz w:val="16"/>
          <w:szCs w:val="18"/>
          <w:vertAlign w:val="superscript"/>
        </w:rPr>
        <w:t>3</w:t>
      </w:r>
      <w:r w:rsidRPr="007348B7">
        <w:rPr>
          <w:rFonts w:cs="Arial"/>
          <w:sz w:val="16"/>
          <w:szCs w:val="18"/>
        </w:rPr>
        <w:t xml:space="preserve"> Where the Agency engages Key Management Personnel through direct contract arrangements the total contract costs for those individuals are reflected as short-term employee benefits.</w:t>
      </w:r>
    </w:p>
    <w:p w14:paraId="2C009967" w14:textId="77777777" w:rsidR="00B040FE" w:rsidRPr="00715D79" w:rsidRDefault="00B040FE" w:rsidP="0047225D">
      <w:pPr>
        <w:spacing w:after="0"/>
        <w:rPr>
          <w:rFonts w:cs="Arial"/>
          <w:sz w:val="16"/>
          <w:szCs w:val="18"/>
        </w:rPr>
      </w:pPr>
      <w:r w:rsidRPr="007348B7">
        <w:rPr>
          <w:rFonts w:cs="Arial"/>
          <w:sz w:val="16"/>
          <w:szCs w:val="18"/>
          <w:vertAlign w:val="superscript"/>
        </w:rPr>
        <w:t xml:space="preserve">4 </w:t>
      </w:r>
      <w:r w:rsidRPr="007348B7">
        <w:rPr>
          <w:rFonts w:cs="Arial"/>
          <w:sz w:val="16"/>
          <w:szCs w:val="18"/>
        </w:rPr>
        <w:t>The above Key Management Personnel remuneration excludes the remuneration and other benefits of the Minister and Portfolio Minister. The Minister’s and Portfolio Minister’s remuneration and other benefits are set by the Remuneration Tribunal and are not paid by the Agency. These expenses are reported in the Department of Finance’s administered schedules and notes.</w:t>
      </w:r>
      <w:r w:rsidRPr="00715D79">
        <w:rPr>
          <w:rFonts w:cs="Arial"/>
          <w:sz w:val="16"/>
          <w:szCs w:val="18"/>
        </w:rPr>
        <w:t xml:space="preserve"> </w:t>
      </w:r>
    </w:p>
    <w:p w14:paraId="2E09DF62" w14:textId="77777777" w:rsidR="00B040FE" w:rsidRDefault="00B040FE" w:rsidP="00B040FE">
      <w:pPr>
        <w:rPr>
          <w:rFonts w:cs="Arial"/>
          <w:sz w:val="18"/>
          <w:szCs w:val="18"/>
        </w:rPr>
      </w:pPr>
    </w:p>
    <w:p w14:paraId="4BCB79B5" w14:textId="77777777" w:rsidR="00B040FE" w:rsidRPr="007204D0" w:rsidRDefault="00B040FE" w:rsidP="000D1B3E">
      <w:pPr>
        <w:pStyle w:val="SubHeading"/>
        <w:shd w:val="clear" w:color="auto" w:fill="000000" w:themeFill="accent6"/>
      </w:pPr>
      <w:bookmarkStart w:id="227" w:name="_Toc65742856"/>
      <w:bookmarkStart w:id="228" w:name="_Toc173417302"/>
      <w:r>
        <w:t>Related Party Disclosures</w:t>
      </w:r>
      <w:bookmarkEnd w:id="227"/>
      <w:bookmarkEnd w:id="228"/>
    </w:p>
    <w:p w14:paraId="6BE0D5EE" w14:textId="77777777" w:rsidR="00B040FE" w:rsidRPr="007372C7" w:rsidRDefault="00B040FE" w:rsidP="000D1B3E">
      <w:pPr>
        <w:spacing w:before="120" w:after="120" w:line="264" w:lineRule="auto"/>
        <w:rPr>
          <w:b/>
          <w:sz w:val="18"/>
        </w:rPr>
      </w:pPr>
      <w:r w:rsidRPr="007372C7">
        <w:rPr>
          <w:b/>
          <w:sz w:val="18"/>
        </w:rPr>
        <w:t>Related party relationships:</w:t>
      </w:r>
    </w:p>
    <w:p w14:paraId="4C911BDA" w14:textId="77777777" w:rsidR="00B040FE" w:rsidRPr="0015343F" w:rsidRDefault="00B040FE" w:rsidP="000D1B3E">
      <w:pPr>
        <w:spacing w:before="120" w:after="120" w:line="264" w:lineRule="auto"/>
        <w:rPr>
          <w:rFonts w:cs="Arial"/>
          <w:sz w:val="18"/>
          <w:szCs w:val="18"/>
        </w:rPr>
      </w:pPr>
      <w:r w:rsidRPr="00CC3C7C">
        <w:rPr>
          <w:rFonts w:cs="Arial"/>
          <w:sz w:val="18"/>
          <w:szCs w:val="18"/>
        </w:rPr>
        <w:t>The Agency is an Australian Government controlled entity, which is governed by an independent Board. For reporting purposes, the Agency’s related parties are the DSS, Services Australia and Key Management Personnel. The definition of Key Management Personnel is included in Note 3.</w:t>
      </w:r>
      <w:r>
        <w:rPr>
          <w:rFonts w:cs="Arial"/>
          <w:sz w:val="18"/>
          <w:szCs w:val="18"/>
        </w:rPr>
        <w:t>1</w:t>
      </w:r>
      <w:r w:rsidRPr="00CC3C7C">
        <w:rPr>
          <w:rFonts w:cs="Arial"/>
          <w:sz w:val="18"/>
          <w:szCs w:val="18"/>
        </w:rPr>
        <w:t>.</w:t>
      </w:r>
    </w:p>
    <w:p w14:paraId="21CDBC73" w14:textId="77777777" w:rsidR="00B040FE" w:rsidRPr="0015343F" w:rsidRDefault="00B040FE" w:rsidP="000D1B3E">
      <w:pPr>
        <w:spacing w:before="120" w:after="120" w:line="264" w:lineRule="auto"/>
        <w:rPr>
          <w:rFonts w:cs="Arial"/>
          <w:sz w:val="18"/>
          <w:szCs w:val="18"/>
        </w:rPr>
      </w:pPr>
      <w:r w:rsidRPr="00CC3C7C">
        <w:rPr>
          <w:rFonts w:cs="Arial"/>
          <w:sz w:val="18"/>
          <w:szCs w:val="18"/>
        </w:rPr>
        <w:t xml:space="preserve">There were </w:t>
      </w:r>
      <w:r>
        <w:rPr>
          <w:rFonts w:cs="Arial"/>
          <w:sz w:val="18"/>
          <w:szCs w:val="18"/>
        </w:rPr>
        <w:t>no</w:t>
      </w:r>
      <w:r w:rsidRPr="00CC3C7C">
        <w:rPr>
          <w:rFonts w:cs="Arial"/>
          <w:sz w:val="18"/>
          <w:szCs w:val="18"/>
        </w:rPr>
        <w:t xml:space="preserve"> loans to any Key Management Personnel or other related parties during the period (</w:t>
      </w:r>
      <w:r>
        <w:rPr>
          <w:rFonts w:cs="Arial"/>
          <w:sz w:val="18"/>
          <w:szCs w:val="18"/>
        </w:rPr>
        <w:fldChar w:fldCharType="begin"/>
      </w:r>
      <w:r>
        <w:rPr>
          <w:rFonts w:cs="Arial"/>
          <w:sz w:val="18"/>
          <w:szCs w:val="18"/>
        </w:rPr>
        <w:instrText xml:space="preserve"> DOCPROPERTY  prYear  \* MERGEFORMAT </w:instrText>
      </w:r>
      <w:r>
        <w:rPr>
          <w:rFonts w:cs="Arial"/>
          <w:sz w:val="18"/>
          <w:szCs w:val="18"/>
        </w:rPr>
        <w:fldChar w:fldCharType="separate"/>
      </w:r>
      <w:r>
        <w:rPr>
          <w:rFonts w:cs="Arial"/>
          <w:sz w:val="18"/>
          <w:szCs w:val="18"/>
        </w:rPr>
        <w:t>2023</w:t>
      </w:r>
      <w:r>
        <w:rPr>
          <w:rFonts w:cs="Arial"/>
          <w:sz w:val="18"/>
          <w:szCs w:val="18"/>
        </w:rPr>
        <w:fldChar w:fldCharType="end"/>
      </w:r>
      <w:r w:rsidRPr="00CC3C7C">
        <w:rPr>
          <w:rFonts w:cs="Arial"/>
          <w:sz w:val="18"/>
          <w:szCs w:val="18"/>
        </w:rPr>
        <w:t>: Nil).</w:t>
      </w:r>
    </w:p>
    <w:p w14:paraId="1C6294A5" w14:textId="77777777" w:rsidR="00B040FE" w:rsidRPr="00EE6E8A" w:rsidRDefault="00B040FE" w:rsidP="000D1B3E">
      <w:pPr>
        <w:spacing w:before="120" w:after="120" w:line="264" w:lineRule="auto"/>
        <w:rPr>
          <w:b/>
          <w:sz w:val="18"/>
        </w:rPr>
      </w:pPr>
      <w:r w:rsidRPr="00EE6E8A">
        <w:rPr>
          <w:b/>
          <w:sz w:val="18"/>
        </w:rPr>
        <w:t>Transactions with related parties:</w:t>
      </w:r>
    </w:p>
    <w:p w14:paraId="0CED40B5" w14:textId="77777777" w:rsidR="00B040FE" w:rsidRPr="0015343F" w:rsidRDefault="00B040FE" w:rsidP="000D1B3E">
      <w:pPr>
        <w:spacing w:before="120" w:after="120" w:line="264" w:lineRule="auto"/>
        <w:rPr>
          <w:rFonts w:cs="Arial"/>
          <w:sz w:val="18"/>
          <w:szCs w:val="18"/>
        </w:rPr>
      </w:pPr>
      <w:r w:rsidRPr="00CC3C7C">
        <w:rPr>
          <w:rFonts w:cs="Arial"/>
          <w:sz w:val="18"/>
          <w:szCs w:val="18"/>
        </w:rPr>
        <w:t>Given the scope of Government activities, related parties may transact with the government sector in the same capacity as ordinary citizens and/or may have family members that are participants in the Scheme. These transactions are conducted at arm’s length and have not been separately disclosed in this note. A number of Key Management Personnel fall into this category. Where the Agency has had interactions with DSS and Services Australia, the financial impact of such interactions has been disclosed in sections 1 and 2 of the financial statements.</w:t>
      </w:r>
    </w:p>
    <w:p w14:paraId="6F7DBA94" w14:textId="77777777" w:rsidR="00B040FE" w:rsidRDefault="00B040FE" w:rsidP="000D1B3E">
      <w:pPr>
        <w:spacing w:before="120" w:after="120" w:line="264" w:lineRule="auto"/>
        <w:rPr>
          <w:i/>
          <w:sz w:val="18"/>
          <w:u w:val="single"/>
        </w:rPr>
      </w:pPr>
      <w:r w:rsidRPr="00120D25">
        <w:rPr>
          <w:i/>
          <w:sz w:val="18"/>
          <w:u w:val="single"/>
        </w:rPr>
        <w:t>Registered Service Providers</w:t>
      </w:r>
    </w:p>
    <w:p w14:paraId="355E325C" w14:textId="79BED55A" w:rsidR="006E070C" w:rsidRDefault="00B040FE" w:rsidP="006E070C">
      <w:pPr>
        <w:spacing w:before="120" w:after="120" w:line="264" w:lineRule="auto"/>
        <w:rPr>
          <w:b/>
          <w:bCs/>
        </w:rPr>
      </w:pPr>
      <w:r w:rsidRPr="00BF7EF1">
        <w:rPr>
          <w:sz w:val="18"/>
        </w:rPr>
        <w:t xml:space="preserve">Participants who elect to have their plan managed by the Agency must select a registered service provider to deliver the supports in their plan. To become a registered service provider an organisation must submit an application to the NDIS Quality and Safeguards Commission. All applications are assessed against the criteria specified in </w:t>
      </w:r>
      <w:r w:rsidRPr="003A0EA7">
        <w:rPr>
          <w:i/>
          <w:iCs/>
          <w:sz w:val="18"/>
        </w:rPr>
        <w:t>National Disability Insurance Scheme (Provider Registration and Practice Standards) Rules 2018.</w:t>
      </w:r>
      <w:r w:rsidRPr="00BF7EF1">
        <w:rPr>
          <w:sz w:val="18"/>
        </w:rPr>
        <w:t xml:space="preserve"> </w:t>
      </w:r>
      <w:r w:rsidR="006E070C">
        <w:rPr>
          <w:b/>
          <w:bCs/>
        </w:rPr>
        <w:br w:type="page"/>
      </w:r>
    </w:p>
    <w:p w14:paraId="31BA2721" w14:textId="23B6C2DC" w:rsidR="006E070C" w:rsidRPr="000D1B3E" w:rsidRDefault="006E070C" w:rsidP="006E070C">
      <w:pPr>
        <w:spacing w:after="0" w:line="240" w:lineRule="auto"/>
        <w:rPr>
          <w:b/>
          <w:bCs/>
        </w:rPr>
      </w:pPr>
      <w:r w:rsidRPr="000D1B3E">
        <w:rPr>
          <w:b/>
          <w:bCs/>
        </w:rPr>
        <w:lastRenderedPageBreak/>
        <w:t>National Disability Insurance Agency</w:t>
      </w:r>
    </w:p>
    <w:p w14:paraId="4D7BDC14" w14:textId="77777777" w:rsidR="006E070C" w:rsidRPr="000D1B3E" w:rsidRDefault="006E070C" w:rsidP="006E070C">
      <w:pPr>
        <w:pBdr>
          <w:bottom w:val="single" w:sz="8" w:space="1" w:color="auto"/>
        </w:pBdr>
        <w:rPr>
          <w:b/>
          <w:bCs/>
        </w:rPr>
      </w:pPr>
      <w:r w:rsidRPr="000D1B3E">
        <w:rPr>
          <w:b/>
          <w:bCs/>
        </w:rPr>
        <w:t>NOTES TO AND FORMING PART OF THE FINANCIAL STATEMENTS</w:t>
      </w:r>
    </w:p>
    <w:p w14:paraId="787499F9" w14:textId="77777777" w:rsidR="00B040FE" w:rsidRDefault="00B040FE" w:rsidP="000D1B3E">
      <w:pPr>
        <w:spacing w:before="120" w:after="120" w:line="264" w:lineRule="auto"/>
        <w:rPr>
          <w:sz w:val="18"/>
        </w:rPr>
      </w:pPr>
      <w:r w:rsidRPr="00BF7EF1">
        <w:rPr>
          <w:sz w:val="18"/>
        </w:rPr>
        <w:t xml:space="preserve">Given the scope of the sector in which the Agency operates, Board members </w:t>
      </w:r>
      <w:r>
        <w:rPr>
          <w:sz w:val="18"/>
        </w:rPr>
        <w:t xml:space="preserve">may </w:t>
      </w:r>
      <w:r w:rsidRPr="00BF7EF1">
        <w:rPr>
          <w:sz w:val="18"/>
        </w:rPr>
        <w:t>also h</w:t>
      </w:r>
      <w:r>
        <w:rPr>
          <w:sz w:val="18"/>
        </w:rPr>
        <w:t>o</w:t>
      </w:r>
      <w:r w:rsidRPr="00BF7EF1">
        <w:rPr>
          <w:sz w:val="18"/>
        </w:rPr>
        <w:t>ld positions with registered service providers. Directors of the Agency are not involved in any decisions to accept or reject applications to register as a service provider. Transactions between the Agency and registered providers are initiated by the participants rather than the Agency, are at arm’s length and have not been separately disclosed in this note.</w:t>
      </w:r>
    </w:p>
    <w:p w14:paraId="3E261F58" w14:textId="77777777" w:rsidR="00B040FE" w:rsidRPr="00A10498" w:rsidRDefault="00B040FE" w:rsidP="000D1B3E">
      <w:pPr>
        <w:spacing w:before="120" w:after="120" w:line="264" w:lineRule="auto"/>
        <w:rPr>
          <w:sz w:val="18"/>
        </w:rPr>
      </w:pPr>
      <w:r>
        <w:rPr>
          <w:rFonts w:cs="Arial"/>
          <w:sz w:val="18"/>
          <w:szCs w:val="18"/>
        </w:rPr>
        <w:t xml:space="preserve">There were no related party payments made during the period. </w:t>
      </w:r>
      <w:r w:rsidRPr="00BF7EF1">
        <w:rPr>
          <w:rFonts w:cs="Arial"/>
          <w:sz w:val="18"/>
          <w:szCs w:val="18"/>
        </w:rPr>
        <w:t xml:space="preserve">The following cash payments were made to parties related to </w:t>
      </w:r>
      <w:r w:rsidRPr="00CC3C7C">
        <w:rPr>
          <w:rFonts w:cs="Arial"/>
          <w:sz w:val="18"/>
          <w:szCs w:val="18"/>
        </w:rPr>
        <w:t xml:space="preserve">Key Management Personnel </w:t>
      </w:r>
      <w:r w:rsidRPr="00BF7EF1">
        <w:rPr>
          <w:rFonts w:cs="Arial"/>
          <w:sz w:val="18"/>
          <w:szCs w:val="18"/>
        </w:rPr>
        <w:t xml:space="preserve">members during the </w:t>
      </w:r>
      <w:r>
        <w:rPr>
          <w:rFonts w:cs="Arial"/>
          <w:sz w:val="18"/>
          <w:szCs w:val="18"/>
        </w:rPr>
        <w:t xml:space="preserve">comparative </w:t>
      </w:r>
      <w:r w:rsidRPr="00BF7EF1">
        <w:rPr>
          <w:rFonts w:cs="Arial"/>
          <w:sz w:val="18"/>
          <w:szCs w:val="18"/>
        </w:rPr>
        <w:t>financial year:</w:t>
      </w:r>
    </w:p>
    <w:tbl>
      <w:tblPr>
        <w:tblW w:w="9356" w:type="dxa"/>
        <w:tblLayout w:type="fixed"/>
        <w:tblLook w:val="04A0" w:firstRow="1" w:lastRow="0" w:firstColumn="1" w:lastColumn="0" w:noHBand="0" w:noVBand="1"/>
      </w:tblPr>
      <w:tblGrid>
        <w:gridCol w:w="2694"/>
        <w:gridCol w:w="1994"/>
        <w:gridCol w:w="2683"/>
        <w:gridCol w:w="851"/>
        <w:gridCol w:w="275"/>
        <w:gridCol w:w="859"/>
      </w:tblGrid>
      <w:tr w:rsidR="00B040FE" w:rsidRPr="00366006" w14:paraId="4F8AE82C" w14:textId="77777777" w:rsidTr="005E5E0C">
        <w:trPr>
          <w:trHeight w:val="255"/>
        </w:trPr>
        <w:tc>
          <w:tcPr>
            <w:tcW w:w="2694" w:type="dxa"/>
            <w:tcBorders>
              <w:top w:val="nil"/>
              <w:left w:val="nil"/>
              <w:bottom w:val="nil"/>
              <w:right w:val="nil"/>
            </w:tcBorders>
            <w:shd w:val="clear" w:color="FFFFFF" w:fill="FFFFFF"/>
            <w:noWrap/>
            <w:vAlign w:val="bottom"/>
          </w:tcPr>
          <w:p w14:paraId="578D58CC" w14:textId="77777777" w:rsidR="00B040FE" w:rsidRPr="00E16A54" w:rsidRDefault="00B040FE" w:rsidP="005E5E0C">
            <w:pPr>
              <w:rPr>
                <w:rFonts w:cs="Arial"/>
                <w:b/>
                <w:bCs/>
                <w:sz w:val="18"/>
                <w:szCs w:val="18"/>
              </w:rPr>
            </w:pPr>
          </w:p>
        </w:tc>
        <w:tc>
          <w:tcPr>
            <w:tcW w:w="1994" w:type="dxa"/>
            <w:tcBorders>
              <w:top w:val="nil"/>
              <w:left w:val="nil"/>
              <w:bottom w:val="nil"/>
              <w:right w:val="nil"/>
            </w:tcBorders>
            <w:shd w:val="clear" w:color="FFFFFF" w:fill="FFFFFF"/>
          </w:tcPr>
          <w:p w14:paraId="64945E2D" w14:textId="77777777" w:rsidR="00B040FE" w:rsidRPr="00E16A54" w:rsidRDefault="00B040FE" w:rsidP="005E5E0C">
            <w:pPr>
              <w:rPr>
                <w:rFonts w:cs="Arial"/>
                <w:b/>
                <w:bCs/>
                <w:sz w:val="18"/>
                <w:szCs w:val="18"/>
              </w:rPr>
            </w:pPr>
          </w:p>
        </w:tc>
        <w:tc>
          <w:tcPr>
            <w:tcW w:w="2683" w:type="dxa"/>
            <w:tcBorders>
              <w:top w:val="nil"/>
              <w:left w:val="nil"/>
              <w:bottom w:val="nil"/>
              <w:right w:val="nil"/>
            </w:tcBorders>
            <w:shd w:val="clear" w:color="FFFFFF" w:fill="FFFFFF"/>
          </w:tcPr>
          <w:p w14:paraId="2AEDDCE9" w14:textId="77777777" w:rsidR="00B040FE" w:rsidRPr="00E16A54" w:rsidRDefault="00B040FE" w:rsidP="005E5E0C">
            <w:pPr>
              <w:rPr>
                <w:rFonts w:cs="Arial"/>
                <w:b/>
                <w:bCs/>
                <w:sz w:val="18"/>
                <w:szCs w:val="18"/>
              </w:rPr>
            </w:pPr>
          </w:p>
        </w:tc>
        <w:tc>
          <w:tcPr>
            <w:tcW w:w="851" w:type="dxa"/>
            <w:tcBorders>
              <w:top w:val="nil"/>
              <w:left w:val="nil"/>
              <w:bottom w:val="nil"/>
              <w:right w:val="nil"/>
            </w:tcBorders>
            <w:shd w:val="clear" w:color="FFFFFF" w:fill="FFFFFF"/>
            <w:vAlign w:val="bottom"/>
          </w:tcPr>
          <w:p w14:paraId="02409417" w14:textId="77777777" w:rsidR="00B040FE" w:rsidRPr="00E16A54" w:rsidRDefault="00B040FE" w:rsidP="005E5E0C">
            <w:pPr>
              <w:jc w:val="right"/>
              <w:rPr>
                <w:rFonts w:cs="Arial"/>
                <w:b/>
                <w:bCs/>
                <w:sz w:val="18"/>
                <w:szCs w:val="18"/>
              </w:rPr>
            </w:pPr>
            <w:r w:rsidRPr="00E16A54">
              <w:rPr>
                <w:rFonts w:cs="Arial"/>
                <w:b/>
                <w:bCs/>
                <w:sz w:val="18"/>
                <w:szCs w:val="18"/>
              </w:rPr>
              <w:fldChar w:fldCharType="begin"/>
            </w:r>
            <w:r w:rsidRPr="00E16A54">
              <w:rPr>
                <w:rFonts w:cs="Arial"/>
                <w:b/>
                <w:bCs/>
                <w:sz w:val="18"/>
                <w:szCs w:val="18"/>
              </w:rPr>
              <w:instrText xml:space="preserve"> DOCPROPERTY  crYear  \* MERGEFORMAT </w:instrText>
            </w:r>
            <w:r w:rsidRPr="00E16A54">
              <w:rPr>
                <w:rFonts w:cs="Arial"/>
                <w:b/>
                <w:bCs/>
                <w:sz w:val="18"/>
                <w:szCs w:val="18"/>
              </w:rPr>
              <w:fldChar w:fldCharType="separate"/>
            </w:r>
            <w:r>
              <w:rPr>
                <w:rFonts w:cs="Arial"/>
                <w:b/>
                <w:bCs/>
                <w:sz w:val="18"/>
                <w:szCs w:val="18"/>
              </w:rPr>
              <w:t>2024</w:t>
            </w:r>
            <w:r w:rsidRPr="00E16A54">
              <w:rPr>
                <w:rFonts w:cs="Arial"/>
                <w:b/>
                <w:bCs/>
                <w:sz w:val="18"/>
                <w:szCs w:val="18"/>
              </w:rPr>
              <w:fldChar w:fldCharType="end"/>
            </w:r>
          </w:p>
        </w:tc>
        <w:tc>
          <w:tcPr>
            <w:tcW w:w="275" w:type="dxa"/>
            <w:tcBorders>
              <w:top w:val="nil"/>
              <w:left w:val="nil"/>
              <w:bottom w:val="nil"/>
              <w:right w:val="nil"/>
            </w:tcBorders>
            <w:shd w:val="clear" w:color="FFFFFF" w:fill="FFFFFF"/>
            <w:noWrap/>
            <w:vAlign w:val="bottom"/>
          </w:tcPr>
          <w:p w14:paraId="027DE7BD" w14:textId="77777777" w:rsidR="00B040FE" w:rsidRPr="00E16A54" w:rsidRDefault="00B040FE" w:rsidP="005E5E0C">
            <w:pPr>
              <w:rPr>
                <w:rFonts w:cs="Arial"/>
                <w:sz w:val="18"/>
                <w:szCs w:val="18"/>
              </w:rPr>
            </w:pPr>
            <w:r w:rsidRPr="00E16A54">
              <w:rPr>
                <w:rFonts w:cs="Arial"/>
                <w:sz w:val="18"/>
                <w:szCs w:val="18"/>
              </w:rPr>
              <w:t> </w:t>
            </w:r>
          </w:p>
        </w:tc>
        <w:tc>
          <w:tcPr>
            <w:tcW w:w="859" w:type="dxa"/>
            <w:tcBorders>
              <w:top w:val="nil"/>
              <w:left w:val="nil"/>
              <w:bottom w:val="nil"/>
              <w:right w:val="nil"/>
            </w:tcBorders>
            <w:shd w:val="clear" w:color="FFFFFF" w:fill="FFFFFF"/>
            <w:vAlign w:val="bottom"/>
          </w:tcPr>
          <w:p w14:paraId="332FE5AD" w14:textId="77777777" w:rsidR="00B040FE" w:rsidRPr="00E16A54" w:rsidRDefault="00B040FE" w:rsidP="005E5E0C">
            <w:pPr>
              <w:jc w:val="right"/>
              <w:rPr>
                <w:rFonts w:cs="Arial"/>
                <w:sz w:val="18"/>
                <w:szCs w:val="18"/>
              </w:rPr>
            </w:pPr>
            <w:r w:rsidRPr="00E16A54">
              <w:rPr>
                <w:rFonts w:cs="Arial"/>
                <w:sz w:val="18"/>
                <w:szCs w:val="18"/>
              </w:rPr>
              <w:fldChar w:fldCharType="begin"/>
            </w:r>
            <w:r w:rsidRPr="00E16A54">
              <w:rPr>
                <w:rFonts w:cs="Arial"/>
                <w:sz w:val="18"/>
                <w:szCs w:val="18"/>
              </w:rPr>
              <w:instrText xml:space="preserve"> DOCPROPERTY  prYear  \* MERGEFORMAT </w:instrText>
            </w:r>
            <w:r w:rsidRPr="00E16A54">
              <w:rPr>
                <w:rFonts w:cs="Arial"/>
                <w:sz w:val="18"/>
                <w:szCs w:val="18"/>
              </w:rPr>
              <w:fldChar w:fldCharType="separate"/>
            </w:r>
            <w:r>
              <w:rPr>
                <w:rFonts w:cs="Arial"/>
                <w:sz w:val="18"/>
                <w:szCs w:val="18"/>
              </w:rPr>
              <w:t>2023</w:t>
            </w:r>
            <w:r w:rsidRPr="00E16A54">
              <w:rPr>
                <w:rFonts w:cs="Arial"/>
                <w:sz w:val="18"/>
                <w:szCs w:val="18"/>
              </w:rPr>
              <w:fldChar w:fldCharType="end"/>
            </w:r>
          </w:p>
        </w:tc>
      </w:tr>
      <w:tr w:rsidR="00B040FE" w:rsidRPr="00366006" w14:paraId="68A06D20" w14:textId="77777777" w:rsidTr="005E5E0C">
        <w:trPr>
          <w:trHeight w:val="255"/>
        </w:trPr>
        <w:tc>
          <w:tcPr>
            <w:tcW w:w="2694" w:type="dxa"/>
            <w:tcBorders>
              <w:top w:val="nil"/>
              <w:left w:val="nil"/>
              <w:bottom w:val="single" w:sz="4" w:space="0" w:color="auto"/>
              <w:right w:val="nil"/>
            </w:tcBorders>
            <w:shd w:val="clear" w:color="FFFFFF" w:fill="FFFFFF"/>
            <w:noWrap/>
            <w:vAlign w:val="bottom"/>
          </w:tcPr>
          <w:p w14:paraId="1EF9B960" w14:textId="77777777" w:rsidR="00B040FE" w:rsidRPr="00E16A54" w:rsidRDefault="00B040FE" w:rsidP="005E5E0C">
            <w:pPr>
              <w:rPr>
                <w:rFonts w:cs="Arial"/>
                <w:b/>
                <w:bCs/>
                <w:sz w:val="18"/>
                <w:szCs w:val="18"/>
              </w:rPr>
            </w:pPr>
          </w:p>
        </w:tc>
        <w:tc>
          <w:tcPr>
            <w:tcW w:w="1994" w:type="dxa"/>
            <w:tcBorders>
              <w:top w:val="nil"/>
              <w:left w:val="nil"/>
              <w:bottom w:val="single" w:sz="4" w:space="0" w:color="auto"/>
              <w:right w:val="nil"/>
            </w:tcBorders>
            <w:shd w:val="clear" w:color="FFFFFF" w:fill="FFFFFF"/>
          </w:tcPr>
          <w:p w14:paraId="6D496619" w14:textId="77777777" w:rsidR="00B040FE" w:rsidRPr="00E16A54" w:rsidRDefault="00B040FE" w:rsidP="005E5E0C">
            <w:pPr>
              <w:rPr>
                <w:rFonts w:cs="Arial"/>
                <w:b/>
                <w:bCs/>
                <w:sz w:val="18"/>
                <w:szCs w:val="18"/>
              </w:rPr>
            </w:pPr>
          </w:p>
        </w:tc>
        <w:tc>
          <w:tcPr>
            <w:tcW w:w="2683" w:type="dxa"/>
            <w:tcBorders>
              <w:top w:val="nil"/>
              <w:left w:val="nil"/>
              <w:bottom w:val="single" w:sz="4" w:space="0" w:color="auto"/>
              <w:right w:val="nil"/>
            </w:tcBorders>
            <w:shd w:val="clear" w:color="FFFFFF" w:fill="FFFFFF"/>
          </w:tcPr>
          <w:p w14:paraId="33DEBF33" w14:textId="77777777" w:rsidR="00B040FE" w:rsidRPr="00E16A54" w:rsidRDefault="00B040FE" w:rsidP="005E5E0C">
            <w:pPr>
              <w:rPr>
                <w:rFonts w:cs="Arial"/>
                <w:b/>
                <w:bCs/>
                <w:sz w:val="18"/>
                <w:szCs w:val="18"/>
              </w:rPr>
            </w:pPr>
          </w:p>
        </w:tc>
        <w:tc>
          <w:tcPr>
            <w:tcW w:w="851" w:type="dxa"/>
            <w:tcBorders>
              <w:top w:val="nil"/>
              <w:left w:val="nil"/>
              <w:bottom w:val="single" w:sz="4" w:space="0" w:color="auto"/>
              <w:right w:val="nil"/>
            </w:tcBorders>
            <w:shd w:val="clear" w:color="FFFFFF" w:fill="FFFFFF"/>
            <w:vAlign w:val="bottom"/>
          </w:tcPr>
          <w:p w14:paraId="0359D395" w14:textId="77777777" w:rsidR="00B040FE" w:rsidRPr="00E16A54" w:rsidRDefault="00B040FE" w:rsidP="005E5E0C">
            <w:pPr>
              <w:jc w:val="right"/>
              <w:rPr>
                <w:rFonts w:cs="Arial"/>
                <w:b/>
                <w:bCs/>
                <w:sz w:val="18"/>
                <w:szCs w:val="18"/>
              </w:rPr>
            </w:pPr>
            <w:r w:rsidRPr="00E16A54">
              <w:rPr>
                <w:rFonts w:cs="Arial"/>
                <w:b/>
                <w:bCs/>
                <w:sz w:val="18"/>
                <w:szCs w:val="18"/>
              </w:rPr>
              <w:t>$'000</w:t>
            </w:r>
          </w:p>
        </w:tc>
        <w:tc>
          <w:tcPr>
            <w:tcW w:w="275" w:type="dxa"/>
            <w:tcBorders>
              <w:top w:val="nil"/>
              <w:left w:val="nil"/>
              <w:bottom w:val="single" w:sz="4" w:space="0" w:color="auto"/>
              <w:right w:val="nil"/>
            </w:tcBorders>
            <w:shd w:val="clear" w:color="FFFFFF" w:fill="FFFFFF"/>
            <w:noWrap/>
            <w:vAlign w:val="bottom"/>
          </w:tcPr>
          <w:p w14:paraId="2816BC9E" w14:textId="77777777" w:rsidR="00B040FE" w:rsidRPr="00E16A54" w:rsidRDefault="00B040FE" w:rsidP="005E5E0C">
            <w:pPr>
              <w:rPr>
                <w:rFonts w:cs="Arial"/>
                <w:sz w:val="18"/>
                <w:szCs w:val="18"/>
              </w:rPr>
            </w:pPr>
            <w:r w:rsidRPr="00E16A54">
              <w:rPr>
                <w:rFonts w:cs="Arial"/>
                <w:sz w:val="18"/>
                <w:szCs w:val="18"/>
              </w:rPr>
              <w:t> </w:t>
            </w:r>
          </w:p>
        </w:tc>
        <w:tc>
          <w:tcPr>
            <w:tcW w:w="859" w:type="dxa"/>
            <w:tcBorders>
              <w:top w:val="nil"/>
              <w:left w:val="nil"/>
              <w:bottom w:val="single" w:sz="4" w:space="0" w:color="auto"/>
              <w:right w:val="nil"/>
            </w:tcBorders>
            <w:shd w:val="clear" w:color="FFFFFF" w:fill="FFFFFF"/>
            <w:vAlign w:val="bottom"/>
          </w:tcPr>
          <w:p w14:paraId="0B4EC9CD" w14:textId="77777777" w:rsidR="00B040FE" w:rsidRPr="00E16A54" w:rsidRDefault="00B040FE" w:rsidP="005E5E0C">
            <w:pPr>
              <w:jc w:val="right"/>
              <w:rPr>
                <w:rFonts w:cs="Arial"/>
                <w:sz w:val="18"/>
                <w:szCs w:val="18"/>
              </w:rPr>
            </w:pPr>
            <w:r w:rsidRPr="00E16A54">
              <w:rPr>
                <w:rFonts w:cs="Arial"/>
                <w:sz w:val="18"/>
                <w:szCs w:val="18"/>
              </w:rPr>
              <w:t>$'000</w:t>
            </w:r>
          </w:p>
        </w:tc>
      </w:tr>
      <w:tr w:rsidR="00B040FE" w:rsidRPr="00366006" w14:paraId="013F4266" w14:textId="77777777" w:rsidTr="005E5E0C">
        <w:trPr>
          <w:trHeight w:val="255"/>
        </w:trPr>
        <w:tc>
          <w:tcPr>
            <w:tcW w:w="2694" w:type="dxa"/>
            <w:tcBorders>
              <w:top w:val="single" w:sz="4" w:space="0" w:color="auto"/>
              <w:left w:val="nil"/>
              <w:bottom w:val="single" w:sz="4" w:space="0" w:color="auto"/>
              <w:right w:val="nil"/>
            </w:tcBorders>
            <w:shd w:val="clear" w:color="FFFFFF" w:fill="FFFFFF"/>
            <w:noWrap/>
            <w:vAlign w:val="center"/>
            <w:hideMark/>
          </w:tcPr>
          <w:p w14:paraId="6D87528B" w14:textId="77777777" w:rsidR="00B040FE" w:rsidRPr="00E16A54" w:rsidRDefault="00B040FE" w:rsidP="005E5E0C">
            <w:pPr>
              <w:rPr>
                <w:rFonts w:cs="Arial"/>
                <w:b/>
                <w:sz w:val="18"/>
                <w:szCs w:val="18"/>
              </w:rPr>
            </w:pPr>
            <w:r w:rsidRPr="00E16A54">
              <w:rPr>
                <w:rFonts w:cs="Arial"/>
                <w:b/>
                <w:sz w:val="18"/>
                <w:szCs w:val="18"/>
              </w:rPr>
              <w:t>Board Member</w:t>
            </w:r>
          </w:p>
        </w:tc>
        <w:tc>
          <w:tcPr>
            <w:tcW w:w="4677" w:type="dxa"/>
            <w:gridSpan w:val="2"/>
            <w:tcBorders>
              <w:top w:val="single" w:sz="4" w:space="0" w:color="auto"/>
              <w:left w:val="nil"/>
              <w:bottom w:val="single" w:sz="4" w:space="0" w:color="auto"/>
              <w:right w:val="nil"/>
            </w:tcBorders>
            <w:shd w:val="clear" w:color="FFFFFF" w:fill="FFFFFF"/>
          </w:tcPr>
          <w:p w14:paraId="7B768A3D" w14:textId="77777777" w:rsidR="00B040FE" w:rsidRPr="00E16A54" w:rsidRDefault="00B040FE" w:rsidP="005E5E0C">
            <w:pPr>
              <w:rPr>
                <w:rFonts w:cs="Arial"/>
                <w:b/>
                <w:bCs/>
                <w:sz w:val="18"/>
                <w:szCs w:val="18"/>
              </w:rPr>
            </w:pPr>
            <w:r w:rsidRPr="00E16A54">
              <w:rPr>
                <w:rFonts w:cs="Arial"/>
                <w:b/>
                <w:bCs/>
                <w:sz w:val="18"/>
                <w:szCs w:val="18"/>
              </w:rPr>
              <w:t>Related party and payments for services rendered by the related party</w:t>
            </w:r>
            <w:r w:rsidRPr="00E16A54">
              <w:rPr>
                <w:rFonts w:cs="Arial"/>
                <w:bCs/>
                <w:sz w:val="16"/>
                <w:szCs w:val="16"/>
                <w:vertAlign w:val="superscript"/>
              </w:rPr>
              <w:t>1</w:t>
            </w:r>
          </w:p>
        </w:tc>
        <w:tc>
          <w:tcPr>
            <w:tcW w:w="851" w:type="dxa"/>
            <w:tcBorders>
              <w:top w:val="single" w:sz="4" w:space="0" w:color="auto"/>
              <w:left w:val="nil"/>
              <w:bottom w:val="single" w:sz="4" w:space="0" w:color="auto"/>
              <w:right w:val="nil"/>
            </w:tcBorders>
            <w:shd w:val="clear" w:color="FFFFFF" w:fill="FFFFFF"/>
            <w:vAlign w:val="bottom"/>
          </w:tcPr>
          <w:p w14:paraId="0DA24E29" w14:textId="77777777" w:rsidR="00B040FE" w:rsidRPr="00E16A54" w:rsidRDefault="00B040FE" w:rsidP="005E5E0C">
            <w:pPr>
              <w:jc w:val="right"/>
              <w:rPr>
                <w:rFonts w:cs="Arial"/>
                <w:b/>
                <w:bCs/>
                <w:sz w:val="18"/>
                <w:szCs w:val="18"/>
              </w:rPr>
            </w:pPr>
          </w:p>
        </w:tc>
        <w:tc>
          <w:tcPr>
            <w:tcW w:w="275" w:type="dxa"/>
            <w:tcBorders>
              <w:top w:val="single" w:sz="4" w:space="0" w:color="auto"/>
              <w:left w:val="nil"/>
              <w:bottom w:val="single" w:sz="4" w:space="0" w:color="auto"/>
              <w:right w:val="nil"/>
            </w:tcBorders>
            <w:shd w:val="clear" w:color="FFFFFF" w:fill="FFFFFF"/>
            <w:noWrap/>
            <w:vAlign w:val="bottom"/>
          </w:tcPr>
          <w:p w14:paraId="269D2215" w14:textId="77777777" w:rsidR="00B040FE" w:rsidRPr="00E16A54" w:rsidRDefault="00B040FE" w:rsidP="005E5E0C">
            <w:pPr>
              <w:rPr>
                <w:rFonts w:cs="Arial"/>
                <w:sz w:val="18"/>
                <w:szCs w:val="18"/>
              </w:rPr>
            </w:pPr>
          </w:p>
        </w:tc>
        <w:tc>
          <w:tcPr>
            <w:tcW w:w="859" w:type="dxa"/>
            <w:tcBorders>
              <w:top w:val="single" w:sz="4" w:space="0" w:color="auto"/>
              <w:left w:val="nil"/>
              <w:bottom w:val="single" w:sz="4" w:space="0" w:color="auto"/>
              <w:right w:val="nil"/>
            </w:tcBorders>
            <w:shd w:val="clear" w:color="FFFFFF" w:fill="FFFFFF"/>
            <w:vAlign w:val="bottom"/>
          </w:tcPr>
          <w:p w14:paraId="75315964" w14:textId="77777777" w:rsidR="00B040FE" w:rsidRPr="00E16A54" w:rsidRDefault="00B040FE" w:rsidP="005E5E0C">
            <w:pPr>
              <w:jc w:val="right"/>
              <w:rPr>
                <w:rFonts w:cs="Arial"/>
                <w:sz w:val="18"/>
                <w:szCs w:val="18"/>
              </w:rPr>
            </w:pPr>
          </w:p>
        </w:tc>
      </w:tr>
      <w:tr w:rsidR="00B040FE" w:rsidRPr="00366006" w14:paraId="77856B02" w14:textId="77777777" w:rsidTr="005E5E0C">
        <w:trPr>
          <w:trHeight w:val="255"/>
        </w:trPr>
        <w:tc>
          <w:tcPr>
            <w:tcW w:w="2694" w:type="dxa"/>
            <w:tcBorders>
              <w:top w:val="dotted" w:sz="4" w:space="0" w:color="auto"/>
              <w:left w:val="nil"/>
              <w:bottom w:val="dotted" w:sz="4" w:space="0" w:color="auto"/>
              <w:right w:val="nil"/>
            </w:tcBorders>
            <w:shd w:val="clear" w:color="FFFFFF" w:fill="FFFFFF"/>
            <w:noWrap/>
          </w:tcPr>
          <w:p w14:paraId="72E2FA46" w14:textId="77777777" w:rsidR="00B040FE" w:rsidRPr="00E16A54" w:rsidRDefault="00B040FE" w:rsidP="005E5E0C">
            <w:pPr>
              <w:ind w:left="176"/>
              <w:rPr>
                <w:rFonts w:cs="Arial"/>
                <w:sz w:val="18"/>
                <w:szCs w:val="18"/>
              </w:rPr>
            </w:pPr>
            <w:r w:rsidRPr="00E16A54">
              <w:rPr>
                <w:rFonts w:cs="Arial"/>
                <w:sz w:val="18"/>
                <w:szCs w:val="18"/>
              </w:rPr>
              <w:t>Mr Glenn Keys AO</w:t>
            </w:r>
          </w:p>
        </w:tc>
        <w:tc>
          <w:tcPr>
            <w:tcW w:w="4677" w:type="dxa"/>
            <w:gridSpan w:val="2"/>
            <w:tcBorders>
              <w:top w:val="dotted" w:sz="4" w:space="0" w:color="auto"/>
              <w:left w:val="nil"/>
              <w:bottom w:val="dotted" w:sz="4" w:space="0" w:color="auto"/>
              <w:right w:val="nil"/>
            </w:tcBorders>
            <w:shd w:val="clear" w:color="FFFFFF" w:fill="FFFFFF"/>
          </w:tcPr>
          <w:p w14:paraId="08A84A9E" w14:textId="77777777" w:rsidR="00B040FE" w:rsidRPr="00E16A54" w:rsidRDefault="00B040FE" w:rsidP="005E5E0C">
            <w:pPr>
              <w:rPr>
                <w:rFonts w:cs="Arial"/>
                <w:sz w:val="18"/>
                <w:szCs w:val="18"/>
              </w:rPr>
            </w:pPr>
            <w:r w:rsidRPr="00E16A54">
              <w:rPr>
                <w:rFonts w:cs="Arial"/>
                <w:sz w:val="18"/>
                <w:szCs w:val="18"/>
              </w:rPr>
              <w:t>Executive Chair of Aspen Medical Pty Ltd (Aspen). Aspen provided support to the Agency’s COVID-19 Response.</w:t>
            </w:r>
          </w:p>
          <w:p w14:paraId="3B433FBA" w14:textId="77777777" w:rsidR="00B040FE" w:rsidRPr="00E16A54" w:rsidRDefault="00B040FE" w:rsidP="005E5E0C">
            <w:pPr>
              <w:rPr>
                <w:rFonts w:cs="Arial"/>
                <w:sz w:val="18"/>
                <w:szCs w:val="18"/>
              </w:rPr>
            </w:pPr>
            <w:r w:rsidRPr="00E16A54">
              <w:rPr>
                <w:rFonts w:cs="Arial"/>
                <w:sz w:val="18"/>
                <w:szCs w:val="18"/>
              </w:rPr>
              <w:t>Mr Keys</w:t>
            </w:r>
            <w:r>
              <w:rPr>
                <w:rFonts w:cs="Arial"/>
                <w:sz w:val="18"/>
                <w:szCs w:val="18"/>
              </w:rPr>
              <w:t>’</w:t>
            </w:r>
            <w:r w:rsidRPr="00E16A54">
              <w:rPr>
                <w:rFonts w:cs="Arial"/>
                <w:sz w:val="18"/>
                <w:szCs w:val="18"/>
              </w:rPr>
              <w:t xml:space="preserve"> term as a Board member finished on 31 December 2022</w:t>
            </w:r>
            <w:r>
              <w:rPr>
                <w:rFonts w:cs="Arial"/>
                <w:sz w:val="18"/>
                <w:szCs w:val="18"/>
              </w:rPr>
              <w:t>.</w:t>
            </w:r>
          </w:p>
        </w:tc>
        <w:tc>
          <w:tcPr>
            <w:tcW w:w="851" w:type="dxa"/>
            <w:tcBorders>
              <w:top w:val="dotted" w:sz="4" w:space="0" w:color="auto"/>
              <w:left w:val="nil"/>
              <w:bottom w:val="dotted" w:sz="4" w:space="0" w:color="auto"/>
              <w:right w:val="nil"/>
            </w:tcBorders>
            <w:shd w:val="clear" w:color="FFFFFF" w:fill="FFFFFF"/>
          </w:tcPr>
          <w:p w14:paraId="1DF0A27B" w14:textId="77777777" w:rsidR="00B040FE" w:rsidRPr="00E16A54" w:rsidRDefault="00B040FE" w:rsidP="005E5E0C">
            <w:pPr>
              <w:ind w:right="90"/>
              <w:jc w:val="right"/>
              <w:rPr>
                <w:rFonts w:cs="Arial"/>
                <w:b/>
                <w:bCs/>
                <w:sz w:val="18"/>
                <w:szCs w:val="18"/>
              </w:rPr>
            </w:pPr>
            <w:r>
              <w:rPr>
                <w:rFonts w:cs="Arial"/>
                <w:b/>
                <w:bCs/>
                <w:sz w:val="18"/>
                <w:szCs w:val="18"/>
              </w:rPr>
              <w:t>-</w:t>
            </w:r>
          </w:p>
        </w:tc>
        <w:tc>
          <w:tcPr>
            <w:tcW w:w="275" w:type="dxa"/>
            <w:tcBorders>
              <w:top w:val="dotted" w:sz="4" w:space="0" w:color="auto"/>
              <w:left w:val="nil"/>
              <w:bottom w:val="dotted" w:sz="4" w:space="0" w:color="auto"/>
              <w:right w:val="nil"/>
            </w:tcBorders>
            <w:shd w:val="clear" w:color="FFFFFF" w:fill="FFFFFF"/>
            <w:noWrap/>
          </w:tcPr>
          <w:p w14:paraId="33960F58" w14:textId="77777777" w:rsidR="00B040FE" w:rsidRPr="00E16A54" w:rsidRDefault="00B040FE" w:rsidP="005E5E0C">
            <w:pPr>
              <w:rPr>
                <w:rFonts w:cs="Arial"/>
                <w:sz w:val="18"/>
                <w:szCs w:val="18"/>
              </w:rPr>
            </w:pPr>
          </w:p>
          <w:p w14:paraId="1ED76176" w14:textId="77777777" w:rsidR="00B040FE" w:rsidRPr="00E16A54" w:rsidRDefault="00B040FE" w:rsidP="005E5E0C">
            <w:pPr>
              <w:rPr>
                <w:rFonts w:cs="Arial"/>
                <w:sz w:val="18"/>
                <w:szCs w:val="18"/>
              </w:rPr>
            </w:pPr>
          </w:p>
          <w:p w14:paraId="47C2B213" w14:textId="77777777" w:rsidR="00B040FE" w:rsidRPr="00E16A54" w:rsidRDefault="00B040FE" w:rsidP="005E5E0C">
            <w:pPr>
              <w:rPr>
                <w:rFonts w:cs="Arial"/>
                <w:sz w:val="18"/>
                <w:szCs w:val="18"/>
              </w:rPr>
            </w:pPr>
          </w:p>
          <w:p w14:paraId="13366450" w14:textId="77777777" w:rsidR="00B040FE" w:rsidRPr="00E16A54" w:rsidRDefault="00B040FE" w:rsidP="005E5E0C">
            <w:pPr>
              <w:rPr>
                <w:rFonts w:cs="Arial"/>
                <w:sz w:val="18"/>
                <w:szCs w:val="18"/>
              </w:rPr>
            </w:pPr>
          </w:p>
        </w:tc>
        <w:tc>
          <w:tcPr>
            <w:tcW w:w="859" w:type="dxa"/>
            <w:tcBorders>
              <w:top w:val="dotted" w:sz="4" w:space="0" w:color="auto"/>
              <w:left w:val="nil"/>
              <w:bottom w:val="dotted" w:sz="4" w:space="0" w:color="auto"/>
              <w:right w:val="nil"/>
            </w:tcBorders>
            <w:shd w:val="clear" w:color="FFFFFF" w:fill="FFFFFF"/>
          </w:tcPr>
          <w:p w14:paraId="28B309A3" w14:textId="77777777" w:rsidR="00B040FE" w:rsidRPr="00E16A54" w:rsidRDefault="00B040FE" w:rsidP="005E5E0C">
            <w:pPr>
              <w:jc w:val="right"/>
              <w:rPr>
                <w:rFonts w:cs="Arial"/>
                <w:sz w:val="18"/>
                <w:szCs w:val="18"/>
              </w:rPr>
            </w:pPr>
            <w:r>
              <w:rPr>
                <w:rFonts w:cs="Arial"/>
                <w:sz w:val="18"/>
                <w:szCs w:val="18"/>
              </w:rPr>
              <w:t>133</w:t>
            </w:r>
          </w:p>
        </w:tc>
      </w:tr>
      <w:tr w:rsidR="00B040FE" w:rsidRPr="00366006" w14:paraId="44D0E8DE" w14:textId="77777777" w:rsidTr="005E5E0C">
        <w:trPr>
          <w:trHeight w:val="255"/>
        </w:trPr>
        <w:tc>
          <w:tcPr>
            <w:tcW w:w="2694" w:type="dxa"/>
            <w:tcBorders>
              <w:top w:val="single" w:sz="4" w:space="0" w:color="auto"/>
              <w:left w:val="nil"/>
              <w:bottom w:val="single" w:sz="4" w:space="0" w:color="auto"/>
              <w:right w:val="nil"/>
            </w:tcBorders>
            <w:shd w:val="clear" w:color="FFFFFF" w:fill="FFFFFF"/>
            <w:noWrap/>
            <w:vAlign w:val="center"/>
          </w:tcPr>
          <w:p w14:paraId="54671FCA" w14:textId="77777777" w:rsidR="00B040FE" w:rsidRPr="00E16A54" w:rsidRDefault="00B040FE" w:rsidP="005E5E0C">
            <w:pPr>
              <w:ind w:left="176"/>
              <w:rPr>
                <w:rFonts w:cs="Arial"/>
                <w:sz w:val="18"/>
                <w:szCs w:val="18"/>
              </w:rPr>
            </w:pPr>
            <w:r w:rsidRPr="00E16A54">
              <w:rPr>
                <w:rFonts w:cs="Arial"/>
                <w:b/>
                <w:bCs/>
                <w:sz w:val="18"/>
                <w:szCs w:val="18"/>
              </w:rPr>
              <w:t>Key Management Personnel Executive Members</w:t>
            </w:r>
          </w:p>
        </w:tc>
        <w:tc>
          <w:tcPr>
            <w:tcW w:w="4677" w:type="dxa"/>
            <w:gridSpan w:val="2"/>
            <w:tcBorders>
              <w:top w:val="single" w:sz="4" w:space="0" w:color="auto"/>
              <w:left w:val="nil"/>
              <w:bottom w:val="single" w:sz="4" w:space="0" w:color="auto"/>
              <w:right w:val="nil"/>
            </w:tcBorders>
            <w:shd w:val="clear" w:color="FFFFFF" w:fill="FFFFFF"/>
            <w:vAlign w:val="center"/>
          </w:tcPr>
          <w:p w14:paraId="133B7029" w14:textId="77777777" w:rsidR="00B040FE" w:rsidRPr="00E16A54" w:rsidRDefault="00B040FE" w:rsidP="005E5E0C">
            <w:pPr>
              <w:rPr>
                <w:rFonts w:cs="Arial"/>
                <w:sz w:val="18"/>
                <w:szCs w:val="18"/>
              </w:rPr>
            </w:pPr>
            <w:r w:rsidRPr="00E16A54">
              <w:rPr>
                <w:rFonts w:cs="Arial"/>
                <w:b/>
                <w:bCs/>
                <w:sz w:val="18"/>
                <w:szCs w:val="18"/>
              </w:rPr>
              <w:t>Related party and payments for services rendered by the related party</w:t>
            </w:r>
          </w:p>
        </w:tc>
        <w:tc>
          <w:tcPr>
            <w:tcW w:w="851" w:type="dxa"/>
            <w:tcBorders>
              <w:top w:val="single" w:sz="4" w:space="0" w:color="auto"/>
              <w:left w:val="nil"/>
              <w:bottom w:val="single" w:sz="4" w:space="0" w:color="auto"/>
              <w:right w:val="nil"/>
            </w:tcBorders>
            <w:shd w:val="clear" w:color="FFFFFF" w:fill="FFFFFF"/>
            <w:vAlign w:val="bottom"/>
          </w:tcPr>
          <w:p w14:paraId="6A4A9E52" w14:textId="77777777" w:rsidR="00B040FE" w:rsidRPr="00366006" w:rsidRDefault="00B040FE" w:rsidP="005E5E0C">
            <w:pPr>
              <w:jc w:val="right"/>
              <w:rPr>
                <w:rFonts w:cs="Arial"/>
                <w:b/>
                <w:bCs/>
                <w:sz w:val="18"/>
                <w:szCs w:val="18"/>
                <w:highlight w:val="yellow"/>
              </w:rPr>
            </w:pPr>
          </w:p>
        </w:tc>
        <w:tc>
          <w:tcPr>
            <w:tcW w:w="275" w:type="dxa"/>
            <w:tcBorders>
              <w:top w:val="single" w:sz="4" w:space="0" w:color="auto"/>
              <w:left w:val="nil"/>
              <w:bottom w:val="single" w:sz="4" w:space="0" w:color="auto"/>
              <w:right w:val="nil"/>
            </w:tcBorders>
            <w:shd w:val="clear" w:color="FFFFFF" w:fill="FFFFFF"/>
            <w:noWrap/>
            <w:vAlign w:val="bottom"/>
          </w:tcPr>
          <w:p w14:paraId="4BA8B04A" w14:textId="77777777" w:rsidR="00B040FE" w:rsidRPr="00366006" w:rsidRDefault="00B040FE" w:rsidP="005E5E0C">
            <w:pPr>
              <w:rPr>
                <w:rFonts w:cs="Arial"/>
                <w:sz w:val="18"/>
                <w:szCs w:val="18"/>
                <w:highlight w:val="yellow"/>
              </w:rPr>
            </w:pPr>
          </w:p>
        </w:tc>
        <w:tc>
          <w:tcPr>
            <w:tcW w:w="859" w:type="dxa"/>
            <w:tcBorders>
              <w:top w:val="single" w:sz="4" w:space="0" w:color="auto"/>
              <w:left w:val="nil"/>
              <w:bottom w:val="single" w:sz="4" w:space="0" w:color="auto"/>
              <w:right w:val="nil"/>
            </w:tcBorders>
            <w:shd w:val="clear" w:color="FFFFFF" w:fill="FFFFFF"/>
            <w:vAlign w:val="bottom"/>
          </w:tcPr>
          <w:p w14:paraId="217FF46E" w14:textId="77777777" w:rsidR="00B040FE" w:rsidRPr="00522A5D" w:rsidRDefault="00B040FE" w:rsidP="005E5E0C">
            <w:pPr>
              <w:jc w:val="right"/>
              <w:rPr>
                <w:rFonts w:cs="Arial"/>
                <w:sz w:val="18"/>
                <w:szCs w:val="18"/>
              </w:rPr>
            </w:pPr>
          </w:p>
        </w:tc>
      </w:tr>
      <w:tr w:rsidR="00B040FE" w:rsidRPr="00366006" w14:paraId="73D445AC" w14:textId="77777777" w:rsidTr="005E5E0C">
        <w:trPr>
          <w:trHeight w:val="255"/>
        </w:trPr>
        <w:tc>
          <w:tcPr>
            <w:tcW w:w="2694" w:type="dxa"/>
            <w:tcBorders>
              <w:top w:val="single" w:sz="4" w:space="0" w:color="auto"/>
              <w:left w:val="nil"/>
              <w:bottom w:val="single" w:sz="4" w:space="0" w:color="auto"/>
              <w:right w:val="nil"/>
            </w:tcBorders>
            <w:shd w:val="clear" w:color="FFFFFF" w:fill="FFFFFF"/>
            <w:noWrap/>
          </w:tcPr>
          <w:p w14:paraId="1D825C60" w14:textId="77777777" w:rsidR="00B040FE" w:rsidRPr="00E16A54" w:rsidRDefault="00B040FE" w:rsidP="005E5E0C">
            <w:pPr>
              <w:ind w:left="176"/>
              <w:rPr>
                <w:rFonts w:cs="Arial"/>
                <w:sz w:val="18"/>
                <w:szCs w:val="18"/>
              </w:rPr>
            </w:pPr>
            <w:r w:rsidRPr="00E16A54">
              <w:rPr>
                <w:rFonts w:cs="Arial"/>
                <w:sz w:val="18"/>
                <w:szCs w:val="18"/>
              </w:rPr>
              <w:t>Mr David Gifford </w:t>
            </w:r>
          </w:p>
          <w:p w14:paraId="2D1E8C8B" w14:textId="77777777" w:rsidR="00B040FE" w:rsidRPr="00E16A54" w:rsidRDefault="00B040FE" w:rsidP="005E5E0C">
            <w:pPr>
              <w:ind w:left="176"/>
              <w:rPr>
                <w:rFonts w:cs="Arial"/>
                <w:i/>
                <w:iCs/>
                <w:sz w:val="18"/>
                <w:szCs w:val="18"/>
              </w:rPr>
            </w:pPr>
          </w:p>
        </w:tc>
        <w:tc>
          <w:tcPr>
            <w:tcW w:w="4677" w:type="dxa"/>
            <w:gridSpan w:val="2"/>
            <w:tcBorders>
              <w:top w:val="single" w:sz="4" w:space="0" w:color="auto"/>
              <w:left w:val="nil"/>
              <w:bottom w:val="single" w:sz="4" w:space="0" w:color="auto"/>
              <w:right w:val="nil"/>
            </w:tcBorders>
            <w:shd w:val="clear" w:color="FFFFFF" w:fill="FFFFFF"/>
          </w:tcPr>
          <w:p w14:paraId="080276C8" w14:textId="77777777" w:rsidR="00B040FE" w:rsidRPr="00E16A54" w:rsidRDefault="00B040FE" w:rsidP="005E5E0C">
            <w:pPr>
              <w:rPr>
                <w:rFonts w:cs="Arial"/>
                <w:sz w:val="18"/>
                <w:szCs w:val="18"/>
              </w:rPr>
            </w:pPr>
            <w:r w:rsidRPr="00E16A54">
              <w:rPr>
                <w:rFonts w:cs="Arial"/>
                <w:sz w:val="18"/>
                <w:szCs w:val="18"/>
              </w:rPr>
              <w:t>Proprietor of Davegiff Consulting Services Pty Ltd. Davegiff Consulting Services provided scheme actuarial services to the Agency.</w:t>
            </w:r>
          </w:p>
        </w:tc>
        <w:tc>
          <w:tcPr>
            <w:tcW w:w="851" w:type="dxa"/>
            <w:tcBorders>
              <w:top w:val="single" w:sz="4" w:space="0" w:color="auto"/>
              <w:left w:val="nil"/>
              <w:bottom w:val="single" w:sz="4" w:space="0" w:color="auto"/>
              <w:right w:val="nil"/>
            </w:tcBorders>
            <w:shd w:val="clear" w:color="FFFFFF" w:fill="FFFFFF"/>
          </w:tcPr>
          <w:p w14:paraId="619398AB" w14:textId="77777777" w:rsidR="00B040FE" w:rsidRPr="00E16A54" w:rsidRDefault="00B040FE" w:rsidP="005E5E0C">
            <w:pPr>
              <w:jc w:val="right"/>
              <w:rPr>
                <w:rFonts w:cs="Arial"/>
                <w:b/>
                <w:bCs/>
                <w:sz w:val="18"/>
                <w:szCs w:val="18"/>
              </w:rPr>
            </w:pPr>
            <w:r>
              <w:rPr>
                <w:rFonts w:cs="Arial"/>
                <w:b/>
                <w:bCs/>
                <w:sz w:val="18"/>
                <w:szCs w:val="18"/>
              </w:rPr>
              <w:t>-</w:t>
            </w:r>
          </w:p>
        </w:tc>
        <w:tc>
          <w:tcPr>
            <w:tcW w:w="275" w:type="dxa"/>
            <w:tcBorders>
              <w:top w:val="single" w:sz="4" w:space="0" w:color="auto"/>
              <w:left w:val="nil"/>
              <w:bottom w:val="single" w:sz="4" w:space="0" w:color="auto"/>
              <w:right w:val="nil"/>
            </w:tcBorders>
            <w:shd w:val="clear" w:color="FFFFFF" w:fill="FFFFFF"/>
            <w:noWrap/>
          </w:tcPr>
          <w:p w14:paraId="7654B2EE" w14:textId="77777777" w:rsidR="00B040FE" w:rsidRPr="00366006" w:rsidRDefault="00B040FE" w:rsidP="005E5E0C">
            <w:pPr>
              <w:jc w:val="right"/>
              <w:rPr>
                <w:rFonts w:cs="Arial"/>
                <w:sz w:val="18"/>
                <w:szCs w:val="18"/>
                <w:highlight w:val="yellow"/>
              </w:rPr>
            </w:pPr>
          </w:p>
        </w:tc>
        <w:tc>
          <w:tcPr>
            <w:tcW w:w="859" w:type="dxa"/>
            <w:tcBorders>
              <w:top w:val="single" w:sz="4" w:space="0" w:color="auto"/>
              <w:left w:val="nil"/>
              <w:bottom w:val="single" w:sz="4" w:space="0" w:color="auto"/>
              <w:right w:val="nil"/>
            </w:tcBorders>
            <w:shd w:val="clear" w:color="FFFFFF" w:fill="FFFFFF"/>
          </w:tcPr>
          <w:p w14:paraId="2A615A5C" w14:textId="77777777" w:rsidR="00B040FE" w:rsidRPr="00522A5D" w:rsidRDefault="00B040FE" w:rsidP="005E5E0C">
            <w:pPr>
              <w:jc w:val="right"/>
              <w:rPr>
                <w:rFonts w:cs="Arial"/>
                <w:sz w:val="18"/>
                <w:szCs w:val="18"/>
              </w:rPr>
            </w:pPr>
            <w:r>
              <w:rPr>
                <w:rFonts w:cs="Arial"/>
                <w:sz w:val="18"/>
                <w:szCs w:val="18"/>
              </w:rPr>
              <w:t>329</w:t>
            </w:r>
          </w:p>
        </w:tc>
      </w:tr>
      <w:tr w:rsidR="00B040FE" w:rsidRPr="00522A5D" w14:paraId="5A7EB5EC" w14:textId="77777777" w:rsidTr="005E5E0C">
        <w:trPr>
          <w:trHeight w:val="873"/>
        </w:trPr>
        <w:tc>
          <w:tcPr>
            <w:tcW w:w="2694" w:type="dxa"/>
            <w:tcBorders>
              <w:top w:val="single" w:sz="4" w:space="0" w:color="auto"/>
              <w:left w:val="nil"/>
              <w:bottom w:val="single" w:sz="4" w:space="0" w:color="auto"/>
              <w:right w:val="nil"/>
            </w:tcBorders>
            <w:shd w:val="clear" w:color="FFFFFF" w:fill="FFFFFF"/>
            <w:noWrap/>
          </w:tcPr>
          <w:p w14:paraId="3181D7EA" w14:textId="77777777" w:rsidR="00B040FE" w:rsidRPr="00E16A54" w:rsidRDefault="00B040FE" w:rsidP="005E5E0C">
            <w:pPr>
              <w:ind w:left="176"/>
              <w:rPr>
                <w:rFonts w:cs="Arial"/>
                <w:sz w:val="18"/>
                <w:szCs w:val="18"/>
              </w:rPr>
            </w:pPr>
            <w:r w:rsidRPr="00E16A54">
              <w:rPr>
                <w:rFonts w:cs="Arial"/>
                <w:sz w:val="18"/>
                <w:szCs w:val="18"/>
              </w:rPr>
              <w:t xml:space="preserve">Ms Sarah Johnson </w:t>
            </w:r>
          </w:p>
          <w:p w14:paraId="5D44EC5F" w14:textId="77777777" w:rsidR="00B040FE" w:rsidRPr="00E16A54" w:rsidRDefault="00B040FE" w:rsidP="005E5E0C">
            <w:pPr>
              <w:rPr>
                <w:rFonts w:cs="Arial"/>
                <w:i/>
                <w:sz w:val="18"/>
                <w:szCs w:val="18"/>
              </w:rPr>
            </w:pPr>
          </w:p>
        </w:tc>
        <w:tc>
          <w:tcPr>
            <w:tcW w:w="4677" w:type="dxa"/>
            <w:gridSpan w:val="2"/>
            <w:tcBorders>
              <w:top w:val="single" w:sz="4" w:space="0" w:color="auto"/>
              <w:left w:val="nil"/>
              <w:bottom w:val="single" w:sz="4" w:space="0" w:color="auto"/>
              <w:right w:val="nil"/>
            </w:tcBorders>
            <w:shd w:val="clear" w:color="FFFFFF" w:fill="FFFFFF"/>
          </w:tcPr>
          <w:p w14:paraId="382CD37A" w14:textId="77777777" w:rsidR="00B040FE" w:rsidRPr="00E16A54" w:rsidRDefault="00B040FE" w:rsidP="005E5E0C">
            <w:pPr>
              <w:rPr>
                <w:rFonts w:cs="Arial"/>
                <w:sz w:val="18"/>
                <w:szCs w:val="18"/>
              </w:rPr>
            </w:pPr>
            <w:r w:rsidRPr="00E16A54">
              <w:rPr>
                <w:rFonts w:cs="Arial"/>
                <w:sz w:val="18"/>
                <w:szCs w:val="18"/>
              </w:rPr>
              <w:t xml:space="preserve">Proprietor of Sarah Consulting Pty Ltd. </w:t>
            </w:r>
          </w:p>
          <w:p w14:paraId="2AB9B66E" w14:textId="77777777" w:rsidR="00B040FE" w:rsidRPr="00E16A54" w:rsidRDefault="00B040FE" w:rsidP="005E5E0C">
            <w:pPr>
              <w:rPr>
                <w:rFonts w:cs="Arial"/>
                <w:sz w:val="18"/>
                <w:szCs w:val="18"/>
              </w:rPr>
            </w:pPr>
            <w:r w:rsidRPr="00E16A54">
              <w:rPr>
                <w:rFonts w:cs="Arial"/>
                <w:sz w:val="18"/>
                <w:szCs w:val="18"/>
              </w:rPr>
              <w:t>Sarah Consulting provided scheme actuarial and strategic services to the Agency.</w:t>
            </w:r>
            <w:r w:rsidRPr="00E16A54">
              <w:rPr>
                <w:rFonts w:cs="Arial"/>
                <w:sz w:val="18"/>
                <w:szCs w:val="18"/>
              </w:rPr>
              <w:br/>
              <w:t>Ms Johnson left the Agency on 30 November 2022</w:t>
            </w:r>
            <w:r>
              <w:rPr>
                <w:rFonts w:cs="Arial"/>
                <w:sz w:val="18"/>
                <w:szCs w:val="18"/>
              </w:rPr>
              <w:t>.</w:t>
            </w:r>
          </w:p>
        </w:tc>
        <w:tc>
          <w:tcPr>
            <w:tcW w:w="851" w:type="dxa"/>
            <w:tcBorders>
              <w:top w:val="single" w:sz="4" w:space="0" w:color="auto"/>
              <w:left w:val="nil"/>
              <w:bottom w:val="single" w:sz="4" w:space="0" w:color="auto"/>
              <w:right w:val="nil"/>
            </w:tcBorders>
            <w:shd w:val="clear" w:color="FFFFFF" w:fill="FFFFFF"/>
          </w:tcPr>
          <w:p w14:paraId="31985BE6" w14:textId="77777777" w:rsidR="00B040FE" w:rsidRPr="00E16A54" w:rsidRDefault="00B040FE" w:rsidP="005E5E0C">
            <w:pPr>
              <w:jc w:val="right"/>
              <w:rPr>
                <w:rFonts w:cs="Arial"/>
                <w:b/>
                <w:bCs/>
                <w:sz w:val="18"/>
                <w:szCs w:val="18"/>
              </w:rPr>
            </w:pPr>
            <w:r>
              <w:rPr>
                <w:rFonts w:cs="Arial"/>
                <w:b/>
                <w:bCs/>
                <w:sz w:val="18"/>
                <w:szCs w:val="18"/>
              </w:rPr>
              <w:t>-</w:t>
            </w:r>
          </w:p>
        </w:tc>
        <w:tc>
          <w:tcPr>
            <w:tcW w:w="275" w:type="dxa"/>
            <w:tcBorders>
              <w:top w:val="single" w:sz="4" w:space="0" w:color="auto"/>
              <w:left w:val="nil"/>
              <w:bottom w:val="single" w:sz="4" w:space="0" w:color="auto"/>
              <w:right w:val="nil"/>
            </w:tcBorders>
            <w:shd w:val="clear" w:color="FFFFFF" w:fill="FFFFFF"/>
            <w:noWrap/>
          </w:tcPr>
          <w:p w14:paraId="3D0A5A66" w14:textId="77777777" w:rsidR="00B040FE" w:rsidRPr="00366006" w:rsidRDefault="00B040FE" w:rsidP="005E5E0C">
            <w:pPr>
              <w:jc w:val="right"/>
              <w:rPr>
                <w:rFonts w:cs="Arial"/>
                <w:sz w:val="18"/>
                <w:szCs w:val="18"/>
                <w:highlight w:val="yellow"/>
              </w:rPr>
            </w:pPr>
          </w:p>
        </w:tc>
        <w:tc>
          <w:tcPr>
            <w:tcW w:w="859" w:type="dxa"/>
            <w:tcBorders>
              <w:top w:val="single" w:sz="4" w:space="0" w:color="auto"/>
              <w:left w:val="nil"/>
              <w:bottom w:val="single" w:sz="4" w:space="0" w:color="auto"/>
              <w:right w:val="nil"/>
            </w:tcBorders>
            <w:shd w:val="clear" w:color="FFFFFF" w:fill="FFFFFF"/>
          </w:tcPr>
          <w:p w14:paraId="513ADEB5" w14:textId="77777777" w:rsidR="00B040FE" w:rsidRPr="00522A5D" w:rsidRDefault="00B040FE" w:rsidP="005E5E0C">
            <w:pPr>
              <w:jc w:val="right"/>
              <w:rPr>
                <w:rFonts w:cs="Arial"/>
                <w:sz w:val="18"/>
                <w:szCs w:val="18"/>
              </w:rPr>
            </w:pPr>
            <w:r>
              <w:rPr>
                <w:rFonts w:cs="Arial"/>
                <w:sz w:val="18"/>
                <w:szCs w:val="18"/>
              </w:rPr>
              <w:t>324</w:t>
            </w:r>
          </w:p>
        </w:tc>
      </w:tr>
    </w:tbl>
    <w:p w14:paraId="4A15F55A" w14:textId="77777777" w:rsidR="00B040FE" w:rsidRDefault="00B040FE" w:rsidP="00B040FE">
      <w:pPr>
        <w:spacing w:line="40" w:lineRule="atLeast"/>
        <w:rPr>
          <w:sz w:val="18"/>
        </w:rPr>
      </w:pPr>
    </w:p>
    <w:p w14:paraId="477256A3" w14:textId="77777777" w:rsidR="00B040FE" w:rsidRPr="000E1853" w:rsidRDefault="00B040FE" w:rsidP="00B040FE">
      <w:pPr>
        <w:rPr>
          <w:rFonts w:cs="Arial"/>
          <w:sz w:val="14"/>
          <w:szCs w:val="16"/>
        </w:rPr>
      </w:pPr>
      <w:r w:rsidRPr="00715D79">
        <w:rPr>
          <w:rFonts w:cs="Arial"/>
          <w:sz w:val="16"/>
          <w:szCs w:val="18"/>
          <w:vertAlign w:val="superscript"/>
        </w:rPr>
        <w:t xml:space="preserve">1 </w:t>
      </w:r>
      <w:r w:rsidRPr="000E1853">
        <w:rPr>
          <w:rFonts w:cs="Arial"/>
          <w:sz w:val="14"/>
          <w:szCs w:val="16"/>
        </w:rPr>
        <w:t xml:space="preserve">All payments in the table above are calculated on a cash rather than accrual basis and therefore may differ from any amounts reported in Note 3.2 and </w:t>
      </w:r>
      <w:r w:rsidRPr="00CF4D31">
        <w:rPr>
          <w:rFonts w:cs="Arial"/>
          <w:sz w:val="14"/>
          <w:szCs w:val="16"/>
        </w:rPr>
        <w:t xml:space="preserve">Appendix </w:t>
      </w:r>
      <w:r>
        <w:rPr>
          <w:rFonts w:cs="Arial"/>
          <w:sz w:val="14"/>
          <w:szCs w:val="16"/>
        </w:rPr>
        <w:t>6</w:t>
      </w:r>
      <w:r w:rsidRPr="00CF4D31">
        <w:rPr>
          <w:rFonts w:cs="Arial"/>
          <w:sz w:val="14"/>
          <w:szCs w:val="16"/>
        </w:rPr>
        <w:t>.6</w:t>
      </w:r>
      <w:r w:rsidRPr="000E1853">
        <w:rPr>
          <w:rFonts w:cs="Arial"/>
          <w:sz w:val="14"/>
          <w:szCs w:val="16"/>
        </w:rPr>
        <w:t xml:space="preserve"> of the annual report.</w:t>
      </w:r>
    </w:p>
    <w:p w14:paraId="2A2575C1" w14:textId="77777777" w:rsidR="00B040FE" w:rsidRPr="00CE3703" w:rsidRDefault="00B040FE" w:rsidP="00B040FE">
      <w:pPr>
        <w:spacing w:line="40" w:lineRule="atLeast"/>
        <w:rPr>
          <w:sz w:val="18"/>
        </w:rPr>
      </w:pPr>
      <w:r w:rsidRPr="00CE3703">
        <w:rPr>
          <w:sz w:val="18"/>
        </w:rPr>
        <w:t>None of the above Key Management Personnel played any role in Agency decisions in relation to their related party transactions noted above.</w:t>
      </w:r>
    </w:p>
    <w:bookmarkEnd w:id="214"/>
    <w:bookmarkEnd w:id="215"/>
    <w:bookmarkEnd w:id="216"/>
    <w:p w14:paraId="33FBCC1E" w14:textId="77777777" w:rsidR="00B040FE" w:rsidRDefault="00B040FE" w:rsidP="00B040FE">
      <w:pPr>
        <w:spacing w:line="40" w:lineRule="atLeast"/>
        <w:rPr>
          <w:sz w:val="18"/>
        </w:rPr>
      </w:pPr>
      <w:r>
        <w:rPr>
          <w:sz w:val="18"/>
        </w:rPr>
        <w:br w:type="page"/>
      </w:r>
    </w:p>
    <w:p w14:paraId="290BC70C" w14:textId="77777777" w:rsidR="006E070C" w:rsidRPr="000D1B3E" w:rsidRDefault="006E070C" w:rsidP="006E070C">
      <w:pPr>
        <w:spacing w:after="0" w:line="240" w:lineRule="auto"/>
        <w:rPr>
          <w:b/>
          <w:bCs/>
        </w:rPr>
      </w:pPr>
      <w:r w:rsidRPr="000D1B3E">
        <w:rPr>
          <w:b/>
          <w:bCs/>
        </w:rPr>
        <w:lastRenderedPageBreak/>
        <w:t>National Disability Insurance Agency</w:t>
      </w:r>
    </w:p>
    <w:p w14:paraId="43DFD9D2" w14:textId="77777777" w:rsidR="006E070C" w:rsidRPr="000D1B3E" w:rsidRDefault="006E070C" w:rsidP="006E070C">
      <w:pPr>
        <w:pBdr>
          <w:bottom w:val="single" w:sz="8" w:space="1" w:color="auto"/>
        </w:pBdr>
        <w:rPr>
          <w:b/>
          <w:bCs/>
        </w:rPr>
      </w:pPr>
      <w:r w:rsidRPr="000D1B3E">
        <w:rPr>
          <w:b/>
          <w:bCs/>
        </w:rPr>
        <w:t>NOTES TO AND FORMING PART OF THE FINANCIAL STATEMENTS</w:t>
      </w:r>
    </w:p>
    <w:p w14:paraId="6E53C2A4" w14:textId="77777777" w:rsidR="00B040FE" w:rsidRDefault="00B040FE" w:rsidP="00B040FE">
      <w:pPr>
        <w:pStyle w:val="SectionHeading"/>
        <w:numPr>
          <w:ilvl w:val="0"/>
          <w:numId w:val="30"/>
        </w:numPr>
      </w:pPr>
      <w:bookmarkStart w:id="229" w:name="_Toc65742857"/>
      <w:bookmarkStart w:id="230" w:name="_Toc173417303"/>
      <w:r>
        <w:t>Managing Uncertainties</w:t>
      </w:r>
      <w:bookmarkEnd w:id="229"/>
      <w:bookmarkEnd w:id="230"/>
    </w:p>
    <w:p w14:paraId="1E5EF176" w14:textId="77777777" w:rsidR="00B040FE" w:rsidRDefault="00B040FE" w:rsidP="00B040FE">
      <w:pPr>
        <w:pStyle w:val="SectionHeadingDescription"/>
      </w:pPr>
      <w:r w:rsidRPr="00D16B96">
        <w:t>This section analyses how the Agency manages financial risks within its operating environment.</w:t>
      </w:r>
    </w:p>
    <w:p w14:paraId="3B61F44A" w14:textId="77777777" w:rsidR="00B040FE" w:rsidRPr="00FF78A0" w:rsidRDefault="00B040FE" w:rsidP="006E070C">
      <w:pPr>
        <w:pStyle w:val="SubHeading"/>
        <w:shd w:val="clear" w:color="auto" w:fill="000000" w:themeFill="accent6"/>
      </w:pPr>
      <w:bookmarkStart w:id="231" w:name="_Toc65742858"/>
      <w:bookmarkStart w:id="232" w:name="_Toc173417304"/>
      <w:r>
        <w:t>Contingent Assets and Liabilities</w:t>
      </w:r>
      <w:bookmarkEnd w:id="231"/>
      <w:bookmarkEnd w:id="232"/>
    </w:p>
    <w:p w14:paraId="37E58C1B" w14:textId="77777777" w:rsidR="00B040FE" w:rsidRDefault="00B040FE" w:rsidP="006E070C">
      <w:pPr>
        <w:spacing w:after="0" w:line="240" w:lineRule="auto"/>
      </w:pPr>
    </w:p>
    <w:p w14:paraId="7C3CBDBF" w14:textId="77777777" w:rsidR="00B040FE" w:rsidRPr="00EE6E8A" w:rsidRDefault="00B040FE" w:rsidP="00B040FE">
      <w:pPr>
        <w:rPr>
          <w:rFonts w:cs="Arial"/>
          <w:b/>
          <w:sz w:val="18"/>
          <w:szCs w:val="18"/>
          <w:u w:val="single"/>
          <w:lang w:eastAsia="en-AU"/>
        </w:rPr>
      </w:pPr>
      <w:r w:rsidRPr="00EE6E8A">
        <w:rPr>
          <w:rFonts w:cs="Arial"/>
          <w:b/>
          <w:sz w:val="18"/>
          <w:szCs w:val="18"/>
          <w:u w:val="single"/>
          <w:lang w:eastAsia="en-AU"/>
        </w:rPr>
        <w:t>Quantifiable Contingencies</w:t>
      </w:r>
    </w:p>
    <w:p w14:paraId="414855B4" w14:textId="77777777" w:rsidR="00B040FE" w:rsidRPr="00EE6E8A" w:rsidRDefault="00B040FE" w:rsidP="00B040FE">
      <w:pPr>
        <w:rPr>
          <w:rFonts w:cs="Arial"/>
          <w:sz w:val="18"/>
          <w:szCs w:val="18"/>
          <w:lang w:eastAsia="en-AU"/>
        </w:rPr>
      </w:pPr>
      <w:bookmarkStart w:id="233" w:name="_Ref338146507"/>
      <w:r w:rsidRPr="00035E54">
        <w:rPr>
          <w:sz w:val="18"/>
        </w:rPr>
        <w:t xml:space="preserve">As at </w:t>
      </w:r>
      <w:r>
        <w:rPr>
          <w:sz w:val="18"/>
        </w:rPr>
        <w:fldChar w:fldCharType="begin"/>
      </w:r>
      <w:r>
        <w:rPr>
          <w:sz w:val="18"/>
        </w:rPr>
        <w:instrText xml:space="preserve"> DOCPROPERTY  pEnd  \* MERGEFORMAT </w:instrText>
      </w:r>
      <w:r>
        <w:rPr>
          <w:sz w:val="18"/>
        </w:rPr>
        <w:fldChar w:fldCharType="separate"/>
      </w:r>
      <w:r>
        <w:rPr>
          <w:sz w:val="18"/>
        </w:rPr>
        <w:t>30 June</w:t>
      </w:r>
      <w:r>
        <w:rPr>
          <w:sz w:val="18"/>
        </w:rPr>
        <w:fldChar w:fldCharType="end"/>
      </w:r>
      <w:r>
        <w:rPr>
          <w:sz w:val="18"/>
        </w:rPr>
        <w:t xml:space="preserve"> </w:t>
      </w:r>
      <w:r w:rsidRPr="00035E54">
        <w:rPr>
          <w:sz w:val="18"/>
        </w:rPr>
        <w:fldChar w:fldCharType="begin"/>
      </w:r>
      <w:r w:rsidRPr="00035E54">
        <w:rPr>
          <w:sz w:val="18"/>
        </w:rPr>
        <w:instrText xml:space="preserve"> DOCPROPERTY  crYear  \* MERGEFORMAT </w:instrText>
      </w:r>
      <w:r w:rsidRPr="00035E54">
        <w:rPr>
          <w:sz w:val="18"/>
        </w:rPr>
        <w:fldChar w:fldCharType="separate"/>
      </w:r>
      <w:r>
        <w:rPr>
          <w:sz w:val="18"/>
        </w:rPr>
        <w:t>2024</w:t>
      </w:r>
      <w:r w:rsidRPr="00035E54">
        <w:rPr>
          <w:sz w:val="18"/>
        </w:rPr>
        <w:fldChar w:fldCharType="end"/>
      </w:r>
      <w:r w:rsidRPr="00035E54">
        <w:rPr>
          <w:sz w:val="18"/>
        </w:rPr>
        <w:t xml:space="preserve">, the Agency had </w:t>
      </w:r>
      <w:r>
        <w:rPr>
          <w:sz w:val="18"/>
        </w:rPr>
        <w:t>no</w:t>
      </w:r>
      <w:r w:rsidRPr="00035E54">
        <w:rPr>
          <w:sz w:val="18"/>
        </w:rPr>
        <w:t xml:space="preserve"> quantifiable</w:t>
      </w:r>
      <w:r w:rsidRPr="00035E54">
        <w:rPr>
          <w:color w:val="C00000"/>
          <w:sz w:val="18"/>
        </w:rPr>
        <w:t xml:space="preserve"> </w:t>
      </w:r>
      <w:r w:rsidRPr="00035E54">
        <w:rPr>
          <w:sz w:val="18"/>
        </w:rPr>
        <w:t xml:space="preserve">contingent assets or liabilities </w:t>
      </w:r>
      <w:r w:rsidRPr="00035E54">
        <w:rPr>
          <w:rFonts w:cs="Arial"/>
          <w:sz w:val="18"/>
          <w:szCs w:val="18"/>
          <w:lang w:eastAsia="en-AU"/>
        </w:rPr>
        <w:t>(</w:t>
      </w:r>
      <w:r w:rsidRPr="00035E54">
        <w:rPr>
          <w:rFonts w:cs="Arial"/>
          <w:sz w:val="18"/>
          <w:szCs w:val="18"/>
          <w:lang w:eastAsia="en-AU"/>
        </w:rPr>
        <w:fldChar w:fldCharType="begin"/>
      </w:r>
      <w:r w:rsidRPr="00035E54">
        <w:rPr>
          <w:rFonts w:cs="Arial"/>
          <w:sz w:val="18"/>
          <w:szCs w:val="18"/>
          <w:lang w:eastAsia="en-AU"/>
        </w:rPr>
        <w:instrText xml:space="preserve"> DOCPROPERTY  prYear  \* MERGEFORMAT </w:instrText>
      </w:r>
      <w:r w:rsidRPr="00035E54">
        <w:rPr>
          <w:rFonts w:cs="Arial"/>
          <w:sz w:val="18"/>
          <w:szCs w:val="18"/>
          <w:lang w:eastAsia="en-AU"/>
        </w:rPr>
        <w:fldChar w:fldCharType="separate"/>
      </w:r>
      <w:r>
        <w:rPr>
          <w:rFonts w:cs="Arial"/>
          <w:sz w:val="18"/>
          <w:szCs w:val="18"/>
          <w:lang w:eastAsia="en-AU"/>
        </w:rPr>
        <w:t>2023</w:t>
      </w:r>
      <w:r w:rsidRPr="00035E54">
        <w:rPr>
          <w:rFonts w:cs="Arial"/>
          <w:sz w:val="18"/>
          <w:szCs w:val="18"/>
          <w:lang w:eastAsia="en-AU"/>
        </w:rPr>
        <w:fldChar w:fldCharType="end"/>
      </w:r>
      <w:r w:rsidRPr="00035E54">
        <w:rPr>
          <w:rFonts w:cs="Arial"/>
          <w:sz w:val="18"/>
          <w:szCs w:val="18"/>
          <w:lang w:eastAsia="en-AU"/>
        </w:rPr>
        <w:t>: $Nil).</w:t>
      </w:r>
    </w:p>
    <w:p w14:paraId="72FE2909" w14:textId="77777777" w:rsidR="00B040FE" w:rsidRPr="00EE6E8A" w:rsidRDefault="00B040FE" w:rsidP="00B040FE">
      <w:pPr>
        <w:rPr>
          <w:rFonts w:cs="Arial"/>
          <w:b/>
          <w:sz w:val="18"/>
          <w:szCs w:val="18"/>
          <w:u w:val="single"/>
          <w:lang w:eastAsia="en-AU"/>
        </w:rPr>
      </w:pPr>
      <w:r w:rsidRPr="00EE6E8A">
        <w:rPr>
          <w:rFonts w:cs="Arial"/>
          <w:b/>
          <w:sz w:val="18"/>
          <w:szCs w:val="18"/>
          <w:u w:val="single"/>
          <w:lang w:eastAsia="en-AU"/>
        </w:rPr>
        <w:t>Unquantifiable Contingencies</w:t>
      </w:r>
    </w:p>
    <w:p w14:paraId="1B7945D1" w14:textId="77777777" w:rsidR="00B040FE" w:rsidRPr="00EE6E8A" w:rsidRDefault="00B040FE" w:rsidP="00B040FE">
      <w:pPr>
        <w:rPr>
          <w:rFonts w:cs="Arial"/>
          <w:b/>
          <w:i/>
          <w:szCs w:val="22"/>
          <w:u w:val="single"/>
        </w:rPr>
      </w:pPr>
      <w:r w:rsidRPr="00EE6E8A">
        <w:rPr>
          <w:i/>
          <w:sz w:val="18"/>
          <w:u w:val="single"/>
        </w:rPr>
        <w:t>Contingent</w:t>
      </w:r>
      <w:r w:rsidRPr="00EE6E8A">
        <w:rPr>
          <w:rFonts w:cs="Arial"/>
          <w:b/>
          <w:i/>
          <w:szCs w:val="22"/>
          <w:u w:val="single"/>
        </w:rPr>
        <w:t xml:space="preserve"> </w:t>
      </w:r>
      <w:r w:rsidRPr="00EE6E8A">
        <w:rPr>
          <w:rFonts w:cs="Arial"/>
          <w:i/>
          <w:sz w:val="18"/>
          <w:szCs w:val="18"/>
          <w:u w:val="single"/>
        </w:rPr>
        <w:t>asset</w:t>
      </w:r>
      <w:r w:rsidRPr="00EE6E8A">
        <w:rPr>
          <w:rFonts w:cs="Arial"/>
          <w:b/>
          <w:i/>
          <w:szCs w:val="22"/>
          <w:u w:val="single"/>
        </w:rPr>
        <w:t xml:space="preserve"> </w:t>
      </w:r>
      <w:r w:rsidRPr="00EE6E8A">
        <w:rPr>
          <w:rFonts w:cs="Arial"/>
          <w:i/>
          <w:sz w:val="18"/>
          <w:szCs w:val="18"/>
          <w:u w:val="single"/>
        </w:rPr>
        <w:t>–</w:t>
      </w:r>
      <w:r w:rsidRPr="00EE6E8A">
        <w:rPr>
          <w:rFonts w:cs="Arial"/>
          <w:b/>
          <w:i/>
          <w:szCs w:val="22"/>
          <w:u w:val="single"/>
        </w:rPr>
        <w:t xml:space="preserve"> </w:t>
      </w:r>
      <w:r w:rsidRPr="00EE6E8A">
        <w:rPr>
          <w:rFonts w:cs="Arial"/>
          <w:i/>
          <w:sz w:val="18"/>
          <w:szCs w:val="18"/>
          <w:u w:val="single"/>
        </w:rPr>
        <w:t>Compensation</w:t>
      </w:r>
      <w:r w:rsidRPr="00EE6E8A">
        <w:rPr>
          <w:rFonts w:cs="Arial"/>
          <w:b/>
          <w:i/>
          <w:szCs w:val="22"/>
          <w:u w:val="single"/>
        </w:rPr>
        <w:t xml:space="preserve"> </w:t>
      </w:r>
      <w:r w:rsidRPr="00EE6E8A">
        <w:rPr>
          <w:i/>
          <w:sz w:val="18"/>
          <w:u w:val="single"/>
        </w:rPr>
        <w:t>recoveries</w:t>
      </w:r>
    </w:p>
    <w:p w14:paraId="1B645809" w14:textId="098DC23E" w:rsidR="00B040FE" w:rsidRPr="00EE6E8A" w:rsidRDefault="00B040FE" w:rsidP="00B040FE">
      <w:pPr>
        <w:rPr>
          <w:rFonts w:cs="Arial"/>
          <w:sz w:val="18"/>
          <w:szCs w:val="18"/>
        </w:rPr>
      </w:pPr>
      <w:r w:rsidRPr="00035E54">
        <w:rPr>
          <w:sz w:val="18"/>
        </w:rPr>
        <w:t>There</w:t>
      </w:r>
      <w:r w:rsidRPr="00035E54">
        <w:rPr>
          <w:rFonts w:cs="Arial"/>
          <w:i/>
          <w:szCs w:val="22"/>
        </w:rPr>
        <w:t xml:space="preserve"> </w:t>
      </w:r>
      <w:r w:rsidRPr="00035E54">
        <w:rPr>
          <w:rFonts w:cs="Arial"/>
          <w:sz w:val="18"/>
          <w:szCs w:val="18"/>
        </w:rPr>
        <w:t xml:space="preserve">are provisions set out in the Act and the NDIS Compensation Rules that allow the Agency to recover amounts of compensation that have been paid to, or given up by, Scheme participants. These provisions apply to a number of Scheme participant plans, for which compensation recovery decisions have not yet been made at </w:t>
      </w:r>
      <w:r>
        <w:rPr>
          <w:rFonts w:cs="Arial"/>
          <w:sz w:val="18"/>
          <w:szCs w:val="18"/>
        </w:rPr>
        <w:fldChar w:fldCharType="begin"/>
      </w:r>
      <w:r>
        <w:rPr>
          <w:rFonts w:cs="Arial"/>
          <w:sz w:val="18"/>
          <w:szCs w:val="18"/>
        </w:rPr>
        <w:instrText xml:space="preserve"> DOCPROPERTY  pEnd  \* MERGEFORMAT </w:instrText>
      </w:r>
      <w:r>
        <w:rPr>
          <w:rFonts w:cs="Arial"/>
          <w:sz w:val="18"/>
          <w:szCs w:val="18"/>
        </w:rPr>
        <w:fldChar w:fldCharType="separate"/>
      </w:r>
      <w:r>
        <w:rPr>
          <w:rFonts w:cs="Arial"/>
          <w:sz w:val="18"/>
          <w:szCs w:val="18"/>
        </w:rPr>
        <w:t>30 June</w:t>
      </w:r>
      <w:r>
        <w:rPr>
          <w:rFonts w:cs="Arial"/>
          <w:sz w:val="18"/>
          <w:szCs w:val="18"/>
        </w:rPr>
        <w:fldChar w:fldCharType="end"/>
      </w:r>
      <w:r w:rsidRPr="00035E54">
        <w:rPr>
          <w:rFonts w:cs="Arial"/>
          <w:sz w:val="18"/>
          <w:szCs w:val="18"/>
        </w:rPr>
        <w:t xml:space="preserve"> </w:t>
      </w:r>
      <w:r w:rsidRPr="00035E54">
        <w:rPr>
          <w:rFonts w:cs="Arial"/>
          <w:sz w:val="18"/>
          <w:szCs w:val="18"/>
        </w:rPr>
        <w:fldChar w:fldCharType="begin"/>
      </w:r>
      <w:r w:rsidRPr="00035E54">
        <w:rPr>
          <w:rFonts w:cs="Arial"/>
          <w:sz w:val="18"/>
          <w:szCs w:val="18"/>
        </w:rPr>
        <w:instrText xml:space="preserve"> DOCPROPERTY  crYear  \* MERGEFORMAT </w:instrText>
      </w:r>
      <w:r w:rsidRPr="00035E54">
        <w:rPr>
          <w:rFonts w:cs="Arial"/>
          <w:sz w:val="18"/>
          <w:szCs w:val="18"/>
        </w:rPr>
        <w:fldChar w:fldCharType="separate"/>
      </w:r>
      <w:r>
        <w:rPr>
          <w:rFonts w:cs="Arial"/>
          <w:sz w:val="18"/>
          <w:szCs w:val="18"/>
        </w:rPr>
        <w:t>2024</w:t>
      </w:r>
      <w:r w:rsidRPr="00035E54">
        <w:rPr>
          <w:rFonts w:cs="Arial"/>
          <w:sz w:val="18"/>
          <w:szCs w:val="18"/>
        </w:rPr>
        <w:fldChar w:fldCharType="end"/>
      </w:r>
      <w:r w:rsidRPr="00035E54">
        <w:rPr>
          <w:rFonts w:cs="Arial"/>
          <w:sz w:val="18"/>
          <w:szCs w:val="18"/>
        </w:rPr>
        <w:t xml:space="preserve">. A number of potential compensation cases are in progress at </w:t>
      </w:r>
      <w:r>
        <w:rPr>
          <w:rFonts w:cs="Arial"/>
          <w:sz w:val="18"/>
          <w:szCs w:val="18"/>
        </w:rPr>
        <w:fldChar w:fldCharType="begin"/>
      </w:r>
      <w:r>
        <w:rPr>
          <w:rFonts w:cs="Arial"/>
          <w:sz w:val="18"/>
          <w:szCs w:val="18"/>
        </w:rPr>
        <w:instrText xml:space="preserve"> DOCPROPERTY  pEnd  \* MERGEFORMAT </w:instrText>
      </w:r>
      <w:r>
        <w:rPr>
          <w:rFonts w:cs="Arial"/>
          <w:sz w:val="18"/>
          <w:szCs w:val="18"/>
        </w:rPr>
        <w:fldChar w:fldCharType="separate"/>
      </w:r>
      <w:r>
        <w:rPr>
          <w:rFonts w:cs="Arial"/>
          <w:sz w:val="18"/>
          <w:szCs w:val="18"/>
        </w:rPr>
        <w:t>30 June</w:t>
      </w:r>
      <w:r>
        <w:rPr>
          <w:rFonts w:cs="Arial"/>
          <w:sz w:val="18"/>
          <w:szCs w:val="18"/>
        </w:rPr>
        <w:fldChar w:fldCharType="end"/>
      </w:r>
      <w:r>
        <w:rPr>
          <w:rFonts w:cs="Arial"/>
          <w:sz w:val="18"/>
          <w:szCs w:val="18"/>
        </w:rPr>
        <w:t xml:space="preserve"> </w:t>
      </w:r>
      <w:r w:rsidRPr="00035E54">
        <w:rPr>
          <w:rFonts w:cs="Arial"/>
          <w:sz w:val="18"/>
          <w:szCs w:val="18"/>
        </w:rPr>
        <w:fldChar w:fldCharType="begin"/>
      </w:r>
      <w:r w:rsidRPr="00035E54">
        <w:rPr>
          <w:rFonts w:cs="Arial"/>
          <w:sz w:val="18"/>
          <w:szCs w:val="18"/>
        </w:rPr>
        <w:instrText xml:space="preserve"> DOCPROPERTY  crYear  \* MERGEFORMAT </w:instrText>
      </w:r>
      <w:r w:rsidRPr="00035E54">
        <w:rPr>
          <w:rFonts w:cs="Arial"/>
          <w:sz w:val="18"/>
          <w:szCs w:val="18"/>
        </w:rPr>
        <w:fldChar w:fldCharType="separate"/>
      </w:r>
      <w:r>
        <w:rPr>
          <w:rFonts w:cs="Arial"/>
          <w:sz w:val="18"/>
          <w:szCs w:val="18"/>
        </w:rPr>
        <w:t>2024</w:t>
      </w:r>
      <w:r w:rsidRPr="00035E54">
        <w:rPr>
          <w:rFonts w:cs="Arial"/>
          <w:sz w:val="18"/>
          <w:szCs w:val="18"/>
        </w:rPr>
        <w:fldChar w:fldCharType="end"/>
      </w:r>
      <w:r w:rsidRPr="00035E54">
        <w:rPr>
          <w:rFonts w:cs="Arial"/>
          <w:sz w:val="18"/>
          <w:szCs w:val="18"/>
        </w:rPr>
        <w:t>, which may result in future compensation recoveries by the Agency. Due to the unique circumstances of each case, the Agency is currently unable to estimate the amount that may be recoverable from these cases. These amounts will be recognised as income in future periods when the relevant recognition criteria are met. The accounting policy for compensation receipts is included in Note 1.2C.</w:t>
      </w:r>
    </w:p>
    <w:p w14:paraId="739219B9" w14:textId="77777777" w:rsidR="00B040FE" w:rsidRPr="002C0E60" w:rsidRDefault="00B040FE" w:rsidP="00B040FE">
      <w:pPr>
        <w:rPr>
          <w:rFonts w:cs="Arial"/>
          <w:i/>
          <w:sz w:val="18"/>
          <w:szCs w:val="18"/>
          <w:u w:val="single"/>
          <w:lang w:eastAsia="en-AU"/>
        </w:rPr>
      </w:pPr>
      <w:r w:rsidRPr="002C0E60">
        <w:rPr>
          <w:rFonts w:cs="Arial"/>
          <w:i/>
          <w:sz w:val="18"/>
          <w:szCs w:val="18"/>
          <w:u w:val="single"/>
          <w:lang w:eastAsia="en-AU"/>
        </w:rPr>
        <w:t>Contingent liabilities</w:t>
      </w:r>
    </w:p>
    <w:p w14:paraId="43801B60" w14:textId="7768D5CA" w:rsidR="00B040FE" w:rsidRPr="0047225D" w:rsidRDefault="00B040FE" w:rsidP="00B040FE">
      <w:pPr>
        <w:rPr>
          <w:rFonts w:cs="Arial"/>
          <w:iCs/>
          <w:sz w:val="18"/>
          <w:szCs w:val="18"/>
        </w:rPr>
      </w:pPr>
      <w:r w:rsidRPr="007348B7">
        <w:rPr>
          <w:rFonts w:cs="Arial"/>
          <w:iCs/>
          <w:sz w:val="18"/>
          <w:szCs w:val="18"/>
        </w:rPr>
        <w:t xml:space="preserve">As at </w:t>
      </w:r>
      <w:r w:rsidRPr="007348B7">
        <w:rPr>
          <w:rFonts w:cs="Arial"/>
          <w:iCs/>
          <w:sz w:val="18"/>
          <w:szCs w:val="18"/>
        </w:rPr>
        <w:fldChar w:fldCharType="begin"/>
      </w:r>
      <w:r w:rsidRPr="007348B7">
        <w:rPr>
          <w:rFonts w:cs="Arial"/>
          <w:iCs/>
          <w:sz w:val="18"/>
          <w:szCs w:val="18"/>
        </w:rPr>
        <w:instrText xml:space="preserve"> DOCPROPERTY  pEnd  \* MERGEFORMAT </w:instrText>
      </w:r>
      <w:r w:rsidRPr="007348B7">
        <w:rPr>
          <w:rFonts w:cs="Arial"/>
          <w:iCs/>
          <w:sz w:val="18"/>
          <w:szCs w:val="18"/>
        </w:rPr>
        <w:fldChar w:fldCharType="separate"/>
      </w:r>
      <w:r>
        <w:rPr>
          <w:rFonts w:cs="Arial"/>
          <w:iCs/>
          <w:sz w:val="18"/>
          <w:szCs w:val="18"/>
        </w:rPr>
        <w:t>30 June</w:t>
      </w:r>
      <w:r w:rsidRPr="007348B7">
        <w:rPr>
          <w:rFonts w:cs="Arial"/>
          <w:iCs/>
          <w:sz w:val="18"/>
          <w:szCs w:val="18"/>
        </w:rPr>
        <w:fldChar w:fldCharType="end"/>
      </w:r>
      <w:r w:rsidRPr="007348B7">
        <w:rPr>
          <w:rFonts w:cs="Arial"/>
          <w:iCs/>
          <w:sz w:val="18"/>
          <w:szCs w:val="18"/>
        </w:rPr>
        <w:t xml:space="preserve"> </w:t>
      </w:r>
      <w:r w:rsidRPr="007348B7">
        <w:rPr>
          <w:rFonts w:cs="Arial"/>
          <w:iCs/>
          <w:sz w:val="18"/>
          <w:szCs w:val="18"/>
        </w:rPr>
        <w:fldChar w:fldCharType="begin"/>
      </w:r>
      <w:r w:rsidRPr="007348B7">
        <w:rPr>
          <w:rFonts w:cs="Arial"/>
          <w:iCs/>
          <w:sz w:val="18"/>
          <w:szCs w:val="18"/>
        </w:rPr>
        <w:instrText xml:space="preserve"> DOCPROPERTY  crYear  \* MERGEFORMAT </w:instrText>
      </w:r>
      <w:r w:rsidRPr="007348B7">
        <w:rPr>
          <w:rFonts w:cs="Arial"/>
          <w:iCs/>
          <w:sz w:val="18"/>
          <w:szCs w:val="18"/>
        </w:rPr>
        <w:fldChar w:fldCharType="separate"/>
      </w:r>
      <w:r>
        <w:rPr>
          <w:rFonts w:cs="Arial"/>
          <w:iCs/>
          <w:sz w:val="18"/>
          <w:szCs w:val="18"/>
        </w:rPr>
        <w:t>2024</w:t>
      </w:r>
      <w:r w:rsidRPr="007348B7">
        <w:rPr>
          <w:rFonts w:cs="Arial"/>
          <w:iCs/>
          <w:sz w:val="18"/>
          <w:szCs w:val="18"/>
        </w:rPr>
        <w:fldChar w:fldCharType="end"/>
      </w:r>
      <w:r w:rsidRPr="007348B7">
        <w:rPr>
          <w:rFonts w:cs="Arial"/>
          <w:iCs/>
          <w:sz w:val="18"/>
          <w:szCs w:val="18"/>
        </w:rPr>
        <w:t>, the Agency has a contract with a supplier which includes unquantifiable contingent liabilities. These relate to the indemnification of the supplier for expenses arising from alleged or actual violations of any third-party rights arising from the Agency’s data, alleged or actual use or misuse of the supplier’s intellectual property, software, and subscriptions. The Agency has assessed that it is unlikely that events crystallising these contingent liabilities will occur.</w:t>
      </w:r>
    </w:p>
    <w:p w14:paraId="064A6C0B" w14:textId="0D465FA0" w:rsidR="00B040FE" w:rsidRPr="0047225D" w:rsidRDefault="00B040FE" w:rsidP="00B040FE">
      <w:pPr>
        <w:rPr>
          <w:rFonts w:cs="Arial"/>
          <w:iCs/>
          <w:sz w:val="18"/>
          <w:szCs w:val="18"/>
        </w:rPr>
      </w:pPr>
      <w:r w:rsidRPr="0027501A">
        <w:rPr>
          <w:rFonts w:cs="Arial"/>
          <w:iCs/>
          <w:sz w:val="18"/>
          <w:szCs w:val="18"/>
        </w:rPr>
        <w:t>During 202</w:t>
      </w:r>
      <w:r>
        <w:rPr>
          <w:rFonts w:cs="Arial"/>
          <w:iCs/>
          <w:sz w:val="18"/>
          <w:szCs w:val="18"/>
        </w:rPr>
        <w:t>3-24</w:t>
      </w:r>
      <w:r w:rsidRPr="0027501A">
        <w:rPr>
          <w:rFonts w:cs="Arial"/>
          <w:iCs/>
          <w:sz w:val="18"/>
          <w:szCs w:val="18"/>
        </w:rPr>
        <w:t>, the Agency was involved in a number of cases before the Administrative Appeals Tribunal. It is not possible to estimate the amounts of any eventual payments that may be required in relation to these claims.</w:t>
      </w:r>
    </w:p>
    <w:p w14:paraId="701F88E2" w14:textId="77777777" w:rsidR="00B040FE" w:rsidRPr="00EE6E8A" w:rsidRDefault="00B040FE" w:rsidP="00B040FE">
      <w:pPr>
        <w:pStyle w:val="PolicytextDept"/>
        <w:pBdr>
          <w:left w:val="single" w:sz="4" w:space="4" w:color="800080"/>
          <w:right w:val="single" w:sz="4" w:space="4" w:color="800080"/>
        </w:pBdr>
        <w:rPr>
          <w:b/>
        </w:rPr>
      </w:pPr>
      <w:r w:rsidRPr="00EE6E8A">
        <w:rPr>
          <w:b/>
        </w:rPr>
        <w:t xml:space="preserve">Accounting Policy </w:t>
      </w:r>
    </w:p>
    <w:p w14:paraId="04D32A5C" w14:textId="77777777" w:rsidR="00B040FE" w:rsidRDefault="00B040FE" w:rsidP="00B040FE">
      <w:pPr>
        <w:pStyle w:val="PolicytextDept"/>
        <w:pBdr>
          <w:left w:val="single" w:sz="4" w:space="4" w:color="800080"/>
          <w:right w:val="single" w:sz="4" w:space="4" w:color="800080"/>
        </w:pBdr>
      </w:pPr>
      <w:r w:rsidRPr="00EE6E8A">
        <w:t>Contingent liabilities and contingent assets are not recognised in the Statement of Financial Position but are reported in the notes. They may arise from uncertainty as to the existence of a liability or asset or represent an asset or liability in respect of which the amount cannot be reliably measured. Contingent assets are disclosed when settlement is probable but not virtually certain and contingent liabilities are disclosed when settlement is greater than remote.</w:t>
      </w:r>
    </w:p>
    <w:p w14:paraId="340CC066" w14:textId="77777777" w:rsidR="00B040FE" w:rsidRDefault="00B040FE" w:rsidP="00B040FE">
      <w:pPr>
        <w:spacing w:line="240" w:lineRule="auto"/>
        <w:rPr>
          <w:rFonts w:cs="Arial"/>
          <w:sz w:val="18"/>
          <w:szCs w:val="18"/>
          <w:lang w:eastAsia="en-AU"/>
        </w:rPr>
      </w:pPr>
      <w:r>
        <w:rPr>
          <w:rFonts w:cs="Arial"/>
          <w:sz w:val="18"/>
          <w:szCs w:val="18"/>
          <w:lang w:eastAsia="en-AU"/>
        </w:rPr>
        <w:br w:type="page"/>
      </w:r>
    </w:p>
    <w:p w14:paraId="55860934" w14:textId="77777777" w:rsidR="006E070C" w:rsidRPr="006E070C" w:rsidRDefault="006E070C" w:rsidP="006E070C">
      <w:pPr>
        <w:spacing w:after="0" w:line="240" w:lineRule="auto"/>
        <w:rPr>
          <w:b/>
          <w:bCs/>
        </w:rPr>
      </w:pPr>
      <w:bookmarkStart w:id="234" w:name="_Toc443469549"/>
      <w:bookmarkStart w:id="235" w:name="_Toc444065804"/>
      <w:bookmarkStart w:id="236" w:name="_Toc444080001"/>
      <w:bookmarkStart w:id="237" w:name="_Toc447030550"/>
      <w:bookmarkStart w:id="238" w:name="_Toc447030702"/>
      <w:bookmarkStart w:id="239" w:name="_Toc447030795"/>
      <w:bookmarkStart w:id="240" w:name="_Toc65742859"/>
      <w:bookmarkStart w:id="241" w:name="_Toc173417305"/>
      <w:r w:rsidRPr="006E070C">
        <w:rPr>
          <w:b/>
          <w:bCs/>
        </w:rPr>
        <w:lastRenderedPageBreak/>
        <w:t>National Disability Insurance Agency</w:t>
      </w:r>
    </w:p>
    <w:p w14:paraId="121BF3D9" w14:textId="77777777" w:rsidR="006E070C" w:rsidRPr="006E070C" w:rsidRDefault="006E070C" w:rsidP="006E070C">
      <w:pPr>
        <w:pBdr>
          <w:bottom w:val="single" w:sz="8" w:space="1" w:color="auto"/>
        </w:pBdr>
        <w:rPr>
          <w:b/>
          <w:bCs/>
        </w:rPr>
      </w:pPr>
      <w:r w:rsidRPr="006E070C">
        <w:rPr>
          <w:b/>
          <w:bCs/>
        </w:rPr>
        <w:t>NOTES TO AND FORMING PART OF THE FINANCIAL STATEMENTS</w:t>
      </w:r>
    </w:p>
    <w:p w14:paraId="683DCCA3" w14:textId="77777777" w:rsidR="00B040FE" w:rsidRDefault="00B040FE" w:rsidP="006E070C">
      <w:pPr>
        <w:pStyle w:val="SubHeading"/>
        <w:shd w:val="clear" w:color="auto" w:fill="000000" w:themeFill="accent6"/>
      </w:pPr>
      <w:r w:rsidRPr="00F40720">
        <w:t>Financial Instruments</w:t>
      </w:r>
      <w:bookmarkEnd w:id="234"/>
      <w:bookmarkEnd w:id="235"/>
      <w:bookmarkEnd w:id="236"/>
      <w:bookmarkEnd w:id="237"/>
      <w:bookmarkEnd w:id="238"/>
      <w:bookmarkEnd w:id="239"/>
      <w:bookmarkEnd w:id="240"/>
      <w:bookmarkEnd w:id="241"/>
    </w:p>
    <w:tbl>
      <w:tblPr>
        <w:tblW w:w="9087" w:type="dxa"/>
        <w:tblLayout w:type="fixed"/>
        <w:tblLook w:val="04A0" w:firstRow="1" w:lastRow="0" w:firstColumn="1" w:lastColumn="0" w:noHBand="0" w:noVBand="1"/>
      </w:tblPr>
      <w:tblGrid>
        <w:gridCol w:w="6351"/>
        <w:gridCol w:w="1259"/>
        <w:gridCol w:w="236"/>
        <w:gridCol w:w="1241"/>
      </w:tblGrid>
      <w:tr w:rsidR="00B040FE" w14:paraId="2F498FCC" w14:textId="77777777" w:rsidTr="005E5E0C">
        <w:trPr>
          <w:trHeight w:val="250"/>
        </w:trPr>
        <w:tc>
          <w:tcPr>
            <w:tcW w:w="6351" w:type="dxa"/>
            <w:tcBorders>
              <w:top w:val="nil"/>
              <w:left w:val="nil"/>
              <w:bottom w:val="nil"/>
              <w:right w:val="nil"/>
            </w:tcBorders>
            <w:shd w:val="clear" w:color="FFFFFF" w:fill="FFFFFF"/>
            <w:noWrap/>
            <w:vAlign w:val="bottom"/>
            <w:hideMark/>
          </w:tcPr>
          <w:p w14:paraId="25E08346" w14:textId="77777777" w:rsidR="00B040FE" w:rsidRDefault="00B040FE" w:rsidP="0047225D">
            <w:pPr>
              <w:spacing w:after="0"/>
              <w:rPr>
                <w:rFonts w:cs="Arial"/>
                <w:sz w:val="18"/>
                <w:szCs w:val="18"/>
              </w:rPr>
            </w:pPr>
            <w:bookmarkStart w:id="242" w:name="Note_FIATABLE1" w:colFirst="0" w:colLast="0"/>
            <w:r>
              <w:rPr>
                <w:rFonts w:cs="Arial"/>
                <w:sz w:val="18"/>
                <w:szCs w:val="18"/>
              </w:rPr>
              <w:t> </w:t>
            </w:r>
          </w:p>
        </w:tc>
        <w:tc>
          <w:tcPr>
            <w:tcW w:w="1259" w:type="dxa"/>
            <w:tcBorders>
              <w:top w:val="nil"/>
              <w:left w:val="nil"/>
              <w:bottom w:val="nil"/>
              <w:right w:val="nil"/>
            </w:tcBorders>
            <w:shd w:val="clear" w:color="FFFFFF" w:fill="FFFFFF"/>
            <w:vAlign w:val="bottom"/>
            <w:hideMark/>
          </w:tcPr>
          <w:p w14:paraId="3118EA26" w14:textId="77777777" w:rsidR="00B040FE" w:rsidRDefault="00B040FE" w:rsidP="0047225D">
            <w:pPr>
              <w:spacing w:after="0"/>
              <w:jc w:val="right"/>
              <w:rPr>
                <w:rFonts w:cs="Arial"/>
                <w:b/>
                <w:bCs/>
                <w:sz w:val="18"/>
                <w:szCs w:val="18"/>
              </w:rPr>
            </w:pPr>
            <w:r>
              <w:rPr>
                <w:rFonts w:cs="Arial"/>
                <w:b/>
                <w:bCs/>
                <w:sz w:val="18"/>
                <w:szCs w:val="18"/>
              </w:rPr>
              <w:t>2024</w:t>
            </w:r>
          </w:p>
        </w:tc>
        <w:tc>
          <w:tcPr>
            <w:tcW w:w="236" w:type="dxa"/>
            <w:tcBorders>
              <w:top w:val="nil"/>
              <w:left w:val="nil"/>
              <w:bottom w:val="nil"/>
              <w:right w:val="nil"/>
            </w:tcBorders>
            <w:shd w:val="clear" w:color="FFFFFF" w:fill="FFFFFF"/>
            <w:noWrap/>
            <w:vAlign w:val="bottom"/>
            <w:hideMark/>
          </w:tcPr>
          <w:p w14:paraId="23DB85DA" w14:textId="77777777" w:rsidR="00B040FE" w:rsidRDefault="00B040FE" w:rsidP="0047225D">
            <w:pPr>
              <w:spacing w:after="0"/>
              <w:rPr>
                <w:rFonts w:cs="Arial"/>
                <w:sz w:val="18"/>
                <w:szCs w:val="18"/>
              </w:rPr>
            </w:pPr>
            <w:r>
              <w:rPr>
                <w:rFonts w:cs="Arial"/>
                <w:sz w:val="18"/>
                <w:szCs w:val="18"/>
              </w:rPr>
              <w:t> </w:t>
            </w:r>
          </w:p>
        </w:tc>
        <w:tc>
          <w:tcPr>
            <w:tcW w:w="1241" w:type="dxa"/>
            <w:tcBorders>
              <w:top w:val="nil"/>
              <w:left w:val="nil"/>
              <w:bottom w:val="nil"/>
              <w:right w:val="nil"/>
            </w:tcBorders>
            <w:shd w:val="clear" w:color="FFFFFF" w:fill="FFFFFF"/>
            <w:vAlign w:val="bottom"/>
            <w:hideMark/>
          </w:tcPr>
          <w:p w14:paraId="37AAD210" w14:textId="77777777" w:rsidR="00B040FE" w:rsidRDefault="00B040FE" w:rsidP="0047225D">
            <w:pPr>
              <w:spacing w:after="0"/>
              <w:jc w:val="right"/>
              <w:rPr>
                <w:rFonts w:cs="Arial"/>
                <w:sz w:val="18"/>
                <w:szCs w:val="18"/>
              </w:rPr>
            </w:pPr>
            <w:r>
              <w:rPr>
                <w:rFonts w:cs="Arial"/>
                <w:sz w:val="18"/>
                <w:szCs w:val="18"/>
              </w:rPr>
              <w:t>2023</w:t>
            </w:r>
          </w:p>
        </w:tc>
      </w:tr>
      <w:bookmarkEnd w:id="242"/>
      <w:tr w:rsidR="00B040FE" w14:paraId="4CCA76F0" w14:textId="77777777" w:rsidTr="005E5E0C">
        <w:trPr>
          <w:trHeight w:val="260"/>
        </w:trPr>
        <w:tc>
          <w:tcPr>
            <w:tcW w:w="6351" w:type="dxa"/>
            <w:tcBorders>
              <w:top w:val="nil"/>
              <w:left w:val="nil"/>
              <w:bottom w:val="nil"/>
              <w:right w:val="nil"/>
            </w:tcBorders>
            <w:shd w:val="clear" w:color="FFFFFF" w:fill="FFFFFF"/>
            <w:noWrap/>
            <w:vAlign w:val="bottom"/>
            <w:hideMark/>
          </w:tcPr>
          <w:p w14:paraId="341E52BC" w14:textId="77777777" w:rsidR="00B040FE" w:rsidRDefault="00B040FE" w:rsidP="0047225D">
            <w:pPr>
              <w:spacing w:after="0"/>
              <w:rPr>
                <w:rFonts w:cs="Arial"/>
                <w:sz w:val="18"/>
                <w:szCs w:val="18"/>
              </w:rPr>
            </w:pPr>
            <w:r>
              <w:rPr>
                <w:rFonts w:cs="Arial"/>
                <w:sz w:val="18"/>
                <w:szCs w:val="18"/>
              </w:rPr>
              <w:t> </w:t>
            </w:r>
          </w:p>
        </w:tc>
        <w:tc>
          <w:tcPr>
            <w:tcW w:w="1259" w:type="dxa"/>
            <w:tcBorders>
              <w:top w:val="nil"/>
              <w:left w:val="nil"/>
              <w:bottom w:val="nil"/>
              <w:right w:val="nil"/>
            </w:tcBorders>
            <w:shd w:val="clear" w:color="FFFFFF" w:fill="FFFFFF"/>
            <w:vAlign w:val="bottom"/>
            <w:hideMark/>
          </w:tcPr>
          <w:p w14:paraId="0A58D708" w14:textId="77777777" w:rsidR="00B040FE" w:rsidRDefault="00B040FE" w:rsidP="0047225D">
            <w:pPr>
              <w:spacing w:after="0"/>
              <w:jc w:val="right"/>
              <w:rPr>
                <w:rFonts w:cs="Arial"/>
                <w:b/>
                <w:bCs/>
                <w:sz w:val="18"/>
                <w:szCs w:val="18"/>
              </w:rPr>
            </w:pPr>
            <w:r>
              <w:rPr>
                <w:rFonts w:cs="Arial"/>
                <w:b/>
                <w:bCs/>
                <w:sz w:val="18"/>
                <w:szCs w:val="18"/>
              </w:rPr>
              <w:t>$'000</w:t>
            </w:r>
          </w:p>
        </w:tc>
        <w:tc>
          <w:tcPr>
            <w:tcW w:w="236" w:type="dxa"/>
            <w:tcBorders>
              <w:top w:val="nil"/>
              <w:left w:val="nil"/>
              <w:bottom w:val="nil"/>
              <w:right w:val="nil"/>
            </w:tcBorders>
            <w:shd w:val="clear" w:color="FFFFFF" w:fill="FFFFFF"/>
            <w:noWrap/>
            <w:vAlign w:val="bottom"/>
            <w:hideMark/>
          </w:tcPr>
          <w:p w14:paraId="0D3E147E" w14:textId="77777777" w:rsidR="00B040FE" w:rsidRDefault="00B040FE" w:rsidP="0047225D">
            <w:pPr>
              <w:spacing w:after="0"/>
              <w:rPr>
                <w:rFonts w:cs="Arial"/>
                <w:sz w:val="18"/>
                <w:szCs w:val="18"/>
              </w:rPr>
            </w:pPr>
            <w:r>
              <w:rPr>
                <w:rFonts w:cs="Arial"/>
                <w:sz w:val="18"/>
                <w:szCs w:val="18"/>
              </w:rPr>
              <w:t> </w:t>
            </w:r>
          </w:p>
        </w:tc>
        <w:tc>
          <w:tcPr>
            <w:tcW w:w="1241" w:type="dxa"/>
            <w:tcBorders>
              <w:top w:val="nil"/>
              <w:left w:val="nil"/>
              <w:bottom w:val="nil"/>
              <w:right w:val="nil"/>
            </w:tcBorders>
            <w:shd w:val="clear" w:color="FFFFFF" w:fill="FFFFFF"/>
            <w:vAlign w:val="bottom"/>
            <w:hideMark/>
          </w:tcPr>
          <w:p w14:paraId="21A4DD4C" w14:textId="77777777" w:rsidR="00B040FE" w:rsidRDefault="00B040FE" w:rsidP="0047225D">
            <w:pPr>
              <w:spacing w:after="0"/>
              <w:jc w:val="right"/>
              <w:rPr>
                <w:rFonts w:cs="Arial"/>
                <w:sz w:val="18"/>
                <w:szCs w:val="18"/>
              </w:rPr>
            </w:pPr>
            <w:r>
              <w:rPr>
                <w:rFonts w:cs="Arial"/>
                <w:sz w:val="18"/>
                <w:szCs w:val="18"/>
              </w:rPr>
              <w:t>$'000</w:t>
            </w:r>
          </w:p>
        </w:tc>
      </w:tr>
      <w:tr w:rsidR="00B040FE" w14:paraId="3A10C7D6" w14:textId="77777777" w:rsidTr="005E5E0C">
        <w:trPr>
          <w:trHeight w:val="260"/>
        </w:trPr>
        <w:tc>
          <w:tcPr>
            <w:tcW w:w="6351" w:type="dxa"/>
            <w:tcBorders>
              <w:top w:val="nil"/>
              <w:left w:val="nil"/>
              <w:bottom w:val="nil"/>
              <w:right w:val="nil"/>
            </w:tcBorders>
            <w:shd w:val="clear" w:color="FFFFFF" w:fill="FFFFFF"/>
            <w:noWrap/>
            <w:vAlign w:val="bottom"/>
            <w:hideMark/>
          </w:tcPr>
          <w:p w14:paraId="0E41B639" w14:textId="77777777" w:rsidR="00B040FE" w:rsidRDefault="00B040FE" w:rsidP="0047225D">
            <w:pPr>
              <w:spacing w:after="0"/>
              <w:rPr>
                <w:rFonts w:cs="Arial"/>
                <w:b/>
                <w:bCs/>
                <w:sz w:val="18"/>
                <w:szCs w:val="18"/>
                <w:u w:val="single"/>
              </w:rPr>
            </w:pPr>
            <w:r>
              <w:rPr>
                <w:rFonts w:cs="Arial"/>
                <w:b/>
                <w:bCs/>
                <w:sz w:val="18"/>
                <w:szCs w:val="18"/>
                <w:u w:val="single"/>
              </w:rPr>
              <w:t>Note 4.2A: Categories of financial instruments</w:t>
            </w:r>
          </w:p>
        </w:tc>
        <w:tc>
          <w:tcPr>
            <w:tcW w:w="1259" w:type="dxa"/>
            <w:tcBorders>
              <w:top w:val="nil"/>
              <w:left w:val="nil"/>
              <w:bottom w:val="nil"/>
              <w:right w:val="nil"/>
            </w:tcBorders>
            <w:shd w:val="clear" w:color="FFFFFF" w:fill="FFFFFF"/>
            <w:noWrap/>
            <w:vAlign w:val="bottom"/>
            <w:hideMark/>
          </w:tcPr>
          <w:p w14:paraId="09F864CE" w14:textId="77777777" w:rsidR="00B040FE" w:rsidRDefault="00B040FE" w:rsidP="0047225D">
            <w:pPr>
              <w:spacing w:after="0"/>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193FD9E0" w14:textId="77777777" w:rsidR="00B040FE" w:rsidRDefault="00B040FE" w:rsidP="0047225D">
            <w:pPr>
              <w:spacing w:after="0"/>
              <w:rPr>
                <w:rFonts w:cs="Arial"/>
                <w:sz w:val="18"/>
                <w:szCs w:val="18"/>
              </w:rPr>
            </w:pPr>
            <w:r>
              <w:rPr>
                <w:rFonts w:cs="Arial"/>
                <w:sz w:val="18"/>
                <w:szCs w:val="18"/>
              </w:rPr>
              <w:t> </w:t>
            </w:r>
          </w:p>
        </w:tc>
        <w:tc>
          <w:tcPr>
            <w:tcW w:w="1241" w:type="dxa"/>
            <w:tcBorders>
              <w:top w:val="nil"/>
              <w:left w:val="nil"/>
              <w:bottom w:val="nil"/>
              <w:right w:val="nil"/>
            </w:tcBorders>
            <w:shd w:val="clear" w:color="FFFFFF" w:fill="FFFFFF"/>
            <w:noWrap/>
            <w:vAlign w:val="bottom"/>
            <w:hideMark/>
          </w:tcPr>
          <w:p w14:paraId="41963234" w14:textId="77777777" w:rsidR="00B040FE" w:rsidRDefault="00B040FE" w:rsidP="0047225D">
            <w:pPr>
              <w:spacing w:after="0"/>
              <w:rPr>
                <w:rFonts w:cs="Arial"/>
                <w:sz w:val="18"/>
                <w:szCs w:val="18"/>
              </w:rPr>
            </w:pPr>
            <w:r>
              <w:rPr>
                <w:rFonts w:cs="Arial"/>
                <w:sz w:val="18"/>
                <w:szCs w:val="18"/>
              </w:rPr>
              <w:t> </w:t>
            </w:r>
          </w:p>
        </w:tc>
      </w:tr>
      <w:tr w:rsidR="00B040FE" w14:paraId="7016A0BB" w14:textId="77777777" w:rsidTr="005E5E0C">
        <w:trPr>
          <w:trHeight w:val="260"/>
        </w:trPr>
        <w:tc>
          <w:tcPr>
            <w:tcW w:w="6351" w:type="dxa"/>
            <w:tcBorders>
              <w:top w:val="nil"/>
              <w:left w:val="nil"/>
              <w:bottom w:val="nil"/>
              <w:right w:val="nil"/>
            </w:tcBorders>
            <w:shd w:val="clear" w:color="FFFFFF" w:fill="FFFFFF"/>
            <w:vAlign w:val="bottom"/>
            <w:hideMark/>
          </w:tcPr>
          <w:p w14:paraId="30CF3981" w14:textId="77777777" w:rsidR="00B040FE" w:rsidRDefault="00B040FE" w:rsidP="0047225D">
            <w:pPr>
              <w:spacing w:after="0"/>
              <w:rPr>
                <w:rFonts w:cs="Arial"/>
                <w:b/>
                <w:bCs/>
                <w:sz w:val="18"/>
                <w:szCs w:val="18"/>
              </w:rPr>
            </w:pPr>
            <w:r>
              <w:rPr>
                <w:rFonts w:cs="Arial"/>
                <w:b/>
                <w:bCs/>
                <w:sz w:val="18"/>
                <w:szCs w:val="18"/>
              </w:rPr>
              <w:t>Financial assets at amortised cost</w:t>
            </w:r>
          </w:p>
        </w:tc>
        <w:tc>
          <w:tcPr>
            <w:tcW w:w="1259" w:type="dxa"/>
            <w:tcBorders>
              <w:top w:val="nil"/>
              <w:left w:val="nil"/>
              <w:bottom w:val="nil"/>
              <w:right w:val="nil"/>
            </w:tcBorders>
            <w:shd w:val="clear" w:color="FFFFFF" w:fill="FFFFFF"/>
            <w:noWrap/>
            <w:vAlign w:val="bottom"/>
            <w:hideMark/>
          </w:tcPr>
          <w:p w14:paraId="18DDDEC2" w14:textId="77777777" w:rsidR="00B040FE" w:rsidRDefault="00B040FE" w:rsidP="0047225D">
            <w:pPr>
              <w:spacing w:after="0"/>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12B78A9A" w14:textId="77777777" w:rsidR="00B040FE" w:rsidRDefault="00B040FE" w:rsidP="0047225D">
            <w:pPr>
              <w:spacing w:after="0"/>
              <w:rPr>
                <w:rFonts w:cs="Arial"/>
                <w:sz w:val="18"/>
                <w:szCs w:val="18"/>
              </w:rPr>
            </w:pPr>
            <w:r>
              <w:rPr>
                <w:rFonts w:cs="Arial"/>
                <w:sz w:val="18"/>
                <w:szCs w:val="18"/>
              </w:rPr>
              <w:t> </w:t>
            </w:r>
          </w:p>
        </w:tc>
        <w:tc>
          <w:tcPr>
            <w:tcW w:w="1241" w:type="dxa"/>
            <w:tcBorders>
              <w:top w:val="nil"/>
              <w:left w:val="nil"/>
              <w:bottom w:val="nil"/>
              <w:right w:val="nil"/>
            </w:tcBorders>
            <w:shd w:val="clear" w:color="FFFFFF" w:fill="FFFFFF"/>
            <w:noWrap/>
            <w:vAlign w:val="bottom"/>
            <w:hideMark/>
          </w:tcPr>
          <w:p w14:paraId="264CEC6C" w14:textId="77777777" w:rsidR="00B040FE" w:rsidRDefault="00B040FE" w:rsidP="0047225D">
            <w:pPr>
              <w:spacing w:after="0"/>
              <w:rPr>
                <w:rFonts w:cs="Arial"/>
                <w:sz w:val="18"/>
                <w:szCs w:val="18"/>
              </w:rPr>
            </w:pPr>
            <w:r>
              <w:rPr>
                <w:rFonts w:cs="Arial"/>
                <w:sz w:val="18"/>
                <w:szCs w:val="18"/>
              </w:rPr>
              <w:t> </w:t>
            </w:r>
          </w:p>
        </w:tc>
      </w:tr>
      <w:tr w:rsidR="00B040FE" w14:paraId="7AA3EA2C" w14:textId="77777777" w:rsidTr="005E5E0C">
        <w:trPr>
          <w:trHeight w:val="250"/>
        </w:trPr>
        <w:tc>
          <w:tcPr>
            <w:tcW w:w="6351" w:type="dxa"/>
            <w:tcBorders>
              <w:top w:val="nil"/>
              <w:left w:val="nil"/>
              <w:bottom w:val="nil"/>
              <w:right w:val="nil"/>
            </w:tcBorders>
            <w:shd w:val="clear" w:color="FFFFFF" w:fill="FFFFFF"/>
            <w:noWrap/>
            <w:vAlign w:val="bottom"/>
            <w:hideMark/>
          </w:tcPr>
          <w:p w14:paraId="2F211A4C" w14:textId="77777777" w:rsidR="00B040FE" w:rsidRDefault="00B040FE" w:rsidP="0047225D">
            <w:pPr>
              <w:spacing w:after="0"/>
              <w:ind w:firstLineChars="100" w:firstLine="180"/>
              <w:rPr>
                <w:rFonts w:cs="Arial"/>
                <w:sz w:val="18"/>
                <w:szCs w:val="18"/>
              </w:rPr>
            </w:pPr>
            <w:r>
              <w:rPr>
                <w:rFonts w:cs="Arial"/>
                <w:sz w:val="18"/>
                <w:szCs w:val="18"/>
              </w:rPr>
              <w:t>Cash and cash equivalents</w:t>
            </w:r>
          </w:p>
        </w:tc>
        <w:tc>
          <w:tcPr>
            <w:tcW w:w="1259" w:type="dxa"/>
            <w:tcBorders>
              <w:top w:val="nil"/>
              <w:left w:val="nil"/>
              <w:bottom w:val="nil"/>
              <w:right w:val="nil"/>
            </w:tcBorders>
            <w:shd w:val="clear" w:color="FFFFFF" w:fill="FFFFFF"/>
            <w:noWrap/>
            <w:vAlign w:val="bottom"/>
            <w:hideMark/>
          </w:tcPr>
          <w:p w14:paraId="23FAB2E6" w14:textId="77777777" w:rsidR="00B040FE" w:rsidRDefault="00B040FE" w:rsidP="0047225D">
            <w:pPr>
              <w:spacing w:after="0"/>
              <w:jc w:val="right"/>
              <w:rPr>
                <w:rFonts w:cs="Arial"/>
                <w:b/>
                <w:bCs/>
                <w:sz w:val="18"/>
                <w:szCs w:val="18"/>
              </w:rPr>
            </w:pPr>
            <w:r>
              <w:rPr>
                <w:rFonts w:cs="Arial"/>
                <w:b/>
                <w:bCs/>
                <w:sz w:val="18"/>
                <w:szCs w:val="18"/>
              </w:rPr>
              <w:t>5,659,548</w:t>
            </w:r>
          </w:p>
        </w:tc>
        <w:tc>
          <w:tcPr>
            <w:tcW w:w="236" w:type="dxa"/>
            <w:tcBorders>
              <w:top w:val="nil"/>
              <w:left w:val="nil"/>
              <w:bottom w:val="nil"/>
              <w:right w:val="nil"/>
            </w:tcBorders>
            <w:shd w:val="clear" w:color="FFFFFF" w:fill="FFFFFF"/>
            <w:noWrap/>
            <w:vAlign w:val="bottom"/>
            <w:hideMark/>
          </w:tcPr>
          <w:p w14:paraId="63ADDA80" w14:textId="77777777" w:rsidR="00B040FE" w:rsidRDefault="00B040FE" w:rsidP="0047225D">
            <w:pPr>
              <w:spacing w:after="0"/>
              <w:rPr>
                <w:rFonts w:cs="Arial"/>
                <w:sz w:val="18"/>
                <w:szCs w:val="18"/>
              </w:rPr>
            </w:pPr>
            <w:r>
              <w:rPr>
                <w:rFonts w:cs="Arial"/>
                <w:sz w:val="18"/>
                <w:szCs w:val="18"/>
              </w:rPr>
              <w:t> </w:t>
            </w:r>
          </w:p>
        </w:tc>
        <w:tc>
          <w:tcPr>
            <w:tcW w:w="1241" w:type="dxa"/>
            <w:tcBorders>
              <w:top w:val="nil"/>
              <w:left w:val="nil"/>
              <w:bottom w:val="nil"/>
              <w:right w:val="nil"/>
            </w:tcBorders>
            <w:shd w:val="clear" w:color="FFFFFF" w:fill="FFFFFF"/>
            <w:noWrap/>
            <w:vAlign w:val="bottom"/>
            <w:hideMark/>
          </w:tcPr>
          <w:p w14:paraId="1FA43C24" w14:textId="77777777" w:rsidR="00B040FE" w:rsidRDefault="00B040FE" w:rsidP="0047225D">
            <w:pPr>
              <w:spacing w:after="0"/>
              <w:jc w:val="right"/>
              <w:rPr>
                <w:rFonts w:cs="Arial"/>
                <w:sz w:val="18"/>
                <w:szCs w:val="18"/>
              </w:rPr>
            </w:pPr>
            <w:r>
              <w:rPr>
                <w:rFonts w:cs="Arial"/>
                <w:sz w:val="18"/>
                <w:szCs w:val="18"/>
              </w:rPr>
              <w:t>2,729,779</w:t>
            </w:r>
          </w:p>
        </w:tc>
      </w:tr>
      <w:tr w:rsidR="00B040FE" w14:paraId="50FB288B" w14:textId="77777777" w:rsidTr="005E5E0C">
        <w:trPr>
          <w:trHeight w:val="250"/>
        </w:trPr>
        <w:tc>
          <w:tcPr>
            <w:tcW w:w="6351" w:type="dxa"/>
            <w:tcBorders>
              <w:top w:val="nil"/>
              <w:left w:val="nil"/>
              <w:bottom w:val="nil"/>
              <w:right w:val="nil"/>
            </w:tcBorders>
            <w:shd w:val="clear" w:color="FFFFFF" w:fill="FFFFFF"/>
            <w:noWrap/>
            <w:vAlign w:val="bottom"/>
            <w:hideMark/>
          </w:tcPr>
          <w:p w14:paraId="7D5B838E" w14:textId="77777777" w:rsidR="00B040FE" w:rsidRDefault="00B040FE" w:rsidP="0047225D">
            <w:pPr>
              <w:spacing w:after="0"/>
              <w:ind w:firstLineChars="100" w:firstLine="180"/>
              <w:rPr>
                <w:rFonts w:cs="Arial"/>
                <w:sz w:val="18"/>
                <w:szCs w:val="18"/>
              </w:rPr>
            </w:pPr>
            <w:r>
              <w:rPr>
                <w:rFonts w:cs="Arial"/>
                <w:sz w:val="18"/>
                <w:szCs w:val="18"/>
              </w:rPr>
              <w:t>Other receivables</w:t>
            </w:r>
          </w:p>
        </w:tc>
        <w:tc>
          <w:tcPr>
            <w:tcW w:w="1259" w:type="dxa"/>
            <w:tcBorders>
              <w:top w:val="nil"/>
              <w:left w:val="nil"/>
              <w:bottom w:val="nil"/>
              <w:right w:val="nil"/>
            </w:tcBorders>
            <w:shd w:val="clear" w:color="FFFFFF" w:fill="FFFFFF"/>
            <w:noWrap/>
            <w:vAlign w:val="bottom"/>
            <w:hideMark/>
          </w:tcPr>
          <w:p w14:paraId="3AD2DC3E" w14:textId="77777777" w:rsidR="00B040FE" w:rsidRDefault="00B040FE" w:rsidP="0047225D">
            <w:pPr>
              <w:spacing w:after="0"/>
              <w:jc w:val="right"/>
              <w:rPr>
                <w:rFonts w:cs="Arial"/>
                <w:b/>
                <w:bCs/>
                <w:sz w:val="18"/>
                <w:szCs w:val="18"/>
              </w:rPr>
            </w:pPr>
            <w:r>
              <w:rPr>
                <w:rFonts w:cs="Arial"/>
                <w:b/>
                <w:bCs/>
                <w:sz w:val="18"/>
                <w:szCs w:val="18"/>
              </w:rPr>
              <w:t>34,161</w:t>
            </w:r>
          </w:p>
        </w:tc>
        <w:tc>
          <w:tcPr>
            <w:tcW w:w="236" w:type="dxa"/>
            <w:tcBorders>
              <w:top w:val="nil"/>
              <w:left w:val="nil"/>
              <w:bottom w:val="nil"/>
              <w:right w:val="nil"/>
            </w:tcBorders>
            <w:shd w:val="clear" w:color="FFFFFF" w:fill="FFFFFF"/>
            <w:noWrap/>
            <w:vAlign w:val="bottom"/>
            <w:hideMark/>
          </w:tcPr>
          <w:p w14:paraId="46580187" w14:textId="77777777" w:rsidR="00B040FE" w:rsidRDefault="00B040FE" w:rsidP="0047225D">
            <w:pPr>
              <w:spacing w:after="0"/>
              <w:rPr>
                <w:rFonts w:cs="Arial"/>
                <w:sz w:val="18"/>
                <w:szCs w:val="18"/>
              </w:rPr>
            </w:pPr>
            <w:r>
              <w:rPr>
                <w:rFonts w:cs="Arial"/>
                <w:sz w:val="18"/>
                <w:szCs w:val="18"/>
              </w:rPr>
              <w:t> </w:t>
            </w:r>
          </w:p>
        </w:tc>
        <w:tc>
          <w:tcPr>
            <w:tcW w:w="1241" w:type="dxa"/>
            <w:tcBorders>
              <w:top w:val="nil"/>
              <w:left w:val="nil"/>
              <w:bottom w:val="nil"/>
              <w:right w:val="nil"/>
            </w:tcBorders>
            <w:shd w:val="clear" w:color="FFFFFF" w:fill="FFFFFF"/>
            <w:noWrap/>
            <w:vAlign w:val="bottom"/>
            <w:hideMark/>
          </w:tcPr>
          <w:p w14:paraId="393F6B10" w14:textId="77777777" w:rsidR="00B040FE" w:rsidRDefault="00B040FE" w:rsidP="0047225D">
            <w:pPr>
              <w:spacing w:after="0"/>
              <w:jc w:val="right"/>
              <w:rPr>
                <w:rFonts w:cs="Arial"/>
                <w:sz w:val="18"/>
                <w:szCs w:val="18"/>
              </w:rPr>
            </w:pPr>
            <w:r>
              <w:rPr>
                <w:rFonts w:cs="Arial"/>
                <w:sz w:val="18"/>
                <w:szCs w:val="18"/>
              </w:rPr>
              <w:t>68,553</w:t>
            </w:r>
          </w:p>
        </w:tc>
      </w:tr>
      <w:tr w:rsidR="00B040FE" w14:paraId="51967942" w14:textId="77777777" w:rsidTr="005E5E0C">
        <w:trPr>
          <w:trHeight w:val="250"/>
        </w:trPr>
        <w:tc>
          <w:tcPr>
            <w:tcW w:w="6351" w:type="dxa"/>
            <w:tcBorders>
              <w:top w:val="nil"/>
              <w:left w:val="nil"/>
              <w:bottom w:val="nil"/>
              <w:right w:val="nil"/>
            </w:tcBorders>
            <w:shd w:val="clear" w:color="FFFFFF" w:fill="FFFFFF"/>
            <w:noWrap/>
            <w:vAlign w:val="bottom"/>
            <w:hideMark/>
          </w:tcPr>
          <w:p w14:paraId="4E4F2D45" w14:textId="77777777" w:rsidR="00B040FE" w:rsidRDefault="00B040FE" w:rsidP="0047225D">
            <w:pPr>
              <w:spacing w:after="0"/>
              <w:ind w:firstLineChars="100" w:firstLine="180"/>
              <w:rPr>
                <w:rFonts w:cs="Arial"/>
                <w:sz w:val="18"/>
                <w:szCs w:val="18"/>
              </w:rPr>
            </w:pPr>
            <w:r>
              <w:rPr>
                <w:rFonts w:cs="Arial"/>
                <w:sz w:val="18"/>
                <w:szCs w:val="18"/>
              </w:rPr>
              <w:t>Other financial assets</w:t>
            </w:r>
          </w:p>
        </w:tc>
        <w:tc>
          <w:tcPr>
            <w:tcW w:w="1259" w:type="dxa"/>
            <w:tcBorders>
              <w:top w:val="nil"/>
              <w:left w:val="nil"/>
              <w:bottom w:val="nil"/>
              <w:right w:val="nil"/>
            </w:tcBorders>
            <w:shd w:val="clear" w:color="FFFFFF" w:fill="FFFFFF"/>
            <w:noWrap/>
            <w:vAlign w:val="bottom"/>
            <w:hideMark/>
          </w:tcPr>
          <w:p w14:paraId="4E888290" w14:textId="77777777" w:rsidR="00B040FE" w:rsidRDefault="00B040FE" w:rsidP="0047225D">
            <w:pPr>
              <w:spacing w:after="0"/>
              <w:jc w:val="right"/>
              <w:rPr>
                <w:rFonts w:cs="Arial"/>
                <w:b/>
                <w:bCs/>
                <w:sz w:val="18"/>
                <w:szCs w:val="18"/>
              </w:rPr>
            </w:pPr>
            <w:r>
              <w:rPr>
                <w:rFonts w:cs="Arial"/>
                <w:b/>
                <w:bCs/>
                <w:sz w:val="18"/>
                <w:szCs w:val="18"/>
              </w:rPr>
              <w:t>-</w:t>
            </w:r>
          </w:p>
        </w:tc>
        <w:tc>
          <w:tcPr>
            <w:tcW w:w="236" w:type="dxa"/>
            <w:tcBorders>
              <w:top w:val="nil"/>
              <w:left w:val="nil"/>
              <w:bottom w:val="nil"/>
              <w:right w:val="nil"/>
            </w:tcBorders>
            <w:shd w:val="clear" w:color="FFFFFF" w:fill="FFFFFF"/>
            <w:noWrap/>
            <w:vAlign w:val="bottom"/>
            <w:hideMark/>
          </w:tcPr>
          <w:p w14:paraId="6605A7A0" w14:textId="77777777" w:rsidR="00B040FE" w:rsidRDefault="00B040FE" w:rsidP="0047225D">
            <w:pPr>
              <w:spacing w:after="0"/>
              <w:rPr>
                <w:rFonts w:cs="Arial"/>
                <w:sz w:val="18"/>
                <w:szCs w:val="18"/>
              </w:rPr>
            </w:pPr>
            <w:r>
              <w:rPr>
                <w:rFonts w:cs="Arial"/>
                <w:sz w:val="18"/>
                <w:szCs w:val="18"/>
              </w:rPr>
              <w:t> </w:t>
            </w:r>
          </w:p>
        </w:tc>
        <w:tc>
          <w:tcPr>
            <w:tcW w:w="1241" w:type="dxa"/>
            <w:tcBorders>
              <w:top w:val="nil"/>
              <w:left w:val="nil"/>
              <w:bottom w:val="nil"/>
              <w:right w:val="nil"/>
            </w:tcBorders>
            <w:shd w:val="clear" w:color="FFFFFF" w:fill="FFFFFF"/>
            <w:noWrap/>
            <w:vAlign w:val="bottom"/>
            <w:hideMark/>
          </w:tcPr>
          <w:p w14:paraId="01FC92C0" w14:textId="77777777" w:rsidR="00B040FE" w:rsidRDefault="00B040FE" w:rsidP="0047225D">
            <w:pPr>
              <w:spacing w:after="0"/>
              <w:jc w:val="right"/>
              <w:rPr>
                <w:rFonts w:cs="Arial"/>
                <w:sz w:val="18"/>
                <w:szCs w:val="18"/>
              </w:rPr>
            </w:pPr>
            <w:r>
              <w:rPr>
                <w:rFonts w:cs="Arial"/>
                <w:sz w:val="18"/>
                <w:szCs w:val="18"/>
              </w:rPr>
              <w:t>1,500,000</w:t>
            </w:r>
          </w:p>
        </w:tc>
      </w:tr>
      <w:tr w:rsidR="00B040FE" w14:paraId="30E17565" w14:textId="77777777" w:rsidTr="005E5E0C">
        <w:trPr>
          <w:trHeight w:val="250"/>
        </w:trPr>
        <w:tc>
          <w:tcPr>
            <w:tcW w:w="6351" w:type="dxa"/>
            <w:tcBorders>
              <w:top w:val="nil"/>
              <w:left w:val="nil"/>
              <w:bottom w:val="nil"/>
              <w:right w:val="nil"/>
            </w:tcBorders>
            <w:shd w:val="clear" w:color="FFFFFF" w:fill="FFFFFF"/>
            <w:noWrap/>
            <w:vAlign w:val="bottom"/>
            <w:hideMark/>
          </w:tcPr>
          <w:p w14:paraId="14B6CAF3" w14:textId="77777777" w:rsidR="00B040FE" w:rsidRDefault="00B040FE" w:rsidP="0047225D">
            <w:pPr>
              <w:spacing w:after="0"/>
              <w:rPr>
                <w:rFonts w:cs="Arial"/>
                <w:b/>
                <w:bCs/>
                <w:sz w:val="18"/>
                <w:szCs w:val="18"/>
              </w:rPr>
            </w:pPr>
            <w:r>
              <w:rPr>
                <w:rFonts w:cs="Arial"/>
                <w:b/>
                <w:bCs/>
                <w:sz w:val="18"/>
                <w:szCs w:val="18"/>
              </w:rPr>
              <w:t>Total financial assets at amortised cost</w:t>
            </w:r>
          </w:p>
        </w:tc>
        <w:tc>
          <w:tcPr>
            <w:tcW w:w="1259" w:type="dxa"/>
            <w:tcBorders>
              <w:top w:val="single" w:sz="4" w:space="0" w:color="auto"/>
              <w:left w:val="nil"/>
              <w:bottom w:val="single" w:sz="4" w:space="0" w:color="auto"/>
              <w:right w:val="nil"/>
            </w:tcBorders>
            <w:shd w:val="clear" w:color="FFFFFF" w:fill="FFFFFF"/>
            <w:noWrap/>
            <w:vAlign w:val="bottom"/>
            <w:hideMark/>
          </w:tcPr>
          <w:p w14:paraId="43947AF5" w14:textId="77777777" w:rsidR="00B040FE" w:rsidRDefault="00B040FE" w:rsidP="0047225D">
            <w:pPr>
              <w:spacing w:after="0"/>
              <w:jc w:val="right"/>
              <w:rPr>
                <w:rFonts w:cs="Arial"/>
                <w:b/>
                <w:bCs/>
                <w:sz w:val="18"/>
                <w:szCs w:val="18"/>
              </w:rPr>
            </w:pPr>
            <w:r>
              <w:rPr>
                <w:rFonts w:cs="Arial"/>
                <w:b/>
                <w:bCs/>
                <w:sz w:val="18"/>
                <w:szCs w:val="18"/>
              </w:rPr>
              <w:t>5,693,709</w:t>
            </w:r>
          </w:p>
        </w:tc>
        <w:tc>
          <w:tcPr>
            <w:tcW w:w="236" w:type="dxa"/>
            <w:tcBorders>
              <w:top w:val="nil"/>
              <w:left w:val="nil"/>
              <w:bottom w:val="nil"/>
              <w:right w:val="nil"/>
            </w:tcBorders>
            <w:shd w:val="clear" w:color="FFFFFF" w:fill="FFFFFF"/>
            <w:noWrap/>
            <w:vAlign w:val="bottom"/>
            <w:hideMark/>
          </w:tcPr>
          <w:p w14:paraId="323DE910" w14:textId="77777777" w:rsidR="00B040FE" w:rsidRDefault="00B040FE" w:rsidP="0047225D">
            <w:pPr>
              <w:spacing w:after="0"/>
              <w:rPr>
                <w:rFonts w:cs="Arial"/>
                <w:sz w:val="18"/>
                <w:szCs w:val="18"/>
              </w:rPr>
            </w:pPr>
            <w:r>
              <w:rPr>
                <w:rFonts w:cs="Arial"/>
                <w:sz w:val="18"/>
                <w:szCs w:val="18"/>
              </w:rPr>
              <w:t> </w:t>
            </w:r>
          </w:p>
        </w:tc>
        <w:tc>
          <w:tcPr>
            <w:tcW w:w="1241" w:type="dxa"/>
            <w:tcBorders>
              <w:top w:val="single" w:sz="4" w:space="0" w:color="auto"/>
              <w:left w:val="nil"/>
              <w:bottom w:val="single" w:sz="4" w:space="0" w:color="auto"/>
              <w:right w:val="nil"/>
            </w:tcBorders>
            <w:shd w:val="clear" w:color="FFFFFF" w:fill="FFFFFF"/>
            <w:noWrap/>
            <w:vAlign w:val="bottom"/>
            <w:hideMark/>
          </w:tcPr>
          <w:p w14:paraId="0C22DF69" w14:textId="77777777" w:rsidR="00B040FE" w:rsidRDefault="00B040FE" w:rsidP="0047225D">
            <w:pPr>
              <w:spacing w:after="0"/>
              <w:jc w:val="right"/>
              <w:rPr>
                <w:rFonts w:cs="Arial"/>
                <w:sz w:val="18"/>
                <w:szCs w:val="18"/>
              </w:rPr>
            </w:pPr>
            <w:r>
              <w:rPr>
                <w:rFonts w:cs="Arial"/>
                <w:sz w:val="18"/>
                <w:szCs w:val="18"/>
              </w:rPr>
              <w:t>4,298,332</w:t>
            </w:r>
          </w:p>
        </w:tc>
      </w:tr>
      <w:tr w:rsidR="00B040FE" w14:paraId="6C1981BD" w14:textId="77777777" w:rsidTr="005E5E0C">
        <w:trPr>
          <w:trHeight w:val="250"/>
        </w:trPr>
        <w:tc>
          <w:tcPr>
            <w:tcW w:w="6351" w:type="dxa"/>
            <w:tcBorders>
              <w:top w:val="nil"/>
              <w:left w:val="nil"/>
              <w:bottom w:val="nil"/>
              <w:right w:val="nil"/>
            </w:tcBorders>
            <w:shd w:val="clear" w:color="FFFFFF" w:fill="FFFFFF"/>
            <w:vAlign w:val="bottom"/>
            <w:hideMark/>
          </w:tcPr>
          <w:p w14:paraId="54616AA6" w14:textId="77777777" w:rsidR="00B040FE" w:rsidRDefault="00B040FE" w:rsidP="0047225D">
            <w:pPr>
              <w:spacing w:after="0"/>
              <w:rPr>
                <w:rFonts w:cs="Arial"/>
                <w:b/>
                <w:bCs/>
                <w:sz w:val="18"/>
                <w:szCs w:val="18"/>
              </w:rPr>
            </w:pPr>
            <w:r>
              <w:rPr>
                <w:rFonts w:cs="Arial"/>
                <w:b/>
                <w:bCs/>
                <w:sz w:val="18"/>
                <w:szCs w:val="18"/>
              </w:rPr>
              <w:t> </w:t>
            </w:r>
          </w:p>
        </w:tc>
        <w:tc>
          <w:tcPr>
            <w:tcW w:w="1259" w:type="dxa"/>
            <w:tcBorders>
              <w:top w:val="nil"/>
              <w:left w:val="nil"/>
              <w:bottom w:val="nil"/>
              <w:right w:val="nil"/>
            </w:tcBorders>
            <w:shd w:val="clear" w:color="FFFFFF" w:fill="FFFFFF"/>
            <w:noWrap/>
            <w:vAlign w:val="bottom"/>
            <w:hideMark/>
          </w:tcPr>
          <w:p w14:paraId="38453CAB" w14:textId="77777777" w:rsidR="00B040FE" w:rsidRDefault="00B040FE" w:rsidP="0047225D">
            <w:pPr>
              <w:spacing w:after="0"/>
              <w:jc w:val="right"/>
              <w:rPr>
                <w:rFonts w:cs="Arial"/>
                <w:b/>
                <w:bCs/>
                <w:sz w:val="18"/>
                <w:szCs w:val="18"/>
              </w:rPr>
            </w:pPr>
            <w:r>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53354835" w14:textId="77777777" w:rsidR="00B040FE" w:rsidRDefault="00B040FE" w:rsidP="0047225D">
            <w:pPr>
              <w:spacing w:after="0"/>
              <w:rPr>
                <w:rFonts w:cs="Arial"/>
                <w:sz w:val="18"/>
                <w:szCs w:val="18"/>
              </w:rPr>
            </w:pPr>
            <w:r>
              <w:rPr>
                <w:rFonts w:cs="Arial"/>
                <w:sz w:val="18"/>
                <w:szCs w:val="18"/>
              </w:rPr>
              <w:t> </w:t>
            </w:r>
          </w:p>
        </w:tc>
        <w:tc>
          <w:tcPr>
            <w:tcW w:w="1241" w:type="dxa"/>
            <w:tcBorders>
              <w:top w:val="nil"/>
              <w:left w:val="nil"/>
              <w:bottom w:val="nil"/>
              <w:right w:val="nil"/>
            </w:tcBorders>
            <w:shd w:val="clear" w:color="FFFFFF" w:fill="FFFFFF"/>
            <w:noWrap/>
            <w:vAlign w:val="bottom"/>
            <w:hideMark/>
          </w:tcPr>
          <w:p w14:paraId="3E1FFC29" w14:textId="77777777" w:rsidR="00B040FE" w:rsidRDefault="00B040FE" w:rsidP="0047225D">
            <w:pPr>
              <w:spacing w:after="0"/>
              <w:jc w:val="right"/>
              <w:rPr>
                <w:rFonts w:cs="Arial"/>
                <w:sz w:val="18"/>
                <w:szCs w:val="18"/>
              </w:rPr>
            </w:pPr>
            <w:r>
              <w:rPr>
                <w:rFonts w:cs="Arial"/>
                <w:sz w:val="18"/>
                <w:szCs w:val="18"/>
              </w:rPr>
              <w:t> </w:t>
            </w:r>
          </w:p>
        </w:tc>
      </w:tr>
      <w:tr w:rsidR="00B040FE" w14:paraId="5154B8AF" w14:textId="77777777" w:rsidTr="005E5E0C">
        <w:trPr>
          <w:trHeight w:val="250"/>
        </w:trPr>
        <w:tc>
          <w:tcPr>
            <w:tcW w:w="6351" w:type="dxa"/>
            <w:tcBorders>
              <w:top w:val="nil"/>
              <w:left w:val="nil"/>
              <w:bottom w:val="nil"/>
              <w:right w:val="nil"/>
            </w:tcBorders>
            <w:shd w:val="clear" w:color="FFFFFF" w:fill="FFFFFF"/>
            <w:vAlign w:val="bottom"/>
            <w:hideMark/>
          </w:tcPr>
          <w:p w14:paraId="29932F7D" w14:textId="77777777" w:rsidR="00B040FE" w:rsidRDefault="00B040FE" w:rsidP="0047225D">
            <w:pPr>
              <w:spacing w:after="0"/>
              <w:rPr>
                <w:rFonts w:cs="Arial"/>
                <w:b/>
                <w:bCs/>
                <w:sz w:val="18"/>
                <w:szCs w:val="18"/>
              </w:rPr>
            </w:pPr>
            <w:r>
              <w:rPr>
                <w:rFonts w:cs="Arial"/>
                <w:b/>
                <w:bCs/>
                <w:sz w:val="18"/>
                <w:szCs w:val="18"/>
              </w:rPr>
              <w:t>Financial liabilities measured at amortised cost</w:t>
            </w:r>
          </w:p>
        </w:tc>
        <w:tc>
          <w:tcPr>
            <w:tcW w:w="1259" w:type="dxa"/>
            <w:tcBorders>
              <w:top w:val="nil"/>
              <w:left w:val="nil"/>
              <w:bottom w:val="nil"/>
              <w:right w:val="nil"/>
            </w:tcBorders>
            <w:shd w:val="clear" w:color="FFFFFF" w:fill="FFFFFF"/>
            <w:noWrap/>
            <w:vAlign w:val="bottom"/>
            <w:hideMark/>
          </w:tcPr>
          <w:p w14:paraId="0E91A3C2" w14:textId="77777777" w:rsidR="00B040FE" w:rsidRDefault="00B040FE" w:rsidP="0047225D">
            <w:pPr>
              <w:spacing w:after="0"/>
              <w:rPr>
                <w:rFonts w:cs="Arial"/>
                <w:b/>
                <w:bCs/>
                <w:sz w:val="18"/>
                <w:szCs w:val="18"/>
              </w:rPr>
            </w:pPr>
            <w:r>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0443F8AF" w14:textId="77777777" w:rsidR="00B040FE" w:rsidRDefault="00B040FE" w:rsidP="0047225D">
            <w:pPr>
              <w:spacing w:after="0"/>
              <w:rPr>
                <w:rFonts w:cs="Arial"/>
                <w:sz w:val="18"/>
                <w:szCs w:val="18"/>
              </w:rPr>
            </w:pPr>
            <w:r>
              <w:rPr>
                <w:rFonts w:cs="Arial"/>
                <w:sz w:val="18"/>
                <w:szCs w:val="18"/>
              </w:rPr>
              <w:t> </w:t>
            </w:r>
          </w:p>
        </w:tc>
        <w:tc>
          <w:tcPr>
            <w:tcW w:w="1241" w:type="dxa"/>
            <w:tcBorders>
              <w:top w:val="nil"/>
              <w:left w:val="nil"/>
              <w:bottom w:val="nil"/>
              <w:right w:val="nil"/>
            </w:tcBorders>
            <w:shd w:val="clear" w:color="FFFFFF" w:fill="FFFFFF"/>
            <w:noWrap/>
            <w:vAlign w:val="bottom"/>
            <w:hideMark/>
          </w:tcPr>
          <w:p w14:paraId="3EA815AF" w14:textId="77777777" w:rsidR="00B040FE" w:rsidRDefault="00B040FE" w:rsidP="0047225D">
            <w:pPr>
              <w:spacing w:after="0"/>
              <w:rPr>
                <w:rFonts w:cs="Arial"/>
                <w:sz w:val="18"/>
                <w:szCs w:val="18"/>
              </w:rPr>
            </w:pPr>
            <w:r>
              <w:rPr>
                <w:rFonts w:cs="Arial"/>
                <w:sz w:val="18"/>
                <w:szCs w:val="18"/>
              </w:rPr>
              <w:t> </w:t>
            </w:r>
          </w:p>
        </w:tc>
      </w:tr>
      <w:tr w:rsidR="00B040FE" w14:paraId="061898AE" w14:textId="77777777" w:rsidTr="005E5E0C">
        <w:trPr>
          <w:trHeight w:val="250"/>
        </w:trPr>
        <w:tc>
          <w:tcPr>
            <w:tcW w:w="6351" w:type="dxa"/>
            <w:tcBorders>
              <w:top w:val="nil"/>
              <w:left w:val="nil"/>
              <w:bottom w:val="nil"/>
              <w:right w:val="nil"/>
            </w:tcBorders>
            <w:shd w:val="clear" w:color="FFFFFF" w:fill="FFFFFF"/>
            <w:noWrap/>
            <w:vAlign w:val="bottom"/>
            <w:hideMark/>
          </w:tcPr>
          <w:p w14:paraId="3A3DF0CF" w14:textId="77777777" w:rsidR="00B040FE" w:rsidRDefault="00B040FE" w:rsidP="0047225D">
            <w:pPr>
              <w:spacing w:after="0"/>
              <w:ind w:firstLineChars="100" w:firstLine="180"/>
              <w:rPr>
                <w:rFonts w:cs="Arial"/>
                <w:sz w:val="18"/>
                <w:szCs w:val="18"/>
              </w:rPr>
            </w:pPr>
            <w:r>
              <w:rPr>
                <w:rFonts w:cs="Arial"/>
                <w:sz w:val="18"/>
                <w:szCs w:val="18"/>
              </w:rPr>
              <w:t>Supplier and other payables</w:t>
            </w:r>
          </w:p>
        </w:tc>
        <w:tc>
          <w:tcPr>
            <w:tcW w:w="1259" w:type="dxa"/>
            <w:tcBorders>
              <w:top w:val="nil"/>
              <w:left w:val="nil"/>
              <w:bottom w:val="nil"/>
              <w:right w:val="nil"/>
            </w:tcBorders>
            <w:shd w:val="clear" w:color="FFFFFF" w:fill="FFFFFF"/>
            <w:noWrap/>
            <w:vAlign w:val="bottom"/>
            <w:hideMark/>
          </w:tcPr>
          <w:p w14:paraId="754C09DE" w14:textId="77777777" w:rsidR="00B040FE" w:rsidRDefault="00B040FE" w:rsidP="0047225D">
            <w:pPr>
              <w:spacing w:after="0"/>
              <w:jc w:val="right"/>
              <w:rPr>
                <w:rFonts w:cs="Arial"/>
                <w:b/>
                <w:bCs/>
                <w:sz w:val="18"/>
                <w:szCs w:val="18"/>
              </w:rPr>
            </w:pPr>
            <w:r>
              <w:rPr>
                <w:rFonts w:cs="Arial"/>
                <w:b/>
                <w:bCs/>
                <w:sz w:val="18"/>
                <w:szCs w:val="18"/>
              </w:rPr>
              <w:t>119,866</w:t>
            </w:r>
          </w:p>
        </w:tc>
        <w:tc>
          <w:tcPr>
            <w:tcW w:w="236" w:type="dxa"/>
            <w:tcBorders>
              <w:top w:val="nil"/>
              <w:left w:val="nil"/>
              <w:bottom w:val="nil"/>
              <w:right w:val="nil"/>
            </w:tcBorders>
            <w:shd w:val="clear" w:color="FFFFFF" w:fill="FFFFFF"/>
            <w:noWrap/>
            <w:vAlign w:val="bottom"/>
            <w:hideMark/>
          </w:tcPr>
          <w:p w14:paraId="01236D3B" w14:textId="77777777" w:rsidR="00B040FE" w:rsidRDefault="00B040FE" w:rsidP="0047225D">
            <w:pPr>
              <w:spacing w:after="0"/>
              <w:rPr>
                <w:rFonts w:cs="Arial"/>
                <w:sz w:val="18"/>
                <w:szCs w:val="18"/>
              </w:rPr>
            </w:pPr>
            <w:r>
              <w:rPr>
                <w:rFonts w:cs="Arial"/>
                <w:sz w:val="18"/>
                <w:szCs w:val="18"/>
              </w:rPr>
              <w:t> </w:t>
            </w:r>
          </w:p>
        </w:tc>
        <w:tc>
          <w:tcPr>
            <w:tcW w:w="1241" w:type="dxa"/>
            <w:tcBorders>
              <w:top w:val="nil"/>
              <w:left w:val="nil"/>
              <w:bottom w:val="nil"/>
              <w:right w:val="nil"/>
            </w:tcBorders>
            <w:shd w:val="clear" w:color="FFFFFF" w:fill="FFFFFF"/>
            <w:noWrap/>
            <w:vAlign w:val="bottom"/>
            <w:hideMark/>
          </w:tcPr>
          <w:p w14:paraId="47223358" w14:textId="77777777" w:rsidR="00B040FE" w:rsidRDefault="00B040FE" w:rsidP="0047225D">
            <w:pPr>
              <w:spacing w:after="0"/>
              <w:jc w:val="right"/>
              <w:rPr>
                <w:rFonts w:cs="Arial"/>
                <w:sz w:val="18"/>
                <w:szCs w:val="18"/>
              </w:rPr>
            </w:pPr>
            <w:r>
              <w:rPr>
                <w:rFonts w:cs="Arial"/>
                <w:sz w:val="18"/>
                <w:szCs w:val="18"/>
              </w:rPr>
              <w:t>109,634</w:t>
            </w:r>
          </w:p>
        </w:tc>
      </w:tr>
      <w:tr w:rsidR="00B040FE" w14:paraId="1E7C9B51" w14:textId="77777777" w:rsidTr="005E5E0C">
        <w:trPr>
          <w:trHeight w:val="260"/>
        </w:trPr>
        <w:tc>
          <w:tcPr>
            <w:tcW w:w="6351" w:type="dxa"/>
            <w:tcBorders>
              <w:top w:val="nil"/>
              <w:left w:val="nil"/>
              <w:bottom w:val="nil"/>
              <w:right w:val="nil"/>
            </w:tcBorders>
            <w:shd w:val="clear" w:color="FFFFFF" w:fill="FFFFFF"/>
            <w:vAlign w:val="bottom"/>
            <w:hideMark/>
          </w:tcPr>
          <w:p w14:paraId="78A604C1" w14:textId="77777777" w:rsidR="00B040FE" w:rsidRDefault="00B040FE" w:rsidP="0047225D">
            <w:pPr>
              <w:spacing w:after="0"/>
              <w:rPr>
                <w:rFonts w:cs="Arial"/>
                <w:b/>
                <w:bCs/>
                <w:sz w:val="18"/>
                <w:szCs w:val="18"/>
              </w:rPr>
            </w:pPr>
            <w:r>
              <w:rPr>
                <w:rFonts w:cs="Arial"/>
                <w:b/>
                <w:bCs/>
                <w:sz w:val="18"/>
                <w:szCs w:val="18"/>
              </w:rPr>
              <w:t>Total financial liabilities at amortised cost</w:t>
            </w:r>
          </w:p>
        </w:tc>
        <w:tc>
          <w:tcPr>
            <w:tcW w:w="1259" w:type="dxa"/>
            <w:tcBorders>
              <w:top w:val="single" w:sz="4" w:space="0" w:color="auto"/>
              <w:left w:val="nil"/>
              <w:bottom w:val="single" w:sz="4" w:space="0" w:color="auto"/>
              <w:right w:val="nil"/>
            </w:tcBorders>
            <w:shd w:val="clear" w:color="FFFFFF" w:fill="FFFFFF"/>
            <w:noWrap/>
            <w:vAlign w:val="bottom"/>
            <w:hideMark/>
          </w:tcPr>
          <w:p w14:paraId="14114D23" w14:textId="77777777" w:rsidR="00B040FE" w:rsidRDefault="00B040FE" w:rsidP="0047225D">
            <w:pPr>
              <w:spacing w:after="0"/>
              <w:jc w:val="right"/>
              <w:rPr>
                <w:rFonts w:cs="Arial"/>
                <w:b/>
                <w:bCs/>
                <w:sz w:val="18"/>
                <w:szCs w:val="18"/>
              </w:rPr>
            </w:pPr>
            <w:r>
              <w:rPr>
                <w:rFonts w:cs="Arial"/>
                <w:b/>
                <w:bCs/>
                <w:sz w:val="18"/>
                <w:szCs w:val="18"/>
              </w:rPr>
              <w:t>119,866</w:t>
            </w:r>
          </w:p>
        </w:tc>
        <w:tc>
          <w:tcPr>
            <w:tcW w:w="236" w:type="dxa"/>
            <w:tcBorders>
              <w:top w:val="nil"/>
              <w:left w:val="nil"/>
              <w:bottom w:val="nil"/>
              <w:right w:val="nil"/>
            </w:tcBorders>
            <w:shd w:val="clear" w:color="FFFFFF" w:fill="FFFFFF"/>
            <w:noWrap/>
            <w:vAlign w:val="bottom"/>
            <w:hideMark/>
          </w:tcPr>
          <w:p w14:paraId="76C8F647" w14:textId="77777777" w:rsidR="00B040FE" w:rsidRDefault="00B040FE" w:rsidP="0047225D">
            <w:pPr>
              <w:spacing w:after="0"/>
              <w:rPr>
                <w:rFonts w:cs="Arial"/>
                <w:sz w:val="18"/>
                <w:szCs w:val="18"/>
              </w:rPr>
            </w:pPr>
            <w:r>
              <w:rPr>
                <w:rFonts w:cs="Arial"/>
                <w:sz w:val="18"/>
                <w:szCs w:val="18"/>
              </w:rPr>
              <w:t> </w:t>
            </w:r>
          </w:p>
        </w:tc>
        <w:tc>
          <w:tcPr>
            <w:tcW w:w="1241" w:type="dxa"/>
            <w:tcBorders>
              <w:top w:val="single" w:sz="4" w:space="0" w:color="auto"/>
              <w:left w:val="nil"/>
              <w:bottom w:val="single" w:sz="4" w:space="0" w:color="auto"/>
              <w:right w:val="nil"/>
            </w:tcBorders>
            <w:shd w:val="clear" w:color="FFFFFF" w:fill="FFFFFF"/>
            <w:noWrap/>
            <w:vAlign w:val="bottom"/>
            <w:hideMark/>
          </w:tcPr>
          <w:p w14:paraId="169CF556" w14:textId="77777777" w:rsidR="00B040FE" w:rsidRDefault="00B040FE" w:rsidP="0047225D">
            <w:pPr>
              <w:spacing w:after="0"/>
              <w:jc w:val="right"/>
              <w:rPr>
                <w:rFonts w:cs="Arial"/>
                <w:sz w:val="18"/>
                <w:szCs w:val="18"/>
              </w:rPr>
            </w:pPr>
            <w:r>
              <w:rPr>
                <w:rFonts w:cs="Arial"/>
                <w:sz w:val="18"/>
                <w:szCs w:val="18"/>
              </w:rPr>
              <w:t>109,634</w:t>
            </w:r>
          </w:p>
        </w:tc>
      </w:tr>
    </w:tbl>
    <w:p w14:paraId="2D5F394F" w14:textId="77777777" w:rsidR="00B040FE" w:rsidRPr="00971497" w:rsidRDefault="00B040FE" w:rsidP="00B040FE">
      <w:pPr>
        <w:rPr>
          <w:highlight w:val="yellow"/>
        </w:rPr>
      </w:pPr>
    </w:p>
    <w:tbl>
      <w:tblPr>
        <w:tblW w:w="9087" w:type="dxa"/>
        <w:tblLayout w:type="fixed"/>
        <w:tblLook w:val="04A0" w:firstRow="1" w:lastRow="0" w:firstColumn="1" w:lastColumn="0" w:noHBand="0" w:noVBand="1"/>
      </w:tblPr>
      <w:tblGrid>
        <w:gridCol w:w="6351"/>
        <w:gridCol w:w="1259"/>
        <w:gridCol w:w="236"/>
        <w:gridCol w:w="1241"/>
      </w:tblGrid>
      <w:tr w:rsidR="00B040FE" w14:paraId="67BF60C7" w14:textId="77777777" w:rsidTr="005E5E0C">
        <w:trPr>
          <w:trHeight w:val="260"/>
        </w:trPr>
        <w:tc>
          <w:tcPr>
            <w:tcW w:w="6351" w:type="dxa"/>
            <w:tcBorders>
              <w:top w:val="nil"/>
              <w:left w:val="nil"/>
              <w:bottom w:val="nil"/>
              <w:right w:val="nil"/>
            </w:tcBorders>
            <w:shd w:val="clear" w:color="FFFFFF" w:fill="FFFFFF"/>
            <w:noWrap/>
            <w:vAlign w:val="bottom"/>
            <w:hideMark/>
          </w:tcPr>
          <w:p w14:paraId="39265F18" w14:textId="77777777" w:rsidR="00B040FE" w:rsidRDefault="00B040FE" w:rsidP="0047225D">
            <w:pPr>
              <w:spacing w:after="0"/>
              <w:rPr>
                <w:rFonts w:cs="Arial"/>
                <w:b/>
                <w:bCs/>
                <w:sz w:val="18"/>
                <w:szCs w:val="18"/>
                <w:u w:val="single"/>
              </w:rPr>
            </w:pPr>
            <w:bookmarkStart w:id="243" w:name="Note_FIBTABLE1" w:colFirst="0" w:colLast="0"/>
            <w:r>
              <w:rPr>
                <w:rFonts w:cs="Arial"/>
                <w:b/>
                <w:bCs/>
                <w:sz w:val="18"/>
                <w:szCs w:val="18"/>
                <w:u w:val="single"/>
              </w:rPr>
              <w:t>Note 4.2B: Net gains or losses on financial assets</w:t>
            </w:r>
          </w:p>
        </w:tc>
        <w:tc>
          <w:tcPr>
            <w:tcW w:w="1259" w:type="dxa"/>
            <w:tcBorders>
              <w:top w:val="nil"/>
              <w:left w:val="nil"/>
              <w:bottom w:val="nil"/>
              <w:right w:val="nil"/>
            </w:tcBorders>
            <w:shd w:val="clear" w:color="FFFFFF" w:fill="FFFFFF"/>
            <w:noWrap/>
            <w:vAlign w:val="bottom"/>
            <w:hideMark/>
          </w:tcPr>
          <w:p w14:paraId="101AFBEE" w14:textId="77777777" w:rsidR="00B040FE" w:rsidRDefault="00B040FE" w:rsidP="0047225D">
            <w:pPr>
              <w:spacing w:after="0"/>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763F95A0" w14:textId="77777777" w:rsidR="00B040FE" w:rsidRDefault="00B040FE" w:rsidP="0047225D">
            <w:pPr>
              <w:spacing w:after="0"/>
              <w:rPr>
                <w:rFonts w:cs="Arial"/>
                <w:sz w:val="18"/>
                <w:szCs w:val="18"/>
              </w:rPr>
            </w:pPr>
            <w:r>
              <w:rPr>
                <w:rFonts w:cs="Arial"/>
                <w:sz w:val="18"/>
                <w:szCs w:val="18"/>
              </w:rPr>
              <w:t> </w:t>
            </w:r>
          </w:p>
        </w:tc>
        <w:tc>
          <w:tcPr>
            <w:tcW w:w="1241" w:type="dxa"/>
            <w:tcBorders>
              <w:top w:val="nil"/>
              <w:left w:val="nil"/>
              <w:bottom w:val="nil"/>
              <w:right w:val="nil"/>
            </w:tcBorders>
            <w:shd w:val="clear" w:color="FFFFFF" w:fill="FFFFFF"/>
            <w:noWrap/>
            <w:vAlign w:val="bottom"/>
            <w:hideMark/>
          </w:tcPr>
          <w:p w14:paraId="005C15DD" w14:textId="77777777" w:rsidR="00B040FE" w:rsidRDefault="00B040FE" w:rsidP="0047225D">
            <w:pPr>
              <w:spacing w:after="0"/>
              <w:rPr>
                <w:rFonts w:cs="Arial"/>
                <w:sz w:val="18"/>
                <w:szCs w:val="18"/>
              </w:rPr>
            </w:pPr>
            <w:r>
              <w:rPr>
                <w:rFonts w:cs="Arial"/>
                <w:sz w:val="18"/>
                <w:szCs w:val="18"/>
              </w:rPr>
              <w:t> </w:t>
            </w:r>
          </w:p>
        </w:tc>
      </w:tr>
      <w:bookmarkEnd w:id="243"/>
      <w:tr w:rsidR="00B040FE" w14:paraId="1EC7D4EB" w14:textId="77777777" w:rsidTr="005E5E0C">
        <w:trPr>
          <w:trHeight w:val="260"/>
        </w:trPr>
        <w:tc>
          <w:tcPr>
            <w:tcW w:w="6351" w:type="dxa"/>
            <w:tcBorders>
              <w:top w:val="nil"/>
              <w:left w:val="nil"/>
              <w:bottom w:val="nil"/>
              <w:right w:val="nil"/>
            </w:tcBorders>
            <w:shd w:val="clear" w:color="FFFFFF" w:fill="FFFFFF"/>
            <w:vAlign w:val="bottom"/>
            <w:hideMark/>
          </w:tcPr>
          <w:p w14:paraId="33F0938D" w14:textId="77777777" w:rsidR="00B040FE" w:rsidRDefault="00B040FE" w:rsidP="0047225D">
            <w:pPr>
              <w:spacing w:after="0"/>
              <w:rPr>
                <w:rFonts w:cs="Arial"/>
                <w:b/>
                <w:bCs/>
                <w:sz w:val="18"/>
                <w:szCs w:val="18"/>
              </w:rPr>
            </w:pPr>
            <w:r>
              <w:rPr>
                <w:rFonts w:cs="Arial"/>
                <w:b/>
                <w:bCs/>
                <w:sz w:val="18"/>
                <w:szCs w:val="18"/>
              </w:rPr>
              <w:t>Financial assets at amortised cost</w:t>
            </w:r>
          </w:p>
        </w:tc>
        <w:tc>
          <w:tcPr>
            <w:tcW w:w="1259" w:type="dxa"/>
            <w:tcBorders>
              <w:top w:val="nil"/>
              <w:left w:val="nil"/>
              <w:bottom w:val="nil"/>
              <w:right w:val="nil"/>
            </w:tcBorders>
            <w:shd w:val="clear" w:color="FFFFFF" w:fill="FFFFFF"/>
            <w:noWrap/>
            <w:vAlign w:val="bottom"/>
            <w:hideMark/>
          </w:tcPr>
          <w:p w14:paraId="2F59679C" w14:textId="77777777" w:rsidR="00B040FE" w:rsidRDefault="00B040FE" w:rsidP="0047225D">
            <w:pPr>
              <w:spacing w:after="0"/>
              <w:rPr>
                <w:rFonts w:cs="Arial"/>
                <w:b/>
                <w:bCs/>
                <w:sz w:val="18"/>
                <w:szCs w:val="18"/>
              </w:rPr>
            </w:pPr>
            <w:r>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13E887EB" w14:textId="77777777" w:rsidR="00B040FE" w:rsidRDefault="00B040FE" w:rsidP="0047225D">
            <w:pPr>
              <w:spacing w:after="0"/>
              <w:rPr>
                <w:rFonts w:cs="Arial"/>
                <w:sz w:val="18"/>
                <w:szCs w:val="18"/>
              </w:rPr>
            </w:pPr>
            <w:r>
              <w:rPr>
                <w:rFonts w:cs="Arial"/>
                <w:sz w:val="18"/>
                <w:szCs w:val="18"/>
              </w:rPr>
              <w:t> </w:t>
            </w:r>
          </w:p>
        </w:tc>
        <w:tc>
          <w:tcPr>
            <w:tcW w:w="1241" w:type="dxa"/>
            <w:tcBorders>
              <w:top w:val="nil"/>
              <w:left w:val="nil"/>
              <w:bottom w:val="nil"/>
              <w:right w:val="nil"/>
            </w:tcBorders>
            <w:shd w:val="clear" w:color="FFFFFF" w:fill="FFFFFF"/>
            <w:noWrap/>
            <w:vAlign w:val="bottom"/>
            <w:hideMark/>
          </w:tcPr>
          <w:p w14:paraId="5AB2F758" w14:textId="77777777" w:rsidR="00B040FE" w:rsidRDefault="00B040FE" w:rsidP="0047225D">
            <w:pPr>
              <w:spacing w:after="0"/>
              <w:rPr>
                <w:rFonts w:cs="Arial"/>
                <w:sz w:val="18"/>
                <w:szCs w:val="18"/>
              </w:rPr>
            </w:pPr>
            <w:r>
              <w:rPr>
                <w:rFonts w:cs="Arial"/>
                <w:sz w:val="18"/>
                <w:szCs w:val="18"/>
              </w:rPr>
              <w:t> </w:t>
            </w:r>
          </w:p>
        </w:tc>
      </w:tr>
      <w:tr w:rsidR="00B040FE" w14:paraId="326C3D66" w14:textId="77777777" w:rsidTr="005E5E0C">
        <w:trPr>
          <w:trHeight w:val="250"/>
        </w:trPr>
        <w:tc>
          <w:tcPr>
            <w:tcW w:w="6351" w:type="dxa"/>
            <w:tcBorders>
              <w:top w:val="nil"/>
              <w:left w:val="nil"/>
              <w:bottom w:val="nil"/>
              <w:right w:val="nil"/>
            </w:tcBorders>
            <w:shd w:val="clear" w:color="FFFFFF" w:fill="FFFFFF"/>
            <w:vAlign w:val="bottom"/>
            <w:hideMark/>
          </w:tcPr>
          <w:p w14:paraId="73400F10" w14:textId="77777777" w:rsidR="00B040FE" w:rsidRDefault="00B040FE" w:rsidP="0047225D">
            <w:pPr>
              <w:spacing w:after="0"/>
              <w:ind w:firstLineChars="100" w:firstLine="180"/>
              <w:rPr>
                <w:rFonts w:cs="Arial"/>
                <w:sz w:val="18"/>
                <w:szCs w:val="18"/>
              </w:rPr>
            </w:pPr>
            <w:r>
              <w:rPr>
                <w:rFonts w:cs="Arial"/>
                <w:sz w:val="18"/>
                <w:szCs w:val="18"/>
              </w:rPr>
              <w:t>Interest revenue</w:t>
            </w:r>
          </w:p>
        </w:tc>
        <w:tc>
          <w:tcPr>
            <w:tcW w:w="1259" w:type="dxa"/>
            <w:tcBorders>
              <w:top w:val="nil"/>
              <w:left w:val="nil"/>
              <w:bottom w:val="nil"/>
              <w:right w:val="nil"/>
            </w:tcBorders>
            <w:shd w:val="clear" w:color="FFFFFF" w:fill="FFFFFF"/>
            <w:noWrap/>
            <w:vAlign w:val="bottom"/>
            <w:hideMark/>
          </w:tcPr>
          <w:p w14:paraId="7B8ED4E4" w14:textId="77777777" w:rsidR="00B040FE" w:rsidRDefault="00B040FE" w:rsidP="0047225D">
            <w:pPr>
              <w:spacing w:after="0"/>
              <w:jc w:val="right"/>
              <w:rPr>
                <w:rFonts w:cs="Arial"/>
                <w:b/>
                <w:bCs/>
                <w:sz w:val="18"/>
                <w:szCs w:val="18"/>
              </w:rPr>
            </w:pPr>
            <w:r>
              <w:rPr>
                <w:rFonts w:cs="Arial"/>
                <w:b/>
                <w:bCs/>
                <w:sz w:val="18"/>
                <w:szCs w:val="18"/>
              </w:rPr>
              <w:t>390,496</w:t>
            </w:r>
          </w:p>
        </w:tc>
        <w:tc>
          <w:tcPr>
            <w:tcW w:w="236" w:type="dxa"/>
            <w:tcBorders>
              <w:top w:val="nil"/>
              <w:left w:val="nil"/>
              <w:bottom w:val="nil"/>
              <w:right w:val="nil"/>
            </w:tcBorders>
            <w:shd w:val="clear" w:color="FFFFFF" w:fill="FFFFFF"/>
            <w:noWrap/>
            <w:vAlign w:val="bottom"/>
            <w:hideMark/>
          </w:tcPr>
          <w:p w14:paraId="318A273D" w14:textId="77777777" w:rsidR="00B040FE" w:rsidRDefault="00B040FE" w:rsidP="0047225D">
            <w:pPr>
              <w:spacing w:after="0"/>
              <w:rPr>
                <w:rFonts w:cs="Arial"/>
                <w:sz w:val="18"/>
                <w:szCs w:val="18"/>
              </w:rPr>
            </w:pPr>
            <w:r>
              <w:rPr>
                <w:rFonts w:cs="Arial"/>
                <w:sz w:val="18"/>
                <w:szCs w:val="18"/>
              </w:rPr>
              <w:t> </w:t>
            </w:r>
          </w:p>
        </w:tc>
        <w:tc>
          <w:tcPr>
            <w:tcW w:w="1241" w:type="dxa"/>
            <w:tcBorders>
              <w:top w:val="nil"/>
              <w:left w:val="nil"/>
              <w:bottom w:val="nil"/>
              <w:right w:val="nil"/>
            </w:tcBorders>
            <w:shd w:val="clear" w:color="FFFFFF" w:fill="FFFFFF"/>
            <w:noWrap/>
            <w:vAlign w:val="bottom"/>
            <w:hideMark/>
          </w:tcPr>
          <w:p w14:paraId="1C10251B" w14:textId="77777777" w:rsidR="00B040FE" w:rsidRDefault="00B040FE" w:rsidP="0047225D">
            <w:pPr>
              <w:spacing w:after="0"/>
              <w:jc w:val="right"/>
              <w:rPr>
                <w:rFonts w:cs="Arial"/>
                <w:sz w:val="18"/>
                <w:szCs w:val="18"/>
              </w:rPr>
            </w:pPr>
            <w:r>
              <w:rPr>
                <w:rFonts w:cs="Arial"/>
                <w:sz w:val="18"/>
                <w:szCs w:val="18"/>
              </w:rPr>
              <w:t>259,802</w:t>
            </w:r>
          </w:p>
        </w:tc>
      </w:tr>
      <w:tr w:rsidR="00B040FE" w14:paraId="57800136" w14:textId="77777777" w:rsidTr="005E5E0C">
        <w:trPr>
          <w:trHeight w:val="250"/>
        </w:trPr>
        <w:tc>
          <w:tcPr>
            <w:tcW w:w="6351" w:type="dxa"/>
            <w:tcBorders>
              <w:top w:val="nil"/>
              <w:left w:val="nil"/>
              <w:bottom w:val="nil"/>
              <w:right w:val="nil"/>
            </w:tcBorders>
            <w:shd w:val="clear" w:color="FFFFFF" w:fill="FFFFFF"/>
            <w:vAlign w:val="bottom"/>
            <w:hideMark/>
          </w:tcPr>
          <w:p w14:paraId="7D7C3B8E" w14:textId="77777777" w:rsidR="00B040FE" w:rsidRDefault="00B040FE" w:rsidP="0047225D">
            <w:pPr>
              <w:spacing w:after="0"/>
              <w:rPr>
                <w:rFonts w:cs="Arial"/>
                <w:b/>
                <w:bCs/>
                <w:sz w:val="18"/>
                <w:szCs w:val="18"/>
              </w:rPr>
            </w:pPr>
            <w:r>
              <w:rPr>
                <w:rFonts w:cs="Arial"/>
                <w:b/>
                <w:bCs/>
                <w:sz w:val="18"/>
                <w:szCs w:val="18"/>
              </w:rPr>
              <w:t>Net gains/(losses) on financial assets at amortised cost</w:t>
            </w:r>
          </w:p>
        </w:tc>
        <w:tc>
          <w:tcPr>
            <w:tcW w:w="1259" w:type="dxa"/>
            <w:tcBorders>
              <w:top w:val="single" w:sz="4" w:space="0" w:color="auto"/>
              <w:left w:val="nil"/>
              <w:bottom w:val="single" w:sz="4" w:space="0" w:color="auto"/>
              <w:right w:val="nil"/>
            </w:tcBorders>
            <w:shd w:val="clear" w:color="FFFFFF" w:fill="FFFFFF"/>
            <w:noWrap/>
            <w:vAlign w:val="bottom"/>
            <w:hideMark/>
          </w:tcPr>
          <w:p w14:paraId="2205BE0F" w14:textId="77777777" w:rsidR="00B040FE" w:rsidRDefault="00B040FE" w:rsidP="0047225D">
            <w:pPr>
              <w:spacing w:after="0"/>
              <w:jc w:val="right"/>
              <w:rPr>
                <w:rFonts w:cs="Arial"/>
                <w:b/>
                <w:bCs/>
                <w:sz w:val="18"/>
                <w:szCs w:val="18"/>
              </w:rPr>
            </w:pPr>
            <w:r>
              <w:rPr>
                <w:rFonts w:cs="Arial"/>
                <w:b/>
                <w:bCs/>
                <w:sz w:val="18"/>
                <w:szCs w:val="18"/>
              </w:rPr>
              <w:t>390,496</w:t>
            </w:r>
          </w:p>
        </w:tc>
        <w:tc>
          <w:tcPr>
            <w:tcW w:w="236" w:type="dxa"/>
            <w:tcBorders>
              <w:top w:val="nil"/>
              <w:left w:val="nil"/>
              <w:bottom w:val="nil"/>
              <w:right w:val="nil"/>
            </w:tcBorders>
            <w:shd w:val="clear" w:color="FFFFFF" w:fill="FFFFFF"/>
            <w:noWrap/>
            <w:vAlign w:val="bottom"/>
            <w:hideMark/>
          </w:tcPr>
          <w:p w14:paraId="51590882" w14:textId="77777777" w:rsidR="00B040FE" w:rsidRDefault="00B040FE" w:rsidP="0047225D">
            <w:pPr>
              <w:spacing w:after="0"/>
              <w:rPr>
                <w:rFonts w:cs="Arial"/>
                <w:sz w:val="18"/>
                <w:szCs w:val="18"/>
              </w:rPr>
            </w:pPr>
            <w:r>
              <w:rPr>
                <w:rFonts w:cs="Arial"/>
                <w:sz w:val="18"/>
                <w:szCs w:val="18"/>
              </w:rPr>
              <w:t> </w:t>
            </w:r>
          </w:p>
        </w:tc>
        <w:tc>
          <w:tcPr>
            <w:tcW w:w="1241" w:type="dxa"/>
            <w:tcBorders>
              <w:top w:val="single" w:sz="4" w:space="0" w:color="auto"/>
              <w:left w:val="nil"/>
              <w:bottom w:val="single" w:sz="4" w:space="0" w:color="auto"/>
              <w:right w:val="nil"/>
            </w:tcBorders>
            <w:shd w:val="clear" w:color="FFFFFF" w:fill="FFFFFF"/>
            <w:noWrap/>
            <w:vAlign w:val="bottom"/>
            <w:hideMark/>
          </w:tcPr>
          <w:p w14:paraId="5FA852DE" w14:textId="77777777" w:rsidR="00B040FE" w:rsidRDefault="00B040FE" w:rsidP="0047225D">
            <w:pPr>
              <w:spacing w:after="0"/>
              <w:jc w:val="right"/>
              <w:rPr>
                <w:rFonts w:cs="Arial"/>
                <w:sz w:val="18"/>
                <w:szCs w:val="18"/>
              </w:rPr>
            </w:pPr>
            <w:r>
              <w:rPr>
                <w:rFonts w:cs="Arial"/>
                <w:sz w:val="18"/>
                <w:szCs w:val="18"/>
              </w:rPr>
              <w:t>259,802</w:t>
            </w:r>
          </w:p>
        </w:tc>
      </w:tr>
      <w:tr w:rsidR="00B040FE" w14:paraId="634A3BDA" w14:textId="77777777" w:rsidTr="005E5E0C">
        <w:trPr>
          <w:trHeight w:val="260"/>
        </w:trPr>
        <w:tc>
          <w:tcPr>
            <w:tcW w:w="6351" w:type="dxa"/>
            <w:tcBorders>
              <w:top w:val="nil"/>
              <w:left w:val="nil"/>
              <w:bottom w:val="nil"/>
              <w:right w:val="nil"/>
            </w:tcBorders>
            <w:shd w:val="clear" w:color="FFFFFF" w:fill="FFFFFF"/>
            <w:vAlign w:val="bottom"/>
            <w:hideMark/>
          </w:tcPr>
          <w:p w14:paraId="64BB6A67" w14:textId="77777777" w:rsidR="00B040FE" w:rsidRDefault="00B040FE" w:rsidP="0047225D">
            <w:pPr>
              <w:spacing w:after="0"/>
              <w:rPr>
                <w:rFonts w:cs="Arial"/>
                <w:b/>
                <w:bCs/>
                <w:sz w:val="18"/>
                <w:szCs w:val="18"/>
              </w:rPr>
            </w:pPr>
            <w:r>
              <w:rPr>
                <w:rFonts w:cs="Arial"/>
                <w:b/>
                <w:bCs/>
                <w:sz w:val="18"/>
                <w:szCs w:val="18"/>
              </w:rPr>
              <w:t>Net gains/(losses) on financial assets</w:t>
            </w:r>
          </w:p>
        </w:tc>
        <w:tc>
          <w:tcPr>
            <w:tcW w:w="1259" w:type="dxa"/>
            <w:tcBorders>
              <w:top w:val="nil"/>
              <w:left w:val="nil"/>
              <w:bottom w:val="single" w:sz="4" w:space="0" w:color="auto"/>
              <w:right w:val="nil"/>
            </w:tcBorders>
            <w:shd w:val="clear" w:color="FFFFFF" w:fill="FFFFFF"/>
            <w:noWrap/>
            <w:vAlign w:val="bottom"/>
            <w:hideMark/>
          </w:tcPr>
          <w:p w14:paraId="04EDDFF1" w14:textId="77777777" w:rsidR="00B040FE" w:rsidRDefault="00B040FE" w:rsidP="0047225D">
            <w:pPr>
              <w:spacing w:after="0"/>
              <w:jc w:val="right"/>
              <w:rPr>
                <w:rFonts w:cs="Arial"/>
                <w:b/>
                <w:bCs/>
                <w:sz w:val="18"/>
                <w:szCs w:val="18"/>
              </w:rPr>
            </w:pPr>
            <w:r>
              <w:rPr>
                <w:rFonts w:cs="Arial"/>
                <w:b/>
                <w:bCs/>
                <w:sz w:val="18"/>
                <w:szCs w:val="18"/>
              </w:rPr>
              <w:t>390,496</w:t>
            </w:r>
          </w:p>
        </w:tc>
        <w:tc>
          <w:tcPr>
            <w:tcW w:w="236" w:type="dxa"/>
            <w:tcBorders>
              <w:top w:val="nil"/>
              <w:left w:val="nil"/>
              <w:bottom w:val="nil"/>
              <w:right w:val="nil"/>
            </w:tcBorders>
            <w:shd w:val="clear" w:color="FFFFFF" w:fill="FFFFFF"/>
            <w:noWrap/>
            <w:vAlign w:val="bottom"/>
            <w:hideMark/>
          </w:tcPr>
          <w:p w14:paraId="34B4D0F5" w14:textId="77777777" w:rsidR="00B040FE" w:rsidRDefault="00B040FE" w:rsidP="0047225D">
            <w:pPr>
              <w:spacing w:after="0"/>
              <w:rPr>
                <w:rFonts w:cs="Arial"/>
                <w:sz w:val="18"/>
                <w:szCs w:val="18"/>
              </w:rPr>
            </w:pPr>
            <w:r>
              <w:rPr>
                <w:rFonts w:cs="Arial"/>
                <w:sz w:val="18"/>
                <w:szCs w:val="18"/>
              </w:rPr>
              <w:t> </w:t>
            </w:r>
          </w:p>
        </w:tc>
        <w:tc>
          <w:tcPr>
            <w:tcW w:w="1241" w:type="dxa"/>
            <w:tcBorders>
              <w:top w:val="nil"/>
              <w:left w:val="nil"/>
              <w:bottom w:val="single" w:sz="4" w:space="0" w:color="auto"/>
              <w:right w:val="nil"/>
            </w:tcBorders>
            <w:shd w:val="clear" w:color="FFFFFF" w:fill="FFFFFF"/>
            <w:noWrap/>
            <w:vAlign w:val="bottom"/>
            <w:hideMark/>
          </w:tcPr>
          <w:p w14:paraId="17C10785" w14:textId="77777777" w:rsidR="00B040FE" w:rsidRDefault="00B040FE" w:rsidP="0047225D">
            <w:pPr>
              <w:spacing w:after="0"/>
              <w:jc w:val="right"/>
              <w:rPr>
                <w:rFonts w:cs="Arial"/>
                <w:sz w:val="18"/>
                <w:szCs w:val="18"/>
              </w:rPr>
            </w:pPr>
            <w:r>
              <w:rPr>
                <w:rFonts w:cs="Arial"/>
                <w:sz w:val="18"/>
                <w:szCs w:val="18"/>
              </w:rPr>
              <w:t>259,802</w:t>
            </w:r>
          </w:p>
        </w:tc>
      </w:tr>
      <w:bookmarkEnd w:id="233"/>
    </w:tbl>
    <w:p w14:paraId="05E1BB4A" w14:textId="77777777" w:rsidR="00B040FE" w:rsidRDefault="00B040FE" w:rsidP="00B040FE">
      <w:pPr>
        <w:spacing w:line="240" w:lineRule="auto"/>
        <w:rPr>
          <w:rFonts w:cs="Arial"/>
          <w:b/>
          <w:bCs/>
          <w:sz w:val="18"/>
          <w:szCs w:val="18"/>
        </w:rPr>
      </w:pPr>
    </w:p>
    <w:p w14:paraId="3FDAAC52" w14:textId="77777777" w:rsidR="00B040FE" w:rsidRPr="00EE6E8A" w:rsidRDefault="00B040FE" w:rsidP="00B040FE">
      <w:pPr>
        <w:pStyle w:val="PolicytextDept"/>
        <w:pBdr>
          <w:left w:val="single" w:sz="4" w:space="4" w:color="800080"/>
          <w:right w:val="single" w:sz="4" w:space="4" w:color="800080"/>
        </w:pBdr>
        <w:rPr>
          <w:b/>
        </w:rPr>
      </w:pPr>
      <w:r w:rsidRPr="00EE6E8A">
        <w:rPr>
          <w:b/>
        </w:rPr>
        <w:t xml:space="preserve">Accounting Policy </w:t>
      </w:r>
    </w:p>
    <w:p w14:paraId="4311A699" w14:textId="77777777" w:rsidR="00B040FE" w:rsidRPr="00274A92" w:rsidRDefault="00B040FE" w:rsidP="00B040FE">
      <w:pPr>
        <w:pStyle w:val="PolicyheadingDept"/>
        <w:pBdr>
          <w:left w:val="single" w:sz="4" w:space="4" w:color="800080"/>
          <w:right w:val="single" w:sz="4" w:space="4" w:color="800080"/>
        </w:pBdr>
        <w:rPr>
          <w:b w:val="0"/>
          <w:i/>
          <w:u w:val="single"/>
        </w:rPr>
      </w:pPr>
      <w:r w:rsidRPr="00274A92">
        <w:rPr>
          <w:b w:val="0"/>
          <w:i/>
          <w:u w:val="single"/>
        </w:rPr>
        <w:t xml:space="preserve">Financial Assets </w:t>
      </w:r>
    </w:p>
    <w:p w14:paraId="17310923" w14:textId="77777777" w:rsidR="00B040FE" w:rsidRPr="009672B5" w:rsidRDefault="00B040FE" w:rsidP="00B040FE">
      <w:pPr>
        <w:pStyle w:val="PolicytextDept"/>
        <w:pBdr>
          <w:left w:val="single" w:sz="4" w:space="4" w:color="800080"/>
          <w:right w:val="single" w:sz="4" w:space="4" w:color="800080"/>
        </w:pBdr>
        <w:rPr>
          <w:lang w:eastAsia="en-AU"/>
        </w:rPr>
      </w:pPr>
      <w:r w:rsidRPr="001776B4">
        <w:rPr>
          <w:lang w:eastAsia="en-AU"/>
        </w:rPr>
        <w:t>All of the Agency’s financial assets have been classified</w:t>
      </w:r>
      <w:r>
        <w:rPr>
          <w:lang w:eastAsia="en-AU"/>
        </w:rPr>
        <w:t xml:space="preserve"> </w:t>
      </w:r>
      <w:r w:rsidRPr="009672B5">
        <w:rPr>
          <w:lang w:eastAsia="en-AU"/>
        </w:rPr>
        <w:t>as financial a</w:t>
      </w:r>
      <w:r>
        <w:rPr>
          <w:lang w:eastAsia="en-AU"/>
        </w:rPr>
        <w:t>ssets measured at amortised cost. Financial assets at amortised costs must be</w:t>
      </w:r>
      <w:r w:rsidRPr="009672B5">
        <w:rPr>
          <w:lang w:eastAsia="en-AU"/>
        </w:rPr>
        <w:t>:</w:t>
      </w:r>
    </w:p>
    <w:p w14:paraId="4F38371D" w14:textId="77777777" w:rsidR="00B040FE" w:rsidRPr="009672B5" w:rsidRDefault="00B040FE" w:rsidP="00B040FE">
      <w:pPr>
        <w:pStyle w:val="PolicytextDept"/>
        <w:pBdr>
          <w:left w:val="single" w:sz="4" w:space="4" w:color="800080"/>
          <w:right w:val="single" w:sz="4" w:space="4" w:color="800080"/>
        </w:pBdr>
        <w:rPr>
          <w:lang w:eastAsia="en-AU"/>
        </w:rPr>
      </w:pPr>
      <w:r w:rsidRPr="009672B5">
        <w:rPr>
          <w:lang w:eastAsia="en-AU"/>
        </w:rPr>
        <w:t>1. held in order to collect the contractual cash flows; and</w:t>
      </w:r>
    </w:p>
    <w:p w14:paraId="3AA7449A" w14:textId="77777777" w:rsidR="00B040FE" w:rsidRPr="009672B5" w:rsidRDefault="00B040FE" w:rsidP="00B040FE">
      <w:pPr>
        <w:pStyle w:val="PolicytextDept"/>
        <w:pBdr>
          <w:left w:val="single" w:sz="4" w:space="4" w:color="800080"/>
          <w:right w:val="single" w:sz="4" w:space="4" w:color="800080"/>
        </w:pBdr>
        <w:rPr>
          <w:lang w:eastAsia="en-AU"/>
        </w:rPr>
      </w:pPr>
      <w:r w:rsidRPr="009672B5">
        <w:rPr>
          <w:lang w:eastAsia="en-AU"/>
        </w:rPr>
        <w:t xml:space="preserve">2. their cash flows </w:t>
      </w:r>
      <w:r>
        <w:rPr>
          <w:lang w:eastAsia="en-AU"/>
        </w:rPr>
        <w:t xml:space="preserve">must be </w:t>
      </w:r>
      <w:r w:rsidRPr="009672B5">
        <w:rPr>
          <w:lang w:eastAsia="en-AU"/>
        </w:rPr>
        <w:t>solely payments of principal and interest</w:t>
      </w:r>
      <w:r>
        <w:rPr>
          <w:lang w:eastAsia="en-AU"/>
        </w:rPr>
        <w:t xml:space="preserve"> </w:t>
      </w:r>
      <w:r w:rsidRPr="009672B5">
        <w:rPr>
          <w:lang w:eastAsia="en-AU"/>
        </w:rPr>
        <w:t>(SPPI) on the principal outstanding amount.</w:t>
      </w:r>
    </w:p>
    <w:p w14:paraId="3DFFA575" w14:textId="77777777" w:rsidR="00B040FE" w:rsidRDefault="00B040FE" w:rsidP="00B040FE">
      <w:pPr>
        <w:pStyle w:val="PolicytextDept"/>
        <w:pBdr>
          <w:left w:val="single" w:sz="4" w:space="4" w:color="800080"/>
          <w:right w:val="single" w:sz="4" w:space="4" w:color="800080"/>
        </w:pBdr>
        <w:rPr>
          <w:lang w:eastAsia="en-AU"/>
        </w:rPr>
      </w:pPr>
      <w:r>
        <w:rPr>
          <w:lang w:eastAsia="en-AU"/>
        </w:rPr>
        <w:t>Amortised cost is determined using the effective interest method.</w:t>
      </w:r>
    </w:p>
    <w:p w14:paraId="137B475C" w14:textId="77777777" w:rsidR="00B040FE" w:rsidRDefault="00B040FE" w:rsidP="00B040FE">
      <w:pPr>
        <w:pStyle w:val="PolicytextDept"/>
        <w:pBdr>
          <w:left w:val="single" w:sz="4" w:space="4" w:color="800080"/>
          <w:right w:val="single" w:sz="4" w:space="4" w:color="800080"/>
        </w:pBdr>
        <w:rPr>
          <w:lang w:eastAsia="en-AU"/>
        </w:rPr>
      </w:pPr>
      <w:r w:rsidRPr="00A97B6B">
        <w:rPr>
          <w:lang w:eastAsia="en-AU"/>
        </w:rPr>
        <w:t xml:space="preserve">Financial assets are recognised when the entity becomes a party to the contract and, as a consequence, has a legal right to receive </w:t>
      </w:r>
      <w:r>
        <w:rPr>
          <w:lang w:eastAsia="en-AU"/>
        </w:rPr>
        <w:t xml:space="preserve">cash </w:t>
      </w:r>
      <w:r w:rsidRPr="00A97B6B">
        <w:rPr>
          <w:lang w:eastAsia="en-AU"/>
        </w:rPr>
        <w:t>or a legal obligation to pay cash and derecognised when the contractual rights to the cash flows from the financial asset expire or are transferred upon trade date.</w:t>
      </w:r>
    </w:p>
    <w:p w14:paraId="7B6D3D54" w14:textId="77777777" w:rsidR="00B040FE" w:rsidRDefault="00B040FE" w:rsidP="00B040FE">
      <w:pPr>
        <w:pStyle w:val="PolicytextDept"/>
        <w:pBdr>
          <w:left w:val="single" w:sz="4" w:space="4" w:color="800080"/>
          <w:right w:val="single" w:sz="4" w:space="4" w:color="800080"/>
        </w:pBdr>
        <w:rPr>
          <w:lang w:eastAsia="en-AU"/>
        </w:rPr>
      </w:pPr>
      <w:r w:rsidRPr="009672B5">
        <w:rPr>
          <w:lang w:eastAsia="en-AU"/>
        </w:rPr>
        <w:t xml:space="preserve">Trade receivables </w:t>
      </w:r>
      <w:r w:rsidRPr="003F1E11">
        <w:rPr>
          <w:lang w:eastAsia="en-AU"/>
        </w:rPr>
        <w:t>and other receivables are recognised at the nominal amounts due less any impairment allowance amount. The collectability is assessed periodically with impairment allowances made when there is evidence that the Agency will not be able to collect the debt</w:t>
      </w:r>
      <w:r>
        <w:rPr>
          <w:lang w:eastAsia="en-AU"/>
        </w:rPr>
        <w:t>.</w:t>
      </w:r>
    </w:p>
    <w:p w14:paraId="28D6C677" w14:textId="77777777" w:rsidR="00B040FE" w:rsidRDefault="00B040FE" w:rsidP="00B040FE">
      <w:pPr>
        <w:pStyle w:val="PolicytextDept"/>
        <w:pBdr>
          <w:left w:val="single" w:sz="4" w:space="4" w:color="800080"/>
          <w:right w:val="single" w:sz="4" w:space="4" w:color="800080"/>
        </w:pBdr>
        <w:rPr>
          <w:lang w:eastAsia="en-AU"/>
        </w:rPr>
      </w:pPr>
      <w:r>
        <w:rPr>
          <w:lang w:eastAsia="en-AU"/>
        </w:rPr>
        <w:t>The accounting policy for financial assets is contained in Note 2.1 Financial Assets.</w:t>
      </w:r>
    </w:p>
    <w:p w14:paraId="52887BF3" w14:textId="77777777" w:rsidR="00B040FE" w:rsidRPr="009672B5" w:rsidRDefault="00B040FE" w:rsidP="00B040FE">
      <w:pPr>
        <w:pStyle w:val="PolicytextDept"/>
        <w:pBdr>
          <w:left w:val="single" w:sz="4" w:space="4" w:color="800080"/>
          <w:right w:val="single" w:sz="4" w:space="4" w:color="800080"/>
        </w:pBdr>
        <w:rPr>
          <w:i/>
          <w:u w:val="single"/>
          <w:lang w:eastAsia="en-AU"/>
        </w:rPr>
      </w:pPr>
      <w:r w:rsidRPr="009672B5">
        <w:rPr>
          <w:i/>
          <w:u w:val="single"/>
          <w:lang w:eastAsia="en-AU"/>
        </w:rPr>
        <w:t>Effective Interest Method</w:t>
      </w:r>
    </w:p>
    <w:p w14:paraId="5908065F" w14:textId="77777777" w:rsidR="00B040FE" w:rsidRDefault="00B040FE" w:rsidP="00B040FE">
      <w:pPr>
        <w:pStyle w:val="PolicytextDept"/>
        <w:pBdr>
          <w:left w:val="single" w:sz="4" w:space="4" w:color="800080"/>
          <w:right w:val="single" w:sz="4" w:space="4" w:color="800080"/>
        </w:pBdr>
        <w:rPr>
          <w:lang w:eastAsia="en-AU"/>
        </w:rPr>
      </w:pPr>
      <w:r w:rsidRPr="009672B5">
        <w:rPr>
          <w:lang w:eastAsia="en-AU"/>
        </w:rPr>
        <w:t>Income is recognised on an effective interest rate basis for financial assets that are recognised at amortised cost</w:t>
      </w:r>
      <w:r w:rsidRPr="00A42C7C">
        <w:rPr>
          <w:lang w:eastAsia="en-AU"/>
        </w:rPr>
        <w:t>.</w:t>
      </w:r>
    </w:p>
    <w:p w14:paraId="23E95656" w14:textId="77777777" w:rsidR="00B040FE" w:rsidRPr="00A42C7C" w:rsidRDefault="00B040FE" w:rsidP="00B040FE">
      <w:pPr>
        <w:pStyle w:val="PolicytextDept"/>
        <w:pBdr>
          <w:left w:val="single" w:sz="4" w:space="4" w:color="800080"/>
          <w:right w:val="single" w:sz="4" w:space="4" w:color="800080"/>
        </w:pBdr>
        <w:rPr>
          <w:i/>
          <w:lang w:eastAsia="en-AU"/>
        </w:rPr>
      </w:pPr>
      <w:r w:rsidRPr="00A42C7C">
        <w:rPr>
          <w:lang w:eastAsia="en-AU"/>
        </w:rPr>
        <w:t>The effective interest method is a method of calculating the amortised cost of a financial instrument and allocating interest income over the rele</w:t>
      </w:r>
      <w:r>
        <w:rPr>
          <w:lang w:eastAsia="en-AU"/>
        </w:rPr>
        <w:t xml:space="preserve">vant period. </w:t>
      </w:r>
      <w:r w:rsidRPr="00A42C7C">
        <w:rPr>
          <w:lang w:eastAsia="en-AU"/>
        </w:rPr>
        <w:t>The effective interest rate is the rate that exactly discounts estimated future cash receipts through the expected life of the financial instrument, or, where appropriate, a shorter period.</w:t>
      </w:r>
    </w:p>
    <w:p w14:paraId="49A1E354" w14:textId="77777777" w:rsidR="00B040FE" w:rsidRPr="00F47522" w:rsidRDefault="00B040FE" w:rsidP="00B040FE">
      <w:pPr>
        <w:pStyle w:val="PolicytextDept"/>
        <w:pBdr>
          <w:left w:val="single" w:sz="4" w:space="4" w:color="800080"/>
          <w:right w:val="single" w:sz="4" w:space="4" w:color="800080"/>
        </w:pBdr>
        <w:rPr>
          <w:i/>
          <w:u w:val="single"/>
          <w:lang w:eastAsia="en-AU"/>
        </w:rPr>
      </w:pPr>
      <w:r w:rsidRPr="00A42C7C">
        <w:rPr>
          <w:i/>
          <w:u w:val="single"/>
          <w:lang w:eastAsia="en-AU"/>
        </w:rPr>
        <w:t>Impairment of financial assets</w:t>
      </w:r>
    </w:p>
    <w:p w14:paraId="629AEF4C" w14:textId="77777777" w:rsidR="00B040FE" w:rsidRDefault="00B040FE" w:rsidP="00B040FE">
      <w:pPr>
        <w:pStyle w:val="PolicytextDept"/>
        <w:pBdr>
          <w:left w:val="single" w:sz="4" w:space="4" w:color="800080"/>
          <w:right w:val="single" w:sz="4" w:space="4" w:color="800080"/>
        </w:pBdr>
        <w:rPr>
          <w:lang w:eastAsia="en-AU"/>
        </w:rPr>
      </w:pPr>
      <w:r w:rsidRPr="00A42C7C">
        <w:rPr>
          <w:lang w:eastAsia="en-AU"/>
        </w:rPr>
        <w:t xml:space="preserve">Financial assets are assessed for impairment at the end of each reporting period based on </w:t>
      </w:r>
      <w:r>
        <w:rPr>
          <w:lang w:eastAsia="en-AU"/>
        </w:rPr>
        <w:t>e</w:t>
      </w:r>
      <w:r w:rsidRPr="00A42C7C">
        <w:rPr>
          <w:lang w:eastAsia="en-AU"/>
        </w:rPr>
        <w:t>xpected</w:t>
      </w:r>
      <w:r>
        <w:rPr>
          <w:lang w:eastAsia="en-AU"/>
        </w:rPr>
        <w:t xml:space="preserve"> credit l</w:t>
      </w:r>
      <w:r w:rsidRPr="00A42C7C">
        <w:rPr>
          <w:lang w:eastAsia="en-AU"/>
        </w:rPr>
        <w:t>osses, using the simplified approach</w:t>
      </w:r>
      <w:r>
        <w:rPr>
          <w:lang w:eastAsia="en-AU"/>
        </w:rPr>
        <w:t xml:space="preserve"> for goods and services receivable and other receivables.</w:t>
      </w:r>
      <w:r w:rsidRPr="00A42C7C">
        <w:rPr>
          <w:lang w:eastAsia="en-AU"/>
        </w:rPr>
        <w:t xml:space="preserve"> </w:t>
      </w:r>
      <w:r w:rsidRPr="007A07BF">
        <w:rPr>
          <w:lang w:eastAsia="en-AU"/>
        </w:rPr>
        <w:t xml:space="preserve">Based on the Agency’s standard credit terms of </w:t>
      </w:r>
      <w:r>
        <w:rPr>
          <w:lang w:eastAsia="en-AU"/>
        </w:rPr>
        <w:t>28</w:t>
      </w:r>
      <w:r w:rsidRPr="007A07BF">
        <w:rPr>
          <w:lang w:eastAsia="en-AU"/>
        </w:rPr>
        <w:t xml:space="preserve"> days, an impairment allowance is recognised for all goods and services and other receivables outstanding for more than 120 days. Consistent with this policy</w:t>
      </w:r>
      <w:r>
        <w:rPr>
          <w:lang w:eastAsia="en-AU"/>
        </w:rPr>
        <w:t xml:space="preserve">, </w:t>
      </w:r>
      <w:r w:rsidRPr="007A07BF">
        <w:rPr>
          <w:lang w:eastAsia="en-AU"/>
        </w:rPr>
        <w:t>an impairment allowance has been recognised for the disputed portion of a contribution from states &amp; territories. The Agency continues to pursue full recovery of this amount and all other impaired debts in accordance with the Agency’s debt recovery policy.</w:t>
      </w:r>
    </w:p>
    <w:p w14:paraId="6CDB1205" w14:textId="77777777" w:rsidR="00B040FE" w:rsidRDefault="00B040FE" w:rsidP="00B040FE">
      <w:pPr>
        <w:pStyle w:val="PolicytextDept"/>
        <w:pBdr>
          <w:left w:val="single" w:sz="4" w:space="4" w:color="800080"/>
          <w:right w:val="single" w:sz="4" w:space="4" w:color="800080"/>
        </w:pBdr>
      </w:pPr>
      <w:r w:rsidRPr="007A07BF">
        <w:rPr>
          <w:lang w:eastAsia="en-AU"/>
        </w:rPr>
        <w:t>Due to their nature the Agency use</w:t>
      </w:r>
      <w:r>
        <w:rPr>
          <w:lang w:eastAsia="en-AU"/>
        </w:rPr>
        <w:t>d</w:t>
      </w:r>
      <w:r w:rsidRPr="007A07BF">
        <w:rPr>
          <w:lang w:eastAsia="en-AU"/>
        </w:rPr>
        <w:t xml:space="preserve"> the general approach to assess pandemic plan provider receivables for impairment.</w:t>
      </w:r>
      <w:r>
        <w:rPr>
          <w:lang w:eastAsia="en-AU"/>
        </w:rPr>
        <w:t xml:space="preserve"> </w:t>
      </w:r>
      <w:r w:rsidRPr="007348B7">
        <w:rPr>
          <w:lang w:eastAsia="en-AU"/>
        </w:rPr>
        <w:t xml:space="preserve">The Agency recognises an impairment allowance for the pandemic plan receivables where providers </w:t>
      </w:r>
    </w:p>
    <w:p w14:paraId="5CBBDB69" w14:textId="77777777" w:rsidR="006E070C" w:rsidRPr="000D1B3E" w:rsidRDefault="006E070C" w:rsidP="006E070C">
      <w:pPr>
        <w:spacing w:after="0" w:line="240" w:lineRule="auto"/>
        <w:rPr>
          <w:b/>
          <w:bCs/>
        </w:rPr>
      </w:pPr>
      <w:r w:rsidRPr="000D1B3E">
        <w:rPr>
          <w:b/>
          <w:bCs/>
        </w:rPr>
        <w:lastRenderedPageBreak/>
        <w:t>National Disability Insurance Agency</w:t>
      </w:r>
    </w:p>
    <w:p w14:paraId="2DDD38FE" w14:textId="77777777" w:rsidR="006E070C" w:rsidRPr="000D1B3E" w:rsidRDefault="006E070C" w:rsidP="006E070C">
      <w:pPr>
        <w:pBdr>
          <w:bottom w:val="single" w:sz="8" w:space="1" w:color="auto"/>
        </w:pBdr>
        <w:rPr>
          <w:b/>
          <w:bCs/>
        </w:rPr>
      </w:pPr>
      <w:r w:rsidRPr="000D1B3E">
        <w:rPr>
          <w:b/>
          <w:bCs/>
        </w:rPr>
        <w:t>NOTES TO AND FORMING PART OF THE FINANCIAL STATEMENTS</w:t>
      </w:r>
    </w:p>
    <w:p w14:paraId="198D0DF3" w14:textId="77777777" w:rsidR="00B040FE" w:rsidRDefault="00B040FE" w:rsidP="00B040FE">
      <w:pPr>
        <w:pStyle w:val="PolicytextDept"/>
        <w:pBdr>
          <w:left w:val="single" w:sz="4" w:space="4" w:color="800080"/>
          <w:right w:val="single" w:sz="4" w:space="4" w:color="800080"/>
        </w:pBdr>
        <w:rPr>
          <w:lang w:eastAsia="en-AU"/>
        </w:rPr>
      </w:pPr>
      <w:r w:rsidRPr="007348B7">
        <w:rPr>
          <w:lang w:eastAsia="en-AU"/>
        </w:rPr>
        <w:t>had debts that had not been offset against claims at an agreed rate unless there was an agreed debt repayment plan in place.</w:t>
      </w:r>
    </w:p>
    <w:p w14:paraId="535CD9F9" w14:textId="77777777" w:rsidR="00B040FE" w:rsidRDefault="00B040FE" w:rsidP="00B040FE">
      <w:pPr>
        <w:pStyle w:val="PolicytextDept"/>
        <w:pBdr>
          <w:left w:val="single" w:sz="4" w:space="4" w:color="800080"/>
          <w:right w:val="single" w:sz="4" w:space="4" w:color="800080"/>
        </w:pBdr>
        <w:rPr>
          <w:lang w:eastAsia="en-AU"/>
        </w:rPr>
      </w:pPr>
      <w:r w:rsidRPr="006D503B">
        <w:rPr>
          <w:lang w:eastAsia="en-AU"/>
        </w:rPr>
        <w:t>The simplified impairment approaches always measure the loss allowance as the amount equal to the lifetime expected credit losses. The general approach measures the loss allowance based on an amount equal to lifetime expected credit losses where risk has significantly increased, or an amount equal to 12</w:t>
      </w:r>
      <w:r w:rsidRPr="006D503B">
        <w:rPr>
          <w:rFonts w:ascii="Cambria Math" w:hAnsi="Cambria Math" w:cs="Cambria Math"/>
          <w:lang w:eastAsia="en-AU"/>
        </w:rPr>
        <w:t>‐</w:t>
      </w:r>
      <w:r w:rsidRPr="006D503B">
        <w:rPr>
          <w:lang w:eastAsia="en-AU"/>
        </w:rPr>
        <w:t>month expected credit losses if risk has not increased.</w:t>
      </w:r>
    </w:p>
    <w:p w14:paraId="2C23163A" w14:textId="77777777" w:rsidR="00B040FE" w:rsidRDefault="00B040FE" w:rsidP="00B040FE">
      <w:pPr>
        <w:pStyle w:val="PolicytextDept"/>
        <w:pBdr>
          <w:left w:val="single" w:sz="4" w:space="4" w:color="800080"/>
          <w:right w:val="single" w:sz="4" w:space="4" w:color="800080"/>
        </w:pBdr>
        <w:rPr>
          <w:lang w:eastAsia="en-AU"/>
        </w:rPr>
      </w:pPr>
      <w:r>
        <w:rPr>
          <w:lang w:eastAsia="en-AU"/>
        </w:rPr>
        <w:t>Both the simplified and general impairment</w:t>
      </w:r>
      <w:r w:rsidRPr="00A42C7C">
        <w:rPr>
          <w:lang w:eastAsia="en-AU"/>
        </w:rPr>
        <w:t xml:space="preserve"> approach</w:t>
      </w:r>
      <w:r>
        <w:rPr>
          <w:lang w:eastAsia="en-AU"/>
        </w:rPr>
        <w:t>es</w:t>
      </w:r>
      <w:r w:rsidRPr="00A42C7C">
        <w:rPr>
          <w:lang w:eastAsia="en-AU"/>
        </w:rPr>
        <w:t xml:space="preserve"> always measure the loss allowance as the amount equal to the lifetime expected credit losses.</w:t>
      </w:r>
    </w:p>
    <w:p w14:paraId="591870B5" w14:textId="77777777" w:rsidR="00B040FE" w:rsidRDefault="00B040FE" w:rsidP="00B040FE">
      <w:pPr>
        <w:pStyle w:val="PolicytextDept"/>
        <w:pBdr>
          <w:left w:val="single" w:sz="4" w:space="4" w:color="800080"/>
          <w:right w:val="single" w:sz="4" w:space="4" w:color="800080"/>
        </w:pBdr>
        <w:rPr>
          <w:lang w:eastAsia="en-AU"/>
        </w:rPr>
      </w:pPr>
    </w:p>
    <w:p w14:paraId="19A8AE17" w14:textId="77777777" w:rsidR="00B040FE" w:rsidRPr="00274A92" w:rsidRDefault="00B040FE" w:rsidP="00B040FE">
      <w:pPr>
        <w:pStyle w:val="PolicyheadingDept"/>
        <w:pBdr>
          <w:left w:val="single" w:sz="4" w:space="4" w:color="800080"/>
          <w:right w:val="single" w:sz="4" w:space="4" w:color="800080"/>
        </w:pBdr>
        <w:rPr>
          <w:b w:val="0"/>
          <w:i/>
          <w:u w:val="single"/>
        </w:rPr>
      </w:pPr>
      <w:r w:rsidRPr="00274A92">
        <w:rPr>
          <w:b w:val="0"/>
          <w:i/>
          <w:u w:val="single"/>
        </w:rPr>
        <w:t xml:space="preserve">Financial </w:t>
      </w:r>
      <w:r>
        <w:rPr>
          <w:b w:val="0"/>
          <w:i/>
          <w:u w:val="single"/>
        </w:rPr>
        <w:t>Liabilities</w:t>
      </w:r>
      <w:r w:rsidRPr="00274A92">
        <w:rPr>
          <w:b w:val="0"/>
          <w:i/>
          <w:u w:val="single"/>
        </w:rPr>
        <w:t xml:space="preserve"> </w:t>
      </w:r>
    </w:p>
    <w:p w14:paraId="595FBEA8" w14:textId="1AE026B1" w:rsidR="00B040FE" w:rsidRDefault="00B040FE" w:rsidP="00B040FE">
      <w:pPr>
        <w:pStyle w:val="PolicytextDept"/>
        <w:pBdr>
          <w:left w:val="single" w:sz="4" w:space="4" w:color="800080"/>
          <w:right w:val="single" w:sz="4" w:space="4" w:color="800080"/>
        </w:pBdr>
        <w:rPr>
          <w:lang w:eastAsia="en-AU"/>
        </w:rPr>
      </w:pPr>
      <w:r>
        <w:rPr>
          <w:lang w:eastAsia="en-AU"/>
        </w:rPr>
        <w:t>All</w:t>
      </w:r>
      <w:r w:rsidRPr="001776B4">
        <w:rPr>
          <w:lang w:eastAsia="en-AU"/>
        </w:rPr>
        <w:t xml:space="preserve"> of the Agency’s financial </w:t>
      </w:r>
      <w:r>
        <w:rPr>
          <w:lang w:eastAsia="en-AU"/>
        </w:rPr>
        <w:t>liabilities</w:t>
      </w:r>
      <w:r w:rsidRPr="001776B4">
        <w:rPr>
          <w:lang w:eastAsia="en-AU"/>
        </w:rPr>
        <w:t xml:space="preserve"> have been classified</w:t>
      </w:r>
      <w:r>
        <w:rPr>
          <w:lang w:eastAsia="en-AU"/>
        </w:rPr>
        <w:t xml:space="preserve"> </w:t>
      </w:r>
      <w:r w:rsidRPr="009672B5">
        <w:rPr>
          <w:lang w:eastAsia="en-AU"/>
        </w:rPr>
        <w:t xml:space="preserve">as financial </w:t>
      </w:r>
      <w:r>
        <w:rPr>
          <w:lang w:eastAsia="en-AU"/>
        </w:rPr>
        <w:t xml:space="preserve">liabilities measured at amortised cost. </w:t>
      </w:r>
      <w:r w:rsidRPr="00274A92">
        <w:rPr>
          <w:lang w:eastAsia="en-AU"/>
        </w:rPr>
        <w:t>These liabilities are subsequently measured at amortised cost using the effective interest method, with interest expense recognised on an effective interest basis. Supplier and other payables are recognised at amortised cost. Liabilities are recognised to the extent that the goods or services have been received (</w:t>
      </w:r>
      <w:r>
        <w:rPr>
          <w:lang w:eastAsia="en-AU"/>
        </w:rPr>
        <w:t xml:space="preserve">and </w:t>
      </w:r>
      <w:r w:rsidRPr="00274A92">
        <w:rPr>
          <w:lang w:eastAsia="en-AU"/>
        </w:rPr>
        <w:t>irrespective of having been invoiced).</w:t>
      </w:r>
    </w:p>
    <w:p w14:paraId="3CAF7AA9" w14:textId="77777777" w:rsidR="006E070C" w:rsidRDefault="006E070C" w:rsidP="00B040FE">
      <w:pPr>
        <w:pStyle w:val="PolicytextDept"/>
        <w:pBdr>
          <w:left w:val="single" w:sz="4" w:space="4" w:color="800080"/>
          <w:right w:val="single" w:sz="4" w:space="4" w:color="800080"/>
        </w:pBdr>
        <w:rPr>
          <w:lang w:eastAsia="en-AU"/>
        </w:rPr>
      </w:pPr>
    </w:p>
    <w:p w14:paraId="492217CF" w14:textId="77777777" w:rsidR="00B040FE" w:rsidRPr="00E528A0" w:rsidRDefault="00B040FE" w:rsidP="00B040FE">
      <w:pPr>
        <w:spacing w:line="240" w:lineRule="auto"/>
        <w:rPr>
          <w:b/>
          <w:sz w:val="20"/>
          <w:lang w:eastAsia="en-AU"/>
        </w:rPr>
      </w:pPr>
      <w:r>
        <w:rPr>
          <w:lang w:eastAsia="en-AU"/>
        </w:rPr>
        <w:br w:type="page"/>
      </w:r>
    </w:p>
    <w:p w14:paraId="3BF845CD" w14:textId="77777777" w:rsidR="00B040FE" w:rsidRDefault="00B040FE" w:rsidP="00B040FE">
      <w:pPr>
        <w:pStyle w:val="SectionHeading"/>
        <w:numPr>
          <w:ilvl w:val="0"/>
          <w:numId w:val="30"/>
        </w:numPr>
      </w:pPr>
      <w:bookmarkStart w:id="244" w:name="_Toc65742860"/>
      <w:bookmarkStart w:id="245" w:name="_Toc173417306"/>
      <w:r>
        <w:lastRenderedPageBreak/>
        <w:t>Other Information</w:t>
      </w:r>
      <w:bookmarkEnd w:id="244"/>
      <w:bookmarkEnd w:id="245"/>
    </w:p>
    <w:p w14:paraId="3E9AAF00" w14:textId="77777777" w:rsidR="00B040FE" w:rsidRPr="00FF78A0" w:rsidRDefault="00B040FE" w:rsidP="006E070C">
      <w:pPr>
        <w:pStyle w:val="SubHeading"/>
        <w:shd w:val="clear" w:color="auto" w:fill="000000" w:themeFill="accent6"/>
      </w:pPr>
      <w:bookmarkStart w:id="246" w:name="_Toc173417307"/>
      <w:r w:rsidRPr="00AF2B97">
        <w:t>Current/</w:t>
      </w:r>
      <w:r>
        <w:t>N</w:t>
      </w:r>
      <w:r w:rsidRPr="00AF2B97">
        <w:t xml:space="preserve">on-current </w:t>
      </w:r>
      <w:r>
        <w:t>D</w:t>
      </w:r>
      <w:r w:rsidRPr="00AF2B97">
        <w:t xml:space="preserve">istinction for </w:t>
      </w:r>
      <w:r>
        <w:t>A</w:t>
      </w:r>
      <w:r w:rsidRPr="00AF2B97">
        <w:t xml:space="preserve">ssets and </w:t>
      </w:r>
      <w:r>
        <w:t>L</w:t>
      </w:r>
      <w:r w:rsidRPr="00AF2B97">
        <w:t>iabilities</w:t>
      </w:r>
      <w:bookmarkEnd w:id="246"/>
    </w:p>
    <w:p w14:paraId="4F38718F" w14:textId="77777777" w:rsidR="00B040FE" w:rsidRDefault="00B040FE" w:rsidP="00B040FE">
      <w:pPr>
        <w:pStyle w:val="ContinuedNotesHeading-Level1"/>
      </w:pPr>
    </w:p>
    <w:tbl>
      <w:tblPr>
        <w:tblW w:w="9087" w:type="dxa"/>
        <w:tblLayout w:type="fixed"/>
        <w:tblLook w:val="04A0" w:firstRow="1" w:lastRow="0" w:firstColumn="1" w:lastColumn="0" w:noHBand="0" w:noVBand="1"/>
      </w:tblPr>
      <w:tblGrid>
        <w:gridCol w:w="6356"/>
        <w:gridCol w:w="1406"/>
        <w:gridCol w:w="236"/>
        <w:gridCol w:w="1089"/>
      </w:tblGrid>
      <w:tr w:rsidR="00B040FE" w14:paraId="06D31328" w14:textId="77777777" w:rsidTr="005E5E0C">
        <w:trPr>
          <w:trHeight w:val="253"/>
        </w:trPr>
        <w:tc>
          <w:tcPr>
            <w:tcW w:w="6356" w:type="dxa"/>
            <w:tcBorders>
              <w:top w:val="nil"/>
              <w:left w:val="nil"/>
              <w:bottom w:val="nil"/>
              <w:right w:val="nil"/>
            </w:tcBorders>
            <w:shd w:val="clear" w:color="FFFFFF" w:fill="FFFFFF"/>
            <w:noWrap/>
            <w:vAlign w:val="bottom"/>
            <w:hideMark/>
          </w:tcPr>
          <w:p w14:paraId="43695DA1" w14:textId="77777777" w:rsidR="00B040FE" w:rsidRDefault="00B040FE" w:rsidP="0047225D">
            <w:pPr>
              <w:spacing w:after="0"/>
              <w:rPr>
                <w:rFonts w:cs="Arial"/>
                <w:sz w:val="18"/>
                <w:szCs w:val="18"/>
              </w:rPr>
            </w:pPr>
            <w:bookmarkStart w:id="247" w:name="Note_AALTABLE1" w:colFirst="0" w:colLast="0"/>
            <w:r>
              <w:rPr>
                <w:rFonts w:cs="Arial"/>
                <w:sz w:val="18"/>
                <w:szCs w:val="18"/>
              </w:rPr>
              <w:t> </w:t>
            </w:r>
          </w:p>
        </w:tc>
        <w:tc>
          <w:tcPr>
            <w:tcW w:w="1406" w:type="dxa"/>
            <w:tcBorders>
              <w:top w:val="nil"/>
              <w:left w:val="nil"/>
              <w:bottom w:val="nil"/>
              <w:right w:val="nil"/>
            </w:tcBorders>
            <w:shd w:val="clear" w:color="FFFFFF" w:fill="FFFFFF"/>
            <w:noWrap/>
            <w:vAlign w:val="bottom"/>
            <w:hideMark/>
          </w:tcPr>
          <w:p w14:paraId="3C39CBCB" w14:textId="77777777" w:rsidR="00B040FE" w:rsidRDefault="00B040FE" w:rsidP="0047225D">
            <w:pPr>
              <w:spacing w:after="0"/>
              <w:jc w:val="right"/>
              <w:rPr>
                <w:rFonts w:cs="Arial"/>
                <w:b/>
                <w:bCs/>
                <w:sz w:val="18"/>
                <w:szCs w:val="18"/>
              </w:rPr>
            </w:pPr>
            <w:r>
              <w:rPr>
                <w:rFonts w:cs="Arial"/>
                <w:b/>
                <w:bCs/>
                <w:sz w:val="18"/>
                <w:szCs w:val="18"/>
              </w:rPr>
              <w:t>2024</w:t>
            </w:r>
          </w:p>
        </w:tc>
        <w:tc>
          <w:tcPr>
            <w:tcW w:w="236" w:type="dxa"/>
            <w:tcBorders>
              <w:top w:val="nil"/>
              <w:left w:val="nil"/>
              <w:bottom w:val="nil"/>
              <w:right w:val="nil"/>
            </w:tcBorders>
            <w:shd w:val="clear" w:color="FFFFFF" w:fill="FFFFFF"/>
            <w:noWrap/>
            <w:vAlign w:val="bottom"/>
            <w:hideMark/>
          </w:tcPr>
          <w:p w14:paraId="104C1094" w14:textId="77777777" w:rsidR="00B040FE" w:rsidRDefault="00B040FE" w:rsidP="0047225D">
            <w:pPr>
              <w:spacing w:after="0"/>
              <w:rPr>
                <w:rFonts w:cs="Arial"/>
                <w:sz w:val="18"/>
                <w:szCs w:val="18"/>
              </w:rPr>
            </w:pPr>
            <w:r>
              <w:rPr>
                <w:rFonts w:cs="Arial"/>
                <w:sz w:val="18"/>
                <w:szCs w:val="18"/>
              </w:rPr>
              <w:t> </w:t>
            </w:r>
          </w:p>
        </w:tc>
        <w:tc>
          <w:tcPr>
            <w:tcW w:w="1089" w:type="dxa"/>
            <w:tcBorders>
              <w:top w:val="nil"/>
              <w:left w:val="nil"/>
              <w:bottom w:val="nil"/>
              <w:right w:val="nil"/>
            </w:tcBorders>
            <w:shd w:val="clear" w:color="FFFFFF" w:fill="FFFFFF"/>
            <w:noWrap/>
            <w:vAlign w:val="bottom"/>
            <w:hideMark/>
          </w:tcPr>
          <w:p w14:paraId="5124AB79" w14:textId="77777777" w:rsidR="00B040FE" w:rsidRDefault="00B040FE" w:rsidP="0047225D">
            <w:pPr>
              <w:spacing w:after="0"/>
              <w:jc w:val="right"/>
              <w:rPr>
                <w:rFonts w:cs="Arial"/>
                <w:sz w:val="18"/>
                <w:szCs w:val="18"/>
              </w:rPr>
            </w:pPr>
            <w:r>
              <w:rPr>
                <w:rFonts w:cs="Arial"/>
                <w:sz w:val="18"/>
                <w:szCs w:val="18"/>
              </w:rPr>
              <w:t>2023</w:t>
            </w:r>
          </w:p>
        </w:tc>
      </w:tr>
      <w:bookmarkEnd w:id="247"/>
      <w:tr w:rsidR="00B040FE" w14:paraId="6062EB68" w14:textId="77777777" w:rsidTr="005E5E0C">
        <w:trPr>
          <w:trHeight w:val="253"/>
        </w:trPr>
        <w:tc>
          <w:tcPr>
            <w:tcW w:w="6356" w:type="dxa"/>
            <w:tcBorders>
              <w:top w:val="nil"/>
              <w:left w:val="nil"/>
              <w:bottom w:val="nil"/>
              <w:right w:val="nil"/>
            </w:tcBorders>
            <w:shd w:val="clear" w:color="FFFFFF" w:fill="FFFFFF"/>
            <w:noWrap/>
            <w:vAlign w:val="bottom"/>
            <w:hideMark/>
          </w:tcPr>
          <w:p w14:paraId="6A92A2F8" w14:textId="77777777" w:rsidR="00B040FE" w:rsidRDefault="00B040FE" w:rsidP="0047225D">
            <w:pPr>
              <w:spacing w:after="0"/>
              <w:rPr>
                <w:rFonts w:cs="Arial"/>
                <w:sz w:val="18"/>
                <w:szCs w:val="18"/>
              </w:rPr>
            </w:pPr>
            <w:r>
              <w:rPr>
                <w:rFonts w:cs="Arial"/>
                <w:sz w:val="18"/>
                <w:szCs w:val="18"/>
              </w:rPr>
              <w:t> </w:t>
            </w:r>
          </w:p>
        </w:tc>
        <w:tc>
          <w:tcPr>
            <w:tcW w:w="1406" w:type="dxa"/>
            <w:tcBorders>
              <w:top w:val="nil"/>
              <w:left w:val="nil"/>
              <w:bottom w:val="nil"/>
              <w:right w:val="nil"/>
            </w:tcBorders>
            <w:shd w:val="clear" w:color="FFFFFF" w:fill="FFFFFF"/>
            <w:noWrap/>
            <w:vAlign w:val="bottom"/>
            <w:hideMark/>
          </w:tcPr>
          <w:p w14:paraId="16830233" w14:textId="77777777" w:rsidR="00B040FE" w:rsidRDefault="00B040FE" w:rsidP="0047225D">
            <w:pPr>
              <w:spacing w:after="0"/>
              <w:jc w:val="right"/>
              <w:rPr>
                <w:rFonts w:cs="Arial"/>
                <w:b/>
                <w:bCs/>
                <w:sz w:val="18"/>
                <w:szCs w:val="18"/>
              </w:rPr>
            </w:pPr>
            <w:r>
              <w:rPr>
                <w:rFonts w:cs="Arial"/>
                <w:b/>
                <w:bCs/>
                <w:sz w:val="18"/>
                <w:szCs w:val="18"/>
              </w:rPr>
              <w:t>$'000</w:t>
            </w:r>
          </w:p>
        </w:tc>
        <w:tc>
          <w:tcPr>
            <w:tcW w:w="236" w:type="dxa"/>
            <w:tcBorders>
              <w:top w:val="nil"/>
              <w:left w:val="nil"/>
              <w:bottom w:val="nil"/>
              <w:right w:val="nil"/>
            </w:tcBorders>
            <w:shd w:val="clear" w:color="FFFFFF" w:fill="FFFFFF"/>
            <w:noWrap/>
            <w:vAlign w:val="bottom"/>
            <w:hideMark/>
          </w:tcPr>
          <w:p w14:paraId="3AF82CE7" w14:textId="77777777" w:rsidR="00B040FE" w:rsidRDefault="00B040FE" w:rsidP="0047225D">
            <w:pPr>
              <w:spacing w:after="0"/>
              <w:rPr>
                <w:rFonts w:cs="Arial"/>
                <w:sz w:val="18"/>
                <w:szCs w:val="18"/>
              </w:rPr>
            </w:pPr>
            <w:r>
              <w:rPr>
                <w:rFonts w:cs="Arial"/>
                <w:sz w:val="18"/>
                <w:szCs w:val="18"/>
              </w:rPr>
              <w:t> </w:t>
            </w:r>
          </w:p>
        </w:tc>
        <w:tc>
          <w:tcPr>
            <w:tcW w:w="1089" w:type="dxa"/>
            <w:tcBorders>
              <w:top w:val="nil"/>
              <w:left w:val="nil"/>
              <w:bottom w:val="nil"/>
              <w:right w:val="nil"/>
            </w:tcBorders>
            <w:shd w:val="clear" w:color="FFFFFF" w:fill="FFFFFF"/>
            <w:noWrap/>
            <w:vAlign w:val="bottom"/>
            <w:hideMark/>
          </w:tcPr>
          <w:p w14:paraId="5DDF739B" w14:textId="77777777" w:rsidR="00B040FE" w:rsidRDefault="00B040FE" w:rsidP="0047225D">
            <w:pPr>
              <w:spacing w:after="0"/>
              <w:jc w:val="right"/>
              <w:rPr>
                <w:rFonts w:cs="Arial"/>
                <w:sz w:val="18"/>
                <w:szCs w:val="18"/>
              </w:rPr>
            </w:pPr>
            <w:r>
              <w:rPr>
                <w:rFonts w:cs="Arial"/>
                <w:sz w:val="18"/>
                <w:szCs w:val="18"/>
              </w:rPr>
              <w:t>$'000</w:t>
            </w:r>
          </w:p>
        </w:tc>
      </w:tr>
      <w:tr w:rsidR="00B040FE" w14:paraId="2A5375E2" w14:textId="77777777" w:rsidTr="005E5E0C">
        <w:trPr>
          <w:trHeight w:val="253"/>
        </w:trPr>
        <w:tc>
          <w:tcPr>
            <w:tcW w:w="6356" w:type="dxa"/>
            <w:tcBorders>
              <w:top w:val="nil"/>
              <w:left w:val="nil"/>
              <w:bottom w:val="nil"/>
              <w:right w:val="nil"/>
            </w:tcBorders>
            <w:shd w:val="clear" w:color="FFFFFF" w:fill="FFFFFF"/>
            <w:noWrap/>
            <w:vAlign w:val="bottom"/>
            <w:hideMark/>
          </w:tcPr>
          <w:p w14:paraId="4DEDD66A" w14:textId="77777777" w:rsidR="00B040FE" w:rsidRDefault="00B040FE" w:rsidP="0047225D">
            <w:pPr>
              <w:spacing w:after="0"/>
              <w:rPr>
                <w:rFonts w:cs="Arial"/>
                <w:b/>
                <w:bCs/>
                <w:sz w:val="18"/>
                <w:szCs w:val="18"/>
                <w:u w:val="single"/>
              </w:rPr>
            </w:pPr>
            <w:r>
              <w:rPr>
                <w:rFonts w:cs="Arial"/>
                <w:b/>
                <w:bCs/>
                <w:sz w:val="18"/>
                <w:szCs w:val="18"/>
                <w:u w:val="single"/>
              </w:rPr>
              <w:t>Note 5.1: Current/non-current distinction for assets and liabilities</w:t>
            </w:r>
          </w:p>
        </w:tc>
        <w:tc>
          <w:tcPr>
            <w:tcW w:w="1406" w:type="dxa"/>
            <w:tcBorders>
              <w:top w:val="nil"/>
              <w:left w:val="nil"/>
              <w:bottom w:val="nil"/>
              <w:right w:val="nil"/>
            </w:tcBorders>
            <w:shd w:val="clear" w:color="FFFFFF" w:fill="FFFFFF"/>
            <w:noWrap/>
            <w:vAlign w:val="bottom"/>
            <w:hideMark/>
          </w:tcPr>
          <w:p w14:paraId="38476DFC" w14:textId="77777777" w:rsidR="00B040FE" w:rsidRDefault="00B040FE" w:rsidP="0047225D">
            <w:pPr>
              <w:spacing w:after="0"/>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27532F58" w14:textId="77777777" w:rsidR="00B040FE" w:rsidRDefault="00B040FE" w:rsidP="0047225D">
            <w:pPr>
              <w:spacing w:after="0"/>
              <w:rPr>
                <w:rFonts w:cs="Arial"/>
                <w:sz w:val="18"/>
                <w:szCs w:val="18"/>
              </w:rPr>
            </w:pPr>
            <w:r>
              <w:rPr>
                <w:rFonts w:cs="Arial"/>
                <w:sz w:val="18"/>
                <w:szCs w:val="18"/>
              </w:rPr>
              <w:t> </w:t>
            </w:r>
          </w:p>
        </w:tc>
        <w:tc>
          <w:tcPr>
            <w:tcW w:w="1089" w:type="dxa"/>
            <w:tcBorders>
              <w:top w:val="nil"/>
              <w:left w:val="nil"/>
              <w:bottom w:val="nil"/>
              <w:right w:val="nil"/>
            </w:tcBorders>
            <w:shd w:val="clear" w:color="FFFFFF" w:fill="FFFFFF"/>
            <w:noWrap/>
            <w:vAlign w:val="bottom"/>
            <w:hideMark/>
          </w:tcPr>
          <w:p w14:paraId="3D4C11CB" w14:textId="77777777" w:rsidR="00B040FE" w:rsidRDefault="00B040FE" w:rsidP="0047225D">
            <w:pPr>
              <w:spacing w:after="0"/>
              <w:rPr>
                <w:rFonts w:cs="Arial"/>
                <w:sz w:val="18"/>
                <w:szCs w:val="18"/>
              </w:rPr>
            </w:pPr>
            <w:r>
              <w:rPr>
                <w:rFonts w:cs="Arial"/>
                <w:sz w:val="18"/>
                <w:szCs w:val="18"/>
              </w:rPr>
              <w:t> </w:t>
            </w:r>
          </w:p>
        </w:tc>
      </w:tr>
      <w:tr w:rsidR="00B040FE" w14:paraId="3E4AB1C1" w14:textId="77777777" w:rsidTr="005E5E0C">
        <w:trPr>
          <w:trHeight w:val="253"/>
        </w:trPr>
        <w:tc>
          <w:tcPr>
            <w:tcW w:w="6356" w:type="dxa"/>
            <w:tcBorders>
              <w:top w:val="nil"/>
              <w:left w:val="nil"/>
              <w:bottom w:val="nil"/>
              <w:right w:val="nil"/>
            </w:tcBorders>
            <w:shd w:val="clear" w:color="FFFFFF" w:fill="FFFFFF"/>
            <w:vAlign w:val="bottom"/>
            <w:hideMark/>
          </w:tcPr>
          <w:p w14:paraId="5EDE3079" w14:textId="77777777" w:rsidR="00B040FE" w:rsidRDefault="00B040FE" w:rsidP="0047225D">
            <w:pPr>
              <w:spacing w:after="0"/>
              <w:rPr>
                <w:rFonts w:cs="Arial"/>
                <w:sz w:val="18"/>
                <w:szCs w:val="18"/>
              </w:rPr>
            </w:pPr>
            <w:r>
              <w:rPr>
                <w:rFonts w:cs="Arial"/>
                <w:sz w:val="18"/>
                <w:szCs w:val="18"/>
              </w:rPr>
              <w:t> </w:t>
            </w:r>
          </w:p>
        </w:tc>
        <w:tc>
          <w:tcPr>
            <w:tcW w:w="1406" w:type="dxa"/>
            <w:tcBorders>
              <w:top w:val="nil"/>
              <w:left w:val="nil"/>
              <w:bottom w:val="nil"/>
              <w:right w:val="nil"/>
            </w:tcBorders>
            <w:shd w:val="clear" w:color="FFFFFF" w:fill="FFFFFF"/>
            <w:noWrap/>
            <w:vAlign w:val="bottom"/>
            <w:hideMark/>
          </w:tcPr>
          <w:p w14:paraId="0CF675D7" w14:textId="77777777" w:rsidR="00B040FE" w:rsidRDefault="00B040FE" w:rsidP="0047225D">
            <w:pPr>
              <w:spacing w:after="0"/>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66137173" w14:textId="77777777" w:rsidR="00B040FE" w:rsidRDefault="00B040FE" w:rsidP="0047225D">
            <w:pPr>
              <w:spacing w:after="0"/>
              <w:rPr>
                <w:rFonts w:cs="Arial"/>
                <w:sz w:val="18"/>
                <w:szCs w:val="18"/>
              </w:rPr>
            </w:pPr>
            <w:r>
              <w:rPr>
                <w:rFonts w:cs="Arial"/>
                <w:sz w:val="18"/>
                <w:szCs w:val="18"/>
              </w:rPr>
              <w:t> </w:t>
            </w:r>
          </w:p>
        </w:tc>
        <w:tc>
          <w:tcPr>
            <w:tcW w:w="1089" w:type="dxa"/>
            <w:tcBorders>
              <w:top w:val="nil"/>
              <w:left w:val="nil"/>
              <w:bottom w:val="nil"/>
              <w:right w:val="nil"/>
            </w:tcBorders>
            <w:shd w:val="clear" w:color="FFFFFF" w:fill="FFFFFF"/>
            <w:noWrap/>
            <w:vAlign w:val="bottom"/>
            <w:hideMark/>
          </w:tcPr>
          <w:p w14:paraId="12F43966" w14:textId="77777777" w:rsidR="00B040FE" w:rsidRDefault="00B040FE" w:rsidP="0047225D">
            <w:pPr>
              <w:spacing w:after="0"/>
              <w:rPr>
                <w:rFonts w:cs="Arial"/>
                <w:sz w:val="18"/>
                <w:szCs w:val="18"/>
              </w:rPr>
            </w:pPr>
            <w:r>
              <w:rPr>
                <w:rFonts w:cs="Arial"/>
                <w:sz w:val="18"/>
                <w:szCs w:val="18"/>
              </w:rPr>
              <w:t> </w:t>
            </w:r>
          </w:p>
        </w:tc>
      </w:tr>
      <w:tr w:rsidR="00B040FE" w14:paraId="6E84F8A1" w14:textId="77777777" w:rsidTr="005E5E0C">
        <w:trPr>
          <w:trHeight w:val="253"/>
        </w:trPr>
        <w:tc>
          <w:tcPr>
            <w:tcW w:w="6356" w:type="dxa"/>
            <w:tcBorders>
              <w:top w:val="nil"/>
              <w:left w:val="nil"/>
              <w:bottom w:val="nil"/>
              <w:right w:val="nil"/>
            </w:tcBorders>
            <w:shd w:val="clear" w:color="FFFFFF" w:fill="FFFFFF"/>
            <w:vAlign w:val="bottom"/>
            <w:hideMark/>
          </w:tcPr>
          <w:p w14:paraId="52921FB0" w14:textId="77777777" w:rsidR="00B040FE" w:rsidRDefault="00B040FE" w:rsidP="0047225D">
            <w:pPr>
              <w:spacing w:after="0"/>
              <w:rPr>
                <w:rFonts w:cs="Arial"/>
                <w:b/>
                <w:bCs/>
                <w:sz w:val="18"/>
                <w:szCs w:val="18"/>
              </w:rPr>
            </w:pPr>
            <w:r>
              <w:rPr>
                <w:rFonts w:cs="Arial"/>
                <w:b/>
                <w:bCs/>
                <w:sz w:val="18"/>
                <w:szCs w:val="18"/>
              </w:rPr>
              <w:t>Assets expected to be recovered in:</w:t>
            </w:r>
          </w:p>
        </w:tc>
        <w:tc>
          <w:tcPr>
            <w:tcW w:w="1406" w:type="dxa"/>
            <w:tcBorders>
              <w:top w:val="nil"/>
              <w:left w:val="nil"/>
              <w:bottom w:val="nil"/>
              <w:right w:val="nil"/>
            </w:tcBorders>
            <w:shd w:val="clear" w:color="FFFFFF" w:fill="FFFFFF"/>
            <w:noWrap/>
            <w:vAlign w:val="bottom"/>
            <w:hideMark/>
          </w:tcPr>
          <w:p w14:paraId="4AD69654" w14:textId="77777777" w:rsidR="00B040FE" w:rsidRDefault="00B040FE" w:rsidP="0047225D">
            <w:pPr>
              <w:spacing w:after="0"/>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2551E3DE" w14:textId="77777777" w:rsidR="00B040FE" w:rsidRDefault="00B040FE" w:rsidP="0047225D">
            <w:pPr>
              <w:spacing w:after="0"/>
              <w:rPr>
                <w:rFonts w:cs="Arial"/>
                <w:sz w:val="18"/>
                <w:szCs w:val="18"/>
              </w:rPr>
            </w:pPr>
            <w:r>
              <w:rPr>
                <w:rFonts w:cs="Arial"/>
                <w:sz w:val="18"/>
                <w:szCs w:val="18"/>
              </w:rPr>
              <w:t> </w:t>
            </w:r>
          </w:p>
        </w:tc>
        <w:tc>
          <w:tcPr>
            <w:tcW w:w="1089" w:type="dxa"/>
            <w:tcBorders>
              <w:top w:val="nil"/>
              <w:left w:val="nil"/>
              <w:bottom w:val="nil"/>
              <w:right w:val="nil"/>
            </w:tcBorders>
            <w:shd w:val="clear" w:color="FFFFFF" w:fill="FFFFFF"/>
            <w:noWrap/>
            <w:vAlign w:val="bottom"/>
            <w:hideMark/>
          </w:tcPr>
          <w:p w14:paraId="519F7CD6" w14:textId="77777777" w:rsidR="00B040FE" w:rsidRDefault="00B040FE" w:rsidP="0047225D">
            <w:pPr>
              <w:spacing w:after="0"/>
              <w:rPr>
                <w:rFonts w:cs="Arial"/>
                <w:sz w:val="18"/>
                <w:szCs w:val="18"/>
              </w:rPr>
            </w:pPr>
            <w:r>
              <w:rPr>
                <w:rFonts w:cs="Arial"/>
                <w:sz w:val="18"/>
                <w:szCs w:val="18"/>
              </w:rPr>
              <w:t> </w:t>
            </w:r>
          </w:p>
        </w:tc>
      </w:tr>
      <w:tr w:rsidR="00B040FE" w14:paraId="546D8866" w14:textId="77777777" w:rsidTr="005E5E0C">
        <w:trPr>
          <w:trHeight w:val="253"/>
        </w:trPr>
        <w:tc>
          <w:tcPr>
            <w:tcW w:w="6356" w:type="dxa"/>
            <w:tcBorders>
              <w:top w:val="nil"/>
              <w:left w:val="nil"/>
              <w:bottom w:val="nil"/>
              <w:right w:val="nil"/>
            </w:tcBorders>
            <w:shd w:val="clear" w:color="FFFFFF" w:fill="FFFFFF"/>
            <w:vAlign w:val="bottom"/>
            <w:hideMark/>
          </w:tcPr>
          <w:p w14:paraId="7E431EFD" w14:textId="77777777" w:rsidR="00B040FE" w:rsidRDefault="00B040FE" w:rsidP="0047225D">
            <w:pPr>
              <w:spacing w:after="0"/>
              <w:rPr>
                <w:rFonts w:cs="Arial"/>
                <w:b/>
                <w:bCs/>
                <w:sz w:val="18"/>
                <w:szCs w:val="18"/>
              </w:rPr>
            </w:pPr>
            <w:r>
              <w:rPr>
                <w:rFonts w:cs="Arial"/>
                <w:b/>
                <w:bCs/>
                <w:sz w:val="18"/>
                <w:szCs w:val="18"/>
              </w:rPr>
              <w:t>No more than 12 months</w:t>
            </w:r>
          </w:p>
        </w:tc>
        <w:tc>
          <w:tcPr>
            <w:tcW w:w="1406" w:type="dxa"/>
            <w:tcBorders>
              <w:top w:val="nil"/>
              <w:left w:val="nil"/>
              <w:bottom w:val="nil"/>
              <w:right w:val="nil"/>
            </w:tcBorders>
            <w:shd w:val="clear" w:color="FFFFFF" w:fill="FFFFFF"/>
            <w:noWrap/>
            <w:vAlign w:val="bottom"/>
            <w:hideMark/>
          </w:tcPr>
          <w:p w14:paraId="7008BC54" w14:textId="77777777" w:rsidR="00B040FE" w:rsidRDefault="00B040FE" w:rsidP="0047225D">
            <w:pPr>
              <w:spacing w:after="0"/>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1A2DDC6D" w14:textId="77777777" w:rsidR="00B040FE" w:rsidRDefault="00B040FE" w:rsidP="0047225D">
            <w:pPr>
              <w:spacing w:after="0"/>
              <w:rPr>
                <w:rFonts w:cs="Arial"/>
                <w:sz w:val="18"/>
                <w:szCs w:val="18"/>
              </w:rPr>
            </w:pPr>
            <w:r>
              <w:rPr>
                <w:rFonts w:cs="Arial"/>
                <w:sz w:val="18"/>
                <w:szCs w:val="18"/>
              </w:rPr>
              <w:t> </w:t>
            </w:r>
          </w:p>
        </w:tc>
        <w:tc>
          <w:tcPr>
            <w:tcW w:w="1089" w:type="dxa"/>
            <w:tcBorders>
              <w:top w:val="nil"/>
              <w:left w:val="nil"/>
              <w:bottom w:val="nil"/>
              <w:right w:val="nil"/>
            </w:tcBorders>
            <w:shd w:val="clear" w:color="FFFFFF" w:fill="FFFFFF"/>
            <w:noWrap/>
            <w:vAlign w:val="bottom"/>
            <w:hideMark/>
          </w:tcPr>
          <w:p w14:paraId="6C6E0974" w14:textId="77777777" w:rsidR="00B040FE" w:rsidRDefault="00B040FE" w:rsidP="0047225D">
            <w:pPr>
              <w:spacing w:after="0"/>
              <w:rPr>
                <w:rFonts w:cs="Arial"/>
                <w:sz w:val="18"/>
                <w:szCs w:val="18"/>
              </w:rPr>
            </w:pPr>
            <w:r>
              <w:rPr>
                <w:rFonts w:cs="Arial"/>
                <w:sz w:val="18"/>
                <w:szCs w:val="18"/>
              </w:rPr>
              <w:t> </w:t>
            </w:r>
          </w:p>
        </w:tc>
      </w:tr>
      <w:tr w:rsidR="00B040FE" w14:paraId="63DC3FD9" w14:textId="77777777" w:rsidTr="005E5E0C">
        <w:trPr>
          <w:trHeight w:val="253"/>
        </w:trPr>
        <w:tc>
          <w:tcPr>
            <w:tcW w:w="6356" w:type="dxa"/>
            <w:tcBorders>
              <w:top w:val="nil"/>
              <w:left w:val="nil"/>
              <w:bottom w:val="nil"/>
              <w:right w:val="nil"/>
            </w:tcBorders>
            <w:shd w:val="clear" w:color="FFFFFF" w:fill="FFFFFF"/>
            <w:noWrap/>
            <w:vAlign w:val="bottom"/>
            <w:hideMark/>
          </w:tcPr>
          <w:p w14:paraId="09168235" w14:textId="77777777" w:rsidR="00B040FE" w:rsidRDefault="00B040FE" w:rsidP="0047225D">
            <w:pPr>
              <w:spacing w:after="0"/>
              <w:ind w:firstLineChars="100" w:firstLine="180"/>
              <w:rPr>
                <w:rFonts w:cs="Arial"/>
                <w:sz w:val="18"/>
                <w:szCs w:val="18"/>
              </w:rPr>
            </w:pPr>
            <w:r>
              <w:rPr>
                <w:rFonts w:cs="Arial"/>
                <w:sz w:val="18"/>
                <w:szCs w:val="18"/>
              </w:rPr>
              <w:t>Cash and cash equivalents</w:t>
            </w:r>
          </w:p>
        </w:tc>
        <w:tc>
          <w:tcPr>
            <w:tcW w:w="1406" w:type="dxa"/>
            <w:tcBorders>
              <w:top w:val="nil"/>
              <w:left w:val="nil"/>
              <w:bottom w:val="nil"/>
              <w:right w:val="nil"/>
            </w:tcBorders>
            <w:shd w:val="clear" w:color="FFFFFF" w:fill="FFFFFF"/>
            <w:noWrap/>
            <w:vAlign w:val="bottom"/>
            <w:hideMark/>
          </w:tcPr>
          <w:p w14:paraId="3F8DD3DE" w14:textId="77777777" w:rsidR="00B040FE" w:rsidRDefault="00B040FE" w:rsidP="0047225D">
            <w:pPr>
              <w:spacing w:after="0"/>
              <w:jc w:val="right"/>
              <w:rPr>
                <w:rFonts w:cs="Arial"/>
                <w:b/>
                <w:bCs/>
                <w:sz w:val="18"/>
                <w:szCs w:val="18"/>
              </w:rPr>
            </w:pPr>
            <w:r>
              <w:rPr>
                <w:rFonts w:cs="Arial"/>
                <w:b/>
                <w:bCs/>
                <w:sz w:val="18"/>
                <w:szCs w:val="18"/>
              </w:rPr>
              <w:t>5,659,548</w:t>
            </w:r>
          </w:p>
        </w:tc>
        <w:tc>
          <w:tcPr>
            <w:tcW w:w="236" w:type="dxa"/>
            <w:tcBorders>
              <w:top w:val="nil"/>
              <w:left w:val="nil"/>
              <w:bottom w:val="nil"/>
              <w:right w:val="nil"/>
            </w:tcBorders>
            <w:shd w:val="clear" w:color="FFFFFF" w:fill="FFFFFF"/>
            <w:noWrap/>
            <w:vAlign w:val="bottom"/>
            <w:hideMark/>
          </w:tcPr>
          <w:p w14:paraId="3F05B05C" w14:textId="77777777" w:rsidR="00B040FE" w:rsidRDefault="00B040FE" w:rsidP="0047225D">
            <w:pPr>
              <w:spacing w:after="0"/>
              <w:rPr>
                <w:rFonts w:cs="Arial"/>
                <w:sz w:val="18"/>
                <w:szCs w:val="18"/>
              </w:rPr>
            </w:pPr>
            <w:r>
              <w:rPr>
                <w:rFonts w:cs="Arial"/>
                <w:sz w:val="18"/>
                <w:szCs w:val="18"/>
              </w:rPr>
              <w:t> </w:t>
            </w:r>
          </w:p>
        </w:tc>
        <w:tc>
          <w:tcPr>
            <w:tcW w:w="1089" w:type="dxa"/>
            <w:tcBorders>
              <w:top w:val="nil"/>
              <w:left w:val="nil"/>
              <w:bottom w:val="nil"/>
              <w:right w:val="nil"/>
            </w:tcBorders>
            <w:shd w:val="clear" w:color="FFFFFF" w:fill="FFFFFF"/>
            <w:noWrap/>
            <w:vAlign w:val="bottom"/>
            <w:hideMark/>
          </w:tcPr>
          <w:p w14:paraId="584B828D" w14:textId="77777777" w:rsidR="00B040FE" w:rsidRDefault="00B040FE" w:rsidP="0047225D">
            <w:pPr>
              <w:spacing w:after="0"/>
              <w:jc w:val="right"/>
              <w:rPr>
                <w:rFonts w:cs="Arial"/>
                <w:sz w:val="18"/>
                <w:szCs w:val="18"/>
              </w:rPr>
            </w:pPr>
            <w:r>
              <w:rPr>
                <w:rFonts w:cs="Arial"/>
                <w:sz w:val="18"/>
                <w:szCs w:val="18"/>
              </w:rPr>
              <w:t>2,729,779</w:t>
            </w:r>
          </w:p>
        </w:tc>
      </w:tr>
      <w:tr w:rsidR="00B040FE" w14:paraId="61967758" w14:textId="77777777" w:rsidTr="005E5E0C">
        <w:trPr>
          <w:trHeight w:val="253"/>
        </w:trPr>
        <w:tc>
          <w:tcPr>
            <w:tcW w:w="6356" w:type="dxa"/>
            <w:tcBorders>
              <w:top w:val="nil"/>
              <w:left w:val="nil"/>
              <w:bottom w:val="nil"/>
              <w:right w:val="nil"/>
            </w:tcBorders>
            <w:shd w:val="clear" w:color="FFFFFF" w:fill="FFFFFF"/>
            <w:noWrap/>
            <w:vAlign w:val="bottom"/>
            <w:hideMark/>
          </w:tcPr>
          <w:p w14:paraId="138A65DD" w14:textId="77777777" w:rsidR="00B040FE" w:rsidRDefault="00B040FE" w:rsidP="0047225D">
            <w:pPr>
              <w:spacing w:after="0"/>
              <w:ind w:firstLineChars="100" w:firstLine="180"/>
              <w:rPr>
                <w:rFonts w:cs="Arial"/>
                <w:sz w:val="18"/>
                <w:szCs w:val="18"/>
              </w:rPr>
            </w:pPr>
            <w:r>
              <w:rPr>
                <w:rFonts w:cs="Arial"/>
                <w:sz w:val="18"/>
                <w:szCs w:val="18"/>
              </w:rPr>
              <w:t>Trade and other receivables</w:t>
            </w:r>
          </w:p>
        </w:tc>
        <w:tc>
          <w:tcPr>
            <w:tcW w:w="1406" w:type="dxa"/>
            <w:tcBorders>
              <w:top w:val="nil"/>
              <w:left w:val="nil"/>
              <w:bottom w:val="nil"/>
              <w:right w:val="nil"/>
            </w:tcBorders>
            <w:shd w:val="clear" w:color="FFFFFF" w:fill="FFFFFF"/>
            <w:noWrap/>
            <w:vAlign w:val="bottom"/>
            <w:hideMark/>
          </w:tcPr>
          <w:p w14:paraId="3F7296B1" w14:textId="77777777" w:rsidR="00B040FE" w:rsidRDefault="00B040FE" w:rsidP="0047225D">
            <w:pPr>
              <w:spacing w:after="0"/>
              <w:jc w:val="right"/>
              <w:rPr>
                <w:rFonts w:cs="Arial"/>
                <w:b/>
                <w:bCs/>
                <w:sz w:val="18"/>
                <w:szCs w:val="18"/>
              </w:rPr>
            </w:pPr>
            <w:r>
              <w:rPr>
                <w:rFonts w:cs="Arial"/>
                <w:b/>
                <w:bCs/>
                <w:sz w:val="18"/>
                <w:szCs w:val="18"/>
              </w:rPr>
              <w:t>99,994</w:t>
            </w:r>
          </w:p>
        </w:tc>
        <w:tc>
          <w:tcPr>
            <w:tcW w:w="236" w:type="dxa"/>
            <w:tcBorders>
              <w:top w:val="nil"/>
              <w:left w:val="nil"/>
              <w:bottom w:val="nil"/>
              <w:right w:val="nil"/>
            </w:tcBorders>
            <w:shd w:val="clear" w:color="FFFFFF" w:fill="FFFFFF"/>
            <w:noWrap/>
            <w:vAlign w:val="bottom"/>
            <w:hideMark/>
          </w:tcPr>
          <w:p w14:paraId="2A0BE21D" w14:textId="77777777" w:rsidR="00B040FE" w:rsidRDefault="00B040FE" w:rsidP="0047225D">
            <w:pPr>
              <w:spacing w:after="0"/>
              <w:rPr>
                <w:rFonts w:cs="Arial"/>
                <w:sz w:val="18"/>
                <w:szCs w:val="18"/>
              </w:rPr>
            </w:pPr>
            <w:r>
              <w:rPr>
                <w:rFonts w:cs="Arial"/>
                <w:sz w:val="18"/>
                <w:szCs w:val="18"/>
              </w:rPr>
              <w:t> </w:t>
            </w:r>
          </w:p>
        </w:tc>
        <w:tc>
          <w:tcPr>
            <w:tcW w:w="1089" w:type="dxa"/>
            <w:tcBorders>
              <w:top w:val="nil"/>
              <w:left w:val="nil"/>
              <w:bottom w:val="nil"/>
              <w:right w:val="nil"/>
            </w:tcBorders>
            <w:shd w:val="clear" w:color="FFFFFF" w:fill="FFFFFF"/>
            <w:noWrap/>
            <w:vAlign w:val="bottom"/>
            <w:hideMark/>
          </w:tcPr>
          <w:p w14:paraId="24EE35E6" w14:textId="77777777" w:rsidR="00B040FE" w:rsidRDefault="00B040FE" w:rsidP="0047225D">
            <w:pPr>
              <w:spacing w:after="0"/>
              <w:jc w:val="right"/>
              <w:rPr>
                <w:rFonts w:cs="Arial"/>
                <w:sz w:val="18"/>
                <w:szCs w:val="18"/>
              </w:rPr>
            </w:pPr>
            <w:r>
              <w:rPr>
                <w:rFonts w:cs="Arial"/>
                <w:sz w:val="18"/>
                <w:szCs w:val="18"/>
              </w:rPr>
              <w:t>113,659</w:t>
            </w:r>
          </w:p>
        </w:tc>
      </w:tr>
      <w:tr w:rsidR="00B040FE" w14:paraId="56B54F48" w14:textId="77777777" w:rsidTr="005E5E0C">
        <w:trPr>
          <w:trHeight w:val="253"/>
        </w:trPr>
        <w:tc>
          <w:tcPr>
            <w:tcW w:w="6356" w:type="dxa"/>
            <w:tcBorders>
              <w:top w:val="nil"/>
              <w:left w:val="nil"/>
              <w:bottom w:val="nil"/>
              <w:right w:val="nil"/>
            </w:tcBorders>
            <w:shd w:val="clear" w:color="FFFFFF" w:fill="FFFFFF"/>
            <w:noWrap/>
            <w:vAlign w:val="bottom"/>
            <w:hideMark/>
          </w:tcPr>
          <w:p w14:paraId="646D4D0C" w14:textId="77777777" w:rsidR="00B040FE" w:rsidRDefault="00B040FE" w:rsidP="0047225D">
            <w:pPr>
              <w:spacing w:after="0"/>
              <w:ind w:firstLineChars="100" w:firstLine="180"/>
              <w:rPr>
                <w:rFonts w:cs="Arial"/>
                <w:sz w:val="18"/>
                <w:szCs w:val="18"/>
              </w:rPr>
            </w:pPr>
            <w:r>
              <w:rPr>
                <w:rFonts w:cs="Arial"/>
                <w:sz w:val="18"/>
                <w:szCs w:val="18"/>
              </w:rPr>
              <w:t>Other financial assets</w:t>
            </w:r>
          </w:p>
        </w:tc>
        <w:tc>
          <w:tcPr>
            <w:tcW w:w="1406" w:type="dxa"/>
            <w:tcBorders>
              <w:top w:val="nil"/>
              <w:left w:val="nil"/>
              <w:bottom w:val="nil"/>
              <w:right w:val="nil"/>
            </w:tcBorders>
            <w:shd w:val="clear" w:color="FFFFFF" w:fill="FFFFFF"/>
            <w:noWrap/>
            <w:vAlign w:val="bottom"/>
            <w:hideMark/>
          </w:tcPr>
          <w:p w14:paraId="5031BCA5" w14:textId="77777777" w:rsidR="00B040FE" w:rsidRDefault="00B040FE" w:rsidP="0047225D">
            <w:pPr>
              <w:spacing w:after="0"/>
              <w:jc w:val="right"/>
              <w:rPr>
                <w:rFonts w:cs="Arial"/>
                <w:b/>
                <w:bCs/>
                <w:sz w:val="18"/>
                <w:szCs w:val="18"/>
              </w:rPr>
            </w:pPr>
            <w:r>
              <w:rPr>
                <w:rFonts w:cs="Arial"/>
                <w:b/>
                <w:bCs/>
                <w:sz w:val="18"/>
                <w:szCs w:val="18"/>
              </w:rPr>
              <w:t>-</w:t>
            </w:r>
          </w:p>
        </w:tc>
        <w:tc>
          <w:tcPr>
            <w:tcW w:w="236" w:type="dxa"/>
            <w:tcBorders>
              <w:top w:val="nil"/>
              <w:left w:val="nil"/>
              <w:bottom w:val="nil"/>
              <w:right w:val="nil"/>
            </w:tcBorders>
            <w:shd w:val="clear" w:color="FFFFFF" w:fill="FFFFFF"/>
            <w:noWrap/>
            <w:vAlign w:val="bottom"/>
            <w:hideMark/>
          </w:tcPr>
          <w:p w14:paraId="1F1EE660" w14:textId="77777777" w:rsidR="00B040FE" w:rsidRDefault="00B040FE" w:rsidP="0047225D">
            <w:pPr>
              <w:spacing w:after="0"/>
              <w:rPr>
                <w:rFonts w:cs="Arial"/>
                <w:sz w:val="18"/>
                <w:szCs w:val="18"/>
              </w:rPr>
            </w:pPr>
            <w:r>
              <w:rPr>
                <w:rFonts w:cs="Arial"/>
                <w:sz w:val="18"/>
                <w:szCs w:val="18"/>
              </w:rPr>
              <w:t> </w:t>
            </w:r>
          </w:p>
        </w:tc>
        <w:tc>
          <w:tcPr>
            <w:tcW w:w="1089" w:type="dxa"/>
            <w:tcBorders>
              <w:top w:val="nil"/>
              <w:left w:val="nil"/>
              <w:bottom w:val="nil"/>
              <w:right w:val="nil"/>
            </w:tcBorders>
            <w:shd w:val="clear" w:color="FFFFFF" w:fill="FFFFFF"/>
            <w:noWrap/>
            <w:vAlign w:val="bottom"/>
            <w:hideMark/>
          </w:tcPr>
          <w:p w14:paraId="7F78C1F2" w14:textId="77777777" w:rsidR="00B040FE" w:rsidRDefault="00B040FE" w:rsidP="0047225D">
            <w:pPr>
              <w:spacing w:after="0"/>
              <w:jc w:val="right"/>
              <w:rPr>
                <w:rFonts w:cs="Arial"/>
                <w:sz w:val="18"/>
                <w:szCs w:val="18"/>
              </w:rPr>
            </w:pPr>
            <w:r>
              <w:rPr>
                <w:rFonts w:cs="Arial"/>
                <w:sz w:val="18"/>
                <w:szCs w:val="18"/>
              </w:rPr>
              <w:t>1,500,000</w:t>
            </w:r>
          </w:p>
        </w:tc>
      </w:tr>
      <w:tr w:rsidR="00B040FE" w14:paraId="2E8B896A" w14:textId="77777777" w:rsidTr="005E5E0C">
        <w:trPr>
          <w:trHeight w:val="253"/>
        </w:trPr>
        <w:tc>
          <w:tcPr>
            <w:tcW w:w="6356" w:type="dxa"/>
            <w:tcBorders>
              <w:top w:val="nil"/>
              <w:left w:val="nil"/>
              <w:bottom w:val="nil"/>
              <w:right w:val="nil"/>
            </w:tcBorders>
            <w:shd w:val="clear" w:color="FFFFFF" w:fill="FFFFFF"/>
            <w:noWrap/>
            <w:vAlign w:val="bottom"/>
            <w:hideMark/>
          </w:tcPr>
          <w:p w14:paraId="04AF6C6E" w14:textId="77777777" w:rsidR="00B040FE" w:rsidRDefault="00B040FE" w:rsidP="0047225D">
            <w:pPr>
              <w:spacing w:after="0"/>
              <w:ind w:firstLineChars="100" w:firstLine="180"/>
              <w:rPr>
                <w:rFonts w:cs="Arial"/>
                <w:sz w:val="18"/>
                <w:szCs w:val="18"/>
              </w:rPr>
            </w:pPr>
            <w:r>
              <w:rPr>
                <w:rFonts w:cs="Arial"/>
                <w:sz w:val="18"/>
                <w:szCs w:val="18"/>
              </w:rPr>
              <w:t>Other non-financial assets</w:t>
            </w:r>
          </w:p>
        </w:tc>
        <w:tc>
          <w:tcPr>
            <w:tcW w:w="1406" w:type="dxa"/>
            <w:tcBorders>
              <w:top w:val="nil"/>
              <w:left w:val="nil"/>
              <w:bottom w:val="nil"/>
              <w:right w:val="nil"/>
            </w:tcBorders>
            <w:shd w:val="clear" w:color="FFFFFF" w:fill="FFFFFF"/>
            <w:noWrap/>
            <w:vAlign w:val="bottom"/>
            <w:hideMark/>
          </w:tcPr>
          <w:p w14:paraId="58DF6152" w14:textId="77777777" w:rsidR="00B040FE" w:rsidRDefault="00B040FE" w:rsidP="0047225D">
            <w:pPr>
              <w:spacing w:after="0"/>
              <w:jc w:val="right"/>
              <w:rPr>
                <w:rFonts w:cs="Arial"/>
                <w:b/>
                <w:bCs/>
                <w:sz w:val="18"/>
                <w:szCs w:val="18"/>
              </w:rPr>
            </w:pPr>
            <w:r>
              <w:rPr>
                <w:rFonts w:cs="Arial"/>
                <w:b/>
                <w:bCs/>
                <w:sz w:val="18"/>
                <w:szCs w:val="18"/>
              </w:rPr>
              <w:t>30,264</w:t>
            </w:r>
          </w:p>
        </w:tc>
        <w:tc>
          <w:tcPr>
            <w:tcW w:w="236" w:type="dxa"/>
            <w:tcBorders>
              <w:top w:val="nil"/>
              <w:left w:val="nil"/>
              <w:bottom w:val="nil"/>
              <w:right w:val="nil"/>
            </w:tcBorders>
            <w:shd w:val="clear" w:color="FFFFFF" w:fill="FFFFFF"/>
            <w:noWrap/>
            <w:vAlign w:val="bottom"/>
            <w:hideMark/>
          </w:tcPr>
          <w:p w14:paraId="0CA56AD2" w14:textId="77777777" w:rsidR="00B040FE" w:rsidRDefault="00B040FE" w:rsidP="0047225D">
            <w:pPr>
              <w:spacing w:after="0"/>
              <w:rPr>
                <w:rFonts w:cs="Arial"/>
                <w:sz w:val="18"/>
                <w:szCs w:val="18"/>
              </w:rPr>
            </w:pPr>
            <w:r>
              <w:rPr>
                <w:rFonts w:cs="Arial"/>
                <w:sz w:val="18"/>
                <w:szCs w:val="18"/>
              </w:rPr>
              <w:t> </w:t>
            </w:r>
          </w:p>
        </w:tc>
        <w:tc>
          <w:tcPr>
            <w:tcW w:w="1089" w:type="dxa"/>
            <w:tcBorders>
              <w:top w:val="nil"/>
              <w:left w:val="nil"/>
              <w:bottom w:val="nil"/>
              <w:right w:val="nil"/>
            </w:tcBorders>
            <w:shd w:val="clear" w:color="FFFFFF" w:fill="FFFFFF"/>
            <w:noWrap/>
            <w:vAlign w:val="bottom"/>
            <w:hideMark/>
          </w:tcPr>
          <w:p w14:paraId="40FFC092" w14:textId="77777777" w:rsidR="00B040FE" w:rsidRDefault="00B040FE" w:rsidP="0047225D">
            <w:pPr>
              <w:spacing w:after="0"/>
              <w:jc w:val="right"/>
              <w:rPr>
                <w:rFonts w:cs="Arial"/>
                <w:sz w:val="18"/>
                <w:szCs w:val="18"/>
              </w:rPr>
            </w:pPr>
            <w:r>
              <w:rPr>
                <w:rFonts w:cs="Arial"/>
                <w:sz w:val="18"/>
                <w:szCs w:val="18"/>
              </w:rPr>
              <w:t>26,619</w:t>
            </w:r>
          </w:p>
        </w:tc>
      </w:tr>
      <w:tr w:rsidR="00B040FE" w14:paraId="662C66E5" w14:textId="77777777" w:rsidTr="005E5E0C">
        <w:trPr>
          <w:trHeight w:val="253"/>
        </w:trPr>
        <w:tc>
          <w:tcPr>
            <w:tcW w:w="6356" w:type="dxa"/>
            <w:tcBorders>
              <w:top w:val="nil"/>
              <w:left w:val="nil"/>
              <w:bottom w:val="nil"/>
              <w:right w:val="nil"/>
            </w:tcBorders>
            <w:shd w:val="clear" w:color="FFFFFF" w:fill="FFFFFF"/>
            <w:vAlign w:val="bottom"/>
            <w:hideMark/>
          </w:tcPr>
          <w:p w14:paraId="3A238252" w14:textId="77777777" w:rsidR="00B040FE" w:rsidRDefault="00B040FE" w:rsidP="0047225D">
            <w:pPr>
              <w:spacing w:after="0"/>
              <w:rPr>
                <w:rFonts w:cs="Arial"/>
                <w:b/>
                <w:bCs/>
                <w:sz w:val="18"/>
                <w:szCs w:val="18"/>
              </w:rPr>
            </w:pPr>
            <w:r>
              <w:rPr>
                <w:rFonts w:cs="Arial"/>
                <w:b/>
                <w:bCs/>
                <w:sz w:val="18"/>
                <w:szCs w:val="18"/>
              </w:rPr>
              <w:t>Total no more than 12 months</w:t>
            </w:r>
          </w:p>
        </w:tc>
        <w:tc>
          <w:tcPr>
            <w:tcW w:w="1406" w:type="dxa"/>
            <w:tcBorders>
              <w:top w:val="single" w:sz="4" w:space="0" w:color="auto"/>
              <w:left w:val="nil"/>
              <w:bottom w:val="single" w:sz="4" w:space="0" w:color="auto"/>
              <w:right w:val="nil"/>
            </w:tcBorders>
            <w:shd w:val="clear" w:color="FFFFFF" w:fill="FFFFFF"/>
            <w:noWrap/>
            <w:vAlign w:val="bottom"/>
            <w:hideMark/>
          </w:tcPr>
          <w:p w14:paraId="7F4B6352" w14:textId="77777777" w:rsidR="00B040FE" w:rsidRDefault="00B040FE" w:rsidP="0047225D">
            <w:pPr>
              <w:spacing w:after="0"/>
              <w:jc w:val="right"/>
              <w:rPr>
                <w:rFonts w:cs="Arial"/>
                <w:b/>
                <w:bCs/>
                <w:sz w:val="18"/>
                <w:szCs w:val="18"/>
              </w:rPr>
            </w:pPr>
            <w:r>
              <w:rPr>
                <w:rFonts w:cs="Arial"/>
                <w:b/>
                <w:bCs/>
                <w:sz w:val="18"/>
                <w:szCs w:val="18"/>
              </w:rPr>
              <w:t>5,789,806</w:t>
            </w:r>
          </w:p>
        </w:tc>
        <w:tc>
          <w:tcPr>
            <w:tcW w:w="236" w:type="dxa"/>
            <w:tcBorders>
              <w:top w:val="nil"/>
              <w:left w:val="nil"/>
              <w:bottom w:val="nil"/>
              <w:right w:val="nil"/>
            </w:tcBorders>
            <w:shd w:val="clear" w:color="FFFFFF" w:fill="FFFFFF"/>
            <w:noWrap/>
            <w:vAlign w:val="bottom"/>
            <w:hideMark/>
          </w:tcPr>
          <w:p w14:paraId="0A2E3156" w14:textId="77777777" w:rsidR="00B040FE" w:rsidRDefault="00B040FE" w:rsidP="0047225D">
            <w:pPr>
              <w:spacing w:after="0"/>
              <w:rPr>
                <w:rFonts w:cs="Arial"/>
                <w:sz w:val="18"/>
                <w:szCs w:val="18"/>
              </w:rPr>
            </w:pPr>
            <w:r>
              <w:rPr>
                <w:rFonts w:cs="Arial"/>
                <w:sz w:val="18"/>
                <w:szCs w:val="18"/>
              </w:rPr>
              <w:t> </w:t>
            </w:r>
          </w:p>
        </w:tc>
        <w:tc>
          <w:tcPr>
            <w:tcW w:w="1089" w:type="dxa"/>
            <w:tcBorders>
              <w:top w:val="single" w:sz="4" w:space="0" w:color="auto"/>
              <w:left w:val="nil"/>
              <w:bottom w:val="single" w:sz="4" w:space="0" w:color="auto"/>
              <w:right w:val="nil"/>
            </w:tcBorders>
            <w:shd w:val="clear" w:color="FFFFFF" w:fill="FFFFFF"/>
            <w:noWrap/>
            <w:vAlign w:val="bottom"/>
            <w:hideMark/>
          </w:tcPr>
          <w:p w14:paraId="29275D20" w14:textId="77777777" w:rsidR="00B040FE" w:rsidRDefault="00B040FE" w:rsidP="0047225D">
            <w:pPr>
              <w:spacing w:after="0"/>
              <w:jc w:val="right"/>
              <w:rPr>
                <w:rFonts w:cs="Arial"/>
                <w:sz w:val="18"/>
                <w:szCs w:val="18"/>
              </w:rPr>
            </w:pPr>
            <w:r>
              <w:rPr>
                <w:rFonts w:cs="Arial"/>
                <w:sz w:val="18"/>
                <w:szCs w:val="18"/>
              </w:rPr>
              <w:t>4,370,057</w:t>
            </w:r>
          </w:p>
        </w:tc>
      </w:tr>
      <w:tr w:rsidR="00B040FE" w14:paraId="5127379F" w14:textId="77777777" w:rsidTr="005E5E0C">
        <w:trPr>
          <w:trHeight w:val="253"/>
        </w:trPr>
        <w:tc>
          <w:tcPr>
            <w:tcW w:w="6356" w:type="dxa"/>
            <w:tcBorders>
              <w:top w:val="nil"/>
              <w:left w:val="nil"/>
              <w:bottom w:val="nil"/>
              <w:right w:val="nil"/>
            </w:tcBorders>
            <w:shd w:val="clear" w:color="FFFFFF" w:fill="FFFFFF"/>
            <w:vAlign w:val="bottom"/>
            <w:hideMark/>
          </w:tcPr>
          <w:p w14:paraId="507449F7" w14:textId="77777777" w:rsidR="00B040FE" w:rsidRDefault="00B040FE" w:rsidP="0047225D">
            <w:pPr>
              <w:spacing w:after="0"/>
              <w:rPr>
                <w:rFonts w:cs="Arial"/>
                <w:b/>
                <w:bCs/>
                <w:sz w:val="18"/>
                <w:szCs w:val="18"/>
              </w:rPr>
            </w:pPr>
            <w:r>
              <w:rPr>
                <w:rFonts w:cs="Arial"/>
                <w:b/>
                <w:bCs/>
                <w:sz w:val="18"/>
                <w:szCs w:val="18"/>
              </w:rPr>
              <w:t> </w:t>
            </w:r>
          </w:p>
        </w:tc>
        <w:tc>
          <w:tcPr>
            <w:tcW w:w="1406" w:type="dxa"/>
            <w:tcBorders>
              <w:top w:val="nil"/>
              <w:left w:val="nil"/>
              <w:bottom w:val="nil"/>
              <w:right w:val="nil"/>
            </w:tcBorders>
            <w:shd w:val="clear" w:color="FFFFFF" w:fill="FFFFFF"/>
            <w:noWrap/>
            <w:vAlign w:val="bottom"/>
            <w:hideMark/>
          </w:tcPr>
          <w:p w14:paraId="18465C5A" w14:textId="77777777" w:rsidR="00B040FE" w:rsidRDefault="00B040FE" w:rsidP="0047225D">
            <w:pPr>
              <w:spacing w:after="0"/>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5E51B772" w14:textId="77777777" w:rsidR="00B040FE" w:rsidRDefault="00B040FE" w:rsidP="0047225D">
            <w:pPr>
              <w:spacing w:after="0"/>
              <w:rPr>
                <w:rFonts w:cs="Arial"/>
                <w:sz w:val="18"/>
                <w:szCs w:val="18"/>
              </w:rPr>
            </w:pPr>
            <w:r>
              <w:rPr>
                <w:rFonts w:cs="Arial"/>
                <w:sz w:val="18"/>
                <w:szCs w:val="18"/>
              </w:rPr>
              <w:t> </w:t>
            </w:r>
          </w:p>
        </w:tc>
        <w:tc>
          <w:tcPr>
            <w:tcW w:w="1089" w:type="dxa"/>
            <w:tcBorders>
              <w:top w:val="nil"/>
              <w:left w:val="nil"/>
              <w:bottom w:val="nil"/>
              <w:right w:val="nil"/>
            </w:tcBorders>
            <w:shd w:val="clear" w:color="FFFFFF" w:fill="FFFFFF"/>
            <w:noWrap/>
            <w:vAlign w:val="bottom"/>
            <w:hideMark/>
          </w:tcPr>
          <w:p w14:paraId="7FF76694" w14:textId="77777777" w:rsidR="00B040FE" w:rsidRDefault="00B040FE" w:rsidP="0047225D">
            <w:pPr>
              <w:spacing w:after="0"/>
              <w:rPr>
                <w:rFonts w:cs="Arial"/>
                <w:sz w:val="18"/>
                <w:szCs w:val="18"/>
              </w:rPr>
            </w:pPr>
            <w:r>
              <w:rPr>
                <w:rFonts w:cs="Arial"/>
                <w:sz w:val="18"/>
                <w:szCs w:val="18"/>
              </w:rPr>
              <w:t> </w:t>
            </w:r>
          </w:p>
        </w:tc>
      </w:tr>
      <w:tr w:rsidR="00B040FE" w14:paraId="28BE4865" w14:textId="77777777" w:rsidTr="005E5E0C">
        <w:trPr>
          <w:trHeight w:val="253"/>
        </w:trPr>
        <w:tc>
          <w:tcPr>
            <w:tcW w:w="6356" w:type="dxa"/>
            <w:tcBorders>
              <w:top w:val="nil"/>
              <w:left w:val="nil"/>
              <w:bottom w:val="nil"/>
              <w:right w:val="nil"/>
            </w:tcBorders>
            <w:shd w:val="clear" w:color="FFFFFF" w:fill="FFFFFF"/>
            <w:vAlign w:val="bottom"/>
            <w:hideMark/>
          </w:tcPr>
          <w:p w14:paraId="688DB257" w14:textId="77777777" w:rsidR="00B040FE" w:rsidRDefault="00B040FE" w:rsidP="0047225D">
            <w:pPr>
              <w:spacing w:after="0"/>
              <w:rPr>
                <w:rFonts w:cs="Arial"/>
                <w:b/>
                <w:bCs/>
                <w:sz w:val="18"/>
                <w:szCs w:val="18"/>
              </w:rPr>
            </w:pPr>
            <w:r>
              <w:rPr>
                <w:rFonts w:cs="Arial"/>
                <w:b/>
                <w:bCs/>
                <w:sz w:val="18"/>
                <w:szCs w:val="18"/>
              </w:rPr>
              <w:t>More than 12 months</w:t>
            </w:r>
          </w:p>
        </w:tc>
        <w:tc>
          <w:tcPr>
            <w:tcW w:w="1406" w:type="dxa"/>
            <w:tcBorders>
              <w:top w:val="nil"/>
              <w:left w:val="nil"/>
              <w:bottom w:val="nil"/>
              <w:right w:val="nil"/>
            </w:tcBorders>
            <w:shd w:val="clear" w:color="FFFFFF" w:fill="FFFFFF"/>
            <w:noWrap/>
            <w:vAlign w:val="bottom"/>
            <w:hideMark/>
          </w:tcPr>
          <w:p w14:paraId="1EFF9CCF" w14:textId="77777777" w:rsidR="00B040FE" w:rsidRDefault="00B040FE" w:rsidP="0047225D">
            <w:pPr>
              <w:spacing w:after="0"/>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4F2F6593" w14:textId="77777777" w:rsidR="00B040FE" w:rsidRDefault="00B040FE" w:rsidP="0047225D">
            <w:pPr>
              <w:spacing w:after="0"/>
              <w:rPr>
                <w:rFonts w:cs="Arial"/>
                <w:sz w:val="18"/>
                <w:szCs w:val="18"/>
              </w:rPr>
            </w:pPr>
            <w:r>
              <w:rPr>
                <w:rFonts w:cs="Arial"/>
                <w:sz w:val="18"/>
                <w:szCs w:val="18"/>
              </w:rPr>
              <w:t> </w:t>
            </w:r>
          </w:p>
        </w:tc>
        <w:tc>
          <w:tcPr>
            <w:tcW w:w="1089" w:type="dxa"/>
            <w:tcBorders>
              <w:top w:val="nil"/>
              <w:left w:val="nil"/>
              <w:bottom w:val="nil"/>
              <w:right w:val="nil"/>
            </w:tcBorders>
            <w:shd w:val="clear" w:color="FFFFFF" w:fill="FFFFFF"/>
            <w:noWrap/>
            <w:vAlign w:val="bottom"/>
            <w:hideMark/>
          </w:tcPr>
          <w:p w14:paraId="685890F7" w14:textId="77777777" w:rsidR="00B040FE" w:rsidRDefault="00B040FE" w:rsidP="0047225D">
            <w:pPr>
              <w:spacing w:after="0"/>
              <w:rPr>
                <w:rFonts w:cs="Arial"/>
                <w:sz w:val="18"/>
                <w:szCs w:val="18"/>
              </w:rPr>
            </w:pPr>
            <w:r>
              <w:rPr>
                <w:rFonts w:cs="Arial"/>
                <w:sz w:val="18"/>
                <w:szCs w:val="18"/>
              </w:rPr>
              <w:t> </w:t>
            </w:r>
          </w:p>
        </w:tc>
      </w:tr>
      <w:tr w:rsidR="00B040FE" w14:paraId="0920EDAE" w14:textId="77777777" w:rsidTr="005E5E0C">
        <w:trPr>
          <w:trHeight w:val="253"/>
        </w:trPr>
        <w:tc>
          <w:tcPr>
            <w:tcW w:w="6356" w:type="dxa"/>
            <w:tcBorders>
              <w:top w:val="nil"/>
              <w:left w:val="nil"/>
              <w:bottom w:val="nil"/>
              <w:right w:val="nil"/>
            </w:tcBorders>
            <w:shd w:val="clear" w:color="FFFFFF" w:fill="FFFFFF"/>
            <w:noWrap/>
            <w:vAlign w:val="bottom"/>
            <w:hideMark/>
          </w:tcPr>
          <w:p w14:paraId="26EC1D6A" w14:textId="77777777" w:rsidR="00B040FE" w:rsidRDefault="00B040FE" w:rsidP="0047225D">
            <w:pPr>
              <w:spacing w:after="0"/>
              <w:ind w:firstLineChars="100" w:firstLine="180"/>
              <w:rPr>
                <w:rFonts w:cs="Arial"/>
                <w:sz w:val="18"/>
                <w:szCs w:val="18"/>
              </w:rPr>
            </w:pPr>
            <w:r>
              <w:rPr>
                <w:rFonts w:cs="Arial"/>
                <w:sz w:val="18"/>
                <w:szCs w:val="18"/>
              </w:rPr>
              <w:t>Buildings</w:t>
            </w:r>
          </w:p>
        </w:tc>
        <w:tc>
          <w:tcPr>
            <w:tcW w:w="1406" w:type="dxa"/>
            <w:tcBorders>
              <w:top w:val="nil"/>
              <w:left w:val="nil"/>
              <w:bottom w:val="nil"/>
              <w:right w:val="nil"/>
            </w:tcBorders>
            <w:shd w:val="clear" w:color="FFFFFF" w:fill="FFFFFF"/>
            <w:noWrap/>
            <w:vAlign w:val="bottom"/>
            <w:hideMark/>
          </w:tcPr>
          <w:p w14:paraId="4B31335D" w14:textId="77777777" w:rsidR="00B040FE" w:rsidRDefault="00B040FE" w:rsidP="0047225D">
            <w:pPr>
              <w:spacing w:after="0"/>
              <w:jc w:val="right"/>
              <w:rPr>
                <w:rFonts w:cs="Arial"/>
                <w:b/>
                <w:bCs/>
                <w:sz w:val="18"/>
                <w:szCs w:val="18"/>
              </w:rPr>
            </w:pPr>
            <w:r>
              <w:rPr>
                <w:rFonts w:cs="Arial"/>
                <w:b/>
                <w:bCs/>
                <w:sz w:val="18"/>
                <w:szCs w:val="18"/>
              </w:rPr>
              <w:t>237,892</w:t>
            </w:r>
          </w:p>
        </w:tc>
        <w:tc>
          <w:tcPr>
            <w:tcW w:w="236" w:type="dxa"/>
            <w:tcBorders>
              <w:top w:val="nil"/>
              <w:left w:val="nil"/>
              <w:bottom w:val="nil"/>
              <w:right w:val="nil"/>
            </w:tcBorders>
            <w:shd w:val="clear" w:color="FFFFFF" w:fill="FFFFFF"/>
            <w:noWrap/>
            <w:vAlign w:val="bottom"/>
            <w:hideMark/>
          </w:tcPr>
          <w:p w14:paraId="398C580B" w14:textId="77777777" w:rsidR="00B040FE" w:rsidRDefault="00B040FE" w:rsidP="0047225D">
            <w:pPr>
              <w:spacing w:after="0"/>
              <w:rPr>
                <w:rFonts w:cs="Arial"/>
                <w:sz w:val="18"/>
                <w:szCs w:val="18"/>
              </w:rPr>
            </w:pPr>
            <w:r>
              <w:rPr>
                <w:rFonts w:cs="Arial"/>
                <w:sz w:val="18"/>
                <w:szCs w:val="18"/>
              </w:rPr>
              <w:t> </w:t>
            </w:r>
          </w:p>
        </w:tc>
        <w:tc>
          <w:tcPr>
            <w:tcW w:w="1089" w:type="dxa"/>
            <w:tcBorders>
              <w:top w:val="nil"/>
              <w:left w:val="nil"/>
              <w:bottom w:val="nil"/>
              <w:right w:val="nil"/>
            </w:tcBorders>
            <w:shd w:val="clear" w:color="FFFFFF" w:fill="FFFFFF"/>
            <w:noWrap/>
            <w:vAlign w:val="bottom"/>
            <w:hideMark/>
          </w:tcPr>
          <w:p w14:paraId="581A6EFE" w14:textId="77777777" w:rsidR="00B040FE" w:rsidRDefault="00B040FE" w:rsidP="0047225D">
            <w:pPr>
              <w:spacing w:after="0"/>
              <w:jc w:val="right"/>
              <w:rPr>
                <w:rFonts w:cs="Arial"/>
                <w:sz w:val="18"/>
                <w:szCs w:val="18"/>
              </w:rPr>
            </w:pPr>
            <w:r>
              <w:rPr>
                <w:rFonts w:cs="Arial"/>
                <w:sz w:val="18"/>
                <w:szCs w:val="18"/>
              </w:rPr>
              <w:t>223,813</w:t>
            </w:r>
          </w:p>
        </w:tc>
      </w:tr>
      <w:tr w:rsidR="00B040FE" w14:paraId="566409EB" w14:textId="77777777" w:rsidTr="005E5E0C">
        <w:trPr>
          <w:trHeight w:val="253"/>
        </w:trPr>
        <w:tc>
          <w:tcPr>
            <w:tcW w:w="6356" w:type="dxa"/>
            <w:tcBorders>
              <w:top w:val="nil"/>
              <w:left w:val="nil"/>
              <w:bottom w:val="nil"/>
              <w:right w:val="nil"/>
            </w:tcBorders>
            <w:shd w:val="clear" w:color="FFFFFF" w:fill="FFFFFF"/>
            <w:noWrap/>
            <w:vAlign w:val="bottom"/>
            <w:hideMark/>
          </w:tcPr>
          <w:p w14:paraId="4F4AD2CC" w14:textId="77777777" w:rsidR="00B040FE" w:rsidRDefault="00B040FE" w:rsidP="0047225D">
            <w:pPr>
              <w:spacing w:after="0"/>
              <w:ind w:firstLineChars="100" w:firstLine="180"/>
              <w:rPr>
                <w:rFonts w:cs="Arial"/>
                <w:sz w:val="18"/>
                <w:szCs w:val="18"/>
              </w:rPr>
            </w:pPr>
            <w:r>
              <w:rPr>
                <w:rFonts w:cs="Arial"/>
                <w:sz w:val="18"/>
                <w:szCs w:val="18"/>
              </w:rPr>
              <w:t>Plant and equipment</w:t>
            </w:r>
          </w:p>
        </w:tc>
        <w:tc>
          <w:tcPr>
            <w:tcW w:w="1406" w:type="dxa"/>
            <w:tcBorders>
              <w:top w:val="nil"/>
              <w:left w:val="nil"/>
              <w:bottom w:val="nil"/>
              <w:right w:val="nil"/>
            </w:tcBorders>
            <w:shd w:val="clear" w:color="FFFFFF" w:fill="FFFFFF"/>
            <w:noWrap/>
            <w:vAlign w:val="bottom"/>
            <w:hideMark/>
          </w:tcPr>
          <w:p w14:paraId="0485CADB" w14:textId="77777777" w:rsidR="00B040FE" w:rsidRDefault="00B040FE" w:rsidP="0047225D">
            <w:pPr>
              <w:spacing w:after="0"/>
              <w:jc w:val="right"/>
              <w:rPr>
                <w:rFonts w:cs="Arial"/>
                <w:b/>
                <w:bCs/>
                <w:sz w:val="18"/>
                <w:szCs w:val="18"/>
              </w:rPr>
            </w:pPr>
            <w:r>
              <w:rPr>
                <w:rFonts w:cs="Arial"/>
                <w:b/>
                <w:bCs/>
                <w:sz w:val="18"/>
                <w:szCs w:val="18"/>
              </w:rPr>
              <w:t>9,364</w:t>
            </w:r>
          </w:p>
        </w:tc>
        <w:tc>
          <w:tcPr>
            <w:tcW w:w="236" w:type="dxa"/>
            <w:tcBorders>
              <w:top w:val="nil"/>
              <w:left w:val="nil"/>
              <w:bottom w:val="nil"/>
              <w:right w:val="nil"/>
            </w:tcBorders>
            <w:shd w:val="clear" w:color="FFFFFF" w:fill="FFFFFF"/>
            <w:noWrap/>
            <w:vAlign w:val="bottom"/>
            <w:hideMark/>
          </w:tcPr>
          <w:p w14:paraId="1BC3F8DF" w14:textId="77777777" w:rsidR="00B040FE" w:rsidRDefault="00B040FE" w:rsidP="0047225D">
            <w:pPr>
              <w:spacing w:after="0"/>
              <w:rPr>
                <w:rFonts w:cs="Arial"/>
                <w:sz w:val="18"/>
                <w:szCs w:val="18"/>
              </w:rPr>
            </w:pPr>
            <w:r>
              <w:rPr>
                <w:rFonts w:cs="Arial"/>
                <w:sz w:val="18"/>
                <w:szCs w:val="18"/>
              </w:rPr>
              <w:t> </w:t>
            </w:r>
          </w:p>
        </w:tc>
        <w:tc>
          <w:tcPr>
            <w:tcW w:w="1089" w:type="dxa"/>
            <w:tcBorders>
              <w:top w:val="nil"/>
              <w:left w:val="nil"/>
              <w:bottom w:val="nil"/>
              <w:right w:val="nil"/>
            </w:tcBorders>
            <w:shd w:val="clear" w:color="FFFFFF" w:fill="FFFFFF"/>
            <w:noWrap/>
            <w:vAlign w:val="bottom"/>
            <w:hideMark/>
          </w:tcPr>
          <w:p w14:paraId="482F3729" w14:textId="77777777" w:rsidR="00B040FE" w:rsidRDefault="00B040FE" w:rsidP="0047225D">
            <w:pPr>
              <w:spacing w:after="0"/>
              <w:jc w:val="right"/>
              <w:rPr>
                <w:rFonts w:cs="Arial"/>
                <w:sz w:val="18"/>
                <w:szCs w:val="18"/>
              </w:rPr>
            </w:pPr>
            <w:r>
              <w:rPr>
                <w:rFonts w:cs="Arial"/>
                <w:sz w:val="18"/>
                <w:szCs w:val="18"/>
              </w:rPr>
              <w:t>9,048</w:t>
            </w:r>
          </w:p>
        </w:tc>
      </w:tr>
      <w:tr w:rsidR="00B040FE" w14:paraId="5360ABD8" w14:textId="77777777" w:rsidTr="005E5E0C">
        <w:trPr>
          <w:trHeight w:val="253"/>
        </w:trPr>
        <w:tc>
          <w:tcPr>
            <w:tcW w:w="6356" w:type="dxa"/>
            <w:tcBorders>
              <w:top w:val="nil"/>
              <w:left w:val="nil"/>
              <w:bottom w:val="nil"/>
              <w:right w:val="nil"/>
            </w:tcBorders>
            <w:shd w:val="clear" w:color="FFFFFF" w:fill="FFFFFF"/>
            <w:noWrap/>
            <w:vAlign w:val="bottom"/>
            <w:hideMark/>
          </w:tcPr>
          <w:p w14:paraId="56DD5709" w14:textId="77777777" w:rsidR="00B040FE" w:rsidRDefault="00B040FE" w:rsidP="0047225D">
            <w:pPr>
              <w:spacing w:after="0"/>
              <w:ind w:firstLineChars="100" w:firstLine="180"/>
              <w:rPr>
                <w:rFonts w:cs="Arial"/>
                <w:sz w:val="18"/>
                <w:szCs w:val="18"/>
              </w:rPr>
            </w:pPr>
            <w:r>
              <w:rPr>
                <w:rFonts w:cs="Arial"/>
                <w:sz w:val="18"/>
                <w:szCs w:val="18"/>
              </w:rPr>
              <w:t>Other non-financial assets</w:t>
            </w:r>
          </w:p>
        </w:tc>
        <w:tc>
          <w:tcPr>
            <w:tcW w:w="1406" w:type="dxa"/>
            <w:tcBorders>
              <w:top w:val="nil"/>
              <w:left w:val="nil"/>
              <w:bottom w:val="nil"/>
              <w:right w:val="nil"/>
            </w:tcBorders>
            <w:shd w:val="clear" w:color="FFFFFF" w:fill="FFFFFF"/>
            <w:noWrap/>
            <w:vAlign w:val="bottom"/>
            <w:hideMark/>
          </w:tcPr>
          <w:p w14:paraId="0460C5DF" w14:textId="77777777" w:rsidR="00B040FE" w:rsidRDefault="00B040FE" w:rsidP="0047225D">
            <w:pPr>
              <w:spacing w:after="0"/>
              <w:jc w:val="right"/>
              <w:rPr>
                <w:rFonts w:cs="Arial"/>
                <w:b/>
                <w:bCs/>
                <w:sz w:val="18"/>
                <w:szCs w:val="18"/>
              </w:rPr>
            </w:pPr>
            <w:r>
              <w:rPr>
                <w:rFonts w:cs="Arial"/>
                <w:b/>
                <w:bCs/>
                <w:sz w:val="18"/>
                <w:szCs w:val="18"/>
              </w:rPr>
              <w:t>-</w:t>
            </w:r>
          </w:p>
        </w:tc>
        <w:tc>
          <w:tcPr>
            <w:tcW w:w="236" w:type="dxa"/>
            <w:tcBorders>
              <w:top w:val="nil"/>
              <w:left w:val="nil"/>
              <w:bottom w:val="nil"/>
              <w:right w:val="nil"/>
            </w:tcBorders>
            <w:shd w:val="clear" w:color="FFFFFF" w:fill="FFFFFF"/>
            <w:noWrap/>
            <w:vAlign w:val="bottom"/>
            <w:hideMark/>
          </w:tcPr>
          <w:p w14:paraId="0F93A813" w14:textId="77777777" w:rsidR="00B040FE" w:rsidRDefault="00B040FE" w:rsidP="0047225D">
            <w:pPr>
              <w:spacing w:after="0"/>
              <w:rPr>
                <w:rFonts w:cs="Arial"/>
                <w:sz w:val="18"/>
                <w:szCs w:val="18"/>
              </w:rPr>
            </w:pPr>
            <w:r>
              <w:rPr>
                <w:rFonts w:cs="Arial"/>
                <w:sz w:val="18"/>
                <w:szCs w:val="18"/>
              </w:rPr>
              <w:t> </w:t>
            </w:r>
          </w:p>
        </w:tc>
        <w:tc>
          <w:tcPr>
            <w:tcW w:w="1089" w:type="dxa"/>
            <w:tcBorders>
              <w:top w:val="nil"/>
              <w:left w:val="nil"/>
              <w:bottom w:val="nil"/>
              <w:right w:val="nil"/>
            </w:tcBorders>
            <w:shd w:val="clear" w:color="FFFFFF" w:fill="FFFFFF"/>
            <w:noWrap/>
            <w:vAlign w:val="bottom"/>
            <w:hideMark/>
          </w:tcPr>
          <w:p w14:paraId="2EA38CE3" w14:textId="77777777" w:rsidR="00B040FE" w:rsidRDefault="00B040FE" w:rsidP="0047225D">
            <w:pPr>
              <w:spacing w:after="0"/>
              <w:jc w:val="right"/>
              <w:rPr>
                <w:rFonts w:cs="Arial"/>
                <w:sz w:val="18"/>
                <w:szCs w:val="18"/>
              </w:rPr>
            </w:pPr>
            <w:r>
              <w:rPr>
                <w:rFonts w:cs="Arial"/>
                <w:sz w:val="18"/>
                <w:szCs w:val="18"/>
              </w:rPr>
              <w:t xml:space="preserve"> -</w:t>
            </w:r>
          </w:p>
        </w:tc>
      </w:tr>
      <w:tr w:rsidR="00B040FE" w14:paraId="70A54645" w14:textId="77777777" w:rsidTr="005E5E0C">
        <w:trPr>
          <w:trHeight w:val="253"/>
        </w:trPr>
        <w:tc>
          <w:tcPr>
            <w:tcW w:w="6356" w:type="dxa"/>
            <w:tcBorders>
              <w:top w:val="nil"/>
              <w:left w:val="nil"/>
              <w:bottom w:val="nil"/>
              <w:right w:val="nil"/>
            </w:tcBorders>
            <w:shd w:val="clear" w:color="FFFFFF" w:fill="FFFFFF"/>
            <w:vAlign w:val="bottom"/>
            <w:hideMark/>
          </w:tcPr>
          <w:p w14:paraId="3EAD4CF8" w14:textId="77777777" w:rsidR="00B040FE" w:rsidRDefault="00B040FE" w:rsidP="0047225D">
            <w:pPr>
              <w:spacing w:after="0"/>
              <w:rPr>
                <w:rFonts w:cs="Arial"/>
                <w:b/>
                <w:bCs/>
                <w:sz w:val="18"/>
                <w:szCs w:val="18"/>
              </w:rPr>
            </w:pPr>
            <w:r>
              <w:rPr>
                <w:rFonts w:cs="Arial"/>
                <w:b/>
                <w:bCs/>
                <w:sz w:val="18"/>
                <w:szCs w:val="18"/>
              </w:rPr>
              <w:t>Total more than 12 months</w:t>
            </w:r>
          </w:p>
        </w:tc>
        <w:tc>
          <w:tcPr>
            <w:tcW w:w="1406" w:type="dxa"/>
            <w:tcBorders>
              <w:top w:val="single" w:sz="4" w:space="0" w:color="auto"/>
              <w:left w:val="nil"/>
              <w:bottom w:val="single" w:sz="4" w:space="0" w:color="auto"/>
              <w:right w:val="nil"/>
            </w:tcBorders>
            <w:shd w:val="clear" w:color="FFFFFF" w:fill="FFFFFF"/>
            <w:noWrap/>
            <w:vAlign w:val="bottom"/>
            <w:hideMark/>
          </w:tcPr>
          <w:p w14:paraId="196E9539" w14:textId="77777777" w:rsidR="00B040FE" w:rsidRDefault="00B040FE" w:rsidP="0047225D">
            <w:pPr>
              <w:spacing w:after="0"/>
              <w:jc w:val="right"/>
              <w:rPr>
                <w:rFonts w:cs="Arial"/>
                <w:b/>
                <w:bCs/>
                <w:sz w:val="18"/>
                <w:szCs w:val="18"/>
              </w:rPr>
            </w:pPr>
            <w:r>
              <w:rPr>
                <w:rFonts w:cs="Arial"/>
                <w:b/>
                <w:bCs/>
                <w:sz w:val="18"/>
                <w:szCs w:val="18"/>
              </w:rPr>
              <w:t>247,256</w:t>
            </w:r>
          </w:p>
        </w:tc>
        <w:tc>
          <w:tcPr>
            <w:tcW w:w="236" w:type="dxa"/>
            <w:tcBorders>
              <w:top w:val="nil"/>
              <w:left w:val="nil"/>
              <w:bottom w:val="nil"/>
              <w:right w:val="nil"/>
            </w:tcBorders>
            <w:shd w:val="clear" w:color="FFFFFF" w:fill="FFFFFF"/>
            <w:noWrap/>
            <w:vAlign w:val="bottom"/>
            <w:hideMark/>
          </w:tcPr>
          <w:p w14:paraId="425F57FD" w14:textId="77777777" w:rsidR="00B040FE" w:rsidRDefault="00B040FE" w:rsidP="0047225D">
            <w:pPr>
              <w:spacing w:after="0"/>
              <w:rPr>
                <w:rFonts w:cs="Arial"/>
                <w:sz w:val="18"/>
                <w:szCs w:val="18"/>
              </w:rPr>
            </w:pPr>
            <w:r>
              <w:rPr>
                <w:rFonts w:cs="Arial"/>
                <w:sz w:val="18"/>
                <w:szCs w:val="18"/>
              </w:rPr>
              <w:t> </w:t>
            </w:r>
          </w:p>
        </w:tc>
        <w:tc>
          <w:tcPr>
            <w:tcW w:w="1089" w:type="dxa"/>
            <w:tcBorders>
              <w:top w:val="single" w:sz="4" w:space="0" w:color="auto"/>
              <w:left w:val="nil"/>
              <w:bottom w:val="single" w:sz="4" w:space="0" w:color="auto"/>
              <w:right w:val="nil"/>
            </w:tcBorders>
            <w:shd w:val="clear" w:color="FFFFFF" w:fill="FFFFFF"/>
            <w:noWrap/>
            <w:vAlign w:val="bottom"/>
            <w:hideMark/>
          </w:tcPr>
          <w:p w14:paraId="5EBF6C29" w14:textId="77777777" w:rsidR="00B040FE" w:rsidRDefault="00B040FE" w:rsidP="0047225D">
            <w:pPr>
              <w:spacing w:after="0"/>
              <w:jc w:val="right"/>
              <w:rPr>
                <w:rFonts w:cs="Arial"/>
                <w:sz w:val="18"/>
                <w:szCs w:val="18"/>
              </w:rPr>
            </w:pPr>
            <w:r>
              <w:rPr>
                <w:rFonts w:cs="Arial"/>
                <w:sz w:val="18"/>
                <w:szCs w:val="18"/>
              </w:rPr>
              <w:t>232,861</w:t>
            </w:r>
          </w:p>
        </w:tc>
      </w:tr>
      <w:tr w:rsidR="00B040FE" w14:paraId="32C1A4A5" w14:textId="77777777" w:rsidTr="005E5E0C">
        <w:trPr>
          <w:trHeight w:val="253"/>
        </w:trPr>
        <w:tc>
          <w:tcPr>
            <w:tcW w:w="6356" w:type="dxa"/>
            <w:tcBorders>
              <w:top w:val="nil"/>
              <w:left w:val="nil"/>
              <w:bottom w:val="nil"/>
              <w:right w:val="nil"/>
            </w:tcBorders>
            <w:shd w:val="clear" w:color="FFFFFF" w:fill="FFFFFF"/>
            <w:vAlign w:val="bottom"/>
            <w:hideMark/>
          </w:tcPr>
          <w:p w14:paraId="0F85BC0E" w14:textId="77777777" w:rsidR="00B040FE" w:rsidRDefault="00B040FE" w:rsidP="0047225D">
            <w:pPr>
              <w:spacing w:after="0"/>
              <w:rPr>
                <w:rFonts w:cs="Arial"/>
                <w:b/>
                <w:bCs/>
                <w:sz w:val="18"/>
                <w:szCs w:val="18"/>
              </w:rPr>
            </w:pPr>
            <w:r>
              <w:rPr>
                <w:rFonts w:cs="Arial"/>
                <w:b/>
                <w:bCs/>
                <w:sz w:val="18"/>
                <w:szCs w:val="18"/>
              </w:rPr>
              <w:t>Total assets</w:t>
            </w:r>
          </w:p>
        </w:tc>
        <w:tc>
          <w:tcPr>
            <w:tcW w:w="1406" w:type="dxa"/>
            <w:tcBorders>
              <w:top w:val="nil"/>
              <w:left w:val="nil"/>
              <w:bottom w:val="single" w:sz="4" w:space="0" w:color="auto"/>
              <w:right w:val="nil"/>
            </w:tcBorders>
            <w:shd w:val="clear" w:color="FFFFFF" w:fill="FFFFFF"/>
            <w:noWrap/>
            <w:vAlign w:val="bottom"/>
            <w:hideMark/>
          </w:tcPr>
          <w:p w14:paraId="188C29A6" w14:textId="77777777" w:rsidR="00B040FE" w:rsidRDefault="00B040FE" w:rsidP="0047225D">
            <w:pPr>
              <w:spacing w:after="0"/>
              <w:jc w:val="right"/>
              <w:rPr>
                <w:rFonts w:cs="Arial"/>
                <w:b/>
                <w:bCs/>
                <w:sz w:val="18"/>
                <w:szCs w:val="18"/>
              </w:rPr>
            </w:pPr>
            <w:r>
              <w:rPr>
                <w:rFonts w:cs="Arial"/>
                <w:b/>
                <w:bCs/>
                <w:sz w:val="18"/>
                <w:szCs w:val="18"/>
              </w:rPr>
              <w:t>6,037,062</w:t>
            </w:r>
          </w:p>
        </w:tc>
        <w:tc>
          <w:tcPr>
            <w:tcW w:w="236" w:type="dxa"/>
            <w:tcBorders>
              <w:top w:val="nil"/>
              <w:left w:val="nil"/>
              <w:bottom w:val="nil"/>
              <w:right w:val="nil"/>
            </w:tcBorders>
            <w:shd w:val="clear" w:color="FFFFFF" w:fill="FFFFFF"/>
            <w:noWrap/>
            <w:vAlign w:val="bottom"/>
            <w:hideMark/>
          </w:tcPr>
          <w:p w14:paraId="5426807F" w14:textId="77777777" w:rsidR="00B040FE" w:rsidRDefault="00B040FE" w:rsidP="0047225D">
            <w:pPr>
              <w:spacing w:after="0"/>
              <w:rPr>
                <w:rFonts w:cs="Arial"/>
                <w:sz w:val="18"/>
                <w:szCs w:val="18"/>
              </w:rPr>
            </w:pPr>
            <w:r>
              <w:rPr>
                <w:rFonts w:cs="Arial"/>
                <w:sz w:val="18"/>
                <w:szCs w:val="18"/>
              </w:rPr>
              <w:t> </w:t>
            </w:r>
          </w:p>
        </w:tc>
        <w:tc>
          <w:tcPr>
            <w:tcW w:w="1089" w:type="dxa"/>
            <w:tcBorders>
              <w:top w:val="nil"/>
              <w:left w:val="nil"/>
              <w:bottom w:val="single" w:sz="4" w:space="0" w:color="auto"/>
              <w:right w:val="nil"/>
            </w:tcBorders>
            <w:shd w:val="clear" w:color="FFFFFF" w:fill="FFFFFF"/>
            <w:noWrap/>
            <w:vAlign w:val="bottom"/>
            <w:hideMark/>
          </w:tcPr>
          <w:p w14:paraId="641C7501" w14:textId="77777777" w:rsidR="00B040FE" w:rsidRDefault="00B040FE" w:rsidP="0047225D">
            <w:pPr>
              <w:spacing w:after="0"/>
              <w:jc w:val="right"/>
              <w:rPr>
                <w:rFonts w:cs="Arial"/>
                <w:sz w:val="18"/>
                <w:szCs w:val="18"/>
              </w:rPr>
            </w:pPr>
            <w:r>
              <w:rPr>
                <w:rFonts w:cs="Arial"/>
                <w:sz w:val="18"/>
                <w:szCs w:val="18"/>
              </w:rPr>
              <w:t>4,602,918</w:t>
            </w:r>
          </w:p>
        </w:tc>
      </w:tr>
      <w:tr w:rsidR="00B040FE" w14:paraId="3FAC60E4" w14:textId="77777777" w:rsidTr="005E5E0C">
        <w:trPr>
          <w:trHeight w:val="240"/>
        </w:trPr>
        <w:tc>
          <w:tcPr>
            <w:tcW w:w="6356" w:type="dxa"/>
            <w:tcBorders>
              <w:top w:val="nil"/>
              <w:left w:val="nil"/>
              <w:bottom w:val="nil"/>
              <w:right w:val="nil"/>
            </w:tcBorders>
            <w:shd w:val="clear" w:color="FFFFFF" w:fill="FFFFFF"/>
            <w:vAlign w:val="bottom"/>
            <w:hideMark/>
          </w:tcPr>
          <w:p w14:paraId="49D61C64" w14:textId="77777777" w:rsidR="00B040FE" w:rsidRDefault="00B040FE" w:rsidP="0047225D">
            <w:pPr>
              <w:spacing w:after="0"/>
              <w:rPr>
                <w:rFonts w:cs="Arial"/>
                <w:sz w:val="18"/>
                <w:szCs w:val="18"/>
              </w:rPr>
            </w:pPr>
            <w:r>
              <w:rPr>
                <w:rFonts w:cs="Arial"/>
                <w:sz w:val="18"/>
                <w:szCs w:val="18"/>
              </w:rPr>
              <w:t> </w:t>
            </w:r>
          </w:p>
        </w:tc>
        <w:tc>
          <w:tcPr>
            <w:tcW w:w="1406" w:type="dxa"/>
            <w:tcBorders>
              <w:top w:val="nil"/>
              <w:left w:val="nil"/>
              <w:bottom w:val="nil"/>
              <w:right w:val="nil"/>
            </w:tcBorders>
            <w:shd w:val="clear" w:color="FFFFFF" w:fill="FFFFFF"/>
            <w:noWrap/>
            <w:vAlign w:val="bottom"/>
            <w:hideMark/>
          </w:tcPr>
          <w:p w14:paraId="360C08FD" w14:textId="77777777" w:rsidR="00B040FE" w:rsidRDefault="00B040FE" w:rsidP="0047225D">
            <w:pPr>
              <w:spacing w:after="0"/>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06C19187" w14:textId="77777777" w:rsidR="00B040FE" w:rsidRDefault="00B040FE" w:rsidP="0047225D">
            <w:pPr>
              <w:spacing w:after="0"/>
              <w:rPr>
                <w:rFonts w:cs="Arial"/>
                <w:sz w:val="18"/>
                <w:szCs w:val="18"/>
              </w:rPr>
            </w:pPr>
            <w:r>
              <w:rPr>
                <w:rFonts w:cs="Arial"/>
                <w:sz w:val="18"/>
                <w:szCs w:val="18"/>
              </w:rPr>
              <w:t> </w:t>
            </w:r>
          </w:p>
        </w:tc>
        <w:tc>
          <w:tcPr>
            <w:tcW w:w="1089" w:type="dxa"/>
            <w:tcBorders>
              <w:top w:val="nil"/>
              <w:left w:val="nil"/>
              <w:bottom w:val="nil"/>
              <w:right w:val="nil"/>
            </w:tcBorders>
            <w:shd w:val="clear" w:color="FFFFFF" w:fill="FFFFFF"/>
            <w:noWrap/>
            <w:vAlign w:val="bottom"/>
            <w:hideMark/>
          </w:tcPr>
          <w:p w14:paraId="4AF8A3B0" w14:textId="77777777" w:rsidR="00B040FE" w:rsidRDefault="00B040FE" w:rsidP="0047225D">
            <w:pPr>
              <w:spacing w:after="0"/>
              <w:rPr>
                <w:rFonts w:cs="Arial"/>
                <w:sz w:val="18"/>
                <w:szCs w:val="18"/>
              </w:rPr>
            </w:pPr>
            <w:r>
              <w:rPr>
                <w:rFonts w:cs="Arial"/>
                <w:sz w:val="18"/>
                <w:szCs w:val="18"/>
              </w:rPr>
              <w:t> </w:t>
            </w:r>
          </w:p>
        </w:tc>
      </w:tr>
      <w:tr w:rsidR="00B040FE" w14:paraId="2C651912" w14:textId="77777777" w:rsidTr="005E5E0C">
        <w:trPr>
          <w:trHeight w:val="253"/>
        </w:trPr>
        <w:tc>
          <w:tcPr>
            <w:tcW w:w="6356" w:type="dxa"/>
            <w:tcBorders>
              <w:top w:val="nil"/>
              <w:left w:val="nil"/>
              <w:bottom w:val="nil"/>
              <w:right w:val="nil"/>
            </w:tcBorders>
            <w:shd w:val="clear" w:color="FFFFFF" w:fill="FFFFFF"/>
            <w:vAlign w:val="bottom"/>
            <w:hideMark/>
          </w:tcPr>
          <w:p w14:paraId="530DEF62" w14:textId="77777777" w:rsidR="00B040FE" w:rsidRDefault="00B040FE" w:rsidP="0047225D">
            <w:pPr>
              <w:spacing w:after="0"/>
              <w:rPr>
                <w:rFonts w:cs="Arial"/>
                <w:b/>
                <w:bCs/>
                <w:sz w:val="18"/>
                <w:szCs w:val="18"/>
              </w:rPr>
            </w:pPr>
            <w:r>
              <w:rPr>
                <w:rFonts w:cs="Arial"/>
                <w:b/>
                <w:bCs/>
                <w:sz w:val="18"/>
                <w:szCs w:val="18"/>
              </w:rPr>
              <w:t>Liabilities expected to be settled in:</w:t>
            </w:r>
          </w:p>
        </w:tc>
        <w:tc>
          <w:tcPr>
            <w:tcW w:w="1406" w:type="dxa"/>
            <w:tcBorders>
              <w:top w:val="nil"/>
              <w:left w:val="nil"/>
              <w:bottom w:val="nil"/>
              <w:right w:val="nil"/>
            </w:tcBorders>
            <w:shd w:val="clear" w:color="FFFFFF" w:fill="FFFFFF"/>
            <w:noWrap/>
            <w:vAlign w:val="bottom"/>
            <w:hideMark/>
          </w:tcPr>
          <w:p w14:paraId="58A5534C" w14:textId="77777777" w:rsidR="00B040FE" w:rsidRDefault="00B040FE" w:rsidP="0047225D">
            <w:pPr>
              <w:spacing w:after="0"/>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59797C80" w14:textId="77777777" w:rsidR="00B040FE" w:rsidRDefault="00B040FE" w:rsidP="0047225D">
            <w:pPr>
              <w:spacing w:after="0"/>
              <w:rPr>
                <w:rFonts w:cs="Arial"/>
                <w:sz w:val="18"/>
                <w:szCs w:val="18"/>
              </w:rPr>
            </w:pPr>
            <w:r>
              <w:rPr>
                <w:rFonts w:cs="Arial"/>
                <w:sz w:val="18"/>
                <w:szCs w:val="18"/>
              </w:rPr>
              <w:t> </w:t>
            </w:r>
          </w:p>
        </w:tc>
        <w:tc>
          <w:tcPr>
            <w:tcW w:w="1089" w:type="dxa"/>
            <w:tcBorders>
              <w:top w:val="nil"/>
              <w:left w:val="nil"/>
              <w:bottom w:val="nil"/>
              <w:right w:val="nil"/>
            </w:tcBorders>
            <w:shd w:val="clear" w:color="FFFFFF" w:fill="FFFFFF"/>
            <w:noWrap/>
            <w:vAlign w:val="bottom"/>
            <w:hideMark/>
          </w:tcPr>
          <w:p w14:paraId="24AA17F0" w14:textId="77777777" w:rsidR="00B040FE" w:rsidRDefault="00B040FE" w:rsidP="0047225D">
            <w:pPr>
              <w:spacing w:after="0"/>
              <w:rPr>
                <w:rFonts w:cs="Arial"/>
                <w:sz w:val="18"/>
                <w:szCs w:val="18"/>
              </w:rPr>
            </w:pPr>
            <w:r>
              <w:rPr>
                <w:rFonts w:cs="Arial"/>
                <w:sz w:val="18"/>
                <w:szCs w:val="18"/>
              </w:rPr>
              <w:t> </w:t>
            </w:r>
          </w:p>
        </w:tc>
      </w:tr>
      <w:tr w:rsidR="00B040FE" w14:paraId="6A0CBC27" w14:textId="77777777" w:rsidTr="005E5E0C">
        <w:trPr>
          <w:trHeight w:val="253"/>
        </w:trPr>
        <w:tc>
          <w:tcPr>
            <w:tcW w:w="6356" w:type="dxa"/>
            <w:tcBorders>
              <w:top w:val="nil"/>
              <w:left w:val="nil"/>
              <w:bottom w:val="nil"/>
              <w:right w:val="nil"/>
            </w:tcBorders>
            <w:shd w:val="clear" w:color="FFFFFF" w:fill="FFFFFF"/>
            <w:vAlign w:val="bottom"/>
            <w:hideMark/>
          </w:tcPr>
          <w:p w14:paraId="3D7F9AEF" w14:textId="77777777" w:rsidR="00B040FE" w:rsidRDefault="00B040FE" w:rsidP="0047225D">
            <w:pPr>
              <w:spacing w:after="0"/>
              <w:rPr>
                <w:rFonts w:cs="Arial"/>
                <w:b/>
                <w:bCs/>
                <w:sz w:val="18"/>
                <w:szCs w:val="18"/>
              </w:rPr>
            </w:pPr>
            <w:r>
              <w:rPr>
                <w:rFonts w:cs="Arial"/>
                <w:b/>
                <w:bCs/>
                <w:sz w:val="18"/>
                <w:szCs w:val="18"/>
              </w:rPr>
              <w:t>No more than 12 months</w:t>
            </w:r>
          </w:p>
        </w:tc>
        <w:tc>
          <w:tcPr>
            <w:tcW w:w="1406" w:type="dxa"/>
            <w:tcBorders>
              <w:top w:val="nil"/>
              <w:left w:val="nil"/>
              <w:bottom w:val="nil"/>
              <w:right w:val="nil"/>
            </w:tcBorders>
            <w:shd w:val="clear" w:color="FFFFFF" w:fill="FFFFFF"/>
            <w:noWrap/>
            <w:vAlign w:val="bottom"/>
            <w:hideMark/>
          </w:tcPr>
          <w:p w14:paraId="6367A308" w14:textId="77777777" w:rsidR="00B040FE" w:rsidRDefault="00B040FE" w:rsidP="0047225D">
            <w:pPr>
              <w:spacing w:after="0"/>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19E64C71" w14:textId="77777777" w:rsidR="00B040FE" w:rsidRDefault="00B040FE" w:rsidP="0047225D">
            <w:pPr>
              <w:spacing w:after="0"/>
              <w:rPr>
                <w:rFonts w:cs="Arial"/>
                <w:sz w:val="18"/>
                <w:szCs w:val="18"/>
              </w:rPr>
            </w:pPr>
            <w:r>
              <w:rPr>
                <w:rFonts w:cs="Arial"/>
                <w:sz w:val="18"/>
                <w:szCs w:val="18"/>
              </w:rPr>
              <w:t> </w:t>
            </w:r>
          </w:p>
        </w:tc>
        <w:tc>
          <w:tcPr>
            <w:tcW w:w="1089" w:type="dxa"/>
            <w:tcBorders>
              <w:top w:val="nil"/>
              <w:left w:val="nil"/>
              <w:bottom w:val="nil"/>
              <w:right w:val="nil"/>
            </w:tcBorders>
            <w:shd w:val="clear" w:color="FFFFFF" w:fill="FFFFFF"/>
            <w:noWrap/>
            <w:vAlign w:val="bottom"/>
            <w:hideMark/>
          </w:tcPr>
          <w:p w14:paraId="330F390F" w14:textId="77777777" w:rsidR="00B040FE" w:rsidRDefault="00B040FE" w:rsidP="0047225D">
            <w:pPr>
              <w:spacing w:after="0"/>
              <w:rPr>
                <w:rFonts w:cs="Arial"/>
                <w:sz w:val="18"/>
                <w:szCs w:val="18"/>
              </w:rPr>
            </w:pPr>
            <w:r>
              <w:rPr>
                <w:rFonts w:cs="Arial"/>
                <w:sz w:val="18"/>
                <w:szCs w:val="18"/>
              </w:rPr>
              <w:t> </w:t>
            </w:r>
          </w:p>
        </w:tc>
      </w:tr>
      <w:tr w:rsidR="00B040FE" w14:paraId="02560828" w14:textId="77777777" w:rsidTr="005E5E0C">
        <w:trPr>
          <w:trHeight w:val="253"/>
        </w:trPr>
        <w:tc>
          <w:tcPr>
            <w:tcW w:w="6356" w:type="dxa"/>
            <w:tcBorders>
              <w:top w:val="nil"/>
              <w:left w:val="nil"/>
              <w:bottom w:val="nil"/>
              <w:right w:val="nil"/>
            </w:tcBorders>
            <w:shd w:val="clear" w:color="FFFFFF" w:fill="FFFFFF"/>
            <w:noWrap/>
            <w:vAlign w:val="bottom"/>
            <w:hideMark/>
          </w:tcPr>
          <w:p w14:paraId="059B1DDB" w14:textId="77777777" w:rsidR="00B040FE" w:rsidRDefault="00B040FE" w:rsidP="0047225D">
            <w:pPr>
              <w:spacing w:after="0"/>
              <w:ind w:firstLineChars="100" w:firstLine="180"/>
              <w:rPr>
                <w:rFonts w:cs="Arial"/>
                <w:sz w:val="18"/>
                <w:szCs w:val="18"/>
              </w:rPr>
            </w:pPr>
            <w:r>
              <w:rPr>
                <w:rFonts w:cs="Arial"/>
                <w:sz w:val="18"/>
                <w:szCs w:val="18"/>
              </w:rPr>
              <w:t>Suppliers</w:t>
            </w:r>
          </w:p>
        </w:tc>
        <w:tc>
          <w:tcPr>
            <w:tcW w:w="1406" w:type="dxa"/>
            <w:tcBorders>
              <w:top w:val="nil"/>
              <w:left w:val="nil"/>
              <w:bottom w:val="nil"/>
              <w:right w:val="nil"/>
            </w:tcBorders>
            <w:shd w:val="clear" w:color="FFFFFF" w:fill="FFFFFF"/>
            <w:noWrap/>
            <w:vAlign w:val="bottom"/>
            <w:hideMark/>
          </w:tcPr>
          <w:p w14:paraId="2AD50D70" w14:textId="77777777" w:rsidR="00B040FE" w:rsidRDefault="00B040FE" w:rsidP="0047225D">
            <w:pPr>
              <w:spacing w:after="0"/>
              <w:jc w:val="right"/>
              <w:rPr>
                <w:rFonts w:cs="Arial"/>
                <w:b/>
                <w:bCs/>
                <w:sz w:val="18"/>
                <w:szCs w:val="18"/>
              </w:rPr>
            </w:pPr>
            <w:r>
              <w:rPr>
                <w:rFonts w:cs="Arial"/>
                <w:b/>
                <w:bCs/>
                <w:sz w:val="18"/>
                <w:szCs w:val="18"/>
              </w:rPr>
              <w:t>914,519</w:t>
            </w:r>
          </w:p>
        </w:tc>
        <w:tc>
          <w:tcPr>
            <w:tcW w:w="236" w:type="dxa"/>
            <w:tcBorders>
              <w:top w:val="nil"/>
              <w:left w:val="nil"/>
              <w:bottom w:val="nil"/>
              <w:right w:val="nil"/>
            </w:tcBorders>
            <w:shd w:val="clear" w:color="FFFFFF" w:fill="FFFFFF"/>
            <w:noWrap/>
            <w:vAlign w:val="bottom"/>
            <w:hideMark/>
          </w:tcPr>
          <w:p w14:paraId="4A7141FA" w14:textId="77777777" w:rsidR="00B040FE" w:rsidRDefault="00B040FE" w:rsidP="0047225D">
            <w:pPr>
              <w:spacing w:after="0"/>
              <w:rPr>
                <w:rFonts w:cs="Arial"/>
                <w:sz w:val="18"/>
                <w:szCs w:val="18"/>
              </w:rPr>
            </w:pPr>
            <w:r>
              <w:rPr>
                <w:rFonts w:cs="Arial"/>
                <w:sz w:val="18"/>
                <w:szCs w:val="18"/>
              </w:rPr>
              <w:t> </w:t>
            </w:r>
          </w:p>
        </w:tc>
        <w:tc>
          <w:tcPr>
            <w:tcW w:w="1089" w:type="dxa"/>
            <w:tcBorders>
              <w:top w:val="nil"/>
              <w:left w:val="nil"/>
              <w:bottom w:val="nil"/>
              <w:right w:val="nil"/>
            </w:tcBorders>
            <w:shd w:val="clear" w:color="FFFFFF" w:fill="FFFFFF"/>
            <w:noWrap/>
            <w:vAlign w:val="bottom"/>
            <w:hideMark/>
          </w:tcPr>
          <w:p w14:paraId="75FCE7D0" w14:textId="77777777" w:rsidR="00B040FE" w:rsidRDefault="00B040FE" w:rsidP="0047225D">
            <w:pPr>
              <w:spacing w:after="0"/>
              <w:jc w:val="right"/>
              <w:rPr>
                <w:rFonts w:cs="Arial"/>
                <w:sz w:val="18"/>
                <w:szCs w:val="18"/>
              </w:rPr>
            </w:pPr>
            <w:r>
              <w:rPr>
                <w:rFonts w:cs="Arial"/>
                <w:sz w:val="18"/>
                <w:szCs w:val="18"/>
              </w:rPr>
              <w:t>594,071</w:t>
            </w:r>
          </w:p>
        </w:tc>
      </w:tr>
      <w:tr w:rsidR="00B040FE" w14:paraId="158AFE23" w14:textId="77777777" w:rsidTr="005E5E0C">
        <w:trPr>
          <w:trHeight w:val="253"/>
        </w:trPr>
        <w:tc>
          <w:tcPr>
            <w:tcW w:w="6356" w:type="dxa"/>
            <w:tcBorders>
              <w:top w:val="nil"/>
              <w:left w:val="nil"/>
              <w:bottom w:val="nil"/>
              <w:right w:val="nil"/>
            </w:tcBorders>
            <w:shd w:val="clear" w:color="FFFFFF" w:fill="FFFFFF"/>
            <w:noWrap/>
            <w:vAlign w:val="bottom"/>
            <w:hideMark/>
          </w:tcPr>
          <w:p w14:paraId="3983A818" w14:textId="77777777" w:rsidR="00B040FE" w:rsidRDefault="00B040FE" w:rsidP="0047225D">
            <w:pPr>
              <w:spacing w:after="0"/>
              <w:ind w:firstLineChars="100" w:firstLine="180"/>
              <w:rPr>
                <w:rFonts w:cs="Arial"/>
                <w:sz w:val="18"/>
                <w:szCs w:val="18"/>
              </w:rPr>
            </w:pPr>
            <w:r>
              <w:rPr>
                <w:rFonts w:cs="Arial"/>
                <w:sz w:val="18"/>
                <w:szCs w:val="18"/>
              </w:rPr>
              <w:t>Other payables</w:t>
            </w:r>
          </w:p>
        </w:tc>
        <w:tc>
          <w:tcPr>
            <w:tcW w:w="1406" w:type="dxa"/>
            <w:tcBorders>
              <w:top w:val="nil"/>
              <w:left w:val="nil"/>
              <w:bottom w:val="nil"/>
              <w:right w:val="nil"/>
            </w:tcBorders>
            <w:shd w:val="clear" w:color="FFFFFF" w:fill="FFFFFF"/>
            <w:noWrap/>
            <w:vAlign w:val="bottom"/>
            <w:hideMark/>
          </w:tcPr>
          <w:p w14:paraId="0AD47817" w14:textId="77777777" w:rsidR="00B040FE" w:rsidRDefault="00B040FE" w:rsidP="0047225D">
            <w:pPr>
              <w:spacing w:after="0"/>
              <w:jc w:val="right"/>
              <w:rPr>
                <w:rFonts w:cs="Arial"/>
                <w:b/>
                <w:bCs/>
                <w:sz w:val="18"/>
                <w:szCs w:val="18"/>
              </w:rPr>
            </w:pPr>
            <w:r>
              <w:rPr>
                <w:rFonts w:cs="Arial"/>
                <w:b/>
                <w:bCs/>
                <w:sz w:val="18"/>
                <w:szCs w:val="18"/>
              </w:rPr>
              <w:t>21,037</w:t>
            </w:r>
          </w:p>
        </w:tc>
        <w:tc>
          <w:tcPr>
            <w:tcW w:w="236" w:type="dxa"/>
            <w:tcBorders>
              <w:top w:val="nil"/>
              <w:left w:val="nil"/>
              <w:bottom w:val="nil"/>
              <w:right w:val="nil"/>
            </w:tcBorders>
            <w:shd w:val="clear" w:color="FFFFFF" w:fill="FFFFFF"/>
            <w:noWrap/>
            <w:vAlign w:val="bottom"/>
            <w:hideMark/>
          </w:tcPr>
          <w:p w14:paraId="140FCCE5" w14:textId="77777777" w:rsidR="00B040FE" w:rsidRDefault="00B040FE" w:rsidP="0047225D">
            <w:pPr>
              <w:spacing w:after="0"/>
              <w:rPr>
                <w:rFonts w:cs="Arial"/>
                <w:sz w:val="18"/>
                <w:szCs w:val="18"/>
              </w:rPr>
            </w:pPr>
            <w:r>
              <w:rPr>
                <w:rFonts w:cs="Arial"/>
                <w:sz w:val="18"/>
                <w:szCs w:val="18"/>
              </w:rPr>
              <w:t> </w:t>
            </w:r>
          </w:p>
        </w:tc>
        <w:tc>
          <w:tcPr>
            <w:tcW w:w="1089" w:type="dxa"/>
            <w:tcBorders>
              <w:top w:val="nil"/>
              <w:left w:val="nil"/>
              <w:bottom w:val="nil"/>
              <w:right w:val="nil"/>
            </w:tcBorders>
            <w:shd w:val="clear" w:color="FFFFFF" w:fill="FFFFFF"/>
            <w:noWrap/>
            <w:vAlign w:val="bottom"/>
            <w:hideMark/>
          </w:tcPr>
          <w:p w14:paraId="3D342C0F" w14:textId="77777777" w:rsidR="00B040FE" w:rsidRDefault="00B040FE" w:rsidP="0047225D">
            <w:pPr>
              <w:spacing w:after="0"/>
              <w:jc w:val="right"/>
              <w:rPr>
                <w:rFonts w:cs="Arial"/>
                <w:sz w:val="18"/>
                <w:szCs w:val="18"/>
              </w:rPr>
            </w:pPr>
            <w:r>
              <w:rPr>
                <w:rFonts w:cs="Arial"/>
                <w:sz w:val="18"/>
                <w:szCs w:val="18"/>
              </w:rPr>
              <w:t>14,410</w:t>
            </w:r>
          </w:p>
        </w:tc>
      </w:tr>
      <w:tr w:rsidR="00B040FE" w14:paraId="519E4092" w14:textId="77777777" w:rsidTr="005E5E0C">
        <w:trPr>
          <w:trHeight w:val="253"/>
        </w:trPr>
        <w:tc>
          <w:tcPr>
            <w:tcW w:w="6356" w:type="dxa"/>
            <w:tcBorders>
              <w:top w:val="nil"/>
              <w:left w:val="nil"/>
              <w:bottom w:val="nil"/>
              <w:right w:val="nil"/>
            </w:tcBorders>
            <w:shd w:val="clear" w:color="FFFFFF" w:fill="FFFFFF"/>
            <w:noWrap/>
            <w:vAlign w:val="bottom"/>
            <w:hideMark/>
          </w:tcPr>
          <w:p w14:paraId="10445185" w14:textId="77777777" w:rsidR="00B040FE" w:rsidRDefault="00B040FE" w:rsidP="0047225D">
            <w:pPr>
              <w:spacing w:after="0"/>
              <w:ind w:firstLineChars="100" w:firstLine="180"/>
              <w:rPr>
                <w:rFonts w:cs="Arial"/>
                <w:sz w:val="18"/>
                <w:szCs w:val="18"/>
              </w:rPr>
            </w:pPr>
            <w:r>
              <w:rPr>
                <w:rFonts w:cs="Arial"/>
                <w:sz w:val="18"/>
                <w:szCs w:val="18"/>
              </w:rPr>
              <w:t>Unearned revenue</w:t>
            </w:r>
          </w:p>
        </w:tc>
        <w:tc>
          <w:tcPr>
            <w:tcW w:w="1406" w:type="dxa"/>
            <w:tcBorders>
              <w:top w:val="nil"/>
              <w:left w:val="nil"/>
              <w:bottom w:val="nil"/>
              <w:right w:val="nil"/>
            </w:tcBorders>
            <w:shd w:val="clear" w:color="FFFFFF" w:fill="FFFFFF"/>
            <w:noWrap/>
            <w:vAlign w:val="bottom"/>
            <w:hideMark/>
          </w:tcPr>
          <w:p w14:paraId="27F815C3" w14:textId="77777777" w:rsidR="00B040FE" w:rsidRDefault="00B040FE" w:rsidP="0047225D">
            <w:pPr>
              <w:spacing w:after="0"/>
              <w:jc w:val="right"/>
              <w:rPr>
                <w:rFonts w:cs="Arial"/>
                <w:b/>
                <w:bCs/>
                <w:sz w:val="18"/>
                <w:szCs w:val="18"/>
              </w:rPr>
            </w:pPr>
            <w:r>
              <w:rPr>
                <w:rFonts w:cs="Arial"/>
                <w:b/>
                <w:bCs/>
                <w:sz w:val="18"/>
                <w:szCs w:val="18"/>
              </w:rPr>
              <w:t>413,969</w:t>
            </w:r>
          </w:p>
        </w:tc>
        <w:tc>
          <w:tcPr>
            <w:tcW w:w="236" w:type="dxa"/>
            <w:tcBorders>
              <w:top w:val="nil"/>
              <w:left w:val="nil"/>
              <w:bottom w:val="nil"/>
              <w:right w:val="nil"/>
            </w:tcBorders>
            <w:shd w:val="clear" w:color="FFFFFF" w:fill="FFFFFF"/>
            <w:noWrap/>
            <w:vAlign w:val="bottom"/>
            <w:hideMark/>
          </w:tcPr>
          <w:p w14:paraId="7367A763" w14:textId="77777777" w:rsidR="00B040FE" w:rsidRDefault="00B040FE" w:rsidP="0047225D">
            <w:pPr>
              <w:spacing w:after="0"/>
              <w:rPr>
                <w:rFonts w:cs="Arial"/>
                <w:sz w:val="18"/>
                <w:szCs w:val="18"/>
              </w:rPr>
            </w:pPr>
            <w:r>
              <w:rPr>
                <w:rFonts w:cs="Arial"/>
                <w:sz w:val="18"/>
                <w:szCs w:val="18"/>
              </w:rPr>
              <w:t> </w:t>
            </w:r>
          </w:p>
        </w:tc>
        <w:tc>
          <w:tcPr>
            <w:tcW w:w="1089" w:type="dxa"/>
            <w:tcBorders>
              <w:top w:val="nil"/>
              <w:left w:val="nil"/>
              <w:bottom w:val="nil"/>
              <w:right w:val="nil"/>
            </w:tcBorders>
            <w:shd w:val="clear" w:color="FFFFFF" w:fill="FFFFFF"/>
            <w:noWrap/>
            <w:vAlign w:val="bottom"/>
            <w:hideMark/>
          </w:tcPr>
          <w:p w14:paraId="6A8D8117" w14:textId="77777777" w:rsidR="00B040FE" w:rsidRDefault="00B040FE" w:rsidP="0047225D">
            <w:pPr>
              <w:spacing w:after="0"/>
              <w:jc w:val="right"/>
              <w:rPr>
                <w:rFonts w:cs="Arial"/>
                <w:sz w:val="18"/>
                <w:szCs w:val="18"/>
              </w:rPr>
            </w:pPr>
            <w:r>
              <w:rPr>
                <w:rFonts w:cs="Arial"/>
                <w:sz w:val="18"/>
                <w:szCs w:val="18"/>
              </w:rPr>
              <w:t>506,442</w:t>
            </w:r>
          </w:p>
        </w:tc>
      </w:tr>
      <w:tr w:rsidR="00B040FE" w14:paraId="01A65B1B" w14:textId="77777777" w:rsidTr="005E5E0C">
        <w:trPr>
          <w:trHeight w:val="253"/>
        </w:trPr>
        <w:tc>
          <w:tcPr>
            <w:tcW w:w="6356" w:type="dxa"/>
            <w:tcBorders>
              <w:top w:val="nil"/>
              <w:left w:val="nil"/>
              <w:bottom w:val="nil"/>
              <w:right w:val="nil"/>
            </w:tcBorders>
            <w:shd w:val="clear" w:color="FFFFFF" w:fill="FFFFFF"/>
            <w:noWrap/>
            <w:vAlign w:val="bottom"/>
            <w:hideMark/>
          </w:tcPr>
          <w:p w14:paraId="3F200C7D" w14:textId="77777777" w:rsidR="00B040FE" w:rsidRDefault="00B040FE" w:rsidP="0047225D">
            <w:pPr>
              <w:spacing w:after="0"/>
              <w:ind w:firstLineChars="100" w:firstLine="180"/>
              <w:rPr>
                <w:rFonts w:cs="Arial"/>
                <w:sz w:val="18"/>
                <w:szCs w:val="18"/>
              </w:rPr>
            </w:pPr>
            <w:r>
              <w:rPr>
                <w:rFonts w:cs="Arial"/>
                <w:sz w:val="18"/>
                <w:szCs w:val="18"/>
              </w:rPr>
              <w:t>Leases</w:t>
            </w:r>
          </w:p>
        </w:tc>
        <w:tc>
          <w:tcPr>
            <w:tcW w:w="1406" w:type="dxa"/>
            <w:tcBorders>
              <w:top w:val="nil"/>
              <w:left w:val="nil"/>
              <w:bottom w:val="nil"/>
              <w:right w:val="nil"/>
            </w:tcBorders>
            <w:shd w:val="clear" w:color="FFFFFF" w:fill="FFFFFF"/>
            <w:noWrap/>
            <w:vAlign w:val="bottom"/>
            <w:hideMark/>
          </w:tcPr>
          <w:p w14:paraId="4B8BDD05" w14:textId="77777777" w:rsidR="00B040FE" w:rsidRDefault="00B040FE" w:rsidP="0047225D">
            <w:pPr>
              <w:spacing w:after="0"/>
              <w:jc w:val="right"/>
              <w:rPr>
                <w:rFonts w:cs="Arial"/>
                <w:b/>
                <w:bCs/>
                <w:sz w:val="18"/>
                <w:szCs w:val="18"/>
              </w:rPr>
            </w:pPr>
            <w:r>
              <w:rPr>
                <w:rFonts w:cs="Arial"/>
                <w:b/>
                <w:bCs/>
                <w:sz w:val="18"/>
                <w:szCs w:val="18"/>
              </w:rPr>
              <w:t>30,827</w:t>
            </w:r>
          </w:p>
        </w:tc>
        <w:tc>
          <w:tcPr>
            <w:tcW w:w="236" w:type="dxa"/>
            <w:tcBorders>
              <w:top w:val="nil"/>
              <w:left w:val="nil"/>
              <w:bottom w:val="nil"/>
              <w:right w:val="nil"/>
            </w:tcBorders>
            <w:shd w:val="clear" w:color="FFFFFF" w:fill="FFFFFF"/>
            <w:noWrap/>
            <w:vAlign w:val="bottom"/>
            <w:hideMark/>
          </w:tcPr>
          <w:p w14:paraId="4FAAD8D7" w14:textId="77777777" w:rsidR="00B040FE" w:rsidRDefault="00B040FE" w:rsidP="0047225D">
            <w:pPr>
              <w:spacing w:after="0"/>
              <w:rPr>
                <w:rFonts w:cs="Arial"/>
                <w:sz w:val="18"/>
                <w:szCs w:val="18"/>
              </w:rPr>
            </w:pPr>
            <w:r>
              <w:rPr>
                <w:rFonts w:cs="Arial"/>
                <w:sz w:val="18"/>
                <w:szCs w:val="18"/>
              </w:rPr>
              <w:t> </w:t>
            </w:r>
          </w:p>
        </w:tc>
        <w:tc>
          <w:tcPr>
            <w:tcW w:w="1089" w:type="dxa"/>
            <w:tcBorders>
              <w:top w:val="nil"/>
              <w:left w:val="nil"/>
              <w:bottom w:val="nil"/>
              <w:right w:val="nil"/>
            </w:tcBorders>
            <w:shd w:val="clear" w:color="FFFFFF" w:fill="FFFFFF"/>
            <w:noWrap/>
            <w:vAlign w:val="bottom"/>
            <w:hideMark/>
          </w:tcPr>
          <w:p w14:paraId="684D89A5" w14:textId="77777777" w:rsidR="00B040FE" w:rsidRDefault="00B040FE" w:rsidP="0047225D">
            <w:pPr>
              <w:spacing w:after="0"/>
              <w:jc w:val="right"/>
              <w:rPr>
                <w:rFonts w:cs="Arial"/>
                <w:sz w:val="18"/>
                <w:szCs w:val="18"/>
              </w:rPr>
            </w:pPr>
            <w:r>
              <w:rPr>
                <w:rFonts w:cs="Arial"/>
                <w:sz w:val="18"/>
                <w:szCs w:val="18"/>
              </w:rPr>
              <w:t>30,048</w:t>
            </w:r>
          </w:p>
        </w:tc>
      </w:tr>
      <w:tr w:rsidR="00B040FE" w14:paraId="59F66988" w14:textId="77777777" w:rsidTr="005E5E0C">
        <w:trPr>
          <w:trHeight w:val="253"/>
        </w:trPr>
        <w:tc>
          <w:tcPr>
            <w:tcW w:w="6356" w:type="dxa"/>
            <w:tcBorders>
              <w:top w:val="nil"/>
              <w:left w:val="nil"/>
              <w:bottom w:val="nil"/>
              <w:right w:val="nil"/>
            </w:tcBorders>
            <w:shd w:val="clear" w:color="FFFFFF" w:fill="FFFFFF"/>
            <w:noWrap/>
            <w:vAlign w:val="bottom"/>
            <w:hideMark/>
          </w:tcPr>
          <w:p w14:paraId="6601DE51" w14:textId="77777777" w:rsidR="00B040FE" w:rsidRDefault="00B040FE" w:rsidP="0047225D">
            <w:pPr>
              <w:spacing w:after="0"/>
              <w:ind w:firstLineChars="100" w:firstLine="180"/>
              <w:rPr>
                <w:rFonts w:cs="Arial"/>
                <w:sz w:val="18"/>
                <w:szCs w:val="18"/>
              </w:rPr>
            </w:pPr>
            <w:r>
              <w:rPr>
                <w:rFonts w:cs="Arial"/>
                <w:sz w:val="18"/>
                <w:szCs w:val="18"/>
              </w:rPr>
              <w:t>Employee provisions</w:t>
            </w:r>
          </w:p>
        </w:tc>
        <w:tc>
          <w:tcPr>
            <w:tcW w:w="1406" w:type="dxa"/>
            <w:tcBorders>
              <w:top w:val="nil"/>
              <w:left w:val="nil"/>
              <w:bottom w:val="nil"/>
              <w:right w:val="nil"/>
            </w:tcBorders>
            <w:shd w:val="clear" w:color="FFFFFF" w:fill="FFFFFF"/>
            <w:noWrap/>
            <w:vAlign w:val="bottom"/>
            <w:hideMark/>
          </w:tcPr>
          <w:p w14:paraId="70BABC84" w14:textId="77777777" w:rsidR="00B040FE" w:rsidRDefault="00B040FE" w:rsidP="0047225D">
            <w:pPr>
              <w:spacing w:after="0"/>
              <w:jc w:val="right"/>
              <w:rPr>
                <w:rFonts w:cs="Arial"/>
                <w:b/>
                <w:bCs/>
                <w:sz w:val="18"/>
                <w:szCs w:val="18"/>
              </w:rPr>
            </w:pPr>
            <w:r>
              <w:rPr>
                <w:rFonts w:cs="Arial"/>
                <w:b/>
                <w:bCs/>
                <w:sz w:val="18"/>
                <w:szCs w:val="18"/>
              </w:rPr>
              <w:t>41,553</w:t>
            </w:r>
          </w:p>
        </w:tc>
        <w:tc>
          <w:tcPr>
            <w:tcW w:w="236" w:type="dxa"/>
            <w:tcBorders>
              <w:top w:val="nil"/>
              <w:left w:val="nil"/>
              <w:bottom w:val="nil"/>
              <w:right w:val="nil"/>
            </w:tcBorders>
            <w:shd w:val="clear" w:color="FFFFFF" w:fill="FFFFFF"/>
            <w:noWrap/>
            <w:vAlign w:val="bottom"/>
            <w:hideMark/>
          </w:tcPr>
          <w:p w14:paraId="46DEF942" w14:textId="77777777" w:rsidR="00B040FE" w:rsidRDefault="00B040FE" w:rsidP="0047225D">
            <w:pPr>
              <w:spacing w:after="0"/>
              <w:rPr>
                <w:rFonts w:cs="Arial"/>
                <w:sz w:val="18"/>
                <w:szCs w:val="18"/>
              </w:rPr>
            </w:pPr>
            <w:r>
              <w:rPr>
                <w:rFonts w:cs="Arial"/>
                <w:sz w:val="18"/>
                <w:szCs w:val="18"/>
              </w:rPr>
              <w:t> </w:t>
            </w:r>
          </w:p>
        </w:tc>
        <w:tc>
          <w:tcPr>
            <w:tcW w:w="1089" w:type="dxa"/>
            <w:tcBorders>
              <w:top w:val="nil"/>
              <w:left w:val="nil"/>
              <w:bottom w:val="nil"/>
              <w:right w:val="nil"/>
            </w:tcBorders>
            <w:shd w:val="clear" w:color="FFFFFF" w:fill="FFFFFF"/>
            <w:noWrap/>
            <w:vAlign w:val="bottom"/>
            <w:hideMark/>
          </w:tcPr>
          <w:p w14:paraId="730D22A1" w14:textId="77777777" w:rsidR="00B040FE" w:rsidRDefault="00B040FE" w:rsidP="0047225D">
            <w:pPr>
              <w:spacing w:after="0"/>
              <w:jc w:val="right"/>
              <w:rPr>
                <w:rFonts w:cs="Arial"/>
                <w:sz w:val="18"/>
                <w:szCs w:val="18"/>
              </w:rPr>
            </w:pPr>
            <w:r>
              <w:rPr>
                <w:rFonts w:cs="Arial"/>
                <w:sz w:val="18"/>
                <w:szCs w:val="18"/>
              </w:rPr>
              <w:t>31,553</w:t>
            </w:r>
          </w:p>
        </w:tc>
      </w:tr>
      <w:tr w:rsidR="00B040FE" w14:paraId="47BB5C08" w14:textId="77777777" w:rsidTr="005E5E0C">
        <w:trPr>
          <w:trHeight w:val="253"/>
        </w:trPr>
        <w:tc>
          <w:tcPr>
            <w:tcW w:w="6356" w:type="dxa"/>
            <w:tcBorders>
              <w:top w:val="nil"/>
              <w:left w:val="nil"/>
              <w:bottom w:val="nil"/>
              <w:right w:val="nil"/>
            </w:tcBorders>
            <w:shd w:val="clear" w:color="FFFFFF" w:fill="FFFFFF"/>
            <w:noWrap/>
            <w:vAlign w:val="bottom"/>
            <w:hideMark/>
          </w:tcPr>
          <w:p w14:paraId="5D3B67BD" w14:textId="77777777" w:rsidR="00B040FE" w:rsidRDefault="00B040FE" w:rsidP="0047225D">
            <w:pPr>
              <w:spacing w:after="0"/>
              <w:ind w:firstLineChars="100" w:firstLine="180"/>
              <w:rPr>
                <w:rFonts w:cs="Arial"/>
                <w:sz w:val="18"/>
                <w:szCs w:val="18"/>
              </w:rPr>
            </w:pPr>
            <w:r>
              <w:rPr>
                <w:rFonts w:cs="Arial"/>
                <w:sz w:val="18"/>
                <w:szCs w:val="18"/>
              </w:rPr>
              <w:t>Participant plan provisions</w:t>
            </w:r>
          </w:p>
        </w:tc>
        <w:tc>
          <w:tcPr>
            <w:tcW w:w="1406" w:type="dxa"/>
            <w:tcBorders>
              <w:top w:val="nil"/>
              <w:left w:val="nil"/>
              <w:bottom w:val="nil"/>
              <w:right w:val="nil"/>
            </w:tcBorders>
            <w:shd w:val="clear" w:color="FFFFFF" w:fill="FFFFFF"/>
            <w:noWrap/>
            <w:vAlign w:val="bottom"/>
            <w:hideMark/>
          </w:tcPr>
          <w:p w14:paraId="4B0795A0" w14:textId="77777777" w:rsidR="00B040FE" w:rsidRDefault="00B040FE" w:rsidP="0047225D">
            <w:pPr>
              <w:spacing w:after="0"/>
              <w:jc w:val="right"/>
              <w:rPr>
                <w:rFonts w:cs="Arial"/>
                <w:b/>
                <w:bCs/>
                <w:sz w:val="18"/>
                <w:szCs w:val="18"/>
              </w:rPr>
            </w:pPr>
            <w:r>
              <w:rPr>
                <w:rFonts w:cs="Arial"/>
                <w:b/>
                <w:bCs/>
                <w:sz w:val="18"/>
                <w:szCs w:val="18"/>
              </w:rPr>
              <w:t>1,998,439</w:t>
            </w:r>
          </w:p>
        </w:tc>
        <w:tc>
          <w:tcPr>
            <w:tcW w:w="236" w:type="dxa"/>
            <w:tcBorders>
              <w:top w:val="nil"/>
              <w:left w:val="nil"/>
              <w:bottom w:val="nil"/>
              <w:right w:val="nil"/>
            </w:tcBorders>
            <w:shd w:val="clear" w:color="FFFFFF" w:fill="FFFFFF"/>
            <w:noWrap/>
            <w:vAlign w:val="bottom"/>
            <w:hideMark/>
          </w:tcPr>
          <w:p w14:paraId="7D03FE67" w14:textId="77777777" w:rsidR="00B040FE" w:rsidRDefault="00B040FE" w:rsidP="0047225D">
            <w:pPr>
              <w:spacing w:after="0"/>
              <w:rPr>
                <w:rFonts w:cs="Arial"/>
                <w:sz w:val="18"/>
                <w:szCs w:val="18"/>
              </w:rPr>
            </w:pPr>
            <w:r>
              <w:rPr>
                <w:rFonts w:cs="Arial"/>
                <w:sz w:val="18"/>
                <w:szCs w:val="18"/>
              </w:rPr>
              <w:t> </w:t>
            </w:r>
          </w:p>
        </w:tc>
        <w:tc>
          <w:tcPr>
            <w:tcW w:w="1089" w:type="dxa"/>
            <w:tcBorders>
              <w:top w:val="nil"/>
              <w:left w:val="nil"/>
              <w:bottom w:val="nil"/>
              <w:right w:val="nil"/>
            </w:tcBorders>
            <w:shd w:val="clear" w:color="FFFFFF" w:fill="FFFFFF"/>
            <w:noWrap/>
            <w:vAlign w:val="bottom"/>
            <w:hideMark/>
          </w:tcPr>
          <w:p w14:paraId="1D43A91C" w14:textId="77777777" w:rsidR="00B040FE" w:rsidRDefault="00B040FE" w:rsidP="0047225D">
            <w:pPr>
              <w:spacing w:after="0"/>
              <w:jc w:val="right"/>
              <w:rPr>
                <w:rFonts w:cs="Arial"/>
                <w:sz w:val="18"/>
                <w:szCs w:val="18"/>
              </w:rPr>
            </w:pPr>
            <w:r>
              <w:rPr>
                <w:rFonts w:cs="Arial"/>
                <w:sz w:val="18"/>
                <w:szCs w:val="18"/>
              </w:rPr>
              <w:t>1,880,519</w:t>
            </w:r>
          </w:p>
        </w:tc>
      </w:tr>
      <w:tr w:rsidR="00B040FE" w14:paraId="3E5904DF" w14:textId="77777777" w:rsidTr="005E5E0C">
        <w:trPr>
          <w:trHeight w:val="253"/>
        </w:trPr>
        <w:tc>
          <w:tcPr>
            <w:tcW w:w="6356" w:type="dxa"/>
            <w:tcBorders>
              <w:top w:val="nil"/>
              <w:left w:val="nil"/>
              <w:bottom w:val="nil"/>
              <w:right w:val="nil"/>
            </w:tcBorders>
            <w:shd w:val="clear" w:color="FFFFFF" w:fill="FFFFFF"/>
            <w:noWrap/>
            <w:vAlign w:val="bottom"/>
            <w:hideMark/>
          </w:tcPr>
          <w:p w14:paraId="79C675F8" w14:textId="77777777" w:rsidR="00B040FE" w:rsidRDefault="00B040FE" w:rsidP="0047225D">
            <w:pPr>
              <w:spacing w:after="0"/>
              <w:ind w:firstLineChars="100" w:firstLine="180"/>
              <w:rPr>
                <w:rFonts w:cs="Arial"/>
                <w:sz w:val="18"/>
                <w:szCs w:val="18"/>
              </w:rPr>
            </w:pPr>
            <w:r>
              <w:rPr>
                <w:rFonts w:cs="Arial"/>
                <w:sz w:val="18"/>
                <w:szCs w:val="18"/>
              </w:rPr>
              <w:t>Provision for provider additional costs</w:t>
            </w:r>
          </w:p>
        </w:tc>
        <w:tc>
          <w:tcPr>
            <w:tcW w:w="1406" w:type="dxa"/>
            <w:tcBorders>
              <w:top w:val="nil"/>
              <w:left w:val="nil"/>
              <w:bottom w:val="nil"/>
              <w:right w:val="nil"/>
            </w:tcBorders>
            <w:shd w:val="clear" w:color="FFFFFF" w:fill="FFFFFF"/>
            <w:noWrap/>
            <w:vAlign w:val="bottom"/>
            <w:hideMark/>
          </w:tcPr>
          <w:p w14:paraId="4DA8ADD8" w14:textId="77777777" w:rsidR="00B040FE" w:rsidRDefault="00B040FE" w:rsidP="0047225D">
            <w:pPr>
              <w:spacing w:after="0"/>
              <w:jc w:val="right"/>
              <w:rPr>
                <w:rFonts w:cs="Arial"/>
                <w:b/>
                <w:bCs/>
                <w:sz w:val="18"/>
                <w:szCs w:val="18"/>
              </w:rPr>
            </w:pPr>
            <w:r>
              <w:rPr>
                <w:rFonts w:cs="Arial"/>
                <w:b/>
                <w:bCs/>
                <w:sz w:val="18"/>
                <w:szCs w:val="18"/>
              </w:rPr>
              <w:t>-</w:t>
            </w:r>
          </w:p>
        </w:tc>
        <w:tc>
          <w:tcPr>
            <w:tcW w:w="236" w:type="dxa"/>
            <w:tcBorders>
              <w:top w:val="nil"/>
              <w:left w:val="nil"/>
              <w:bottom w:val="nil"/>
              <w:right w:val="nil"/>
            </w:tcBorders>
            <w:shd w:val="clear" w:color="FFFFFF" w:fill="FFFFFF"/>
            <w:noWrap/>
            <w:vAlign w:val="bottom"/>
            <w:hideMark/>
          </w:tcPr>
          <w:p w14:paraId="5B220FF5" w14:textId="77777777" w:rsidR="00B040FE" w:rsidRDefault="00B040FE" w:rsidP="0047225D">
            <w:pPr>
              <w:spacing w:after="0"/>
              <w:rPr>
                <w:rFonts w:cs="Arial"/>
                <w:sz w:val="18"/>
                <w:szCs w:val="18"/>
              </w:rPr>
            </w:pPr>
            <w:r>
              <w:rPr>
                <w:rFonts w:cs="Arial"/>
                <w:sz w:val="18"/>
                <w:szCs w:val="18"/>
              </w:rPr>
              <w:t> </w:t>
            </w:r>
          </w:p>
        </w:tc>
        <w:tc>
          <w:tcPr>
            <w:tcW w:w="1089" w:type="dxa"/>
            <w:tcBorders>
              <w:top w:val="nil"/>
              <w:left w:val="nil"/>
              <w:bottom w:val="nil"/>
              <w:right w:val="nil"/>
            </w:tcBorders>
            <w:shd w:val="clear" w:color="FFFFFF" w:fill="FFFFFF"/>
            <w:noWrap/>
            <w:vAlign w:val="bottom"/>
            <w:hideMark/>
          </w:tcPr>
          <w:p w14:paraId="44CB17B3" w14:textId="77777777" w:rsidR="00B040FE" w:rsidRDefault="00B040FE" w:rsidP="0047225D">
            <w:pPr>
              <w:spacing w:after="0"/>
              <w:jc w:val="right"/>
              <w:rPr>
                <w:rFonts w:cs="Arial"/>
                <w:sz w:val="18"/>
                <w:szCs w:val="18"/>
              </w:rPr>
            </w:pPr>
            <w:r>
              <w:rPr>
                <w:rFonts w:cs="Arial"/>
                <w:sz w:val="18"/>
                <w:szCs w:val="18"/>
              </w:rPr>
              <w:t xml:space="preserve"> -</w:t>
            </w:r>
          </w:p>
        </w:tc>
      </w:tr>
      <w:tr w:rsidR="00B040FE" w14:paraId="4CC21B1B" w14:textId="77777777" w:rsidTr="005E5E0C">
        <w:trPr>
          <w:trHeight w:val="253"/>
        </w:trPr>
        <w:tc>
          <w:tcPr>
            <w:tcW w:w="6356" w:type="dxa"/>
            <w:tcBorders>
              <w:top w:val="nil"/>
              <w:left w:val="nil"/>
              <w:bottom w:val="nil"/>
              <w:right w:val="nil"/>
            </w:tcBorders>
            <w:shd w:val="clear" w:color="FFFFFF" w:fill="FFFFFF"/>
            <w:noWrap/>
            <w:vAlign w:val="bottom"/>
            <w:hideMark/>
          </w:tcPr>
          <w:p w14:paraId="781CA67D" w14:textId="77777777" w:rsidR="00B040FE" w:rsidRDefault="00B040FE" w:rsidP="0047225D">
            <w:pPr>
              <w:spacing w:after="0"/>
              <w:ind w:firstLineChars="100" w:firstLine="180"/>
              <w:rPr>
                <w:rFonts w:cs="Arial"/>
                <w:sz w:val="18"/>
                <w:szCs w:val="18"/>
              </w:rPr>
            </w:pPr>
            <w:r>
              <w:rPr>
                <w:rFonts w:cs="Arial"/>
                <w:sz w:val="18"/>
                <w:szCs w:val="18"/>
              </w:rPr>
              <w:t>Provision for restoration obligations</w:t>
            </w:r>
          </w:p>
        </w:tc>
        <w:tc>
          <w:tcPr>
            <w:tcW w:w="1406" w:type="dxa"/>
            <w:tcBorders>
              <w:top w:val="nil"/>
              <w:left w:val="nil"/>
              <w:bottom w:val="nil"/>
              <w:right w:val="nil"/>
            </w:tcBorders>
            <w:shd w:val="clear" w:color="FFFFFF" w:fill="FFFFFF"/>
            <w:noWrap/>
            <w:vAlign w:val="bottom"/>
            <w:hideMark/>
          </w:tcPr>
          <w:p w14:paraId="7E2C148C" w14:textId="77777777" w:rsidR="00B040FE" w:rsidRDefault="00B040FE" w:rsidP="0047225D">
            <w:pPr>
              <w:spacing w:after="0"/>
              <w:jc w:val="right"/>
              <w:rPr>
                <w:rFonts w:cs="Arial"/>
                <w:b/>
                <w:bCs/>
                <w:sz w:val="18"/>
                <w:szCs w:val="18"/>
              </w:rPr>
            </w:pPr>
            <w:r>
              <w:rPr>
                <w:rFonts w:cs="Arial"/>
                <w:b/>
                <w:bCs/>
                <w:sz w:val="18"/>
                <w:szCs w:val="18"/>
              </w:rPr>
              <w:t>2,488</w:t>
            </w:r>
          </w:p>
        </w:tc>
        <w:tc>
          <w:tcPr>
            <w:tcW w:w="236" w:type="dxa"/>
            <w:tcBorders>
              <w:top w:val="nil"/>
              <w:left w:val="nil"/>
              <w:bottom w:val="nil"/>
              <w:right w:val="nil"/>
            </w:tcBorders>
            <w:shd w:val="clear" w:color="FFFFFF" w:fill="FFFFFF"/>
            <w:noWrap/>
            <w:vAlign w:val="bottom"/>
            <w:hideMark/>
          </w:tcPr>
          <w:p w14:paraId="7C1D4AE6" w14:textId="77777777" w:rsidR="00B040FE" w:rsidRDefault="00B040FE" w:rsidP="0047225D">
            <w:pPr>
              <w:spacing w:after="0"/>
              <w:rPr>
                <w:rFonts w:cs="Arial"/>
                <w:sz w:val="18"/>
                <w:szCs w:val="18"/>
              </w:rPr>
            </w:pPr>
            <w:r>
              <w:rPr>
                <w:rFonts w:cs="Arial"/>
                <w:sz w:val="18"/>
                <w:szCs w:val="18"/>
              </w:rPr>
              <w:t> </w:t>
            </w:r>
          </w:p>
        </w:tc>
        <w:tc>
          <w:tcPr>
            <w:tcW w:w="1089" w:type="dxa"/>
            <w:tcBorders>
              <w:top w:val="nil"/>
              <w:left w:val="nil"/>
              <w:bottom w:val="nil"/>
              <w:right w:val="nil"/>
            </w:tcBorders>
            <w:shd w:val="clear" w:color="FFFFFF" w:fill="FFFFFF"/>
            <w:noWrap/>
            <w:vAlign w:val="bottom"/>
            <w:hideMark/>
          </w:tcPr>
          <w:p w14:paraId="0ACF4621" w14:textId="77777777" w:rsidR="00B040FE" w:rsidRDefault="00B040FE" w:rsidP="0047225D">
            <w:pPr>
              <w:spacing w:after="0"/>
              <w:jc w:val="right"/>
              <w:rPr>
                <w:rFonts w:cs="Arial"/>
                <w:sz w:val="18"/>
                <w:szCs w:val="18"/>
              </w:rPr>
            </w:pPr>
            <w:r>
              <w:rPr>
                <w:rFonts w:cs="Arial"/>
                <w:sz w:val="18"/>
                <w:szCs w:val="18"/>
              </w:rPr>
              <w:t>1,607</w:t>
            </w:r>
          </w:p>
        </w:tc>
      </w:tr>
      <w:tr w:rsidR="00B040FE" w14:paraId="3DF406A1" w14:textId="77777777" w:rsidTr="005E5E0C">
        <w:trPr>
          <w:trHeight w:val="253"/>
        </w:trPr>
        <w:tc>
          <w:tcPr>
            <w:tcW w:w="6356" w:type="dxa"/>
            <w:tcBorders>
              <w:top w:val="nil"/>
              <w:left w:val="nil"/>
              <w:bottom w:val="nil"/>
              <w:right w:val="nil"/>
            </w:tcBorders>
            <w:shd w:val="clear" w:color="FFFFFF" w:fill="FFFFFF"/>
            <w:vAlign w:val="bottom"/>
            <w:hideMark/>
          </w:tcPr>
          <w:p w14:paraId="4D96C0B6" w14:textId="77777777" w:rsidR="00B040FE" w:rsidRDefault="00B040FE" w:rsidP="0047225D">
            <w:pPr>
              <w:spacing w:after="0"/>
              <w:rPr>
                <w:rFonts w:cs="Arial"/>
                <w:b/>
                <w:bCs/>
                <w:sz w:val="18"/>
                <w:szCs w:val="18"/>
              </w:rPr>
            </w:pPr>
            <w:r>
              <w:rPr>
                <w:rFonts w:cs="Arial"/>
                <w:b/>
                <w:bCs/>
                <w:sz w:val="18"/>
                <w:szCs w:val="18"/>
              </w:rPr>
              <w:t>Total no more than 12 months</w:t>
            </w:r>
          </w:p>
        </w:tc>
        <w:tc>
          <w:tcPr>
            <w:tcW w:w="1406" w:type="dxa"/>
            <w:tcBorders>
              <w:top w:val="single" w:sz="4" w:space="0" w:color="auto"/>
              <w:left w:val="nil"/>
              <w:bottom w:val="single" w:sz="4" w:space="0" w:color="auto"/>
              <w:right w:val="nil"/>
            </w:tcBorders>
            <w:shd w:val="clear" w:color="FFFFFF" w:fill="FFFFFF"/>
            <w:noWrap/>
            <w:vAlign w:val="bottom"/>
            <w:hideMark/>
          </w:tcPr>
          <w:p w14:paraId="2B6BE128" w14:textId="77777777" w:rsidR="00B040FE" w:rsidRDefault="00B040FE" w:rsidP="0047225D">
            <w:pPr>
              <w:spacing w:after="0"/>
              <w:jc w:val="right"/>
              <w:rPr>
                <w:rFonts w:cs="Arial"/>
                <w:b/>
                <w:bCs/>
                <w:sz w:val="18"/>
                <w:szCs w:val="18"/>
              </w:rPr>
            </w:pPr>
            <w:r>
              <w:rPr>
                <w:rFonts w:cs="Arial"/>
                <w:b/>
                <w:bCs/>
                <w:sz w:val="18"/>
                <w:szCs w:val="18"/>
              </w:rPr>
              <w:t>3,422,832</w:t>
            </w:r>
          </w:p>
        </w:tc>
        <w:tc>
          <w:tcPr>
            <w:tcW w:w="236" w:type="dxa"/>
            <w:tcBorders>
              <w:top w:val="nil"/>
              <w:left w:val="nil"/>
              <w:bottom w:val="nil"/>
              <w:right w:val="nil"/>
            </w:tcBorders>
            <w:shd w:val="clear" w:color="FFFFFF" w:fill="FFFFFF"/>
            <w:noWrap/>
            <w:vAlign w:val="bottom"/>
            <w:hideMark/>
          </w:tcPr>
          <w:p w14:paraId="64A9899B" w14:textId="77777777" w:rsidR="00B040FE" w:rsidRDefault="00B040FE" w:rsidP="0047225D">
            <w:pPr>
              <w:spacing w:after="0"/>
              <w:rPr>
                <w:rFonts w:cs="Arial"/>
                <w:sz w:val="18"/>
                <w:szCs w:val="18"/>
              </w:rPr>
            </w:pPr>
            <w:r>
              <w:rPr>
                <w:rFonts w:cs="Arial"/>
                <w:sz w:val="18"/>
                <w:szCs w:val="18"/>
              </w:rPr>
              <w:t> </w:t>
            </w:r>
          </w:p>
        </w:tc>
        <w:tc>
          <w:tcPr>
            <w:tcW w:w="1089" w:type="dxa"/>
            <w:tcBorders>
              <w:top w:val="single" w:sz="4" w:space="0" w:color="auto"/>
              <w:left w:val="nil"/>
              <w:bottom w:val="single" w:sz="4" w:space="0" w:color="auto"/>
              <w:right w:val="nil"/>
            </w:tcBorders>
            <w:shd w:val="clear" w:color="FFFFFF" w:fill="FFFFFF"/>
            <w:noWrap/>
            <w:vAlign w:val="bottom"/>
            <w:hideMark/>
          </w:tcPr>
          <w:p w14:paraId="5710E37D" w14:textId="77777777" w:rsidR="00B040FE" w:rsidRDefault="00B040FE" w:rsidP="0047225D">
            <w:pPr>
              <w:spacing w:after="0"/>
              <w:jc w:val="right"/>
              <w:rPr>
                <w:rFonts w:cs="Arial"/>
                <w:sz w:val="18"/>
                <w:szCs w:val="18"/>
              </w:rPr>
            </w:pPr>
            <w:r>
              <w:rPr>
                <w:rFonts w:cs="Arial"/>
                <w:sz w:val="18"/>
                <w:szCs w:val="18"/>
              </w:rPr>
              <w:t>3,058,650</w:t>
            </w:r>
          </w:p>
        </w:tc>
      </w:tr>
      <w:tr w:rsidR="00B040FE" w14:paraId="4ED4B245" w14:textId="77777777" w:rsidTr="005E5E0C">
        <w:trPr>
          <w:trHeight w:val="253"/>
        </w:trPr>
        <w:tc>
          <w:tcPr>
            <w:tcW w:w="6356" w:type="dxa"/>
            <w:tcBorders>
              <w:top w:val="nil"/>
              <w:left w:val="nil"/>
              <w:bottom w:val="nil"/>
              <w:right w:val="nil"/>
            </w:tcBorders>
            <w:shd w:val="clear" w:color="FFFFFF" w:fill="FFFFFF"/>
            <w:vAlign w:val="bottom"/>
            <w:hideMark/>
          </w:tcPr>
          <w:p w14:paraId="55AF2E9F" w14:textId="77777777" w:rsidR="00B040FE" w:rsidRDefault="00B040FE" w:rsidP="0047225D">
            <w:pPr>
              <w:spacing w:after="0"/>
              <w:rPr>
                <w:rFonts w:cs="Arial"/>
                <w:b/>
                <w:bCs/>
                <w:sz w:val="18"/>
                <w:szCs w:val="18"/>
              </w:rPr>
            </w:pPr>
            <w:r>
              <w:rPr>
                <w:rFonts w:cs="Arial"/>
                <w:b/>
                <w:bCs/>
                <w:sz w:val="18"/>
                <w:szCs w:val="18"/>
              </w:rPr>
              <w:t> </w:t>
            </w:r>
          </w:p>
        </w:tc>
        <w:tc>
          <w:tcPr>
            <w:tcW w:w="1406" w:type="dxa"/>
            <w:tcBorders>
              <w:top w:val="nil"/>
              <w:left w:val="nil"/>
              <w:bottom w:val="nil"/>
              <w:right w:val="nil"/>
            </w:tcBorders>
            <w:shd w:val="clear" w:color="FFFFFF" w:fill="FFFFFF"/>
            <w:vAlign w:val="bottom"/>
            <w:hideMark/>
          </w:tcPr>
          <w:p w14:paraId="3C9C6553" w14:textId="77777777" w:rsidR="00B040FE" w:rsidRDefault="00B040FE" w:rsidP="0047225D">
            <w:pPr>
              <w:spacing w:after="0"/>
              <w:rPr>
                <w:rFonts w:cs="Arial"/>
                <w:b/>
                <w:bCs/>
                <w:sz w:val="18"/>
                <w:szCs w:val="18"/>
              </w:rPr>
            </w:pPr>
            <w:r>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56E7F9A4" w14:textId="77777777" w:rsidR="00B040FE" w:rsidRDefault="00B040FE" w:rsidP="0047225D">
            <w:pPr>
              <w:spacing w:after="0"/>
              <w:rPr>
                <w:rFonts w:cs="Arial"/>
                <w:sz w:val="18"/>
                <w:szCs w:val="18"/>
              </w:rPr>
            </w:pPr>
            <w:r>
              <w:rPr>
                <w:rFonts w:cs="Arial"/>
                <w:sz w:val="18"/>
                <w:szCs w:val="18"/>
              </w:rPr>
              <w:t> </w:t>
            </w:r>
          </w:p>
        </w:tc>
        <w:tc>
          <w:tcPr>
            <w:tcW w:w="1089" w:type="dxa"/>
            <w:tcBorders>
              <w:top w:val="nil"/>
              <w:left w:val="nil"/>
              <w:bottom w:val="nil"/>
              <w:right w:val="nil"/>
            </w:tcBorders>
            <w:shd w:val="clear" w:color="FFFFFF" w:fill="FFFFFF"/>
            <w:vAlign w:val="bottom"/>
            <w:hideMark/>
          </w:tcPr>
          <w:p w14:paraId="1C60F647" w14:textId="77777777" w:rsidR="00B040FE" w:rsidRDefault="00B040FE" w:rsidP="0047225D">
            <w:pPr>
              <w:spacing w:after="0"/>
              <w:rPr>
                <w:rFonts w:cs="Arial"/>
                <w:b/>
                <w:bCs/>
                <w:sz w:val="18"/>
                <w:szCs w:val="18"/>
              </w:rPr>
            </w:pPr>
            <w:r>
              <w:rPr>
                <w:rFonts w:cs="Arial"/>
                <w:b/>
                <w:bCs/>
                <w:sz w:val="18"/>
                <w:szCs w:val="18"/>
              </w:rPr>
              <w:t> </w:t>
            </w:r>
          </w:p>
        </w:tc>
      </w:tr>
      <w:tr w:rsidR="00B040FE" w14:paraId="7751FD9F" w14:textId="77777777" w:rsidTr="005E5E0C">
        <w:trPr>
          <w:trHeight w:val="253"/>
        </w:trPr>
        <w:tc>
          <w:tcPr>
            <w:tcW w:w="6356" w:type="dxa"/>
            <w:tcBorders>
              <w:top w:val="nil"/>
              <w:left w:val="nil"/>
              <w:bottom w:val="nil"/>
              <w:right w:val="nil"/>
            </w:tcBorders>
            <w:shd w:val="clear" w:color="FFFFFF" w:fill="FFFFFF"/>
            <w:vAlign w:val="bottom"/>
            <w:hideMark/>
          </w:tcPr>
          <w:p w14:paraId="50C7EEE9" w14:textId="77777777" w:rsidR="00B040FE" w:rsidRDefault="00B040FE" w:rsidP="0047225D">
            <w:pPr>
              <w:spacing w:after="0"/>
              <w:rPr>
                <w:rFonts w:cs="Arial"/>
                <w:b/>
                <w:bCs/>
                <w:sz w:val="18"/>
                <w:szCs w:val="18"/>
              </w:rPr>
            </w:pPr>
            <w:r>
              <w:rPr>
                <w:rFonts w:cs="Arial"/>
                <w:b/>
                <w:bCs/>
                <w:sz w:val="18"/>
                <w:szCs w:val="18"/>
              </w:rPr>
              <w:t>More than 12 months</w:t>
            </w:r>
          </w:p>
        </w:tc>
        <w:tc>
          <w:tcPr>
            <w:tcW w:w="1406" w:type="dxa"/>
            <w:tcBorders>
              <w:top w:val="nil"/>
              <w:left w:val="nil"/>
              <w:bottom w:val="nil"/>
              <w:right w:val="nil"/>
            </w:tcBorders>
            <w:shd w:val="clear" w:color="FFFFFF" w:fill="FFFFFF"/>
            <w:vAlign w:val="bottom"/>
            <w:hideMark/>
          </w:tcPr>
          <w:p w14:paraId="2125456D" w14:textId="77777777" w:rsidR="00B040FE" w:rsidRDefault="00B040FE" w:rsidP="0047225D">
            <w:pPr>
              <w:spacing w:after="0"/>
              <w:rPr>
                <w:rFonts w:cs="Arial"/>
                <w:b/>
                <w:bCs/>
                <w:sz w:val="18"/>
                <w:szCs w:val="18"/>
              </w:rPr>
            </w:pPr>
            <w:r>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2DE525D7" w14:textId="77777777" w:rsidR="00B040FE" w:rsidRDefault="00B040FE" w:rsidP="0047225D">
            <w:pPr>
              <w:spacing w:after="0"/>
              <w:rPr>
                <w:rFonts w:cs="Arial"/>
                <w:sz w:val="18"/>
                <w:szCs w:val="18"/>
              </w:rPr>
            </w:pPr>
            <w:r>
              <w:rPr>
                <w:rFonts w:cs="Arial"/>
                <w:sz w:val="18"/>
                <w:szCs w:val="18"/>
              </w:rPr>
              <w:t> </w:t>
            </w:r>
          </w:p>
        </w:tc>
        <w:tc>
          <w:tcPr>
            <w:tcW w:w="1089" w:type="dxa"/>
            <w:tcBorders>
              <w:top w:val="nil"/>
              <w:left w:val="nil"/>
              <w:bottom w:val="nil"/>
              <w:right w:val="nil"/>
            </w:tcBorders>
            <w:shd w:val="clear" w:color="FFFFFF" w:fill="FFFFFF"/>
            <w:vAlign w:val="bottom"/>
            <w:hideMark/>
          </w:tcPr>
          <w:p w14:paraId="4AE96845" w14:textId="77777777" w:rsidR="00B040FE" w:rsidRDefault="00B040FE" w:rsidP="0047225D">
            <w:pPr>
              <w:spacing w:after="0"/>
              <w:rPr>
                <w:rFonts w:cs="Arial"/>
                <w:b/>
                <w:bCs/>
                <w:sz w:val="18"/>
                <w:szCs w:val="18"/>
              </w:rPr>
            </w:pPr>
            <w:r>
              <w:rPr>
                <w:rFonts w:cs="Arial"/>
                <w:b/>
                <w:bCs/>
                <w:sz w:val="18"/>
                <w:szCs w:val="18"/>
              </w:rPr>
              <w:t> </w:t>
            </w:r>
          </w:p>
        </w:tc>
      </w:tr>
      <w:tr w:rsidR="00B040FE" w14:paraId="71308B17" w14:textId="77777777" w:rsidTr="005E5E0C">
        <w:trPr>
          <w:trHeight w:val="253"/>
        </w:trPr>
        <w:tc>
          <w:tcPr>
            <w:tcW w:w="6356" w:type="dxa"/>
            <w:tcBorders>
              <w:top w:val="nil"/>
              <w:left w:val="nil"/>
              <w:bottom w:val="nil"/>
              <w:right w:val="nil"/>
            </w:tcBorders>
            <w:shd w:val="clear" w:color="FFFFFF" w:fill="FFFFFF"/>
            <w:noWrap/>
            <w:vAlign w:val="bottom"/>
            <w:hideMark/>
          </w:tcPr>
          <w:p w14:paraId="1F7BC5CF" w14:textId="77777777" w:rsidR="00B040FE" w:rsidRDefault="00B040FE" w:rsidP="0047225D">
            <w:pPr>
              <w:spacing w:after="0"/>
              <w:ind w:firstLineChars="100" w:firstLine="180"/>
              <w:rPr>
                <w:rFonts w:cs="Arial"/>
                <w:sz w:val="18"/>
                <w:szCs w:val="18"/>
              </w:rPr>
            </w:pPr>
            <w:r>
              <w:rPr>
                <w:rFonts w:cs="Arial"/>
                <w:sz w:val="18"/>
                <w:szCs w:val="18"/>
              </w:rPr>
              <w:t>Leases</w:t>
            </w:r>
          </w:p>
        </w:tc>
        <w:tc>
          <w:tcPr>
            <w:tcW w:w="1406" w:type="dxa"/>
            <w:tcBorders>
              <w:top w:val="nil"/>
              <w:left w:val="nil"/>
              <w:bottom w:val="nil"/>
              <w:right w:val="nil"/>
            </w:tcBorders>
            <w:shd w:val="clear" w:color="FFFFFF" w:fill="FFFFFF"/>
            <w:noWrap/>
            <w:vAlign w:val="bottom"/>
            <w:hideMark/>
          </w:tcPr>
          <w:p w14:paraId="6A605237" w14:textId="77777777" w:rsidR="00B040FE" w:rsidRDefault="00B040FE" w:rsidP="0047225D">
            <w:pPr>
              <w:spacing w:after="0"/>
              <w:jc w:val="right"/>
              <w:rPr>
                <w:rFonts w:cs="Arial"/>
                <w:b/>
                <w:bCs/>
                <w:sz w:val="18"/>
                <w:szCs w:val="18"/>
              </w:rPr>
            </w:pPr>
            <w:r>
              <w:rPr>
                <w:rFonts w:cs="Arial"/>
                <w:b/>
                <w:bCs/>
                <w:sz w:val="18"/>
                <w:szCs w:val="18"/>
              </w:rPr>
              <w:t>135,832</w:t>
            </w:r>
          </w:p>
        </w:tc>
        <w:tc>
          <w:tcPr>
            <w:tcW w:w="236" w:type="dxa"/>
            <w:tcBorders>
              <w:top w:val="nil"/>
              <w:left w:val="nil"/>
              <w:bottom w:val="nil"/>
              <w:right w:val="nil"/>
            </w:tcBorders>
            <w:shd w:val="clear" w:color="FFFFFF" w:fill="FFFFFF"/>
            <w:noWrap/>
            <w:vAlign w:val="bottom"/>
            <w:hideMark/>
          </w:tcPr>
          <w:p w14:paraId="0C3EF4C8" w14:textId="77777777" w:rsidR="00B040FE" w:rsidRDefault="00B040FE" w:rsidP="0047225D">
            <w:pPr>
              <w:spacing w:after="0"/>
              <w:rPr>
                <w:rFonts w:cs="Arial"/>
                <w:sz w:val="18"/>
                <w:szCs w:val="18"/>
              </w:rPr>
            </w:pPr>
            <w:r>
              <w:rPr>
                <w:rFonts w:cs="Arial"/>
                <w:sz w:val="18"/>
                <w:szCs w:val="18"/>
              </w:rPr>
              <w:t> </w:t>
            </w:r>
          </w:p>
        </w:tc>
        <w:tc>
          <w:tcPr>
            <w:tcW w:w="1089" w:type="dxa"/>
            <w:tcBorders>
              <w:top w:val="nil"/>
              <w:left w:val="nil"/>
              <w:bottom w:val="nil"/>
              <w:right w:val="nil"/>
            </w:tcBorders>
            <w:shd w:val="clear" w:color="FFFFFF" w:fill="FFFFFF"/>
            <w:noWrap/>
            <w:vAlign w:val="bottom"/>
            <w:hideMark/>
          </w:tcPr>
          <w:p w14:paraId="6641463D" w14:textId="77777777" w:rsidR="00B040FE" w:rsidRDefault="00B040FE" w:rsidP="0047225D">
            <w:pPr>
              <w:spacing w:after="0"/>
              <w:jc w:val="right"/>
              <w:rPr>
                <w:rFonts w:cs="Arial"/>
                <w:sz w:val="18"/>
                <w:szCs w:val="18"/>
              </w:rPr>
            </w:pPr>
            <w:r>
              <w:rPr>
                <w:rFonts w:cs="Arial"/>
                <w:sz w:val="18"/>
                <w:szCs w:val="18"/>
              </w:rPr>
              <w:t>117,906</w:t>
            </w:r>
          </w:p>
        </w:tc>
      </w:tr>
      <w:tr w:rsidR="00B040FE" w14:paraId="6DD92145" w14:textId="77777777" w:rsidTr="005E5E0C">
        <w:trPr>
          <w:trHeight w:val="253"/>
        </w:trPr>
        <w:tc>
          <w:tcPr>
            <w:tcW w:w="6356" w:type="dxa"/>
            <w:tcBorders>
              <w:top w:val="nil"/>
              <w:left w:val="nil"/>
              <w:bottom w:val="nil"/>
              <w:right w:val="nil"/>
            </w:tcBorders>
            <w:shd w:val="clear" w:color="FFFFFF" w:fill="FFFFFF"/>
            <w:noWrap/>
            <w:vAlign w:val="bottom"/>
            <w:hideMark/>
          </w:tcPr>
          <w:p w14:paraId="6E54F800" w14:textId="77777777" w:rsidR="00B040FE" w:rsidRDefault="00B040FE" w:rsidP="0047225D">
            <w:pPr>
              <w:spacing w:after="0"/>
              <w:ind w:firstLineChars="100" w:firstLine="180"/>
              <w:rPr>
                <w:rFonts w:cs="Arial"/>
                <w:sz w:val="18"/>
                <w:szCs w:val="18"/>
              </w:rPr>
            </w:pPr>
            <w:r>
              <w:rPr>
                <w:rFonts w:cs="Arial"/>
                <w:sz w:val="18"/>
                <w:szCs w:val="18"/>
              </w:rPr>
              <w:t>Employee provisions</w:t>
            </w:r>
          </w:p>
        </w:tc>
        <w:tc>
          <w:tcPr>
            <w:tcW w:w="1406" w:type="dxa"/>
            <w:tcBorders>
              <w:top w:val="nil"/>
              <w:left w:val="nil"/>
              <w:bottom w:val="nil"/>
              <w:right w:val="nil"/>
            </w:tcBorders>
            <w:shd w:val="clear" w:color="FFFFFF" w:fill="FFFFFF"/>
            <w:noWrap/>
            <w:vAlign w:val="bottom"/>
            <w:hideMark/>
          </w:tcPr>
          <w:p w14:paraId="4CBB0193" w14:textId="77777777" w:rsidR="00B040FE" w:rsidRDefault="00B040FE" w:rsidP="0047225D">
            <w:pPr>
              <w:spacing w:after="0"/>
              <w:jc w:val="right"/>
              <w:rPr>
                <w:rFonts w:cs="Arial"/>
                <w:b/>
                <w:bCs/>
                <w:sz w:val="18"/>
                <w:szCs w:val="18"/>
              </w:rPr>
            </w:pPr>
            <w:r>
              <w:rPr>
                <w:rFonts w:cs="Arial"/>
                <w:b/>
                <w:bCs/>
                <w:sz w:val="18"/>
                <w:szCs w:val="18"/>
              </w:rPr>
              <w:t>109,224</w:t>
            </w:r>
          </w:p>
        </w:tc>
        <w:tc>
          <w:tcPr>
            <w:tcW w:w="236" w:type="dxa"/>
            <w:tcBorders>
              <w:top w:val="nil"/>
              <w:left w:val="nil"/>
              <w:bottom w:val="nil"/>
              <w:right w:val="nil"/>
            </w:tcBorders>
            <w:shd w:val="clear" w:color="FFFFFF" w:fill="FFFFFF"/>
            <w:noWrap/>
            <w:vAlign w:val="bottom"/>
            <w:hideMark/>
          </w:tcPr>
          <w:p w14:paraId="3D383BB2" w14:textId="77777777" w:rsidR="00B040FE" w:rsidRDefault="00B040FE" w:rsidP="0047225D">
            <w:pPr>
              <w:spacing w:after="0"/>
              <w:rPr>
                <w:rFonts w:cs="Arial"/>
                <w:sz w:val="18"/>
                <w:szCs w:val="18"/>
              </w:rPr>
            </w:pPr>
            <w:r>
              <w:rPr>
                <w:rFonts w:cs="Arial"/>
                <w:sz w:val="18"/>
                <w:szCs w:val="18"/>
              </w:rPr>
              <w:t> </w:t>
            </w:r>
          </w:p>
        </w:tc>
        <w:tc>
          <w:tcPr>
            <w:tcW w:w="1089" w:type="dxa"/>
            <w:tcBorders>
              <w:top w:val="nil"/>
              <w:left w:val="nil"/>
              <w:bottom w:val="nil"/>
              <w:right w:val="nil"/>
            </w:tcBorders>
            <w:shd w:val="clear" w:color="FFFFFF" w:fill="FFFFFF"/>
            <w:noWrap/>
            <w:vAlign w:val="bottom"/>
            <w:hideMark/>
          </w:tcPr>
          <w:p w14:paraId="3156E698" w14:textId="77777777" w:rsidR="00B040FE" w:rsidRDefault="00B040FE" w:rsidP="0047225D">
            <w:pPr>
              <w:spacing w:after="0"/>
              <w:jc w:val="right"/>
              <w:rPr>
                <w:rFonts w:cs="Arial"/>
                <w:sz w:val="18"/>
                <w:szCs w:val="18"/>
              </w:rPr>
            </w:pPr>
            <w:r>
              <w:rPr>
                <w:rFonts w:cs="Arial"/>
                <w:sz w:val="18"/>
                <w:szCs w:val="18"/>
              </w:rPr>
              <w:t>77,657</w:t>
            </w:r>
          </w:p>
        </w:tc>
      </w:tr>
      <w:tr w:rsidR="00B040FE" w14:paraId="56461383" w14:textId="77777777" w:rsidTr="005E5E0C">
        <w:trPr>
          <w:trHeight w:val="253"/>
        </w:trPr>
        <w:tc>
          <w:tcPr>
            <w:tcW w:w="6356" w:type="dxa"/>
            <w:tcBorders>
              <w:top w:val="nil"/>
              <w:left w:val="nil"/>
              <w:bottom w:val="nil"/>
              <w:right w:val="nil"/>
            </w:tcBorders>
            <w:shd w:val="clear" w:color="FFFFFF" w:fill="FFFFFF"/>
            <w:noWrap/>
            <w:vAlign w:val="bottom"/>
            <w:hideMark/>
          </w:tcPr>
          <w:p w14:paraId="3DDE3BEB" w14:textId="77777777" w:rsidR="00B040FE" w:rsidRDefault="00B040FE" w:rsidP="0047225D">
            <w:pPr>
              <w:spacing w:after="0"/>
              <w:ind w:firstLineChars="100" w:firstLine="180"/>
              <w:rPr>
                <w:rFonts w:cs="Arial"/>
                <w:sz w:val="18"/>
                <w:szCs w:val="18"/>
              </w:rPr>
            </w:pPr>
            <w:r>
              <w:rPr>
                <w:rFonts w:cs="Arial"/>
                <w:sz w:val="18"/>
                <w:szCs w:val="18"/>
              </w:rPr>
              <w:t>Participant plan provisions</w:t>
            </w:r>
          </w:p>
        </w:tc>
        <w:tc>
          <w:tcPr>
            <w:tcW w:w="1406" w:type="dxa"/>
            <w:tcBorders>
              <w:top w:val="nil"/>
              <w:left w:val="nil"/>
              <w:bottom w:val="nil"/>
              <w:right w:val="nil"/>
            </w:tcBorders>
            <w:shd w:val="clear" w:color="FFFFFF" w:fill="FFFFFF"/>
            <w:noWrap/>
            <w:vAlign w:val="bottom"/>
            <w:hideMark/>
          </w:tcPr>
          <w:p w14:paraId="11AD76EC" w14:textId="77777777" w:rsidR="00B040FE" w:rsidRDefault="00B040FE" w:rsidP="0047225D">
            <w:pPr>
              <w:spacing w:after="0"/>
              <w:jc w:val="right"/>
              <w:rPr>
                <w:rFonts w:cs="Arial"/>
                <w:b/>
                <w:bCs/>
                <w:sz w:val="18"/>
                <w:szCs w:val="18"/>
              </w:rPr>
            </w:pPr>
            <w:r>
              <w:rPr>
                <w:rFonts w:cs="Arial"/>
                <w:b/>
                <w:bCs/>
                <w:sz w:val="18"/>
                <w:szCs w:val="18"/>
              </w:rPr>
              <w:t>67,714</w:t>
            </w:r>
          </w:p>
        </w:tc>
        <w:tc>
          <w:tcPr>
            <w:tcW w:w="236" w:type="dxa"/>
            <w:tcBorders>
              <w:top w:val="nil"/>
              <w:left w:val="nil"/>
              <w:bottom w:val="nil"/>
              <w:right w:val="nil"/>
            </w:tcBorders>
            <w:shd w:val="clear" w:color="FFFFFF" w:fill="FFFFFF"/>
            <w:noWrap/>
            <w:vAlign w:val="bottom"/>
            <w:hideMark/>
          </w:tcPr>
          <w:p w14:paraId="46B7F953" w14:textId="77777777" w:rsidR="00B040FE" w:rsidRDefault="00B040FE" w:rsidP="0047225D">
            <w:pPr>
              <w:spacing w:after="0"/>
              <w:rPr>
                <w:rFonts w:cs="Arial"/>
                <w:sz w:val="18"/>
                <w:szCs w:val="18"/>
              </w:rPr>
            </w:pPr>
            <w:r>
              <w:rPr>
                <w:rFonts w:cs="Arial"/>
                <w:sz w:val="18"/>
                <w:szCs w:val="18"/>
              </w:rPr>
              <w:t> </w:t>
            </w:r>
          </w:p>
        </w:tc>
        <w:tc>
          <w:tcPr>
            <w:tcW w:w="1089" w:type="dxa"/>
            <w:tcBorders>
              <w:top w:val="nil"/>
              <w:left w:val="nil"/>
              <w:bottom w:val="nil"/>
              <w:right w:val="nil"/>
            </w:tcBorders>
            <w:shd w:val="clear" w:color="FFFFFF" w:fill="FFFFFF"/>
            <w:noWrap/>
            <w:vAlign w:val="bottom"/>
            <w:hideMark/>
          </w:tcPr>
          <w:p w14:paraId="1AE4CAD5" w14:textId="77777777" w:rsidR="00B040FE" w:rsidRDefault="00B040FE" w:rsidP="0047225D">
            <w:pPr>
              <w:spacing w:after="0"/>
              <w:jc w:val="right"/>
              <w:rPr>
                <w:rFonts w:cs="Arial"/>
                <w:sz w:val="18"/>
                <w:szCs w:val="18"/>
              </w:rPr>
            </w:pPr>
            <w:r>
              <w:rPr>
                <w:rFonts w:cs="Arial"/>
                <w:sz w:val="18"/>
                <w:szCs w:val="18"/>
              </w:rPr>
              <w:t>68,119</w:t>
            </w:r>
          </w:p>
        </w:tc>
      </w:tr>
      <w:tr w:rsidR="00B040FE" w14:paraId="401F8753" w14:textId="77777777" w:rsidTr="005E5E0C">
        <w:trPr>
          <w:trHeight w:val="253"/>
        </w:trPr>
        <w:tc>
          <w:tcPr>
            <w:tcW w:w="6356" w:type="dxa"/>
            <w:tcBorders>
              <w:top w:val="nil"/>
              <w:left w:val="nil"/>
              <w:bottom w:val="nil"/>
              <w:right w:val="nil"/>
            </w:tcBorders>
            <w:shd w:val="clear" w:color="FFFFFF" w:fill="FFFFFF"/>
            <w:noWrap/>
            <w:vAlign w:val="bottom"/>
            <w:hideMark/>
          </w:tcPr>
          <w:p w14:paraId="59676307" w14:textId="77777777" w:rsidR="00B040FE" w:rsidRDefault="00B040FE" w:rsidP="0047225D">
            <w:pPr>
              <w:spacing w:after="0"/>
              <w:ind w:firstLineChars="100" w:firstLine="180"/>
              <w:rPr>
                <w:rFonts w:cs="Arial"/>
                <w:sz w:val="18"/>
                <w:szCs w:val="18"/>
              </w:rPr>
            </w:pPr>
            <w:r>
              <w:rPr>
                <w:rFonts w:cs="Arial"/>
                <w:sz w:val="18"/>
                <w:szCs w:val="18"/>
              </w:rPr>
              <w:t>Provision for restoration obligations</w:t>
            </w:r>
          </w:p>
        </w:tc>
        <w:tc>
          <w:tcPr>
            <w:tcW w:w="1406" w:type="dxa"/>
            <w:tcBorders>
              <w:top w:val="nil"/>
              <w:left w:val="nil"/>
              <w:bottom w:val="nil"/>
              <w:right w:val="nil"/>
            </w:tcBorders>
            <w:shd w:val="clear" w:color="FFFFFF" w:fill="FFFFFF"/>
            <w:noWrap/>
            <w:vAlign w:val="bottom"/>
            <w:hideMark/>
          </w:tcPr>
          <w:p w14:paraId="6E4EE698" w14:textId="77777777" w:rsidR="00B040FE" w:rsidRDefault="00B040FE" w:rsidP="0047225D">
            <w:pPr>
              <w:spacing w:after="0"/>
              <w:jc w:val="right"/>
              <w:rPr>
                <w:rFonts w:cs="Arial"/>
                <w:b/>
                <w:bCs/>
                <w:sz w:val="18"/>
                <w:szCs w:val="18"/>
              </w:rPr>
            </w:pPr>
            <w:r>
              <w:rPr>
                <w:rFonts w:cs="Arial"/>
                <w:b/>
                <w:bCs/>
                <w:sz w:val="18"/>
                <w:szCs w:val="18"/>
              </w:rPr>
              <w:t>4,979</w:t>
            </w:r>
          </w:p>
        </w:tc>
        <w:tc>
          <w:tcPr>
            <w:tcW w:w="236" w:type="dxa"/>
            <w:tcBorders>
              <w:top w:val="nil"/>
              <w:left w:val="nil"/>
              <w:bottom w:val="nil"/>
              <w:right w:val="nil"/>
            </w:tcBorders>
            <w:shd w:val="clear" w:color="FFFFFF" w:fill="FFFFFF"/>
            <w:noWrap/>
            <w:vAlign w:val="bottom"/>
            <w:hideMark/>
          </w:tcPr>
          <w:p w14:paraId="63F15A5D" w14:textId="77777777" w:rsidR="00B040FE" w:rsidRDefault="00B040FE" w:rsidP="0047225D">
            <w:pPr>
              <w:spacing w:after="0"/>
              <w:rPr>
                <w:rFonts w:cs="Arial"/>
                <w:sz w:val="18"/>
                <w:szCs w:val="18"/>
              </w:rPr>
            </w:pPr>
            <w:r>
              <w:rPr>
                <w:rFonts w:cs="Arial"/>
                <w:sz w:val="18"/>
                <w:szCs w:val="18"/>
              </w:rPr>
              <w:t> </w:t>
            </w:r>
          </w:p>
        </w:tc>
        <w:tc>
          <w:tcPr>
            <w:tcW w:w="1089" w:type="dxa"/>
            <w:tcBorders>
              <w:top w:val="nil"/>
              <w:left w:val="nil"/>
              <w:bottom w:val="nil"/>
              <w:right w:val="nil"/>
            </w:tcBorders>
            <w:shd w:val="clear" w:color="FFFFFF" w:fill="FFFFFF"/>
            <w:noWrap/>
            <w:vAlign w:val="bottom"/>
            <w:hideMark/>
          </w:tcPr>
          <w:p w14:paraId="3D249972" w14:textId="77777777" w:rsidR="00B040FE" w:rsidRDefault="00B040FE" w:rsidP="0047225D">
            <w:pPr>
              <w:spacing w:after="0"/>
              <w:jc w:val="right"/>
              <w:rPr>
                <w:rFonts w:cs="Arial"/>
                <w:sz w:val="18"/>
                <w:szCs w:val="18"/>
              </w:rPr>
            </w:pPr>
            <w:r>
              <w:rPr>
                <w:rFonts w:cs="Arial"/>
                <w:sz w:val="18"/>
                <w:szCs w:val="18"/>
              </w:rPr>
              <w:t>4,329</w:t>
            </w:r>
          </w:p>
        </w:tc>
      </w:tr>
      <w:tr w:rsidR="00B040FE" w14:paraId="5D37D858" w14:textId="77777777" w:rsidTr="005E5E0C">
        <w:trPr>
          <w:trHeight w:val="253"/>
        </w:trPr>
        <w:tc>
          <w:tcPr>
            <w:tcW w:w="6356" w:type="dxa"/>
            <w:tcBorders>
              <w:top w:val="nil"/>
              <w:left w:val="nil"/>
              <w:bottom w:val="nil"/>
              <w:right w:val="nil"/>
            </w:tcBorders>
            <w:shd w:val="clear" w:color="FFFFFF" w:fill="FFFFFF"/>
            <w:vAlign w:val="bottom"/>
            <w:hideMark/>
          </w:tcPr>
          <w:p w14:paraId="14975DFC" w14:textId="77777777" w:rsidR="00B040FE" w:rsidRDefault="00B040FE" w:rsidP="0047225D">
            <w:pPr>
              <w:spacing w:after="0"/>
              <w:rPr>
                <w:rFonts w:cs="Arial"/>
                <w:b/>
                <w:bCs/>
                <w:sz w:val="18"/>
                <w:szCs w:val="18"/>
              </w:rPr>
            </w:pPr>
            <w:r>
              <w:rPr>
                <w:rFonts w:cs="Arial"/>
                <w:b/>
                <w:bCs/>
                <w:sz w:val="18"/>
                <w:szCs w:val="18"/>
              </w:rPr>
              <w:t>Total more than 12 months</w:t>
            </w:r>
          </w:p>
        </w:tc>
        <w:tc>
          <w:tcPr>
            <w:tcW w:w="1406" w:type="dxa"/>
            <w:tcBorders>
              <w:top w:val="single" w:sz="4" w:space="0" w:color="auto"/>
              <w:left w:val="nil"/>
              <w:bottom w:val="single" w:sz="4" w:space="0" w:color="auto"/>
              <w:right w:val="nil"/>
            </w:tcBorders>
            <w:shd w:val="clear" w:color="FFFFFF" w:fill="FFFFFF"/>
            <w:noWrap/>
            <w:vAlign w:val="bottom"/>
            <w:hideMark/>
          </w:tcPr>
          <w:p w14:paraId="0DFD566E" w14:textId="77777777" w:rsidR="00B040FE" w:rsidRDefault="00B040FE" w:rsidP="0047225D">
            <w:pPr>
              <w:spacing w:after="0"/>
              <w:jc w:val="right"/>
              <w:rPr>
                <w:rFonts w:cs="Arial"/>
                <w:b/>
                <w:bCs/>
                <w:sz w:val="18"/>
                <w:szCs w:val="18"/>
              </w:rPr>
            </w:pPr>
            <w:r>
              <w:rPr>
                <w:rFonts w:cs="Arial"/>
                <w:b/>
                <w:bCs/>
                <w:sz w:val="18"/>
                <w:szCs w:val="18"/>
              </w:rPr>
              <w:t>317,749</w:t>
            </w:r>
          </w:p>
        </w:tc>
        <w:tc>
          <w:tcPr>
            <w:tcW w:w="236" w:type="dxa"/>
            <w:tcBorders>
              <w:top w:val="nil"/>
              <w:left w:val="nil"/>
              <w:bottom w:val="nil"/>
              <w:right w:val="nil"/>
            </w:tcBorders>
            <w:shd w:val="clear" w:color="FFFFFF" w:fill="FFFFFF"/>
            <w:noWrap/>
            <w:vAlign w:val="bottom"/>
            <w:hideMark/>
          </w:tcPr>
          <w:p w14:paraId="4AE9712F" w14:textId="77777777" w:rsidR="00B040FE" w:rsidRDefault="00B040FE" w:rsidP="0047225D">
            <w:pPr>
              <w:spacing w:after="0"/>
              <w:rPr>
                <w:rFonts w:cs="Arial"/>
                <w:sz w:val="18"/>
                <w:szCs w:val="18"/>
              </w:rPr>
            </w:pPr>
            <w:r>
              <w:rPr>
                <w:rFonts w:cs="Arial"/>
                <w:sz w:val="18"/>
                <w:szCs w:val="18"/>
              </w:rPr>
              <w:t> </w:t>
            </w:r>
          </w:p>
        </w:tc>
        <w:tc>
          <w:tcPr>
            <w:tcW w:w="1089" w:type="dxa"/>
            <w:tcBorders>
              <w:top w:val="single" w:sz="4" w:space="0" w:color="auto"/>
              <w:left w:val="nil"/>
              <w:bottom w:val="single" w:sz="4" w:space="0" w:color="auto"/>
              <w:right w:val="nil"/>
            </w:tcBorders>
            <w:shd w:val="clear" w:color="FFFFFF" w:fill="FFFFFF"/>
            <w:noWrap/>
            <w:vAlign w:val="bottom"/>
            <w:hideMark/>
          </w:tcPr>
          <w:p w14:paraId="78A7ECE4" w14:textId="77777777" w:rsidR="00B040FE" w:rsidRDefault="00B040FE" w:rsidP="0047225D">
            <w:pPr>
              <w:spacing w:after="0"/>
              <w:jc w:val="right"/>
              <w:rPr>
                <w:rFonts w:cs="Arial"/>
                <w:sz w:val="18"/>
                <w:szCs w:val="18"/>
              </w:rPr>
            </w:pPr>
            <w:r>
              <w:rPr>
                <w:rFonts w:cs="Arial"/>
                <w:sz w:val="18"/>
                <w:szCs w:val="18"/>
              </w:rPr>
              <w:t>268,011</w:t>
            </w:r>
          </w:p>
        </w:tc>
      </w:tr>
      <w:tr w:rsidR="00B040FE" w14:paraId="5F8C551E" w14:textId="77777777" w:rsidTr="005E5E0C">
        <w:trPr>
          <w:trHeight w:val="253"/>
        </w:trPr>
        <w:tc>
          <w:tcPr>
            <w:tcW w:w="6356" w:type="dxa"/>
            <w:tcBorders>
              <w:top w:val="nil"/>
              <w:left w:val="nil"/>
              <w:bottom w:val="nil"/>
              <w:right w:val="nil"/>
            </w:tcBorders>
            <w:shd w:val="clear" w:color="FFFFFF" w:fill="FFFFFF"/>
            <w:vAlign w:val="bottom"/>
            <w:hideMark/>
          </w:tcPr>
          <w:p w14:paraId="42738900" w14:textId="77777777" w:rsidR="00B040FE" w:rsidRDefault="00B040FE" w:rsidP="0047225D">
            <w:pPr>
              <w:spacing w:after="0"/>
              <w:rPr>
                <w:rFonts w:cs="Arial"/>
                <w:b/>
                <w:bCs/>
                <w:sz w:val="18"/>
                <w:szCs w:val="18"/>
              </w:rPr>
            </w:pPr>
            <w:r>
              <w:rPr>
                <w:rFonts w:cs="Arial"/>
                <w:b/>
                <w:bCs/>
                <w:sz w:val="18"/>
                <w:szCs w:val="18"/>
              </w:rPr>
              <w:t>Total liabilities</w:t>
            </w:r>
          </w:p>
        </w:tc>
        <w:tc>
          <w:tcPr>
            <w:tcW w:w="1406" w:type="dxa"/>
            <w:tcBorders>
              <w:top w:val="nil"/>
              <w:left w:val="nil"/>
              <w:bottom w:val="single" w:sz="4" w:space="0" w:color="auto"/>
              <w:right w:val="nil"/>
            </w:tcBorders>
            <w:shd w:val="clear" w:color="FFFFFF" w:fill="FFFFFF"/>
            <w:noWrap/>
            <w:vAlign w:val="bottom"/>
            <w:hideMark/>
          </w:tcPr>
          <w:p w14:paraId="655BA774" w14:textId="77777777" w:rsidR="00B040FE" w:rsidRDefault="00B040FE" w:rsidP="0047225D">
            <w:pPr>
              <w:spacing w:after="0"/>
              <w:jc w:val="right"/>
              <w:rPr>
                <w:rFonts w:cs="Arial"/>
                <w:b/>
                <w:bCs/>
                <w:sz w:val="18"/>
                <w:szCs w:val="18"/>
              </w:rPr>
            </w:pPr>
            <w:r>
              <w:rPr>
                <w:rFonts w:cs="Arial"/>
                <w:b/>
                <w:bCs/>
                <w:sz w:val="18"/>
                <w:szCs w:val="18"/>
              </w:rPr>
              <w:t>3,740,581</w:t>
            </w:r>
          </w:p>
        </w:tc>
        <w:tc>
          <w:tcPr>
            <w:tcW w:w="236" w:type="dxa"/>
            <w:tcBorders>
              <w:top w:val="nil"/>
              <w:left w:val="nil"/>
              <w:bottom w:val="nil"/>
              <w:right w:val="nil"/>
            </w:tcBorders>
            <w:shd w:val="clear" w:color="FFFFFF" w:fill="FFFFFF"/>
            <w:noWrap/>
            <w:vAlign w:val="bottom"/>
            <w:hideMark/>
          </w:tcPr>
          <w:p w14:paraId="083400E9" w14:textId="77777777" w:rsidR="00B040FE" w:rsidRDefault="00B040FE" w:rsidP="0047225D">
            <w:pPr>
              <w:spacing w:after="0"/>
              <w:rPr>
                <w:rFonts w:cs="Arial"/>
                <w:sz w:val="18"/>
                <w:szCs w:val="18"/>
              </w:rPr>
            </w:pPr>
            <w:r>
              <w:rPr>
                <w:rFonts w:cs="Arial"/>
                <w:sz w:val="18"/>
                <w:szCs w:val="18"/>
              </w:rPr>
              <w:t> </w:t>
            </w:r>
          </w:p>
        </w:tc>
        <w:tc>
          <w:tcPr>
            <w:tcW w:w="1089" w:type="dxa"/>
            <w:tcBorders>
              <w:top w:val="nil"/>
              <w:left w:val="nil"/>
              <w:bottom w:val="single" w:sz="4" w:space="0" w:color="auto"/>
              <w:right w:val="nil"/>
            </w:tcBorders>
            <w:shd w:val="clear" w:color="FFFFFF" w:fill="FFFFFF"/>
            <w:noWrap/>
            <w:vAlign w:val="bottom"/>
            <w:hideMark/>
          </w:tcPr>
          <w:p w14:paraId="4E13901C" w14:textId="77777777" w:rsidR="00B040FE" w:rsidRDefault="00B040FE" w:rsidP="0047225D">
            <w:pPr>
              <w:spacing w:after="0"/>
              <w:jc w:val="right"/>
              <w:rPr>
                <w:rFonts w:cs="Arial"/>
                <w:sz w:val="18"/>
                <w:szCs w:val="18"/>
              </w:rPr>
            </w:pPr>
            <w:r>
              <w:rPr>
                <w:rFonts w:cs="Arial"/>
                <w:sz w:val="18"/>
                <w:szCs w:val="18"/>
              </w:rPr>
              <w:t>3,326,661</w:t>
            </w:r>
          </w:p>
        </w:tc>
      </w:tr>
    </w:tbl>
    <w:p w14:paraId="36C981D6" w14:textId="0DC2D53F" w:rsidR="005921BC" w:rsidRPr="00A33264" w:rsidRDefault="005921BC" w:rsidP="005921BC">
      <w:pPr>
        <w:rPr>
          <w:lang w:val="en-GB"/>
        </w:rPr>
      </w:pPr>
    </w:p>
    <w:p w14:paraId="131C7CE3" w14:textId="77777777" w:rsidR="00E70ACE" w:rsidRPr="00A33264" w:rsidRDefault="00E70ACE" w:rsidP="00D7463A">
      <w:pPr>
        <w:pStyle w:val="Heading2"/>
        <w:rPr>
          <w:lang w:val="en-GB"/>
        </w:rPr>
        <w:sectPr w:rsidR="00E70ACE" w:rsidRPr="00A33264" w:rsidSect="006E070C">
          <w:headerReference w:type="first" r:id="rId60"/>
          <w:footerReference w:type="first" r:id="rId61"/>
          <w:pgSz w:w="11906" w:h="16838" w:code="9"/>
          <w:pgMar w:top="1361" w:right="1361" w:bottom="1361" w:left="1361" w:header="561" w:footer="374" w:gutter="0"/>
          <w:cols w:space="708"/>
          <w:docGrid w:linePitch="360"/>
        </w:sectPr>
      </w:pPr>
      <w:bookmarkStart w:id="248" w:name="_Toc169592966"/>
      <w:bookmarkStart w:id="249" w:name="_Toc174354191"/>
      <w:bookmarkStart w:id="250" w:name="_Toc174354231"/>
    </w:p>
    <w:p w14:paraId="549DFE9C" w14:textId="42A62515" w:rsidR="005921BC" w:rsidRDefault="00D7463A" w:rsidP="00D7463A">
      <w:pPr>
        <w:pStyle w:val="Heading2"/>
        <w:rPr>
          <w:lang w:val="en-GB"/>
        </w:rPr>
      </w:pPr>
      <w:bookmarkStart w:id="251" w:name="_Toc175316895"/>
      <w:bookmarkStart w:id="252" w:name="_Toc176786386"/>
      <w:bookmarkStart w:id="253" w:name="_Toc180505668"/>
      <w:r w:rsidRPr="00A33264">
        <w:rPr>
          <w:lang w:val="en-GB"/>
        </w:rPr>
        <w:lastRenderedPageBreak/>
        <w:t>Financial sustainability</w:t>
      </w:r>
      <w:bookmarkEnd w:id="248"/>
      <w:bookmarkEnd w:id="249"/>
      <w:bookmarkEnd w:id="250"/>
      <w:bookmarkEnd w:id="251"/>
      <w:bookmarkEnd w:id="252"/>
      <w:bookmarkEnd w:id="253"/>
    </w:p>
    <w:p w14:paraId="68C8DA8C" w14:textId="33902345" w:rsidR="00D7463A" w:rsidRPr="00A33264" w:rsidRDefault="00D7463A" w:rsidP="00D7463A">
      <w:pPr>
        <w:pStyle w:val="Heading3"/>
        <w:rPr>
          <w:lang w:val="en-GB"/>
        </w:rPr>
      </w:pPr>
      <w:bookmarkStart w:id="254" w:name="_Toc169592967"/>
      <w:bookmarkStart w:id="255" w:name="_Toc174354192"/>
      <w:bookmarkStart w:id="256" w:name="_Toc175316896"/>
      <w:bookmarkStart w:id="257" w:name="_Toc176786387"/>
      <w:bookmarkStart w:id="258" w:name="_Toc180505669"/>
      <w:r w:rsidRPr="00A33264">
        <w:rPr>
          <w:lang w:val="en-GB"/>
        </w:rPr>
        <w:t>Executive summary</w:t>
      </w:r>
      <w:bookmarkEnd w:id="254"/>
      <w:bookmarkEnd w:id="255"/>
      <w:bookmarkEnd w:id="256"/>
      <w:bookmarkEnd w:id="257"/>
      <w:bookmarkEnd w:id="258"/>
    </w:p>
    <w:p w14:paraId="0881B0D3" w14:textId="05C2B864" w:rsidR="00641555" w:rsidRPr="00A33264" w:rsidRDefault="009F74E5" w:rsidP="00641555">
      <w:pPr>
        <w:rPr>
          <w:lang w:val="en-GB"/>
        </w:rPr>
      </w:pPr>
      <w:r>
        <w:rPr>
          <w:lang w:val="en-GB"/>
        </w:rPr>
        <w:t xml:space="preserve">Under section </w:t>
      </w:r>
      <w:r w:rsidR="00D82066">
        <w:rPr>
          <w:lang w:val="en-GB"/>
        </w:rPr>
        <w:t>180</w:t>
      </w:r>
      <w:r>
        <w:rPr>
          <w:lang w:val="en-GB"/>
        </w:rPr>
        <w:t xml:space="preserve">B of the </w:t>
      </w:r>
      <w:r>
        <w:rPr>
          <w:i/>
          <w:iCs/>
          <w:lang w:val="en-GB"/>
        </w:rPr>
        <w:t xml:space="preserve">National Disability Insurance Scheme Act </w:t>
      </w:r>
      <w:r w:rsidRPr="00BB40DF">
        <w:rPr>
          <w:lang w:val="en-GB"/>
        </w:rPr>
        <w:t>2023</w:t>
      </w:r>
      <w:r>
        <w:rPr>
          <w:lang w:val="en-GB"/>
        </w:rPr>
        <w:t xml:space="preserve"> (Cth) (NDIS Act), the NDIA must provide a</w:t>
      </w:r>
      <w:r w:rsidR="00641555" w:rsidRPr="009F74E5">
        <w:rPr>
          <w:lang w:val="en-GB"/>
        </w:rPr>
        <w:t>n</w:t>
      </w:r>
      <w:r w:rsidR="00641555" w:rsidRPr="00A33264">
        <w:rPr>
          <w:lang w:val="en-GB"/>
        </w:rPr>
        <w:t xml:space="preserve"> annual financial sustainability report (AFSR) and an assessment of the financial sustainability of the </w:t>
      </w:r>
      <w:r>
        <w:rPr>
          <w:lang w:val="en-GB"/>
        </w:rPr>
        <w:t>NDIS</w:t>
      </w:r>
      <w:r w:rsidR="00641555" w:rsidRPr="00A33264">
        <w:rPr>
          <w:lang w:val="en-GB"/>
        </w:rPr>
        <w:t>. The AFSR is produced using data at 30 June each year</w:t>
      </w:r>
      <w:r>
        <w:rPr>
          <w:lang w:val="en-GB"/>
        </w:rPr>
        <w:t>. A</w:t>
      </w:r>
      <w:r w:rsidR="00641555" w:rsidRPr="00A33264">
        <w:rPr>
          <w:lang w:val="en-GB"/>
        </w:rPr>
        <w:t xml:space="preserve"> summary of each year’s AFSR has been included in the NDIA annual report</w:t>
      </w:r>
      <w:r>
        <w:rPr>
          <w:lang w:val="en-GB"/>
        </w:rPr>
        <w:t>s</w:t>
      </w:r>
      <w:r w:rsidR="00641555" w:rsidRPr="00A33264">
        <w:rPr>
          <w:lang w:val="en-GB"/>
        </w:rPr>
        <w:t>. This 2023</w:t>
      </w:r>
      <w:r w:rsidR="00966323">
        <w:rPr>
          <w:lang w:val="en-GB"/>
        </w:rPr>
        <w:t>–</w:t>
      </w:r>
      <w:r w:rsidR="00641555" w:rsidRPr="00A33264">
        <w:rPr>
          <w:lang w:val="en-GB"/>
        </w:rPr>
        <w:t xml:space="preserve">24 AFSR uses data to 30 June 2024 to project future </w:t>
      </w:r>
      <w:r w:rsidR="00835EB4">
        <w:rPr>
          <w:lang w:val="en-GB"/>
        </w:rPr>
        <w:t>Scheme</w:t>
      </w:r>
      <w:r w:rsidR="00880C4D" w:rsidRPr="00A33264">
        <w:rPr>
          <w:lang w:val="en-GB"/>
        </w:rPr>
        <w:t xml:space="preserve"> </w:t>
      </w:r>
      <w:r w:rsidR="00641555" w:rsidRPr="00A33264">
        <w:rPr>
          <w:lang w:val="en-GB"/>
        </w:rPr>
        <w:t xml:space="preserve">expenses </w:t>
      </w:r>
      <w:r>
        <w:rPr>
          <w:lang w:val="en-GB"/>
        </w:rPr>
        <w:t>(</w:t>
      </w:r>
      <w:r w:rsidR="00641555" w:rsidRPr="00A33264">
        <w:rPr>
          <w:lang w:val="en-GB"/>
        </w:rPr>
        <w:t xml:space="preserve">referred to as the </w:t>
      </w:r>
      <w:r w:rsidR="00CF5562">
        <w:rPr>
          <w:lang w:val="en-GB"/>
        </w:rPr>
        <w:t>‘</w:t>
      </w:r>
      <w:r w:rsidR="00641555" w:rsidRPr="00A33264">
        <w:rPr>
          <w:lang w:val="en-GB"/>
        </w:rPr>
        <w:t>June 2024 projections</w:t>
      </w:r>
      <w:r>
        <w:rPr>
          <w:lang w:val="en-GB"/>
        </w:rPr>
        <w:t>’)</w:t>
      </w:r>
      <w:r w:rsidR="00641555" w:rsidRPr="00A33264">
        <w:rPr>
          <w:lang w:val="en-GB"/>
        </w:rPr>
        <w:t>.</w:t>
      </w:r>
    </w:p>
    <w:p w14:paraId="34EB7D18" w14:textId="4F201DA4" w:rsidR="00D7463A" w:rsidRPr="00A33264" w:rsidRDefault="00641555" w:rsidP="00641555">
      <w:pPr>
        <w:rPr>
          <w:lang w:val="en-GB"/>
        </w:rPr>
      </w:pPr>
      <w:r w:rsidRPr="00A33264">
        <w:rPr>
          <w:lang w:val="en-GB"/>
        </w:rPr>
        <w:t xml:space="preserve">The previous report was the AFSR released on 8 December 2023 (the </w:t>
      </w:r>
      <w:hyperlink r:id="rId62" w:history="1">
        <w:r w:rsidRPr="00263F04">
          <w:rPr>
            <w:rStyle w:val="Hyperlink"/>
            <w:lang w:val="en-GB"/>
          </w:rPr>
          <w:t>2022</w:t>
        </w:r>
        <w:r w:rsidR="00966323" w:rsidRPr="00263F04">
          <w:rPr>
            <w:rStyle w:val="Hyperlink"/>
            <w:lang w:val="en-GB"/>
          </w:rPr>
          <w:t>–</w:t>
        </w:r>
        <w:r w:rsidRPr="00263F04">
          <w:rPr>
            <w:rStyle w:val="Hyperlink"/>
            <w:lang w:val="en-GB"/>
          </w:rPr>
          <w:t>23 AFSR</w:t>
        </w:r>
      </w:hyperlink>
      <w:r w:rsidRPr="00A33264">
        <w:rPr>
          <w:lang w:val="en-GB"/>
        </w:rPr>
        <w:t>).</w:t>
      </w:r>
      <w:r w:rsidR="00E85C37" w:rsidRPr="00E85C37">
        <w:rPr>
          <w:rStyle w:val="FootnoteReference"/>
          <w:rFonts w:cs="Arial"/>
        </w:rPr>
        <w:t xml:space="preserve"> </w:t>
      </w:r>
      <w:r w:rsidRPr="00A33264">
        <w:rPr>
          <w:lang w:val="en-GB"/>
        </w:rPr>
        <w:t xml:space="preserve">It was based on data to 30 June 2023, with commentary about experience to 30 June 2023 (the previous review). References to the </w:t>
      </w:r>
      <w:r w:rsidR="009F74E5">
        <w:rPr>
          <w:lang w:val="en-GB"/>
        </w:rPr>
        <w:t>‘</w:t>
      </w:r>
      <w:r w:rsidRPr="00A33264">
        <w:rPr>
          <w:lang w:val="en-GB"/>
        </w:rPr>
        <w:t>previous review</w:t>
      </w:r>
      <w:r w:rsidR="009F74E5">
        <w:rPr>
          <w:lang w:val="en-GB"/>
        </w:rPr>
        <w:t>’</w:t>
      </w:r>
      <w:r w:rsidRPr="00A33264">
        <w:rPr>
          <w:lang w:val="en-GB"/>
        </w:rPr>
        <w:t xml:space="preserve"> refer to results contained in that report </w:t>
      </w:r>
      <w:r w:rsidR="009F74E5">
        <w:rPr>
          <w:lang w:val="en-GB"/>
        </w:rPr>
        <w:t>(</w:t>
      </w:r>
      <w:r w:rsidRPr="00A33264">
        <w:rPr>
          <w:lang w:val="en-GB"/>
        </w:rPr>
        <w:t xml:space="preserve">referred to as </w:t>
      </w:r>
      <w:r w:rsidR="00CF5562">
        <w:rPr>
          <w:lang w:val="en-GB"/>
        </w:rPr>
        <w:t>‘</w:t>
      </w:r>
      <w:r w:rsidRPr="00A33264">
        <w:rPr>
          <w:lang w:val="en-GB"/>
        </w:rPr>
        <w:t>June 2023 projections</w:t>
      </w:r>
      <w:r w:rsidR="009F74E5">
        <w:rPr>
          <w:lang w:val="en-GB"/>
        </w:rPr>
        <w:t>’)</w:t>
      </w:r>
      <w:r w:rsidRPr="00A33264">
        <w:rPr>
          <w:lang w:val="en-GB"/>
        </w:rPr>
        <w:t>.</w:t>
      </w:r>
    </w:p>
    <w:p w14:paraId="3052C0F5" w14:textId="2119AE0F" w:rsidR="00641555" w:rsidRPr="00A33264" w:rsidRDefault="00641555" w:rsidP="00641555">
      <w:pPr>
        <w:rPr>
          <w:lang w:val="en-GB"/>
        </w:rPr>
      </w:pPr>
      <w:r w:rsidRPr="00A33264">
        <w:rPr>
          <w:lang w:val="en-GB"/>
        </w:rPr>
        <w:t xml:space="preserve">Since the previous review, </w:t>
      </w:r>
      <w:r w:rsidR="00CA030E">
        <w:rPr>
          <w:lang w:val="en-GB"/>
        </w:rPr>
        <w:t>Scheme</w:t>
      </w:r>
      <w:r w:rsidR="00880C4D" w:rsidRPr="00A33264">
        <w:rPr>
          <w:lang w:val="en-GB"/>
        </w:rPr>
        <w:t xml:space="preserve"> </w:t>
      </w:r>
      <w:r w:rsidRPr="00A33264">
        <w:rPr>
          <w:lang w:val="en-GB"/>
        </w:rPr>
        <w:t xml:space="preserve">projections were updated based on data at 31 December 2023, allowing for the emergence of </w:t>
      </w:r>
      <w:r w:rsidR="00AD1B8D">
        <w:rPr>
          <w:lang w:val="en-GB"/>
        </w:rPr>
        <w:t>Scheme</w:t>
      </w:r>
      <w:r w:rsidRPr="00A33264">
        <w:rPr>
          <w:lang w:val="en-GB"/>
        </w:rPr>
        <w:t xml:space="preserve"> experience and changes in assumptions since 30 June 2023. These updated projections were used as the basis for the 2024</w:t>
      </w:r>
      <w:r w:rsidR="00966323">
        <w:rPr>
          <w:lang w:val="en-GB"/>
        </w:rPr>
        <w:t>–</w:t>
      </w:r>
      <w:r w:rsidRPr="00A33264">
        <w:rPr>
          <w:lang w:val="en-GB"/>
        </w:rPr>
        <w:t xml:space="preserve">25 Budget </w:t>
      </w:r>
      <w:r w:rsidR="009F74E5">
        <w:rPr>
          <w:lang w:val="en-GB"/>
        </w:rPr>
        <w:t>(and</w:t>
      </w:r>
      <w:r w:rsidRPr="00A33264">
        <w:rPr>
          <w:lang w:val="en-GB"/>
        </w:rPr>
        <w:t xml:space="preserve"> </w:t>
      </w:r>
      <w:r w:rsidR="00E85C37">
        <w:rPr>
          <w:lang w:val="en-GB"/>
        </w:rPr>
        <w:t>referred</w:t>
      </w:r>
      <w:r w:rsidR="00880C4D" w:rsidRPr="00A33264">
        <w:rPr>
          <w:lang w:val="en-GB"/>
        </w:rPr>
        <w:t xml:space="preserve"> </w:t>
      </w:r>
      <w:r w:rsidRPr="00A33264">
        <w:rPr>
          <w:lang w:val="en-GB"/>
        </w:rPr>
        <w:t xml:space="preserve">to as </w:t>
      </w:r>
      <w:r w:rsidR="006075FB">
        <w:rPr>
          <w:lang w:val="en-GB"/>
        </w:rPr>
        <w:t>‘</w:t>
      </w:r>
      <w:r w:rsidR="00E85C37">
        <w:rPr>
          <w:lang w:val="en-GB"/>
        </w:rPr>
        <w:t>2024</w:t>
      </w:r>
      <w:r w:rsidR="00966323">
        <w:rPr>
          <w:lang w:val="en-GB"/>
        </w:rPr>
        <w:t>–</w:t>
      </w:r>
      <w:r w:rsidR="00E85C37">
        <w:rPr>
          <w:lang w:val="en-GB"/>
        </w:rPr>
        <w:t>25 Budget projections</w:t>
      </w:r>
      <w:r w:rsidR="009F74E5">
        <w:rPr>
          <w:lang w:val="en-GB"/>
        </w:rPr>
        <w:t>’)</w:t>
      </w:r>
      <w:r w:rsidRPr="00A33264">
        <w:rPr>
          <w:lang w:val="en-GB"/>
        </w:rPr>
        <w:t>.</w:t>
      </w:r>
    </w:p>
    <w:p w14:paraId="3151D130" w14:textId="792DFD2F" w:rsidR="00E85C37" w:rsidRPr="00A33264" w:rsidRDefault="00E85C37" w:rsidP="00E85C37">
      <w:pPr>
        <w:pStyle w:val="Heading3"/>
        <w:rPr>
          <w:lang w:val="en-GB"/>
        </w:rPr>
      </w:pPr>
      <w:bookmarkStart w:id="259" w:name="_Toc176786388"/>
      <w:bookmarkStart w:id="260" w:name="_Toc180505670"/>
      <w:r>
        <w:rPr>
          <w:lang w:val="en-GB"/>
        </w:rPr>
        <w:t>NDIS reforms</w:t>
      </w:r>
      <w:bookmarkEnd w:id="259"/>
      <w:bookmarkEnd w:id="260"/>
    </w:p>
    <w:p w14:paraId="0389E926" w14:textId="5CC21046" w:rsidR="00482705" w:rsidRDefault="00641555" w:rsidP="00482705">
      <w:pPr>
        <w:rPr>
          <w:lang w:val="en-GB"/>
        </w:rPr>
      </w:pPr>
      <w:r w:rsidRPr="00A33264">
        <w:rPr>
          <w:lang w:val="en-GB"/>
        </w:rPr>
        <w:t>In the 2023</w:t>
      </w:r>
      <w:r w:rsidR="00966323">
        <w:rPr>
          <w:lang w:val="en-GB"/>
        </w:rPr>
        <w:t>–</w:t>
      </w:r>
      <w:r w:rsidRPr="00A33264">
        <w:rPr>
          <w:lang w:val="en-GB"/>
        </w:rPr>
        <w:t xml:space="preserve">24 Budget, the Australian Government committed $732.9 million </w:t>
      </w:r>
      <w:r w:rsidR="009F74E5">
        <w:rPr>
          <w:lang w:val="en-GB"/>
        </w:rPr>
        <w:t>to</w:t>
      </w:r>
      <w:r w:rsidR="009F74E5" w:rsidRPr="00A33264">
        <w:rPr>
          <w:lang w:val="en-GB"/>
        </w:rPr>
        <w:t xml:space="preserve"> </w:t>
      </w:r>
      <w:r w:rsidRPr="00A33264">
        <w:rPr>
          <w:lang w:val="en-GB"/>
        </w:rPr>
        <w:t xml:space="preserve">improving outcomes for participants and ensuring effectiveness and sustainability of the </w:t>
      </w:r>
      <w:r w:rsidR="00880C4D">
        <w:rPr>
          <w:lang w:val="en-GB"/>
        </w:rPr>
        <w:t>NDIS</w:t>
      </w:r>
      <w:r w:rsidR="00880C4D" w:rsidRPr="00A33264">
        <w:rPr>
          <w:lang w:val="en-GB"/>
        </w:rPr>
        <w:t xml:space="preserve"> </w:t>
      </w:r>
      <w:r w:rsidRPr="00A33264">
        <w:rPr>
          <w:lang w:val="en-GB"/>
        </w:rPr>
        <w:t>for future generations. The 2023</w:t>
      </w:r>
      <w:r w:rsidR="00966323">
        <w:rPr>
          <w:lang w:val="en-GB"/>
        </w:rPr>
        <w:t>–</w:t>
      </w:r>
      <w:r w:rsidRPr="00A33264">
        <w:rPr>
          <w:lang w:val="en-GB"/>
        </w:rPr>
        <w:t xml:space="preserve">24 Budget measures aimed to </w:t>
      </w:r>
      <w:r w:rsidR="000B1A71">
        <w:rPr>
          <w:lang w:val="en-GB"/>
        </w:rPr>
        <w:t>deliver improved</w:t>
      </w:r>
      <w:r w:rsidR="000B1A71" w:rsidRPr="00A33264">
        <w:rPr>
          <w:lang w:val="en-GB"/>
        </w:rPr>
        <w:t xml:space="preserve"> </w:t>
      </w:r>
      <w:r w:rsidRPr="00A33264">
        <w:rPr>
          <w:lang w:val="en-GB"/>
        </w:rPr>
        <w:t xml:space="preserve">participant outcomes and </w:t>
      </w:r>
      <w:r w:rsidR="000B1A71">
        <w:rPr>
          <w:lang w:val="en-GB"/>
        </w:rPr>
        <w:t>increased sustainability</w:t>
      </w:r>
      <w:r w:rsidRPr="00A33264">
        <w:rPr>
          <w:lang w:val="en-GB"/>
        </w:rPr>
        <w:t xml:space="preserve"> of the </w:t>
      </w:r>
      <w:r w:rsidR="00E85C37">
        <w:rPr>
          <w:lang w:val="en-GB"/>
        </w:rPr>
        <w:t>NDIS</w:t>
      </w:r>
      <w:r w:rsidR="009F74E5">
        <w:rPr>
          <w:lang w:val="en-GB"/>
        </w:rPr>
        <w:t xml:space="preserve"> by</w:t>
      </w:r>
      <w:r w:rsidRPr="00A33264">
        <w:rPr>
          <w:lang w:val="en-GB"/>
        </w:rPr>
        <w:t xml:space="preserve"> improv</w:t>
      </w:r>
      <w:r w:rsidR="009F74E5">
        <w:rPr>
          <w:lang w:val="en-GB"/>
        </w:rPr>
        <w:t>ing</w:t>
      </w:r>
      <w:r w:rsidRPr="00A33264">
        <w:rPr>
          <w:lang w:val="en-GB"/>
        </w:rPr>
        <w:t xml:space="preserve"> early intervention outcomes for children in the </w:t>
      </w:r>
      <w:r w:rsidR="00880C4D">
        <w:rPr>
          <w:lang w:val="en-GB"/>
        </w:rPr>
        <w:t>NDIS</w:t>
      </w:r>
      <w:r w:rsidRPr="00A33264">
        <w:rPr>
          <w:lang w:val="en-GB"/>
        </w:rPr>
        <w:t>, improv</w:t>
      </w:r>
      <w:r w:rsidR="009F74E5">
        <w:rPr>
          <w:lang w:val="en-GB"/>
        </w:rPr>
        <w:t>ing</w:t>
      </w:r>
      <w:r w:rsidRPr="00A33264">
        <w:rPr>
          <w:lang w:val="en-GB"/>
        </w:rPr>
        <w:t xml:space="preserve"> participant planning processes, and improv</w:t>
      </w:r>
      <w:r w:rsidR="009F74E5">
        <w:rPr>
          <w:lang w:val="en-GB"/>
        </w:rPr>
        <w:t>ing</w:t>
      </w:r>
      <w:r w:rsidRPr="00A33264">
        <w:rPr>
          <w:lang w:val="en-GB"/>
        </w:rPr>
        <w:t xml:space="preserve"> consistency in </w:t>
      </w:r>
      <w:r w:rsidR="009F74E5">
        <w:rPr>
          <w:lang w:val="en-GB"/>
        </w:rPr>
        <w:t>h</w:t>
      </w:r>
      <w:r w:rsidRPr="00A33264">
        <w:rPr>
          <w:lang w:val="en-GB"/>
        </w:rPr>
        <w:t xml:space="preserve">ome and </w:t>
      </w:r>
      <w:r w:rsidR="009F74E5">
        <w:rPr>
          <w:lang w:val="en-GB"/>
        </w:rPr>
        <w:t>l</w:t>
      </w:r>
      <w:r w:rsidRPr="00A33264">
        <w:rPr>
          <w:lang w:val="en-GB"/>
        </w:rPr>
        <w:t>iving eligibility decisions for participants with complex and high support needs.</w:t>
      </w:r>
      <w:r w:rsidR="00E85C37">
        <w:rPr>
          <w:lang w:val="en-GB"/>
        </w:rPr>
        <w:t xml:space="preserve"> </w:t>
      </w:r>
      <w:r w:rsidR="00E85C37">
        <w:rPr>
          <w:rFonts w:cs="Arial"/>
        </w:rPr>
        <w:t>As part of the 2023</w:t>
      </w:r>
      <w:r w:rsidR="00966323">
        <w:rPr>
          <w:lang w:val="en-GB"/>
        </w:rPr>
        <w:t>–</w:t>
      </w:r>
      <w:r w:rsidR="00E85C37">
        <w:rPr>
          <w:rFonts w:cs="Arial"/>
        </w:rPr>
        <w:t>24 Budget, t</w:t>
      </w:r>
      <w:r w:rsidR="00E85C37" w:rsidRPr="007F6332">
        <w:rPr>
          <w:rFonts w:cs="Arial"/>
        </w:rPr>
        <w:t>he NDIS Financial Sustainability Framework</w:t>
      </w:r>
      <w:r w:rsidR="00E85C37" w:rsidRPr="007F6332">
        <w:rPr>
          <w:rStyle w:val="FootnoteReference"/>
          <w:rFonts w:cs="Arial"/>
        </w:rPr>
        <w:footnoteReference w:id="5"/>
      </w:r>
      <w:r w:rsidR="00E85C37" w:rsidRPr="007F6332">
        <w:rPr>
          <w:rFonts w:cs="Arial"/>
        </w:rPr>
        <w:t xml:space="preserve"> was agreed by National Cabinet to achieve </w:t>
      </w:r>
      <w:r w:rsidR="00E85C37">
        <w:rPr>
          <w:rFonts w:cs="Arial"/>
        </w:rPr>
        <w:t xml:space="preserve">a target </w:t>
      </w:r>
      <w:r w:rsidR="00093B4B">
        <w:rPr>
          <w:rFonts w:cs="Arial"/>
        </w:rPr>
        <w:t xml:space="preserve">of </w:t>
      </w:r>
      <w:r w:rsidR="00E85C37" w:rsidRPr="007F6332">
        <w:rPr>
          <w:rFonts w:cs="Arial"/>
        </w:rPr>
        <w:t>8% growth</w:t>
      </w:r>
      <w:r w:rsidR="00E85C37">
        <w:rPr>
          <w:rFonts w:cs="Arial"/>
        </w:rPr>
        <w:t xml:space="preserve"> in </w:t>
      </w:r>
      <w:r w:rsidR="00AD1B8D">
        <w:rPr>
          <w:rFonts w:cs="Arial"/>
        </w:rPr>
        <w:t>Scheme</w:t>
      </w:r>
      <w:r w:rsidR="00E85C37">
        <w:rPr>
          <w:rFonts w:cs="Arial"/>
        </w:rPr>
        <w:t xml:space="preserve"> expenses from 1 July 2026.</w:t>
      </w:r>
      <w:r w:rsidR="00482705">
        <w:rPr>
          <w:lang w:val="en-GB"/>
        </w:rPr>
        <w:br w:type="page"/>
      </w:r>
    </w:p>
    <w:p w14:paraId="1F6CC9F9" w14:textId="296ADC15" w:rsidR="00641555" w:rsidRPr="00A33264" w:rsidRDefault="00641555" w:rsidP="00641555">
      <w:pPr>
        <w:rPr>
          <w:lang w:val="en-GB"/>
        </w:rPr>
      </w:pPr>
      <w:r w:rsidRPr="00A33264">
        <w:rPr>
          <w:lang w:val="en-GB"/>
        </w:rPr>
        <w:lastRenderedPageBreak/>
        <w:t>The NDIA has been progressi</w:t>
      </w:r>
      <w:r w:rsidR="000B1A71">
        <w:rPr>
          <w:lang w:val="en-GB"/>
        </w:rPr>
        <w:t>ng these initiatives</w:t>
      </w:r>
      <w:r w:rsidRPr="00A33264">
        <w:rPr>
          <w:lang w:val="en-GB"/>
        </w:rPr>
        <w:t xml:space="preserve"> in collaboration with people with disability and the wider disability community. Part of this work has led to a moderation in plan inflation, stabilisation in numbers of participants new to </w:t>
      </w:r>
      <w:r w:rsidR="009F74E5">
        <w:rPr>
          <w:lang w:val="en-GB"/>
        </w:rPr>
        <w:t>supported independent living</w:t>
      </w:r>
      <w:r w:rsidR="009F74E5" w:rsidRPr="00A33264">
        <w:rPr>
          <w:lang w:val="en-GB"/>
        </w:rPr>
        <w:t xml:space="preserve"> </w:t>
      </w:r>
      <w:r w:rsidRPr="00A33264">
        <w:rPr>
          <w:lang w:val="en-GB"/>
        </w:rPr>
        <w:t xml:space="preserve">supports, and increased numbers of participants leaving the </w:t>
      </w:r>
      <w:r w:rsidR="00880C4D">
        <w:rPr>
          <w:lang w:val="en-GB"/>
        </w:rPr>
        <w:t>NDIS</w:t>
      </w:r>
      <w:r w:rsidR="00880C4D" w:rsidRPr="00A33264">
        <w:rPr>
          <w:lang w:val="en-GB"/>
        </w:rPr>
        <w:t xml:space="preserve"> </w:t>
      </w:r>
      <w:r w:rsidRPr="00A33264">
        <w:rPr>
          <w:lang w:val="en-GB"/>
        </w:rPr>
        <w:t xml:space="preserve">as their support needs stabilise, including children who leave the </w:t>
      </w:r>
      <w:r w:rsidR="00880C4D">
        <w:rPr>
          <w:lang w:val="en-GB"/>
        </w:rPr>
        <w:t>NDIS</w:t>
      </w:r>
      <w:r w:rsidR="00880C4D" w:rsidRPr="00A33264">
        <w:rPr>
          <w:lang w:val="en-GB"/>
        </w:rPr>
        <w:t xml:space="preserve"> </w:t>
      </w:r>
      <w:r w:rsidRPr="00A33264">
        <w:rPr>
          <w:lang w:val="en-GB"/>
        </w:rPr>
        <w:t>after achieving their goals.</w:t>
      </w:r>
    </w:p>
    <w:p w14:paraId="2B8D0EEE" w14:textId="24915744" w:rsidR="00641555" w:rsidRPr="00A33264" w:rsidRDefault="009F74E5" w:rsidP="00641555">
      <w:pPr>
        <w:rPr>
          <w:lang w:val="en-GB"/>
        </w:rPr>
      </w:pPr>
      <w:r>
        <w:rPr>
          <w:lang w:val="en-GB"/>
        </w:rPr>
        <w:t>I</w:t>
      </w:r>
      <w:r w:rsidR="00641555" w:rsidRPr="00A33264">
        <w:rPr>
          <w:lang w:val="en-GB"/>
        </w:rPr>
        <w:t>n the 2024</w:t>
      </w:r>
      <w:r w:rsidR="00966323">
        <w:rPr>
          <w:lang w:val="en-GB"/>
        </w:rPr>
        <w:t>–</w:t>
      </w:r>
      <w:r w:rsidR="00641555" w:rsidRPr="00A33264">
        <w:rPr>
          <w:lang w:val="en-GB"/>
        </w:rPr>
        <w:t xml:space="preserve">25 Budget </w:t>
      </w:r>
      <w:r>
        <w:rPr>
          <w:lang w:val="en-GB"/>
        </w:rPr>
        <w:t xml:space="preserve">the Australian Government announced </w:t>
      </w:r>
      <w:r w:rsidR="00641555" w:rsidRPr="00A33264">
        <w:rPr>
          <w:lang w:val="en-GB"/>
        </w:rPr>
        <w:t>that an additional $468.7 million will be provided to support people with disability and get the NDIS back on track</w:t>
      </w:r>
      <w:r w:rsidR="006075FB">
        <w:rPr>
          <w:lang w:val="en-GB"/>
        </w:rPr>
        <w:t>.</w:t>
      </w:r>
      <w:r w:rsidR="00850FCB" w:rsidRPr="00A33264">
        <w:rPr>
          <w:rFonts w:cs="Arial"/>
          <w:vertAlign w:val="superscript"/>
          <w:lang w:val="en-GB"/>
        </w:rPr>
        <w:footnoteReference w:id="6"/>
      </w:r>
      <w:r w:rsidR="00641555" w:rsidRPr="00A33264">
        <w:rPr>
          <w:lang w:val="en-GB"/>
        </w:rPr>
        <w:t xml:space="preserve"> </w:t>
      </w:r>
      <w:r>
        <w:rPr>
          <w:lang w:val="en-GB"/>
        </w:rPr>
        <w:t>T</w:t>
      </w:r>
      <w:r w:rsidR="00641555" w:rsidRPr="00A33264">
        <w:rPr>
          <w:lang w:val="en-GB"/>
        </w:rPr>
        <w:t>he NDIS Amendment (Getting the NDIS Back on Track</w:t>
      </w:r>
      <w:r>
        <w:rPr>
          <w:lang w:val="en-GB"/>
        </w:rPr>
        <w:t xml:space="preserve"> No. 1</w:t>
      </w:r>
      <w:r w:rsidR="00641555" w:rsidRPr="00A33264">
        <w:rPr>
          <w:lang w:val="en-GB"/>
        </w:rPr>
        <w:t>) Bill 2024</w:t>
      </w:r>
      <w:r w:rsidR="00850FCB" w:rsidRPr="00A33264">
        <w:rPr>
          <w:rFonts w:cs="Arial"/>
          <w:vertAlign w:val="superscript"/>
          <w:lang w:val="en-GB"/>
        </w:rPr>
        <w:footnoteReference w:id="7"/>
      </w:r>
      <w:r w:rsidR="00850FCB" w:rsidRPr="00A33264">
        <w:rPr>
          <w:rFonts w:cs="Arial"/>
          <w:vertAlign w:val="superscript"/>
          <w:lang w:val="en-GB"/>
        </w:rPr>
        <w:t xml:space="preserve"> </w:t>
      </w:r>
      <w:r w:rsidR="00641555" w:rsidRPr="00A33264">
        <w:rPr>
          <w:lang w:val="en-GB"/>
        </w:rPr>
        <w:t xml:space="preserve"> </w:t>
      </w:r>
      <w:r>
        <w:rPr>
          <w:lang w:val="en-GB"/>
        </w:rPr>
        <w:t xml:space="preserve">was </w:t>
      </w:r>
      <w:r w:rsidR="00E85C37">
        <w:rPr>
          <w:lang w:val="en-GB"/>
        </w:rPr>
        <w:t xml:space="preserve">introduced to Parliament on 27 March 2024 and </w:t>
      </w:r>
      <w:r w:rsidR="000B1A71">
        <w:rPr>
          <w:lang w:val="en-GB"/>
        </w:rPr>
        <w:t>passed on 22 August 2024</w:t>
      </w:r>
      <w:r w:rsidR="00641555" w:rsidRPr="00A33264">
        <w:rPr>
          <w:lang w:val="en-GB"/>
        </w:rPr>
        <w:t xml:space="preserve">. These amendments </w:t>
      </w:r>
      <w:r>
        <w:rPr>
          <w:lang w:val="en-GB"/>
        </w:rPr>
        <w:t>will implement</w:t>
      </w:r>
      <w:r w:rsidR="000B1A71">
        <w:rPr>
          <w:lang w:val="en-GB"/>
        </w:rPr>
        <w:t xml:space="preserve"> some of</w:t>
      </w:r>
      <w:r w:rsidR="00641555" w:rsidRPr="00A33264">
        <w:rPr>
          <w:lang w:val="en-GB"/>
        </w:rPr>
        <w:t xml:space="preserve"> the recommendations of the NDIS Review</w:t>
      </w:r>
      <w:r w:rsidR="00AF2B54">
        <w:rPr>
          <w:lang w:val="en-GB"/>
        </w:rPr>
        <w:t xml:space="preserve"> that aim to</w:t>
      </w:r>
      <w:r w:rsidR="00641555" w:rsidRPr="00A33264">
        <w:rPr>
          <w:lang w:val="en-GB"/>
        </w:rPr>
        <w:t xml:space="preserve"> improv</w:t>
      </w:r>
      <w:r w:rsidR="00AF2B54">
        <w:rPr>
          <w:lang w:val="en-GB"/>
        </w:rPr>
        <w:t>e</w:t>
      </w:r>
      <w:r w:rsidR="00641555" w:rsidRPr="00A33264">
        <w:rPr>
          <w:lang w:val="en-GB"/>
        </w:rPr>
        <w:t xml:space="preserve"> participant experience and </w:t>
      </w:r>
      <w:r w:rsidR="00AF2B54">
        <w:rPr>
          <w:lang w:val="en-GB"/>
        </w:rPr>
        <w:t xml:space="preserve">the </w:t>
      </w:r>
      <w:r w:rsidR="000B1A71">
        <w:rPr>
          <w:lang w:val="en-GB"/>
        </w:rPr>
        <w:t>sustainability of the</w:t>
      </w:r>
      <w:r w:rsidR="00641555" w:rsidRPr="00A33264">
        <w:rPr>
          <w:lang w:val="en-GB"/>
        </w:rPr>
        <w:t xml:space="preserve"> </w:t>
      </w:r>
      <w:r w:rsidR="00880C4D">
        <w:rPr>
          <w:lang w:val="en-GB"/>
        </w:rPr>
        <w:t>NDIS</w:t>
      </w:r>
      <w:r w:rsidR="00880C4D" w:rsidRPr="00A33264">
        <w:rPr>
          <w:lang w:val="en-GB"/>
        </w:rPr>
        <w:t xml:space="preserve"> </w:t>
      </w:r>
      <w:r w:rsidR="00641555" w:rsidRPr="00A33264">
        <w:rPr>
          <w:lang w:val="en-GB"/>
        </w:rPr>
        <w:t>over the long term.</w:t>
      </w:r>
    </w:p>
    <w:p w14:paraId="5D828026" w14:textId="2C268E41" w:rsidR="00641555" w:rsidRPr="00A33264" w:rsidRDefault="00AF2B54" w:rsidP="00641555">
      <w:pPr>
        <w:rPr>
          <w:lang w:val="en-GB"/>
        </w:rPr>
      </w:pPr>
      <w:r>
        <w:rPr>
          <w:lang w:val="en-GB"/>
        </w:rPr>
        <w:t xml:space="preserve">The NDIA will </w:t>
      </w:r>
      <w:r w:rsidR="002C081C">
        <w:rPr>
          <w:lang w:val="en-GB"/>
        </w:rPr>
        <w:t>undertake</w:t>
      </w:r>
      <w:r>
        <w:rPr>
          <w:lang w:val="en-GB"/>
        </w:rPr>
        <w:t xml:space="preserve"> w</w:t>
      </w:r>
      <w:r w:rsidR="00641555" w:rsidRPr="00A33264">
        <w:rPr>
          <w:lang w:val="en-GB"/>
        </w:rPr>
        <w:t xml:space="preserve">ork associated with legislative changes </w:t>
      </w:r>
      <w:r w:rsidR="000B1A71">
        <w:rPr>
          <w:lang w:val="en-GB"/>
        </w:rPr>
        <w:t>through a program of co-design</w:t>
      </w:r>
      <w:r>
        <w:rPr>
          <w:lang w:val="en-GB"/>
        </w:rPr>
        <w:t xml:space="preserve"> with the disability community.</w:t>
      </w:r>
      <w:r w:rsidR="000B1A71">
        <w:rPr>
          <w:lang w:val="en-GB"/>
        </w:rPr>
        <w:t xml:space="preserve"> </w:t>
      </w:r>
      <w:r>
        <w:rPr>
          <w:lang w:val="en-GB"/>
        </w:rPr>
        <w:t>The program’s initiatives will</w:t>
      </w:r>
      <w:r w:rsidR="000B1A71">
        <w:rPr>
          <w:lang w:val="en-GB"/>
        </w:rPr>
        <w:t xml:space="preserve"> </w:t>
      </w:r>
      <w:r>
        <w:rPr>
          <w:lang w:val="en-GB"/>
        </w:rPr>
        <w:t xml:space="preserve">help to </w:t>
      </w:r>
      <w:r w:rsidR="000B1A71">
        <w:rPr>
          <w:lang w:val="en-GB"/>
        </w:rPr>
        <w:t xml:space="preserve">deliver better outcomes for participants </w:t>
      </w:r>
      <w:r w:rsidR="00641555" w:rsidRPr="00A33264">
        <w:rPr>
          <w:lang w:val="en-GB"/>
        </w:rPr>
        <w:t xml:space="preserve">and </w:t>
      </w:r>
      <w:r w:rsidR="00EE0B6D">
        <w:rPr>
          <w:lang w:val="en-GB"/>
        </w:rPr>
        <w:t xml:space="preserve">improve sustainability </w:t>
      </w:r>
      <w:r w:rsidR="00641555" w:rsidRPr="00A33264">
        <w:rPr>
          <w:lang w:val="en-GB"/>
        </w:rPr>
        <w:t xml:space="preserve">of </w:t>
      </w:r>
      <w:r w:rsidR="00697C41">
        <w:rPr>
          <w:lang w:val="en-GB"/>
        </w:rPr>
        <w:t>Scheme</w:t>
      </w:r>
      <w:r w:rsidR="00641555" w:rsidRPr="00A33264">
        <w:rPr>
          <w:lang w:val="en-GB"/>
        </w:rPr>
        <w:t xml:space="preserve"> growth</w:t>
      </w:r>
      <w:r>
        <w:rPr>
          <w:lang w:val="en-GB"/>
        </w:rPr>
        <w:t>.</w:t>
      </w:r>
      <w:r w:rsidR="00641555" w:rsidRPr="00A33264">
        <w:rPr>
          <w:lang w:val="en-GB"/>
        </w:rPr>
        <w:t xml:space="preserve"> </w:t>
      </w:r>
      <w:r>
        <w:rPr>
          <w:lang w:val="en-GB"/>
        </w:rPr>
        <w:t>They will also assist in</w:t>
      </w:r>
      <w:r w:rsidR="00641555" w:rsidRPr="00A33264">
        <w:rPr>
          <w:lang w:val="en-GB"/>
        </w:rPr>
        <w:t xml:space="preserve"> </w:t>
      </w:r>
      <w:r>
        <w:rPr>
          <w:lang w:val="en-GB"/>
        </w:rPr>
        <w:t xml:space="preserve">achieving </w:t>
      </w:r>
      <w:r w:rsidR="00641555" w:rsidRPr="00A33264">
        <w:rPr>
          <w:lang w:val="en-GB"/>
        </w:rPr>
        <w:t xml:space="preserve">the NDIS </w:t>
      </w:r>
      <w:r>
        <w:rPr>
          <w:lang w:val="en-GB"/>
        </w:rPr>
        <w:t xml:space="preserve">Financial </w:t>
      </w:r>
      <w:r w:rsidR="00641555" w:rsidRPr="00A33264">
        <w:rPr>
          <w:lang w:val="en-GB"/>
        </w:rPr>
        <w:t>Sustainability Framework</w:t>
      </w:r>
      <w:r w:rsidR="00E85C37">
        <w:rPr>
          <w:lang w:val="en-GB"/>
        </w:rPr>
        <w:t xml:space="preserve"> growth target </w:t>
      </w:r>
      <w:r>
        <w:rPr>
          <w:lang w:val="en-GB"/>
        </w:rPr>
        <w:t>set</w:t>
      </w:r>
      <w:r w:rsidR="00E85C37">
        <w:rPr>
          <w:lang w:val="en-GB"/>
        </w:rPr>
        <w:t xml:space="preserve"> by National Cabinet</w:t>
      </w:r>
      <w:r>
        <w:rPr>
          <w:lang w:val="en-GB"/>
        </w:rPr>
        <w:t xml:space="preserve">. Our work plan includes initiatives </w:t>
      </w:r>
      <w:r w:rsidR="00641555" w:rsidRPr="00A33264">
        <w:rPr>
          <w:lang w:val="en-GB"/>
        </w:rPr>
        <w:t>to reduce intra</w:t>
      </w:r>
      <w:r>
        <w:rPr>
          <w:lang w:val="en-GB"/>
        </w:rPr>
        <w:t>-</w:t>
      </w:r>
      <w:r w:rsidR="00641555" w:rsidRPr="00A33264">
        <w:rPr>
          <w:lang w:val="en-GB"/>
        </w:rPr>
        <w:t>plan inflation</w:t>
      </w:r>
      <w:r w:rsidR="00EE0B6D">
        <w:rPr>
          <w:lang w:val="en-GB"/>
        </w:rPr>
        <w:t xml:space="preserve"> </w:t>
      </w:r>
      <w:r>
        <w:rPr>
          <w:lang w:val="en-GB"/>
        </w:rPr>
        <w:t xml:space="preserve">by establishing </w:t>
      </w:r>
      <w:r w:rsidR="00EE0B6D">
        <w:rPr>
          <w:lang w:val="en-GB"/>
        </w:rPr>
        <w:t>total funding amounts, funding components and funding periods</w:t>
      </w:r>
      <w:r>
        <w:rPr>
          <w:lang w:val="en-GB"/>
        </w:rPr>
        <w:t>;</w:t>
      </w:r>
      <w:r w:rsidR="00EE0B6D">
        <w:rPr>
          <w:lang w:val="en-GB"/>
        </w:rPr>
        <w:t xml:space="preserve"> assessment and budgeting reforms that establish a new planning framework informed by a support needs assessment</w:t>
      </w:r>
      <w:r>
        <w:rPr>
          <w:lang w:val="en-GB"/>
        </w:rPr>
        <w:t>;</w:t>
      </w:r>
      <w:r w:rsidR="00EE0B6D">
        <w:rPr>
          <w:lang w:val="en-GB"/>
        </w:rPr>
        <w:t xml:space="preserve"> and changes</w:t>
      </w:r>
      <w:r w:rsidR="00641555" w:rsidRPr="00A33264">
        <w:rPr>
          <w:lang w:val="en-GB"/>
        </w:rPr>
        <w:t xml:space="preserve"> to eligibility reassessment processes for participants leaving the </w:t>
      </w:r>
      <w:r w:rsidR="00880C4D">
        <w:rPr>
          <w:lang w:val="en-GB"/>
        </w:rPr>
        <w:t>NDIS</w:t>
      </w:r>
      <w:r w:rsidR="00641555" w:rsidRPr="00A33264">
        <w:rPr>
          <w:lang w:val="en-GB"/>
        </w:rPr>
        <w:t>.</w:t>
      </w:r>
    </w:p>
    <w:p w14:paraId="727B1AC7" w14:textId="168E75B1" w:rsidR="00641555" w:rsidRPr="00A33264" w:rsidRDefault="00641555" w:rsidP="00641555">
      <w:pPr>
        <w:rPr>
          <w:lang w:val="en-GB"/>
        </w:rPr>
      </w:pPr>
      <w:r w:rsidRPr="00A33264">
        <w:rPr>
          <w:lang w:val="en-GB"/>
        </w:rPr>
        <w:t xml:space="preserve">Work is also underway to improve the integrity of the </w:t>
      </w:r>
      <w:r w:rsidR="00880C4D">
        <w:rPr>
          <w:lang w:val="en-GB"/>
        </w:rPr>
        <w:t>NDIS</w:t>
      </w:r>
      <w:r w:rsidR="00880C4D" w:rsidRPr="00A33264">
        <w:rPr>
          <w:lang w:val="en-GB"/>
        </w:rPr>
        <w:t xml:space="preserve"> </w:t>
      </w:r>
      <w:r w:rsidRPr="00A33264">
        <w:rPr>
          <w:lang w:val="en-GB"/>
        </w:rPr>
        <w:t>through the Crack Down on Fraud program</w:t>
      </w:r>
      <w:r w:rsidR="006D6329">
        <w:rPr>
          <w:lang w:val="en-GB"/>
        </w:rPr>
        <w:t>.</w:t>
      </w:r>
      <w:r w:rsidR="00E85C37" w:rsidRPr="00BC1780">
        <w:rPr>
          <w:rFonts w:cs="Arial"/>
          <w:vertAlign w:val="superscript"/>
        </w:rPr>
        <w:footnoteReference w:id="8"/>
      </w:r>
      <w:r w:rsidR="002F7DE9">
        <w:rPr>
          <w:lang w:val="en-GB"/>
        </w:rPr>
        <w:t xml:space="preserve"> </w:t>
      </w:r>
      <w:r w:rsidR="00AF2B54">
        <w:rPr>
          <w:lang w:val="en-GB"/>
        </w:rPr>
        <w:t>Under the program,</w:t>
      </w:r>
      <w:r w:rsidRPr="00A33264">
        <w:rPr>
          <w:lang w:val="en-GB"/>
        </w:rPr>
        <w:t xml:space="preserve"> </w:t>
      </w:r>
      <w:r w:rsidR="00EE0B6D">
        <w:rPr>
          <w:lang w:val="en-GB"/>
        </w:rPr>
        <w:t>technology</w:t>
      </w:r>
      <w:r w:rsidRPr="00A33264">
        <w:rPr>
          <w:lang w:val="en-GB"/>
        </w:rPr>
        <w:t xml:space="preserve"> enhancements </w:t>
      </w:r>
      <w:r w:rsidR="00AF2B54">
        <w:rPr>
          <w:lang w:val="en-GB"/>
        </w:rPr>
        <w:t xml:space="preserve">will be made </w:t>
      </w:r>
      <w:r w:rsidRPr="00A33264">
        <w:rPr>
          <w:lang w:val="en-GB"/>
        </w:rPr>
        <w:t xml:space="preserve">to prevent </w:t>
      </w:r>
      <w:r w:rsidR="00EE0B6D">
        <w:rPr>
          <w:lang w:val="en-GB"/>
        </w:rPr>
        <w:t xml:space="preserve">and reduce </w:t>
      </w:r>
      <w:r w:rsidRPr="00A33264">
        <w:rPr>
          <w:lang w:val="en-GB"/>
        </w:rPr>
        <w:t>fraud and noncompliant behaviour.</w:t>
      </w:r>
    </w:p>
    <w:p w14:paraId="757EDEA8" w14:textId="1F30BF3B" w:rsidR="00482705" w:rsidRDefault="00641555" w:rsidP="00482705">
      <w:pPr>
        <w:rPr>
          <w:lang w:val="en-GB"/>
        </w:rPr>
      </w:pPr>
      <w:r w:rsidRPr="00A33264">
        <w:rPr>
          <w:lang w:val="en-GB"/>
        </w:rPr>
        <w:t xml:space="preserve">The </w:t>
      </w:r>
      <w:r w:rsidR="00E85C37">
        <w:rPr>
          <w:lang w:val="en-GB"/>
        </w:rPr>
        <w:t>design and scope of</w:t>
      </w:r>
      <w:r w:rsidR="00EE0B6D">
        <w:rPr>
          <w:lang w:val="en-GB"/>
        </w:rPr>
        <w:t xml:space="preserve"> </w:t>
      </w:r>
      <w:r w:rsidR="00AF2B54">
        <w:rPr>
          <w:lang w:val="en-GB"/>
        </w:rPr>
        <w:t>f</w:t>
      </w:r>
      <w:r w:rsidR="00EE0B6D">
        <w:rPr>
          <w:lang w:val="en-GB"/>
        </w:rPr>
        <w:t xml:space="preserve">oundational </w:t>
      </w:r>
      <w:r w:rsidR="00AF2B54">
        <w:rPr>
          <w:lang w:val="en-GB"/>
        </w:rPr>
        <w:t>s</w:t>
      </w:r>
      <w:r w:rsidR="00EE0B6D">
        <w:rPr>
          <w:lang w:val="en-GB"/>
        </w:rPr>
        <w:t xml:space="preserve">upports to be provided </w:t>
      </w:r>
      <w:r w:rsidR="00E85C37" w:rsidRPr="00305579">
        <w:t xml:space="preserve">by </w:t>
      </w:r>
      <w:r w:rsidR="00AF2B54">
        <w:t>s</w:t>
      </w:r>
      <w:r w:rsidR="00E85C37" w:rsidRPr="00305579">
        <w:t>tates</w:t>
      </w:r>
      <w:r w:rsidR="00AF2B54">
        <w:t xml:space="preserve"> and t</w:t>
      </w:r>
      <w:r w:rsidR="00E85C37" w:rsidRPr="00305579">
        <w:t>erritories are yet to be agreed</w:t>
      </w:r>
      <w:r w:rsidR="00E85C37">
        <w:t xml:space="preserve">. However, a joint government commitment </w:t>
      </w:r>
      <w:r w:rsidR="00AF2B54">
        <w:t xml:space="preserve">is </w:t>
      </w:r>
      <w:r w:rsidR="00E85C37">
        <w:t xml:space="preserve">in place for </w:t>
      </w:r>
      <w:r w:rsidR="00AF2B54">
        <w:t>their</w:t>
      </w:r>
      <w:r w:rsidR="00E85C37">
        <w:t xml:space="preserve"> development and implementation, which will result in improved access to supports provided </w:t>
      </w:r>
      <w:r w:rsidR="00EE0B6D">
        <w:rPr>
          <w:lang w:val="en-GB"/>
        </w:rPr>
        <w:t>outside the NDIS</w:t>
      </w:r>
      <w:r w:rsidR="00E85C37">
        <w:rPr>
          <w:lang w:val="en-GB"/>
        </w:rPr>
        <w:t xml:space="preserve">. This </w:t>
      </w:r>
      <w:r w:rsidR="00AF2B54">
        <w:rPr>
          <w:lang w:val="en-GB"/>
        </w:rPr>
        <w:t>means</w:t>
      </w:r>
      <w:r w:rsidR="00E85C37">
        <w:rPr>
          <w:lang w:val="en-GB"/>
        </w:rPr>
        <w:t xml:space="preserve"> individuals who are not NDIS participants</w:t>
      </w:r>
      <w:r w:rsidR="00643E7D">
        <w:t xml:space="preserve">, </w:t>
      </w:r>
      <w:r w:rsidR="00E85C37">
        <w:rPr>
          <w:lang w:val="en-GB"/>
        </w:rPr>
        <w:t>including</w:t>
      </w:r>
      <w:r w:rsidR="00EE0B6D">
        <w:rPr>
          <w:lang w:val="en-GB"/>
        </w:rPr>
        <w:t xml:space="preserve"> children with early intervention needs</w:t>
      </w:r>
      <w:r w:rsidR="00E85C37">
        <w:rPr>
          <w:lang w:val="en-GB"/>
        </w:rPr>
        <w:t xml:space="preserve"> </w:t>
      </w:r>
      <w:r w:rsidR="00DF4A5F">
        <w:rPr>
          <w:lang w:val="en-GB"/>
        </w:rPr>
        <w:t xml:space="preserve">and </w:t>
      </w:r>
      <w:r w:rsidR="00E85C37">
        <w:rPr>
          <w:lang w:val="en-GB"/>
        </w:rPr>
        <w:t>who are relatively high functioning and have lower support needs</w:t>
      </w:r>
      <w:r w:rsidR="00834475">
        <w:t xml:space="preserve">, </w:t>
      </w:r>
      <w:r w:rsidR="00AF2B54">
        <w:rPr>
          <w:lang w:val="en-GB"/>
        </w:rPr>
        <w:t>will be better supported</w:t>
      </w:r>
      <w:r w:rsidR="00EE0B6D">
        <w:rPr>
          <w:lang w:val="en-GB"/>
        </w:rPr>
        <w:t>.</w:t>
      </w:r>
      <w:r w:rsidR="00482705">
        <w:rPr>
          <w:lang w:val="en-GB"/>
        </w:rPr>
        <w:br w:type="page"/>
      </w:r>
    </w:p>
    <w:p w14:paraId="32B090F2" w14:textId="1BF7337C" w:rsidR="00D7463A" w:rsidRDefault="00641555" w:rsidP="00641555">
      <w:pPr>
        <w:rPr>
          <w:lang w:val="en-GB"/>
        </w:rPr>
      </w:pPr>
      <w:r w:rsidRPr="00A33264">
        <w:rPr>
          <w:lang w:val="en-GB"/>
        </w:rPr>
        <w:lastRenderedPageBreak/>
        <w:t xml:space="preserve">Allowance for the expected impact of </w:t>
      </w:r>
      <w:r w:rsidR="00EE0B6D">
        <w:rPr>
          <w:lang w:val="en-GB"/>
        </w:rPr>
        <w:t>the 2023</w:t>
      </w:r>
      <w:r w:rsidR="00966323">
        <w:rPr>
          <w:lang w:val="en-GB"/>
        </w:rPr>
        <w:t>–</w:t>
      </w:r>
      <w:r w:rsidR="00EE0B6D">
        <w:rPr>
          <w:lang w:val="en-GB"/>
        </w:rPr>
        <w:t>24 Budget initiatives</w:t>
      </w:r>
      <w:r w:rsidRPr="00A33264">
        <w:rPr>
          <w:lang w:val="en-GB"/>
        </w:rPr>
        <w:t xml:space="preserve"> was first made in the June 2023 projections</w:t>
      </w:r>
      <w:r w:rsidR="00EE0B6D">
        <w:rPr>
          <w:lang w:val="en-GB"/>
        </w:rPr>
        <w:t xml:space="preserve"> and</w:t>
      </w:r>
      <w:r w:rsidRPr="00A33264">
        <w:rPr>
          <w:lang w:val="en-GB"/>
        </w:rPr>
        <w:t xml:space="preserve"> reported in the 2022</w:t>
      </w:r>
      <w:r w:rsidR="00966323">
        <w:rPr>
          <w:lang w:val="en-GB"/>
        </w:rPr>
        <w:t>–</w:t>
      </w:r>
      <w:r w:rsidRPr="00A33264">
        <w:rPr>
          <w:lang w:val="en-GB"/>
        </w:rPr>
        <w:t>23 AFSR</w:t>
      </w:r>
      <w:r w:rsidR="00966323">
        <w:rPr>
          <w:lang w:val="en-GB"/>
        </w:rPr>
        <w:t>. With implementation of these initiatives now in progress</w:t>
      </w:r>
      <w:r w:rsidRPr="00A33264">
        <w:rPr>
          <w:lang w:val="en-GB"/>
        </w:rPr>
        <w:t xml:space="preserve">, the </w:t>
      </w:r>
      <w:r w:rsidR="00966323">
        <w:rPr>
          <w:lang w:val="en-GB"/>
        </w:rPr>
        <w:t xml:space="preserve">assumptions underlying the 2024–25 Budget projections and </w:t>
      </w:r>
      <w:r w:rsidRPr="00A33264">
        <w:rPr>
          <w:lang w:val="en-GB"/>
        </w:rPr>
        <w:t>June 2024 projections</w:t>
      </w:r>
      <w:r w:rsidR="00966323">
        <w:rPr>
          <w:lang w:val="en-GB"/>
        </w:rPr>
        <w:t xml:space="preserve"> fully incorporate these impacts</w:t>
      </w:r>
      <w:r w:rsidRPr="00A33264">
        <w:rPr>
          <w:lang w:val="en-GB"/>
        </w:rPr>
        <w:t>.</w:t>
      </w:r>
    </w:p>
    <w:p w14:paraId="7A5D8F9C" w14:textId="455090F0" w:rsidR="00966323" w:rsidRPr="00966323" w:rsidRDefault="00966323" w:rsidP="00966323">
      <w:pPr>
        <w:rPr>
          <w:lang w:val="en-GB"/>
        </w:rPr>
      </w:pPr>
      <w:r w:rsidRPr="00966323">
        <w:rPr>
          <w:lang w:val="en-GB"/>
        </w:rPr>
        <w:t>In the 2024</w:t>
      </w:r>
      <w:r>
        <w:rPr>
          <w:lang w:val="en-GB"/>
        </w:rPr>
        <w:t>–</w:t>
      </w:r>
      <w:r w:rsidRPr="00966323">
        <w:rPr>
          <w:lang w:val="en-GB"/>
        </w:rPr>
        <w:t xml:space="preserve">25 Budget </w:t>
      </w:r>
      <w:r w:rsidR="00AF2B54">
        <w:rPr>
          <w:lang w:val="en-GB"/>
        </w:rPr>
        <w:t>p</w:t>
      </w:r>
      <w:r w:rsidRPr="00966323">
        <w:rPr>
          <w:lang w:val="en-GB"/>
        </w:rPr>
        <w:t>rojections</w:t>
      </w:r>
      <w:r w:rsidR="00AF2B54">
        <w:rPr>
          <w:lang w:val="en-GB"/>
        </w:rPr>
        <w:t>,</w:t>
      </w:r>
      <w:r w:rsidRPr="00966323">
        <w:rPr>
          <w:lang w:val="en-GB"/>
        </w:rPr>
        <w:t xml:space="preserve"> allowances were introduced for the estimated impact of the work associated with the legislative changes, as well as the Crack Down on Fraud program </w:t>
      </w:r>
      <w:r w:rsidR="00AF2B54">
        <w:rPr>
          <w:lang w:val="en-GB"/>
        </w:rPr>
        <w:t>(</w:t>
      </w:r>
      <w:r w:rsidRPr="00966323">
        <w:rPr>
          <w:lang w:val="en-GB"/>
        </w:rPr>
        <w:t xml:space="preserve">together referred to as </w:t>
      </w:r>
      <w:r w:rsidR="00E01A08" w:rsidRPr="006E137F">
        <w:rPr>
          <w:lang w:val="en-GB"/>
        </w:rPr>
        <w:t>‘</w:t>
      </w:r>
      <w:r w:rsidRPr="00966323">
        <w:rPr>
          <w:lang w:val="en-GB"/>
        </w:rPr>
        <w:t>Recent Reforms</w:t>
      </w:r>
      <w:r w:rsidR="00AF2B54">
        <w:rPr>
          <w:lang w:val="en-GB"/>
        </w:rPr>
        <w:t>’)</w:t>
      </w:r>
      <w:r w:rsidRPr="00966323">
        <w:rPr>
          <w:lang w:val="en-GB"/>
        </w:rPr>
        <w:t xml:space="preserve">. </w:t>
      </w:r>
    </w:p>
    <w:p w14:paraId="1D30C27A" w14:textId="4FA5BFFF" w:rsidR="00966323" w:rsidRPr="00A33264" w:rsidRDefault="00966323" w:rsidP="00966323">
      <w:r w:rsidRPr="4098097C">
        <w:t xml:space="preserve">The June 2024 projections allow for the estimated impact of Recent Reforms and also a potential impact of </w:t>
      </w:r>
      <w:r w:rsidR="00AF2B54" w:rsidRPr="4098097C">
        <w:t>f</w:t>
      </w:r>
      <w:r w:rsidRPr="4098097C">
        <w:t xml:space="preserve">oundational </w:t>
      </w:r>
      <w:r w:rsidR="00AF2B54" w:rsidRPr="4098097C">
        <w:t>s</w:t>
      </w:r>
      <w:r w:rsidRPr="4098097C">
        <w:t xml:space="preserve">upports to be provided outside the NDIS for children with early intervention needs. Collectively, the work associated with legislative changes, the Crack Down on Fraud program and </w:t>
      </w:r>
      <w:r w:rsidR="00AF2B54" w:rsidRPr="4098097C">
        <w:t>f</w:t>
      </w:r>
      <w:r w:rsidRPr="4098097C">
        <w:t xml:space="preserve">oundational </w:t>
      </w:r>
      <w:r w:rsidR="00AF2B54" w:rsidRPr="4098097C">
        <w:t>s</w:t>
      </w:r>
      <w:r w:rsidRPr="4098097C">
        <w:t xml:space="preserve">upports are referred to as </w:t>
      </w:r>
      <w:r w:rsidR="00E01A08" w:rsidRPr="4098097C">
        <w:t>‘</w:t>
      </w:r>
      <w:r w:rsidRPr="4098097C">
        <w:t>Recent and Proposed Reforms</w:t>
      </w:r>
      <w:r w:rsidR="00AF2B54" w:rsidRPr="4098097C">
        <w:t>’</w:t>
      </w:r>
      <w:r w:rsidRPr="4098097C">
        <w:t>.</w:t>
      </w:r>
    </w:p>
    <w:p w14:paraId="2FD058AF" w14:textId="5E2C250F" w:rsidR="00D7463A" w:rsidRPr="00A33264" w:rsidRDefault="00D7463A" w:rsidP="00D7463A">
      <w:pPr>
        <w:pStyle w:val="Heading3"/>
        <w:rPr>
          <w:lang w:val="en-GB"/>
        </w:rPr>
      </w:pPr>
      <w:bookmarkStart w:id="261" w:name="_Toc169592969"/>
      <w:bookmarkStart w:id="262" w:name="_Toc174354194"/>
      <w:bookmarkStart w:id="263" w:name="_Toc175316898"/>
      <w:bookmarkStart w:id="264" w:name="_Toc176786389"/>
      <w:bookmarkStart w:id="265" w:name="_Toc180505671"/>
      <w:r w:rsidRPr="00A33264">
        <w:rPr>
          <w:lang w:val="en-GB"/>
        </w:rPr>
        <w:t xml:space="preserve">June 2024 projection of </w:t>
      </w:r>
      <w:r w:rsidR="00C31002">
        <w:rPr>
          <w:lang w:val="en-GB"/>
        </w:rPr>
        <w:t>Scheme</w:t>
      </w:r>
      <w:r w:rsidR="00880C4D" w:rsidRPr="00A33264">
        <w:rPr>
          <w:lang w:val="en-GB"/>
        </w:rPr>
        <w:t xml:space="preserve"> </w:t>
      </w:r>
      <w:r w:rsidRPr="00A33264">
        <w:rPr>
          <w:lang w:val="en-GB"/>
        </w:rPr>
        <w:t>expenses</w:t>
      </w:r>
      <w:bookmarkEnd w:id="261"/>
      <w:bookmarkEnd w:id="262"/>
      <w:bookmarkEnd w:id="263"/>
      <w:bookmarkEnd w:id="264"/>
      <w:bookmarkEnd w:id="265"/>
    </w:p>
    <w:p w14:paraId="7FFCF366" w14:textId="0199D0E6" w:rsidR="00641555" w:rsidRPr="00A33264" w:rsidRDefault="00641555" w:rsidP="00641555">
      <w:pPr>
        <w:rPr>
          <w:lang w:val="en-GB"/>
        </w:rPr>
      </w:pPr>
      <w:r w:rsidRPr="00A33264">
        <w:rPr>
          <w:lang w:val="en-GB"/>
        </w:rPr>
        <w:t xml:space="preserve">Projected </w:t>
      </w:r>
      <w:r w:rsidR="007C763F">
        <w:rPr>
          <w:lang w:val="en-GB"/>
        </w:rPr>
        <w:t>Scheme</w:t>
      </w:r>
      <w:r w:rsidR="00880C4D" w:rsidRPr="00A33264">
        <w:rPr>
          <w:lang w:val="en-GB"/>
        </w:rPr>
        <w:t xml:space="preserve"> </w:t>
      </w:r>
      <w:r w:rsidRPr="00A33264">
        <w:rPr>
          <w:lang w:val="en-GB"/>
        </w:rPr>
        <w:t xml:space="preserve">expenses on an accrual basis </w:t>
      </w:r>
      <w:r w:rsidR="00966323">
        <w:rPr>
          <w:lang w:val="en-GB"/>
        </w:rPr>
        <w:t>a</w:t>
      </w:r>
      <w:r w:rsidRPr="00A33264">
        <w:rPr>
          <w:lang w:val="en-GB"/>
        </w:rPr>
        <w:t>re $46.9 billion in 2024</w:t>
      </w:r>
      <w:r w:rsidR="005A19CA">
        <w:rPr>
          <w:lang w:val="en-GB"/>
        </w:rPr>
        <w:t>–</w:t>
      </w:r>
      <w:r w:rsidRPr="00A33264">
        <w:rPr>
          <w:lang w:val="en-GB"/>
        </w:rPr>
        <w:t>25, increasing to $58.4 billion in 2027</w:t>
      </w:r>
      <w:r w:rsidR="00966323">
        <w:rPr>
          <w:lang w:val="en-GB"/>
        </w:rPr>
        <w:t>–</w:t>
      </w:r>
      <w:r w:rsidRPr="00A33264">
        <w:rPr>
          <w:lang w:val="en-GB"/>
        </w:rPr>
        <w:t>28</w:t>
      </w:r>
      <w:r w:rsidR="00AF2B54">
        <w:rPr>
          <w:lang w:val="en-GB"/>
        </w:rPr>
        <w:t>.</w:t>
      </w:r>
      <w:r w:rsidR="00850FCB" w:rsidRPr="00A33264">
        <w:rPr>
          <w:rFonts w:cs="Arial"/>
          <w:vertAlign w:val="superscript"/>
          <w:lang w:val="en-GB"/>
        </w:rPr>
        <w:footnoteReference w:id="9"/>
      </w:r>
      <w:r w:rsidRPr="00A33264">
        <w:rPr>
          <w:lang w:val="en-GB"/>
        </w:rPr>
        <w:t xml:space="preserve"> Table </w:t>
      </w:r>
      <w:r w:rsidR="00A27A9C">
        <w:rPr>
          <w:lang w:val="en-GB"/>
        </w:rPr>
        <w:t>1</w:t>
      </w:r>
      <w:r w:rsidRPr="00A33264">
        <w:rPr>
          <w:lang w:val="en-GB"/>
        </w:rPr>
        <w:t xml:space="preserve"> shows that total projected </w:t>
      </w:r>
      <w:r w:rsidR="007C763F">
        <w:rPr>
          <w:lang w:val="en-GB"/>
        </w:rPr>
        <w:t>Scheme</w:t>
      </w:r>
      <w:r w:rsidR="00880C4D" w:rsidRPr="00A33264">
        <w:rPr>
          <w:lang w:val="en-GB"/>
        </w:rPr>
        <w:t xml:space="preserve"> </w:t>
      </w:r>
      <w:r w:rsidRPr="00A33264">
        <w:rPr>
          <w:lang w:val="en-GB"/>
        </w:rPr>
        <w:t xml:space="preserve">expenses are $210.3 billion for the </w:t>
      </w:r>
      <w:r w:rsidR="00A50D1B">
        <w:rPr>
          <w:lang w:val="en-GB"/>
        </w:rPr>
        <w:t>4</w:t>
      </w:r>
      <w:r w:rsidR="00A50D1B" w:rsidRPr="00A33264">
        <w:rPr>
          <w:lang w:val="en-GB"/>
        </w:rPr>
        <w:t xml:space="preserve"> </w:t>
      </w:r>
      <w:r w:rsidRPr="00A33264">
        <w:rPr>
          <w:lang w:val="en-GB"/>
        </w:rPr>
        <w:t>years to June 2028</w:t>
      </w:r>
      <w:r w:rsidR="00732BBD" w:rsidRPr="00732BBD">
        <w:t>—</w:t>
      </w:r>
      <w:r w:rsidRPr="00A33264">
        <w:rPr>
          <w:lang w:val="en-GB"/>
        </w:rPr>
        <w:t xml:space="preserve">approximately $1 billion lower than for the same </w:t>
      </w:r>
      <w:r w:rsidR="00A50D1B">
        <w:rPr>
          <w:lang w:val="en-GB"/>
        </w:rPr>
        <w:t>4</w:t>
      </w:r>
      <w:r w:rsidRPr="00A33264">
        <w:rPr>
          <w:lang w:val="en-GB"/>
        </w:rPr>
        <w:t>-year period in the 2024</w:t>
      </w:r>
      <w:r w:rsidR="00966323">
        <w:rPr>
          <w:lang w:val="en-GB"/>
        </w:rPr>
        <w:t>–</w:t>
      </w:r>
      <w:r w:rsidRPr="00A33264">
        <w:rPr>
          <w:lang w:val="en-GB"/>
        </w:rPr>
        <w:t>25 Budget projections</w:t>
      </w:r>
      <w:r w:rsidR="001C1BF6">
        <w:rPr>
          <w:lang w:val="en-GB"/>
        </w:rPr>
        <w:t xml:space="preserve"> and </w:t>
      </w:r>
      <w:r w:rsidR="006F5763">
        <w:rPr>
          <w:lang w:val="en-GB"/>
        </w:rPr>
        <w:t>$2.3 billion lower than in the June 2023 projections</w:t>
      </w:r>
      <w:r w:rsidRPr="00A33264">
        <w:rPr>
          <w:lang w:val="en-GB"/>
        </w:rPr>
        <w:t xml:space="preserve">. </w:t>
      </w:r>
    </w:p>
    <w:p w14:paraId="2171422E" w14:textId="110495A3" w:rsidR="00482705" w:rsidRDefault="00641555" w:rsidP="00482705">
      <w:pPr>
        <w:rPr>
          <w:u w:val="single"/>
          <w:lang w:val="en-GB"/>
        </w:rPr>
      </w:pPr>
      <w:r w:rsidRPr="00A33264">
        <w:rPr>
          <w:lang w:val="en-GB"/>
        </w:rPr>
        <w:t xml:space="preserve">The June 2024 projections of </w:t>
      </w:r>
      <w:r w:rsidR="00DB7986">
        <w:rPr>
          <w:lang w:val="en-GB"/>
        </w:rPr>
        <w:t>Scheme</w:t>
      </w:r>
      <w:r w:rsidR="00880C4D" w:rsidRPr="00A33264">
        <w:rPr>
          <w:lang w:val="en-GB"/>
        </w:rPr>
        <w:t xml:space="preserve"> </w:t>
      </w:r>
      <w:r w:rsidRPr="00A33264">
        <w:rPr>
          <w:lang w:val="en-GB"/>
        </w:rPr>
        <w:t xml:space="preserve">expenses incorporate revisions to assumptions and changes in future expectations since the previous review and forecast </w:t>
      </w:r>
      <w:r w:rsidR="00BD7EC4">
        <w:rPr>
          <w:lang w:val="en-GB"/>
        </w:rPr>
        <w:t>Scheme</w:t>
      </w:r>
      <w:r w:rsidR="00880C4D">
        <w:rPr>
          <w:lang w:val="en-GB"/>
        </w:rPr>
        <w:t xml:space="preserve"> </w:t>
      </w:r>
      <w:r w:rsidRPr="00A33264">
        <w:rPr>
          <w:lang w:val="en-GB"/>
        </w:rPr>
        <w:t>projections in the 2024</w:t>
      </w:r>
      <w:r w:rsidR="00966323">
        <w:rPr>
          <w:lang w:val="en-GB"/>
        </w:rPr>
        <w:t>–</w:t>
      </w:r>
      <w:r w:rsidRPr="00A33264">
        <w:rPr>
          <w:lang w:val="en-GB"/>
        </w:rPr>
        <w:t xml:space="preserve">25 Budget. These updated projections allow for the expected impact of the </w:t>
      </w:r>
      <w:r w:rsidR="00966323">
        <w:rPr>
          <w:lang w:val="en-GB"/>
        </w:rPr>
        <w:t>Recent and Proposed</w:t>
      </w:r>
      <w:r w:rsidR="00880C4D" w:rsidRPr="00A33264">
        <w:rPr>
          <w:lang w:val="en-GB"/>
        </w:rPr>
        <w:t xml:space="preserve"> </w:t>
      </w:r>
      <w:r w:rsidRPr="00A33264">
        <w:rPr>
          <w:lang w:val="en-GB"/>
        </w:rPr>
        <w:t xml:space="preserve">Reforms, </w:t>
      </w:r>
      <w:r w:rsidR="00C34832">
        <w:rPr>
          <w:lang w:val="en-GB"/>
        </w:rPr>
        <w:t xml:space="preserve">which themselves are </w:t>
      </w:r>
      <w:r w:rsidRPr="00A33264">
        <w:rPr>
          <w:lang w:val="en-GB"/>
        </w:rPr>
        <w:t xml:space="preserve">aimed </w:t>
      </w:r>
      <w:r w:rsidR="00456C2E">
        <w:rPr>
          <w:lang w:val="en-GB"/>
        </w:rPr>
        <w:t>at</w:t>
      </w:r>
      <w:r w:rsidRPr="00A33264">
        <w:rPr>
          <w:lang w:val="en-GB"/>
        </w:rPr>
        <w:t xml:space="preserve"> improv</w:t>
      </w:r>
      <w:r w:rsidR="00456C2E">
        <w:rPr>
          <w:lang w:val="en-GB"/>
        </w:rPr>
        <w:t>ing</w:t>
      </w:r>
      <w:r w:rsidRPr="00A33264">
        <w:rPr>
          <w:lang w:val="en-GB"/>
        </w:rPr>
        <w:t xml:space="preserve"> </w:t>
      </w:r>
      <w:r w:rsidR="00456C2E">
        <w:rPr>
          <w:lang w:val="en-GB"/>
        </w:rPr>
        <w:t xml:space="preserve">the </w:t>
      </w:r>
      <w:r w:rsidRPr="00A33264">
        <w:rPr>
          <w:lang w:val="en-GB"/>
        </w:rPr>
        <w:t xml:space="preserve">experience of participants in the </w:t>
      </w:r>
      <w:r w:rsidR="00880C4D">
        <w:rPr>
          <w:lang w:val="en-GB"/>
        </w:rPr>
        <w:t>NDIS</w:t>
      </w:r>
      <w:r w:rsidRPr="00A33264">
        <w:rPr>
          <w:lang w:val="en-GB"/>
        </w:rPr>
        <w:t xml:space="preserve"> and </w:t>
      </w:r>
      <w:r w:rsidR="00EE0B6D">
        <w:rPr>
          <w:lang w:val="en-GB"/>
        </w:rPr>
        <w:t>improv</w:t>
      </w:r>
      <w:r w:rsidR="00EA3DD3">
        <w:rPr>
          <w:lang w:val="en-GB"/>
        </w:rPr>
        <w:t>ing</w:t>
      </w:r>
      <w:r w:rsidR="00EE0B6D">
        <w:rPr>
          <w:lang w:val="en-GB"/>
        </w:rPr>
        <w:t xml:space="preserve"> sustainability of</w:t>
      </w:r>
      <w:r w:rsidRPr="00A33264">
        <w:rPr>
          <w:lang w:val="en-GB"/>
        </w:rPr>
        <w:t xml:space="preserve"> </w:t>
      </w:r>
      <w:r w:rsidR="001A4FD6">
        <w:rPr>
          <w:lang w:val="en-GB"/>
        </w:rPr>
        <w:t>Scheme</w:t>
      </w:r>
      <w:r w:rsidR="00880C4D" w:rsidRPr="00A33264">
        <w:rPr>
          <w:lang w:val="en-GB"/>
        </w:rPr>
        <w:t xml:space="preserve"> </w:t>
      </w:r>
      <w:r w:rsidR="00EE0B6D">
        <w:rPr>
          <w:lang w:val="en-GB"/>
        </w:rPr>
        <w:t>growth</w:t>
      </w:r>
      <w:r w:rsidRPr="00A33264">
        <w:rPr>
          <w:lang w:val="en-GB"/>
        </w:rPr>
        <w:t xml:space="preserve"> over the longer</w:t>
      </w:r>
      <w:r w:rsidR="003F6313">
        <w:rPr>
          <w:lang w:val="en-GB"/>
        </w:rPr>
        <w:t xml:space="preserve"> </w:t>
      </w:r>
      <w:r w:rsidRPr="00A33264">
        <w:rPr>
          <w:lang w:val="en-GB"/>
        </w:rPr>
        <w:t>term.</w:t>
      </w:r>
      <w:r w:rsidR="00482705">
        <w:rPr>
          <w:u w:val="single"/>
          <w:lang w:val="en-GB"/>
        </w:rPr>
        <w:br w:type="page"/>
      </w:r>
    </w:p>
    <w:p w14:paraId="23511E85" w14:textId="2C24F900" w:rsidR="00641555" w:rsidRPr="00A33264" w:rsidRDefault="00641555" w:rsidP="00641555">
      <w:pPr>
        <w:rPr>
          <w:u w:val="single"/>
          <w:lang w:val="en-GB"/>
        </w:rPr>
      </w:pPr>
      <w:r w:rsidRPr="00A33264">
        <w:rPr>
          <w:u w:val="single"/>
          <w:lang w:val="en-GB"/>
        </w:rPr>
        <w:lastRenderedPageBreak/>
        <w:t xml:space="preserve">Table </w:t>
      </w:r>
      <w:r w:rsidR="00A27A9C">
        <w:rPr>
          <w:u w:val="single"/>
          <w:lang w:val="en-GB"/>
        </w:rPr>
        <w:t>1</w:t>
      </w:r>
      <w:r w:rsidRPr="00A33264">
        <w:rPr>
          <w:u w:val="single"/>
          <w:lang w:val="en-GB"/>
        </w:rPr>
        <w:t>: Comparison with previous projections</w:t>
      </w:r>
    </w:p>
    <w:tbl>
      <w:tblPr>
        <w:tblStyle w:val="GridTable4-Accent1"/>
        <w:tblW w:w="9061" w:type="dxa"/>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CellMar>
          <w:top w:w="28" w:type="dxa"/>
          <w:left w:w="28" w:type="dxa"/>
          <w:bottom w:w="28" w:type="dxa"/>
          <w:right w:w="28" w:type="dxa"/>
        </w:tblCellMar>
        <w:tblLook w:val="04A0" w:firstRow="1" w:lastRow="0" w:firstColumn="1" w:lastColumn="0" w:noHBand="0" w:noVBand="1"/>
      </w:tblPr>
      <w:tblGrid>
        <w:gridCol w:w="3676"/>
        <w:gridCol w:w="1077"/>
        <w:gridCol w:w="1077"/>
        <w:gridCol w:w="1077"/>
        <w:gridCol w:w="1077"/>
        <w:gridCol w:w="1077"/>
      </w:tblGrid>
      <w:tr w:rsidR="004B375F" w:rsidRPr="00A33264" w14:paraId="2B1ADAA2" w14:textId="77777777" w:rsidTr="005A19CA">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676" w:type="dxa"/>
            <w:tcBorders>
              <w:right w:val="single" w:sz="4" w:space="0" w:color="F9F9F9" w:themeColor="background1"/>
            </w:tcBorders>
            <w:hideMark/>
          </w:tcPr>
          <w:p w14:paraId="50D0B1E8" w14:textId="2B60382F" w:rsidR="00641555" w:rsidRPr="00A33264" w:rsidRDefault="00730C5F" w:rsidP="004B375F">
            <w:pPr>
              <w:pStyle w:val="TableBody"/>
              <w:rPr>
                <w:lang w:val="en-GB"/>
              </w:rPr>
            </w:pPr>
            <w:bookmarkStart w:id="266" w:name="Title_Table1"/>
            <w:bookmarkEnd w:id="266"/>
            <w:r>
              <w:rPr>
                <w:lang w:val="en-GB"/>
              </w:rPr>
              <w:t>Scheme</w:t>
            </w:r>
            <w:r w:rsidR="00880C4D" w:rsidRPr="00A33264">
              <w:rPr>
                <w:lang w:val="en-GB"/>
              </w:rPr>
              <w:t xml:space="preserve"> </w:t>
            </w:r>
            <w:r w:rsidR="00AF2B54">
              <w:rPr>
                <w:lang w:val="en-GB"/>
              </w:rPr>
              <w:t>e</w:t>
            </w:r>
            <w:r w:rsidR="00641555" w:rsidRPr="00A33264">
              <w:rPr>
                <w:lang w:val="en-GB"/>
              </w:rPr>
              <w:t xml:space="preserve">xpenses (accrual basis) </w:t>
            </w:r>
          </w:p>
        </w:tc>
        <w:tc>
          <w:tcPr>
            <w:tcW w:w="1077" w:type="dxa"/>
            <w:tcBorders>
              <w:left w:val="single" w:sz="4" w:space="0" w:color="F9F9F9" w:themeColor="background1"/>
              <w:right w:val="single" w:sz="4" w:space="0" w:color="F9F9F9" w:themeColor="background1"/>
            </w:tcBorders>
            <w:noWrap/>
            <w:hideMark/>
          </w:tcPr>
          <w:p w14:paraId="7145EDBD" w14:textId="7D5D4456" w:rsidR="00641555" w:rsidRPr="00A33264" w:rsidRDefault="00641555" w:rsidP="005A19CA">
            <w:pPr>
              <w:pStyle w:val="TableBody"/>
              <w:jc w:val="right"/>
              <w:cnfStyle w:val="100000000000" w:firstRow="1" w:lastRow="0" w:firstColumn="0" w:lastColumn="0" w:oddVBand="0" w:evenVBand="0" w:oddHBand="0" w:evenHBand="0" w:firstRowFirstColumn="0" w:firstRowLastColumn="0" w:lastRowFirstColumn="0" w:lastRowLastColumn="0"/>
              <w:rPr>
                <w:lang w:val="en-GB"/>
              </w:rPr>
            </w:pPr>
            <w:r w:rsidRPr="00A33264">
              <w:rPr>
                <w:lang w:val="en-GB"/>
              </w:rPr>
              <w:t>2024</w:t>
            </w:r>
            <w:r w:rsidR="005A19CA">
              <w:rPr>
                <w:lang w:val="en-GB"/>
              </w:rPr>
              <w:t>–</w:t>
            </w:r>
            <w:r w:rsidRPr="00A33264">
              <w:rPr>
                <w:lang w:val="en-GB"/>
              </w:rPr>
              <w:t>25</w:t>
            </w:r>
            <w:r w:rsidR="00AF2B54">
              <w:rPr>
                <w:lang w:val="en-GB"/>
              </w:rPr>
              <w:t xml:space="preserve"> ($m)</w:t>
            </w:r>
          </w:p>
        </w:tc>
        <w:tc>
          <w:tcPr>
            <w:tcW w:w="1077" w:type="dxa"/>
            <w:tcBorders>
              <w:left w:val="single" w:sz="4" w:space="0" w:color="F9F9F9" w:themeColor="background1"/>
              <w:right w:val="single" w:sz="4" w:space="0" w:color="F9F9F9" w:themeColor="background1"/>
            </w:tcBorders>
            <w:noWrap/>
            <w:hideMark/>
          </w:tcPr>
          <w:p w14:paraId="22BE7169" w14:textId="0D7059F5" w:rsidR="00641555" w:rsidRPr="00A33264" w:rsidRDefault="00641555" w:rsidP="005A19CA">
            <w:pPr>
              <w:pStyle w:val="TableBody"/>
              <w:jc w:val="right"/>
              <w:cnfStyle w:val="100000000000" w:firstRow="1" w:lastRow="0" w:firstColumn="0" w:lastColumn="0" w:oddVBand="0" w:evenVBand="0" w:oddHBand="0" w:evenHBand="0" w:firstRowFirstColumn="0" w:firstRowLastColumn="0" w:lastRowFirstColumn="0" w:lastRowLastColumn="0"/>
              <w:rPr>
                <w:lang w:val="en-GB"/>
              </w:rPr>
            </w:pPr>
            <w:r w:rsidRPr="00A33264">
              <w:rPr>
                <w:lang w:val="en-GB"/>
              </w:rPr>
              <w:t>2025</w:t>
            </w:r>
            <w:r w:rsidR="005A19CA">
              <w:rPr>
                <w:lang w:val="en-GB"/>
              </w:rPr>
              <w:t>–</w:t>
            </w:r>
            <w:r w:rsidRPr="00A33264">
              <w:rPr>
                <w:lang w:val="en-GB"/>
              </w:rPr>
              <w:t>26</w:t>
            </w:r>
            <w:r w:rsidR="00AF2B54">
              <w:rPr>
                <w:lang w:val="en-GB"/>
              </w:rPr>
              <w:t xml:space="preserve"> ($m)</w:t>
            </w:r>
          </w:p>
        </w:tc>
        <w:tc>
          <w:tcPr>
            <w:tcW w:w="1077" w:type="dxa"/>
            <w:tcBorders>
              <w:left w:val="single" w:sz="4" w:space="0" w:color="F9F9F9" w:themeColor="background1"/>
              <w:right w:val="single" w:sz="4" w:space="0" w:color="F9F9F9" w:themeColor="background1"/>
            </w:tcBorders>
            <w:noWrap/>
            <w:hideMark/>
          </w:tcPr>
          <w:p w14:paraId="7F118575" w14:textId="4B7089AB" w:rsidR="00641555" w:rsidRPr="00A33264" w:rsidRDefault="00641555" w:rsidP="005A19CA">
            <w:pPr>
              <w:pStyle w:val="TableBody"/>
              <w:jc w:val="right"/>
              <w:cnfStyle w:val="100000000000" w:firstRow="1" w:lastRow="0" w:firstColumn="0" w:lastColumn="0" w:oddVBand="0" w:evenVBand="0" w:oddHBand="0" w:evenHBand="0" w:firstRowFirstColumn="0" w:firstRowLastColumn="0" w:lastRowFirstColumn="0" w:lastRowLastColumn="0"/>
              <w:rPr>
                <w:lang w:val="en-GB"/>
              </w:rPr>
            </w:pPr>
            <w:r w:rsidRPr="00A33264">
              <w:rPr>
                <w:lang w:val="en-GB"/>
              </w:rPr>
              <w:t>2026</w:t>
            </w:r>
            <w:r w:rsidR="005A19CA">
              <w:rPr>
                <w:lang w:val="en-GB"/>
              </w:rPr>
              <w:t>–</w:t>
            </w:r>
            <w:r w:rsidRPr="00A33264">
              <w:rPr>
                <w:lang w:val="en-GB"/>
              </w:rPr>
              <w:t>27</w:t>
            </w:r>
            <w:r w:rsidR="00AF2B54">
              <w:rPr>
                <w:lang w:val="en-GB"/>
              </w:rPr>
              <w:t xml:space="preserve"> ($m)</w:t>
            </w:r>
          </w:p>
        </w:tc>
        <w:tc>
          <w:tcPr>
            <w:tcW w:w="1077" w:type="dxa"/>
            <w:tcBorders>
              <w:left w:val="single" w:sz="4" w:space="0" w:color="F9F9F9" w:themeColor="background1"/>
              <w:right w:val="single" w:sz="4" w:space="0" w:color="F9F9F9" w:themeColor="background1"/>
            </w:tcBorders>
            <w:noWrap/>
            <w:hideMark/>
          </w:tcPr>
          <w:p w14:paraId="5E39E22C" w14:textId="592A61EF" w:rsidR="00641555" w:rsidRPr="00A33264" w:rsidRDefault="00641555" w:rsidP="005A19CA">
            <w:pPr>
              <w:pStyle w:val="TableBody"/>
              <w:jc w:val="right"/>
              <w:cnfStyle w:val="100000000000" w:firstRow="1" w:lastRow="0" w:firstColumn="0" w:lastColumn="0" w:oddVBand="0" w:evenVBand="0" w:oddHBand="0" w:evenHBand="0" w:firstRowFirstColumn="0" w:firstRowLastColumn="0" w:lastRowFirstColumn="0" w:lastRowLastColumn="0"/>
              <w:rPr>
                <w:lang w:val="en-GB"/>
              </w:rPr>
            </w:pPr>
            <w:r w:rsidRPr="00A33264">
              <w:rPr>
                <w:lang w:val="en-GB"/>
              </w:rPr>
              <w:t>2027</w:t>
            </w:r>
            <w:r w:rsidR="005A19CA">
              <w:rPr>
                <w:lang w:val="en-GB"/>
              </w:rPr>
              <w:t>–</w:t>
            </w:r>
            <w:r w:rsidRPr="00A33264">
              <w:rPr>
                <w:lang w:val="en-GB"/>
              </w:rPr>
              <w:t>28</w:t>
            </w:r>
            <w:r w:rsidR="00AF2B54">
              <w:rPr>
                <w:lang w:val="en-GB"/>
              </w:rPr>
              <w:t xml:space="preserve"> ($m)</w:t>
            </w:r>
          </w:p>
        </w:tc>
        <w:tc>
          <w:tcPr>
            <w:tcW w:w="1077" w:type="dxa"/>
            <w:tcBorders>
              <w:left w:val="single" w:sz="4" w:space="0" w:color="F9F9F9" w:themeColor="background1"/>
            </w:tcBorders>
            <w:hideMark/>
          </w:tcPr>
          <w:p w14:paraId="6DA697CF" w14:textId="78C04A5C" w:rsidR="00641555" w:rsidRPr="00A33264" w:rsidRDefault="00641555" w:rsidP="005A19CA">
            <w:pPr>
              <w:pStyle w:val="TableBody"/>
              <w:jc w:val="right"/>
              <w:cnfStyle w:val="100000000000" w:firstRow="1" w:lastRow="0" w:firstColumn="0" w:lastColumn="0" w:oddVBand="0" w:evenVBand="0" w:oddHBand="0" w:evenHBand="0" w:firstRowFirstColumn="0" w:firstRowLastColumn="0" w:lastRowFirstColumn="0" w:lastRowLastColumn="0"/>
              <w:rPr>
                <w:lang w:val="en-GB"/>
              </w:rPr>
            </w:pPr>
            <w:r w:rsidRPr="00A33264">
              <w:rPr>
                <w:lang w:val="en-GB"/>
              </w:rPr>
              <w:t>Total 2024</w:t>
            </w:r>
            <w:r w:rsidR="005A19CA">
              <w:rPr>
                <w:lang w:val="en-GB"/>
              </w:rPr>
              <w:t>–</w:t>
            </w:r>
            <w:r w:rsidRPr="00A33264">
              <w:rPr>
                <w:lang w:val="en-GB"/>
              </w:rPr>
              <w:t>28</w:t>
            </w:r>
            <w:r w:rsidR="00AF2B54">
              <w:rPr>
                <w:lang w:val="en-GB"/>
              </w:rPr>
              <w:t xml:space="preserve"> ($m)</w:t>
            </w:r>
          </w:p>
        </w:tc>
      </w:tr>
      <w:tr w:rsidR="00C27C63" w:rsidRPr="00A33264" w14:paraId="764BC86E" w14:textId="77777777" w:rsidTr="00C27C6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76" w:type="dxa"/>
            <w:shd w:val="clear" w:color="auto" w:fill="F2E2F2"/>
            <w:noWrap/>
            <w:hideMark/>
          </w:tcPr>
          <w:p w14:paraId="4A4BAEE8" w14:textId="7B179A84" w:rsidR="00641555" w:rsidRPr="00A33264" w:rsidRDefault="00641555" w:rsidP="004B375F">
            <w:pPr>
              <w:pStyle w:val="TableBody"/>
              <w:rPr>
                <w:lang w:val="en-GB"/>
              </w:rPr>
            </w:pPr>
            <w:r w:rsidRPr="00A33264">
              <w:rPr>
                <w:lang w:val="en-GB"/>
              </w:rPr>
              <w:t>June 2024 projections (a)</w:t>
            </w:r>
          </w:p>
        </w:tc>
        <w:tc>
          <w:tcPr>
            <w:tcW w:w="1077" w:type="dxa"/>
            <w:shd w:val="clear" w:color="auto" w:fill="auto"/>
            <w:noWrap/>
            <w:hideMark/>
          </w:tcPr>
          <w:p w14:paraId="5481C9C7" w14:textId="77777777" w:rsidR="00641555" w:rsidRPr="00AA0637" w:rsidRDefault="00641555" w:rsidP="005A19CA">
            <w:pPr>
              <w:pStyle w:val="TableBody"/>
              <w:jc w:val="right"/>
              <w:cnfStyle w:val="000000100000" w:firstRow="0" w:lastRow="0" w:firstColumn="0" w:lastColumn="0" w:oddVBand="0" w:evenVBand="0" w:oddHBand="1" w:evenHBand="0" w:firstRowFirstColumn="0" w:firstRowLastColumn="0" w:lastRowFirstColumn="0" w:lastRowLastColumn="0"/>
              <w:rPr>
                <w:lang w:val="en-GB"/>
              </w:rPr>
            </w:pPr>
            <w:r w:rsidRPr="00AA0637">
              <w:rPr>
                <w:lang w:val="en-GB"/>
              </w:rPr>
              <w:t>46,865</w:t>
            </w:r>
          </w:p>
        </w:tc>
        <w:tc>
          <w:tcPr>
            <w:tcW w:w="1077" w:type="dxa"/>
            <w:shd w:val="clear" w:color="auto" w:fill="auto"/>
            <w:noWrap/>
            <w:hideMark/>
          </w:tcPr>
          <w:p w14:paraId="1226CCC9" w14:textId="77777777" w:rsidR="00641555" w:rsidRPr="00AA0637" w:rsidRDefault="00641555" w:rsidP="005A19CA">
            <w:pPr>
              <w:pStyle w:val="TableBody"/>
              <w:jc w:val="right"/>
              <w:cnfStyle w:val="000000100000" w:firstRow="0" w:lastRow="0" w:firstColumn="0" w:lastColumn="0" w:oddVBand="0" w:evenVBand="0" w:oddHBand="1" w:evenHBand="0" w:firstRowFirstColumn="0" w:firstRowLastColumn="0" w:lastRowFirstColumn="0" w:lastRowLastColumn="0"/>
              <w:rPr>
                <w:lang w:val="en-GB"/>
              </w:rPr>
            </w:pPr>
            <w:r w:rsidRPr="00AA0637">
              <w:rPr>
                <w:lang w:val="en-GB"/>
              </w:rPr>
              <w:t>50,789</w:t>
            </w:r>
          </w:p>
        </w:tc>
        <w:tc>
          <w:tcPr>
            <w:tcW w:w="1077" w:type="dxa"/>
            <w:shd w:val="clear" w:color="auto" w:fill="auto"/>
            <w:noWrap/>
            <w:hideMark/>
          </w:tcPr>
          <w:p w14:paraId="758AE74D" w14:textId="77777777" w:rsidR="00641555" w:rsidRPr="00AA0637" w:rsidRDefault="00641555" w:rsidP="005A19CA">
            <w:pPr>
              <w:pStyle w:val="TableBody"/>
              <w:jc w:val="right"/>
              <w:cnfStyle w:val="000000100000" w:firstRow="0" w:lastRow="0" w:firstColumn="0" w:lastColumn="0" w:oddVBand="0" w:evenVBand="0" w:oddHBand="1" w:evenHBand="0" w:firstRowFirstColumn="0" w:firstRowLastColumn="0" w:lastRowFirstColumn="0" w:lastRowLastColumn="0"/>
              <w:rPr>
                <w:lang w:val="en-GB"/>
              </w:rPr>
            </w:pPr>
            <w:r w:rsidRPr="00AA0637">
              <w:rPr>
                <w:lang w:val="en-GB"/>
              </w:rPr>
              <w:t>54,215</w:t>
            </w:r>
          </w:p>
        </w:tc>
        <w:tc>
          <w:tcPr>
            <w:tcW w:w="1077" w:type="dxa"/>
            <w:shd w:val="clear" w:color="auto" w:fill="auto"/>
            <w:noWrap/>
            <w:hideMark/>
          </w:tcPr>
          <w:p w14:paraId="6CD85C39" w14:textId="77777777" w:rsidR="00641555" w:rsidRPr="00AA0637" w:rsidRDefault="00641555" w:rsidP="005A19CA">
            <w:pPr>
              <w:pStyle w:val="TableBody"/>
              <w:jc w:val="right"/>
              <w:cnfStyle w:val="000000100000" w:firstRow="0" w:lastRow="0" w:firstColumn="0" w:lastColumn="0" w:oddVBand="0" w:evenVBand="0" w:oddHBand="1" w:evenHBand="0" w:firstRowFirstColumn="0" w:firstRowLastColumn="0" w:lastRowFirstColumn="0" w:lastRowLastColumn="0"/>
              <w:rPr>
                <w:lang w:val="en-GB"/>
              </w:rPr>
            </w:pPr>
            <w:r w:rsidRPr="00AA0637">
              <w:rPr>
                <w:lang w:val="en-GB"/>
              </w:rPr>
              <w:t>58,390</w:t>
            </w:r>
          </w:p>
        </w:tc>
        <w:tc>
          <w:tcPr>
            <w:tcW w:w="1077" w:type="dxa"/>
            <w:shd w:val="clear" w:color="auto" w:fill="auto"/>
            <w:hideMark/>
          </w:tcPr>
          <w:p w14:paraId="4356DC3C" w14:textId="77777777" w:rsidR="00641555" w:rsidRPr="00AA0637" w:rsidRDefault="00641555" w:rsidP="005A19CA">
            <w:pPr>
              <w:pStyle w:val="TableBody"/>
              <w:jc w:val="right"/>
              <w:cnfStyle w:val="000000100000" w:firstRow="0" w:lastRow="0" w:firstColumn="0" w:lastColumn="0" w:oddVBand="0" w:evenVBand="0" w:oddHBand="1" w:evenHBand="0" w:firstRowFirstColumn="0" w:firstRowLastColumn="0" w:lastRowFirstColumn="0" w:lastRowLastColumn="0"/>
              <w:rPr>
                <w:lang w:val="en-GB"/>
              </w:rPr>
            </w:pPr>
            <w:r w:rsidRPr="00AA0637">
              <w:rPr>
                <w:lang w:val="en-GB"/>
              </w:rPr>
              <w:t>210,258</w:t>
            </w:r>
          </w:p>
        </w:tc>
      </w:tr>
      <w:tr w:rsidR="004B375F" w:rsidRPr="00A33264" w14:paraId="30BE47AC" w14:textId="77777777" w:rsidTr="00C27C63">
        <w:trPr>
          <w:trHeight w:val="397"/>
        </w:trPr>
        <w:tc>
          <w:tcPr>
            <w:cnfStyle w:val="001000000000" w:firstRow="0" w:lastRow="0" w:firstColumn="1" w:lastColumn="0" w:oddVBand="0" w:evenVBand="0" w:oddHBand="0" w:evenHBand="0" w:firstRowFirstColumn="0" w:firstRowLastColumn="0" w:lastRowFirstColumn="0" w:lastRowLastColumn="0"/>
            <w:tcW w:w="3676" w:type="dxa"/>
            <w:shd w:val="clear" w:color="auto" w:fill="F2E2F2"/>
            <w:noWrap/>
            <w:hideMark/>
          </w:tcPr>
          <w:p w14:paraId="54550D9C" w14:textId="77777777" w:rsidR="00641555" w:rsidRPr="00BB40DF" w:rsidRDefault="00641555" w:rsidP="004B375F">
            <w:pPr>
              <w:pStyle w:val="TableBody"/>
              <w:rPr>
                <w:lang w:val="en-GB"/>
              </w:rPr>
            </w:pPr>
            <w:r w:rsidRPr="00BB40DF">
              <w:rPr>
                <w:lang w:val="en-GB"/>
              </w:rPr>
              <w:t>2024-25 Budget projections (b)</w:t>
            </w:r>
          </w:p>
        </w:tc>
        <w:tc>
          <w:tcPr>
            <w:tcW w:w="1077" w:type="dxa"/>
            <w:shd w:val="clear" w:color="auto" w:fill="F9F0FA"/>
            <w:noWrap/>
            <w:hideMark/>
          </w:tcPr>
          <w:p w14:paraId="5DF7F801" w14:textId="77777777" w:rsidR="00641555" w:rsidRPr="00AA0637" w:rsidRDefault="00641555" w:rsidP="005A19CA">
            <w:pPr>
              <w:pStyle w:val="TableBody"/>
              <w:jc w:val="right"/>
              <w:cnfStyle w:val="000000000000" w:firstRow="0" w:lastRow="0" w:firstColumn="0" w:lastColumn="0" w:oddVBand="0" w:evenVBand="0" w:oddHBand="0" w:evenHBand="0" w:firstRowFirstColumn="0" w:firstRowLastColumn="0" w:lastRowFirstColumn="0" w:lastRowLastColumn="0"/>
              <w:rPr>
                <w:lang w:val="en-GB"/>
              </w:rPr>
            </w:pPr>
            <w:r w:rsidRPr="00AA0637">
              <w:rPr>
                <w:lang w:val="en-GB"/>
              </w:rPr>
              <w:t>46,381</w:t>
            </w:r>
          </w:p>
        </w:tc>
        <w:tc>
          <w:tcPr>
            <w:tcW w:w="1077" w:type="dxa"/>
            <w:shd w:val="clear" w:color="auto" w:fill="F9F0FA"/>
            <w:noWrap/>
            <w:hideMark/>
          </w:tcPr>
          <w:p w14:paraId="0CF23281" w14:textId="77777777" w:rsidR="00641555" w:rsidRPr="00AA0637" w:rsidRDefault="00641555" w:rsidP="005A19CA">
            <w:pPr>
              <w:pStyle w:val="TableBody"/>
              <w:jc w:val="right"/>
              <w:cnfStyle w:val="000000000000" w:firstRow="0" w:lastRow="0" w:firstColumn="0" w:lastColumn="0" w:oddVBand="0" w:evenVBand="0" w:oddHBand="0" w:evenHBand="0" w:firstRowFirstColumn="0" w:firstRowLastColumn="0" w:lastRowFirstColumn="0" w:lastRowLastColumn="0"/>
              <w:rPr>
                <w:lang w:val="en-GB"/>
              </w:rPr>
            </w:pPr>
            <w:r w:rsidRPr="00AA0637">
              <w:rPr>
                <w:lang w:val="en-GB"/>
              </w:rPr>
              <w:t>50,805</w:t>
            </w:r>
          </w:p>
        </w:tc>
        <w:tc>
          <w:tcPr>
            <w:tcW w:w="1077" w:type="dxa"/>
            <w:shd w:val="clear" w:color="auto" w:fill="F9F0FA"/>
            <w:noWrap/>
            <w:hideMark/>
          </w:tcPr>
          <w:p w14:paraId="4288472B" w14:textId="77777777" w:rsidR="00641555" w:rsidRPr="00AA0637" w:rsidRDefault="00641555" w:rsidP="005A19CA">
            <w:pPr>
              <w:pStyle w:val="TableBody"/>
              <w:jc w:val="right"/>
              <w:cnfStyle w:val="000000000000" w:firstRow="0" w:lastRow="0" w:firstColumn="0" w:lastColumn="0" w:oddVBand="0" w:evenVBand="0" w:oddHBand="0" w:evenHBand="0" w:firstRowFirstColumn="0" w:firstRowLastColumn="0" w:lastRowFirstColumn="0" w:lastRowLastColumn="0"/>
              <w:rPr>
                <w:lang w:val="en-GB"/>
              </w:rPr>
            </w:pPr>
            <w:r w:rsidRPr="00AA0637">
              <w:rPr>
                <w:lang w:val="en-GB"/>
              </w:rPr>
              <w:t>54,869</w:t>
            </w:r>
          </w:p>
        </w:tc>
        <w:tc>
          <w:tcPr>
            <w:tcW w:w="1077" w:type="dxa"/>
            <w:shd w:val="clear" w:color="auto" w:fill="F9F0FA"/>
            <w:noWrap/>
            <w:hideMark/>
          </w:tcPr>
          <w:p w14:paraId="011F2154" w14:textId="77777777" w:rsidR="00641555" w:rsidRPr="00AA0637" w:rsidRDefault="00641555" w:rsidP="005A19CA">
            <w:pPr>
              <w:pStyle w:val="TableBody"/>
              <w:jc w:val="right"/>
              <w:cnfStyle w:val="000000000000" w:firstRow="0" w:lastRow="0" w:firstColumn="0" w:lastColumn="0" w:oddVBand="0" w:evenVBand="0" w:oddHBand="0" w:evenHBand="0" w:firstRowFirstColumn="0" w:firstRowLastColumn="0" w:lastRowFirstColumn="0" w:lastRowLastColumn="0"/>
              <w:rPr>
                <w:lang w:val="en-GB"/>
              </w:rPr>
            </w:pPr>
            <w:r w:rsidRPr="00AA0637">
              <w:rPr>
                <w:lang w:val="en-GB"/>
              </w:rPr>
              <w:t>59,251</w:t>
            </w:r>
          </w:p>
        </w:tc>
        <w:tc>
          <w:tcPr>
            <w:tcW w:w="1077" w:type="dxa"/>
            <w:shd w:val="clear" w:color="auto" w:fill="F9F0FA"/>
            <w:hideMark/>
          </w:tcPr>
          <w:p w14:paraId="224E4BCA" w14:textId="77777777" w:rsidR="00641555" w:rsidRPr="00AA0637" w:rsidRDefault="00641555" w:rsidP="005A19CA">
            <w:pPr>
              <w:pStyle w:val="TableBody"/>
              <w:jc w:val="right"/>
              <w:cnfStyle w:val="000000000000" w:firstRow="0" w:lastRow="0" w:firstColumn="0" w:lastColumn="0" w:oddVBand="0" w:evenVBand="0" w:oddHBand="0" w:evenHBand="0" w:firstRowFirstColumn="0" w:firstRowLastColumn="0" w:lastRowFirstColumn="0" w:lastRowLastColumn="0"/>
              <w:rPr>
                <w:lang w:val="en-GB"/>
              </w:rPr>
            </w:pPr>
            <w:r w:rsidRPr="00AA0637">
              <w:rPr>
                <w:lang w:val="en-GB"/>
              </w:rPr>
              <w:t>211,306</w:t>
            </w:r>
          </w:p>
        </w:tc>
      </w:tr>
      <w:tr w:rsidR="00C27C63" w:rsidRPr="00A33264" w14:paraId="7E118881" w14:textId="77777777" w:rsidTr="00C27C63">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3676" w:type="dxa"/>
            <w:shd w:val="clear" w:color="auto" w:fill="ECD4F0"/>
            <w:noWrap/>
            <w:hideMark/>
          </w:tcPr>
          <w:p w14:paraId="695257AF" w14:textId="538FB416" w:rsidR="00641555" w:rsidRPr="00A33264" w:rsidRDefault="00641555" w:rsidP="004B375F">
            <w:pPr>
              <w:pStyle w:val="TableBody"/>
              <w:rPr>
                <w:lang w:val="en-GB"/>
              </w:rPr>
            </w:pPr>
            <w:r w:rsidRPr="00A33264">
              <w:rPr>
                <w:lang w:val="en-GB"/>
              </w:rPr>
              <w:t>June 2023 projections (c)</w:t>
            </w:r>
          </w:p>
        </w:tc>
        <w:tc>
          <w:tcPr>
            <w:tcW w:w="1077" w:type="dxa"/>
            <w:shd w:val="clear" w:color="auto" w:fill="ECD4F0"/>
            <w:noWrap/>
            <w:hideMark/>
          </w:tcPr>
          <w:p w14:paraId="16FACBE6" w14:textId="77777777" w:rsidR="00641555" w:rsidRPr="00AA0637" w:rsidRDefault="00641555" w:rsidP="005A19CA">
            <w:pPr>
              <w:pStyle w:val="TableBody"/>
              <w:jc w:val="right"/>
              <w:cnfStyle w:val="000000100000" w:firstRow="0" w:lastRow="0" w:firstColumn="0" w:lastColumn="0" w:oddVBand="0" w:evenVBand="0" w:oddHBand="1" w:evenHBand="0" w:firstRowFirstColumn="0" w:firstRowLastColumn="0" w:lastRowFirstColumn="0" w:lastRowLastColumn="0"/>
              <w:rPr>
                <w:lang w:val="en-GB"/>
              </w:rPr>
            </w:pPr>
            <w:r w:rsidRPr="00AA0637">
              <w:rPr>
                <w:lang w:val="en-GB"/>
              </w:rPr>
              <w:t>46,376</w:t>
            </w:r>
          </w:p>
        </w:tc>
        <w:tc>
          <w:tcPr>
            <w:tcW w:w="1077" w:type="dxa"/>
            <w:shd w:val="clear" w:color="auto" w:fill="ECD4F0"/>
            <w:noWrap/>
            <w:hideMark/>
          </w:tcPr>
          <w:p w14:paraId="2E6D0754" w14:textId="77777777" w:rsidR="00641555" w:rsidRPr="00AA0637" w:rsidRDefault="00641555" w:rsidP="005A19CA">
            <w:pPr>
              <w:pStyle w:val="TableBody"/>
              <w:jc w:val="right"/>
              <w:cnfStyle w:val="000000100000" w:firstRow="0" w:lastRow="0" w:firstColumn="0" w:lastColumn="0" w:oddVBand="0" w:evenVBand="0" w:oddHBand="1" w:evenHBand="0" w:firstRowFirstColumn="0" w:firstRowLastColumn="0" w:lastRowFirstColumn="0" w:lastRowLastColumn="0"/>
              <w:rPr>
                <w:lang w:val="en-GB"/>
              </w:rPr>
            </w:pPr>
            <w:r w:rsidRPr="00AA0637">
              <w:rPr>
                <w:lang w:val="en-GB"/>
              </w:rPr>
              <w:t>50,788</w:t>
            </w:r>
          </w:p>
        </w:tc>
        <w:tc>
          <w:tcPr>
            <w:tcW w:w="1077" w:type="dxa"/>
            <w:shd w:val="clear" w:color="auto" w:fill="ECD4F0"/>
            <w:noWrap/>
            <w:hideMark/>
          </w:tcPr>
          <w:p w14:paraId="27BEF403" w14:textId="77777777" w:rsidR="00641555" w:rsidRPr="00AA0637" w:rsidRDefault="00641555" w:rsidP="005A19CA">
            <w:pPr>
              <w:pStyle w:val="TableBody"/>
              <w:jc w:val="right"/>
              <w:cnfStyle w:val="000000100000" w:firstRow="0" w:lastRow="0" w:firstColumn="0" w:lastColumn="0" w:oddVBand="0" w:evenVBand="0" w:oddHBand="1" w:evenHBand="0" w:firstRowFirstColumn="0" w:firstRowLastColumn="0" w:lastRowFirstColumn="0" w:lastRowLastColumn="0"/>
              <w:rPr>
                <w:lang w:val="en-GB"/>
              </w:rPr>
            </w:pPr>
            <w:r w:rsidRPr="00AA0637">
              <w:rPr>
                <w:lang w:val="en-GB"/>
              </w:rPr>
              <w:t>55,207</w:t>
            </w:r>
          </w:p>
        </w:tc>
        <w:tc>
          <w:tcPr>
            <w:tcW w:w="1077" w:type="dxa"/>
            <w:shd w:val="clear" w:color="auto" w:fill="ECD4F0"/>
            <w:noWrap/>
            <w:hideMark/>
          </w:tcPr>
          <w:p w14:paraId="63A3F067" w14:textId="77777777" w:rsidR="00641555" w:rsidRPr="00AA0637" w:rsidRDefault="00641555" w:rsidP="005A19CA">
            <w:pPr>
              <w:pStyle w:val="TableBody"/>
              <w:jc w:val="right"/>
              <w:cnfStyle w:val="000000100000" w:firstRow="0" w:lastRow="0" w:firstColumn="0" w:lastColumn="0" w:oddVBand="0" w:evenVBand="0" w:oddHBand="1" w:evenHBand="0" w:firstRowFirstColumn="0" w:firstRowLastColumn="0" w:lastRowFirstColumn="0" w:lastRowLastColumn="0"/>
              <w:rPr>
                <w:lang w:val="en-GB"/>
              </w:rPr>
            </w:pPr>
            <w:r w:rsidRPr="00AA0637">
              <w:rPr>
                <w:lang w:val="en-GB"/>
              </w:rPr>
              <w:t>60,190</w:t>
            </w:r>
          </w:p>
        </w:tc>
        <w:tc>
          <w:tcPr>
            <w:tcW w:w="1077" w:type="dxa"/>
            <w:shd w:val="clear" w:color="auto" w:fill="ECD4F0"/>
            <w:hideMark/>
          </w:tcPr>
          <w:p w14:paraId="234A8D0A" w14:textId="77777777" w:rsidR="00641555" w:rsidRPr="00AA0637" w:rsidRDefault="00641555" w:rsidP="005A19CA">
            <w:pPr>
              <w:pStyle w:val="TableBody"/>
              <w:jc w:val="right"/>
              <w:cnfStyle w:val="000000100000" w:firstRow="0" w:lastRow="0" w:firstColumn="0" w:lastColumn="0" w:oddVBand="0" w:evenVBand="0" w:oddHBand="1" w:evenHBand="0" w:firstRowFirstColumn="0" w:firstRowLastColumn="0" w:lastRowFirstColumn="0" w:lastRowLastColumn="0"/>
              <w:rPr>
                <w:lang w:val="en-GB"/>
              </w:rPr>
            </w:pPr>
            <w:r w:rsidRPr="00AA0637">
              <w:rPr>
                <w:lang w:val="en-GB"/>
              </w:rPr>
              <w:t>212,561</w:t>
            </w:r>
          </w:p>
        </w:tc>
      </w:tr>
      <w:tr w:rsidR="004B375F" w:rsidRPr="00A33264" w14:paraId="78DD0295" w14:textId="77777777" w:rsidTr="00C27C63">
        <w:trPr>
          <w:trHeight w:val="397"/>
        </w:trPr>
        <w:tc>
          <w:tcPr>
            <w:cnfStyle w:val="001000000000" w:firstRow="0" w:lastRow="0" w:firstColumn="1" w:lastColumn="0" w:oddVBand="0" w:evenVBand="0" w:oddHBand="0" w:evenHBand="0" w:firstRowFirstColumn="0" w:firstRowLastColumn="0" w:lastRowFirstColumn="0" w:lastRowLastColumn="0"/>
            <w:tcW w:w="3676" w:type="dxa"/>
            <w:shd w:val="clear" w:color="auto" w:fill="F2E2F2"/>
            <w:noWrap/>
            <w:hideMark/>
          </w:tcPr>
          <w:p w14:paraId="01AEAED5" w14:textId="66526B8B" w:rsidR="00641555" w:rsidRPr="00A33264" w:rsidRDefault="00641555" w:rsidP="004B375F">
            <w:pPr>
              <w:pStyle w:val="TableBody"/>
              <w:rPr>
                <w:lang w:val="en-GB"/>
              </w:rPr>
            </w:pPr>
            <w:r w:rsidRPr="00A33264">
              <w:rPr>
                <w:lang w:val="en-GB"/>
              </w:rPr>
              <w:t>Difference ($) (a</w:t>
            </w:r>
            <w:r w:rsidR="00AF2B54" w:rsidRPr="00A33264">
              <w:rPr>
                <w:lang w:val="en-GB"/>
              </w:rPr>
              <w:t xml:space="preserve"> </w:t>
            </w:r>
            <w:r w:rsidR="00AF2B54">
              <w:rPr>
                <w:lang w:val="en-GB"/>
              </w:rPr>
              <w:t>-</w:t>
            </w:r>
            <w:r w:rsidR="001126DD">
              <w:rPr>
                <w:lang w:val="en-GB"/>
              </w:rPr>
              <w:t xml:space="preserve"> </w:t>
            </w:r>
            <w:r w:rsidRPr="00A33264">
              <w:rPr>
                <w:lang w:val="en-GB"/>
              </w:rPr>
              <w:t>b)</w:t>
            </w:r>
          </w:p>
        </w:tc>
        <w:tc>
          <w:tcPr>
            <w:tcW w:w="1077" w:type="dxa"/>
            <w:shd w:val="clear" w:color="auto" w:fill="auto"/>
            <w:noWrap/>
            <w:hideMark/>
          </w:tcPr>
          <w:p w14:paraId="2575DF7F" w14:textId="77777777" w:rsidR="00641555" w:rsidRPr="00A33264" w:rsidRDefault="00641555" w:rsidP="005A19CA">
            <w:pPr>
              <w:pStyle w:val="TableBody"/>
              <w:jc w:val="right"/>
              <w:cnfStyle w:val="000000000000" w:firstRow="0" w:lastRow="0" w:firstColumn="0" w:lastColumn="0" w:oddVBand="0" w:evenVBand="0" w:oddHBand="0" w:evenHBand="0" w:firstRowFirstColumn="0" w:firstRowLastColumn="0" w:lastRowFirstColumn="0" w:lastRowLastColumn="0"/>
              <w:rPr>
                <w:lang w:val="en-GB"/>
              </w:rPr>
            </w:pPr>
            <w:r w:rsidRPr="00A33264">
              <w:rPr>
                <w:lang w:val="en-GB"/>
              </w:rPr>
              <w:t>484</w:t>
            </w:r>
          </w:p>
        </w:tc>
        <w:tc>
          <w:tcPr>
            <w:tcW w:w="1077" w:type="dxa"/>
            <w:shd w:val="clear" w:color="auto" w:fill="auto"/>
            <w:noWrap/>
            <w:hideMark/>
          </w:tcPr>
          <w:p w14:paraId="360BD4DF" w14:textId="77777777" w:rsidR="00641555" w:rsidRPr="00A33264" w:rsidRDefault="00641555" w:rsidP="005A19CA">
            <w:pPr>
              <w:pStyle w:val="TableBody"/>
              <w:jc w:val="right"/>
              <w:cnfStyle w:val="000000000000" w:firstRow="0" w:lastRow="0" w:firstColumn="0" w:lastColumn="0" w:oddVBand="0" w:evenVBand="0" w:oddHBand="0" w:evenHBand="0" w:firstRowFirstColumn="0" w:firstRowLastColumn="0" w:lastRowFirstColumn="0" w:lastRowLastColumn="0"/>
              <w:rPr>
                <w:lang w:val="en-GB"/>
              </w:rPr>
            </w:pPr>
            <w:r w:rsidRPr="00A33264">
              <w:rPr>
                <w:lang w:val="en-GB"/>
              </w:rPr>
              <w:t>-16</w:t>
            </w:r>
          </w:p>
        </w:tc>
        <w:tc>
          <w:tcPr>
            <w:tcW w:w="1077" w:type="dxa"/>
            <w:shd w:val="clear" w:color="auto" w:fill="auto"/>
            <w:noWrap/>
            <w:hideMark/>
          </w:tcPr>
          <w:p w14:paraId="7EF22F4C" w14:textId="77777777" w:rsidR="00641555" w:rsidRPr="00A33264" w:rsidRDefault="00641555" w:rsidP="005A19CA">
            <w:pPr>
              <w:pStyle w:val="TableBody"/>
              <w:jc w:val="right"/>
              <w:cnfStyle w:val="000000000000" w:firstRow="0" w:lastRow="0" w:firstColumn="0" w:lastColumn="0" w:oddVBand="0" w:evenVBand="0" w:oddHBand="0" w:evenHBand="0" w:firstRowFirstColumn="0" w:firstRowLastColumn="0" w:lastRowFirstColumn="0" w:lastRowLastColumn="0"/>
              <w:rPr>
                <w:lang w:val="en-GB"/>
              </w:rPr>
            </w:pPr>
            <w:r w:rsidRPr="00A33264">
              <w:rPr>
                <w:lang w:val="en-GB"/>
              </w:rPr>
              <w:t>-655</w:t>
            </w:r>
          </w:p>
        </w:tc>
        <w:tc>
          <w:tcPr>
            <w:tcW w:w="1077" w:type="dxa"/>
            <w:shd w:val="clear" w:color="auto" w:fill="auto"/>
            <w:noWrap/>
            <w:hideMark/>
          </w:tcPr>
          <w:p w14:paraId="2C0D70F8" w14:textId="77777777" w:rsidR="00641555" w:rsidRPr="00A33264" w:rsidRDefault="00641555" w:rsidP="005A19CA">
            <w:pPr>
              <w:pStyle w:val="TableBody"/>
              <w:jc w:val="right"/>
              <w:cnfStyle w:val="000000000000" w:firstRow="0" w:lastRow="0" w:firstColumn="0" w:lastColumn="0" w:oddVBand="0" w:evenVBand="0" w:oddHBand="0" w:evenHBand="0" w:firstRowFirstColumn="0" w:firstRowLastColumn="0" w:lastRowFirstColumn="0" w:lastRowLastColumn="0"/>
              <w:rPr>
                <w:lang w:val="en-GB"/>
              </w:rPr>
            </w:pPr>
            <w:r w:rsidRPr="00A33264">
              <w:rPr>
                <w:lang w:val="en-GB"/>
              </w:rPr>
              <w:t>-861</w:t>
            </w:r>
          </w:p>
        </w:tc>
        <w:tc>
          <w:tcPr>
            <w:tcW w:w="1077" w:type="dxa"/>
            <w:shd w:val="clear" w:color="auto" w:fill="auto"/>
            <w:hideMark/>
          </w:tcPr>
          <w:p w14:paraId="1AB3A566" w14:textId="77777777" w:rsidR="00641555" w:rsidRPr="00A33264" w:rsidRDefault="00641555" w:rsidP="005A19CA">
            <w:pPr>
              <w:pStyle w:val="TableBody"/>
              <w:jc w:val="right"/>
              <w:cnfStyle w:val="000000000000" w:firstRow="0" w:lastRow="0" w:firstColumn="0" w:lastColumn="0" w:oddVBand="0" w:evenVBand="0" w:oddHBand="0" w:evenHBand="0" w:firstRowFirstColumn="0" w:firstRowLastColumn="0" w:lastRowFirstColumn="0" w:lastRowLastColumn="0"/>
              <w:rPr>
                <w:lang w:val="en-GB"/>
              </w:rPr>
            </w:pPr>
            <w:r w:rsidRPr="00A33264">
              <w:rPr>
                <w:lang w:val="en-GB"/>
              </w:rPr>
              <w:t>-1,048</w:t>
            </w:r>
          </w:p>
        </w:tc>
      </w:tr>
      <w:tr w:rsidR="00C27C63" w:rsidRPr="00A33264" w14:paraId="29F7B3F0" w14:textId="77777777" w:rsidTr="00C27C6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76" w:type="dxa"/>
            <w:shd w:val="clear" w:color="auto" w:fill="F2E2F2"/>
            <w:noWrap/>
            <w:hideMark/>
          </w:tcPr>
          <w:p w14:paraId="51B907BD" w14:textId="0140C92E" w:rsidR="00641555" w:rsidRPr="00A33264" w:rsidRDefault="00641555" w:rsidP="004B375F">
            <w:pPr>
              <w:pStyle w:val="TableBody"/>
              <w:rPr>
                <w:lang w:val="en-GB"/>
              </w:rPr>
            </w:pPr>
            <w:r w:rsidRPr="00A33264">
              <w:rPr>
                <w:lang w:val="en-GB"/>
              </w:rPr>
              <w:t>Difference (%) (a/b -</w:t>
            </w:r>
            <w:r w:rsidR="00BB4F8C">
              <w:rPr>
                <w:lang w:val="en-GB"/>
              </w:rPr>
              <w:t xml:space="preserve"> </w:t>
            </w:r>
            <w:r w:rsidRPr="00A33264">
              <w:rPr>
                <w:lang w:val="en-GB"/>
              </w:rPr>
              <w:t>1)</w:t>
            </w:r>
          </w:p>
        </w:tc>
        <w:tc>
          <w:tcPr>
            <w:tcW w:w="1077" w:type="dxa"/>
            <w:shd w:val="clear" w:color="auto" w:fill="F9F0FA"/>
            <w:noWrap/>
            <w:hideMark/>
          </w:tcPr>
          <w:p w14:paraId="426AB002" w14:textId="77777777" w:rsidR="00641555" w:rsidRPr="00A33264" w:rsidRDefault="00641555" w:rsidP="005A19CA">
            <w:pPr>
              <w:pStyle w:val="TableBody"/>
              <w:jc w:val="right"/>
              <w:cnfStyle w:val="000000100000" w:firstRow="0" w:lastRow="0" w:firstColumn="0" w:lastColumn="0" w:oddVBand="0" w:evenVBand="0" w:oddHBand="1" w:evenHBand="0" w:firstRowFirstColumn="0" w:firstRowLastColumn="0" w:lastRowFirstColumn="0" w:lastRowLastColumn="0"/>
              <w:rPr>
                <w:lang w:val="en-GB"/>
              </w:rPr>
            </w:pPr>
            <w:r w:rsidRPr="00A33264">
              <w:rPr>
                <w:lang w:val="en-GB"/>
              </w:rPr>
              <w:t>1.0%</w:t>
            </w:r>
          </w:p>
        </w:tc>
        <w:tc>
          <w:tcPr>
            <w:tcW w:w="1077" w:type="dxa"/>
            <w:shd w:val="clear" w:color="auto" w:fill="F9F0FA"/>
            <w:noWrap/>
            <w:hideMark/>
          </w:tcPr>
          <w:p w14:paraId="11EF081C" w14:textId="77777777" w:rsidR="00641555" w:rsidRPr="00A33264" w:rsidRDefault="00641555" w:rsidP="005A19CA">
            <w:pPr>
              <w:pStyle w:val="TableBody"/>
              <w:jc w:val="right"/>
              <w:cnfStyle w:val="000000100000" w:firstRow="0" w:lastRow="0" w:firstColumn="0" w:lastColumn="0" w:oddVBand="0" w:evenVBand="0" w:oddHBand="1" w:evenHBand="0" w:firstRowFirstColumn="0" w:firstRowLastColumn="0" w:lastRowFirstColumn="0" w:lastRowLastColumn="0"/>
              <w:rPr>
                <w:lang w:val="en-GB"/>
              </w:rPr>
            </w:pPr>
            <w:r w:rsidRPr="00A33264">
              <w:rPr>
                <w:lang w:val="en-GB"/>
              </w:rPr>
              <w:t>0.0%</w:t>
            </w:r>
          </w:p>
        </w:tc>
        <w:tc>
          <w:tcPr>
            <w:tcW w:w="1077" w:type="dxa"/>
            <w:shd w:val="clear" w:color="auto" w:fill="F9F0FA"/>
            <w:noWrap/>
            <w:hideMark/>
          </w:tcPr>
          <w:p w14:paraId="1A16C34F" w14:textId="77777777" w:rsidR="00641555" w:rsidRPr="00A33264" w:rsidRDefault="00641555" w:rsidP="005A19CA">
            <w:pPr>
              <w:pStyle w:val="TableBody"/>
              <w:jc w:val="right"/>
              <w:cnfStyle w:val="000000100000" w:firstRow="0" w:lastRow="0" w:firstColumn="0" w:lastColumn="0" w:oddVBand="0" w:evenVBand="0" w:oddHBand="1" w:evenHBand="0" w:firstRowFirstColumn="0" w:firstRowLastColumn="0" w:lastRowFirstColumn="0" w:lastRowLastColumn="0"/>
              <w:rPr>
                <w:lang w:val="en-GB"/>
              </w:rPr>
            </w:pPr>
            <w:r w:rsidRPr="00A33264">
              <w:rPr>
                <w:lang w:val="en-GB"/>
              </w:rPr>
              <w:t>-1.2%</w:t>
            </w:r>
          </w:p>
        </w:tc>
        <w:tc>
          <w:tcPr>
            <w:tcW w:w="1077" w:type="dxa"/>
            <w:shd w:val="clear" w:color="auto" w:fill="F9F0FA"/>
            <w:noWrap/>
            <w:hideMark/>
          </w:tcPr>
          <w:p w14:paraId="764F7CD2" w14:textId="77777777" w:rsidR="00641555" w:rsidRPr="00A33264" w:rsidRDefault="00641555" w:rsidP="005A19CA">
            <w:pPr>
              <w:pStyle w:val="TableBody"/>
              <w:jc w:val="right"/>
              <w:cnfStyle w:val="000000100000" w:firstRow="0" w:lastRow="0" w:firstColumn="0" w:lastColumn="0" w:oddVBand="0" w:evenVBand="0" w:oddHBand="1" w:evenHBand="0" w:firstRowFirstColumn="0" w:firstRowLastColumn="0" w:lastRowFirstColumn="0" w:lastRowLastColumn="0"/>
              <w:rPr>
                <w:lang w:val="en-GB"/>
              </w:rPr>
            </w:pPr>
            <w:r w:rsidRPr="00A33264">
              <w:rPr>
                <w:lang w:val="en-GB"/>
              </w:rPr>
              <w:t>-1.5%</w:t>
            </w:r>
          </w:p>
        </w:tc>
        <w:tc>
          <w:tcPr>
            <w:tcW w:w="1077" w:type="dxa"/>
            <w:shd w:val="clear" w:color="auto" w:fill="F9F0FA"/>
            <w:hideMark/>
          </w:tcPr>
          <w:p w14:paraId="62747D4C" w14:textId="77777777" w:rsidR="00641555" w:rsidRPr="00A33264" w:rsidRDefault="00641555" w:rsidP="005A19CA">
            <w:pPr>
              <w:pStyle w:val="TableBody"/>
              <w:jc w:val="right"/>
              <w:cnfStyle w:val="000000100000" w:firstRow="0" w:lastRow="0" w:firstColumn="0" w:lastColumn="0" w:oddVBand="0" w:evenVBand="0" w:oddHBand="1" w:evenHBand="0" w:firstRowFirstColumn="0" w:firstRowLastColumn="0" w:lastRowFirstColumn="0" w:lastRowLastColumn="0"/>
              <w:rPr>
                <w:lang w:val="en-GB"/>
              </w:rPr>
            </w:pPr>
            <w:r w:rsidRPr="00A33264">
              <w:rPr>
                <w:lang w:val="en-GB"/>
              </w:rPr>
              <w:t>-0.5%</w:t>
            </w:r>
          </w:p>
        </w:tc>
      </w:tr>
      <w:tr w:rsidR="004B375F" w:rsidRPr="00A33264" w14:paraId="2323F377" w14:textId="77777777" w:rsidTr="00C27C63">
        <w:trPr>
          <w:trHeight w:val="397"/>
        </w:trPr>
        <w:tc>
          <w:tcPr>
            <w:cnfStyle w:val="001000000000" w:firstRow="0" w:lastRow="0" w:firstColumn="1" w:lastColumn="0" w:oddVBand="0" w:evenVBand="0" w:oddHBand="0" w:evenHBand="0" w:firstRowFirstColumn="0" w:firstRowLastColumn="0" w:lastRowFirstColumn="0" w:lastRowLastColumn="0"/>
            <w:tcW w:w="3676" w:type="dxa"/>
            <w:shd w:val="clear" w:color="auto" w:fill="F2E2F2"/>
            <w:noWrap/>
            <w:hideMark/>
          </w:tcPr>
          <w:p w14:paraId="1EBEC42C" w14:textId="7D157B87" w:rsidR="00641555" w:rsidRPr="00A33264" w:rsidRDefault="00641555" w:rsidP="004B375F">
            <w:pPr>
              <w:pStyle w:val="TableBody"/>
              <w:rPr>
                <w:lang w:val="en-GB"/>
              </w:rPr>
            </w:pPr>
            <w:r w:rsidRPr="00A33264">
              <w:rPr>
                <w:lang w:val="en-GB"/>
              </w:rPr>
              <w:t xml:space="preserve">Difference ($) (a </w:t>
            </w:r>
            <w:r w:rsidR="00AF2B54">
              <w:rPr>
                <w:lang w:val="en-GB"/>
              </w:rPr>
              <w:t>-</w:t>
            </w:r>
            <w:r w:rsidR="00AF2B54" w:rsidRPr="00A33264">
              <w:rPr>
                <w:lang w:val="en-GB"/>
              </w:rPr>
              <w:t xml:space="preserve"> </w:t>
            </w:r>
            <w:r w:rsidRPr="00A33264">
              <w:rPr>
                <w:lang w:val="en-GB"/>
              </w:rPr>
              <w:t>c)</w:t>
            </w:r>
          </w:p>
        </w:tc>
        <w:tc>
          <w:tcPr>
            <w:tcW w:w="1077" w:type="dxa"/>
            <w:shd w:val="clear" w:color="auto" w:fill="E0E0E0" w:themeFill="background1" w:themeFillShade="E6"/>
            <w:noWrap/>
            <w:hideMark/>
          </w:tcPr>
          <w:p w14:paraId="1778987D" w14:textId="77777777" w:rsidR="00641555" w:rsidRPr="00A33264" w:rsidRDefault="00641555" w:rsidP="005A19CA">
            <w:pPr>
              <w:pStyle w:val="TableBody"/>
              <w:jc w:val="right"/>
              <w:cnfStyle w:val="000000000000" w:firstRow="0" w:lastRow="0" w:firstColumn="0" w:lastColumn="0" w:oddVBand="0" w:evenVBand="0" w:oddHBand="0" w:evenHBand="0" w:firstRowFirstColumn="0" w:firstRowLastColumn="0" w:lastRowFirstColumn="0" w:lastRowLastColumn="0"/>
              <w:rPr>
                <w:lang w:val="en-GB"/>
              </w:rPr>
            </w:pPr>
            <w:r w:rsidRPr="00A33264">
              <w:rPr>
                <w:lang w:val="en-GB"/>
              </w:rPr>
              <w:t>489</w:t>
            </w:r>
          </w:p>
        </w:tc>
        <w:tc>
          <w:tcPr>
            <w:tcW w:w="1077" w:type="dxa"/>
            <w:shd w:val="clear" w:color="auto" w:fill="E0E0E0" w:themeFill="background1" w:themeFillShade="E6"/>
            <w:noWrap/>
            <w:hideMark/>
          </w:tcPr>
          <w:p w14:paraId="087EB859" w14:textId="77777777" w:rsidR="00641555" w:rsidRPr="00A33264" w:rsidRDefault="00641555" w:rsidP="005A19CA">
            <w:pPr>
              <w:pStyle w:val="TableBody"/>
              <w:jc w:val="right"/>
              <w:cnfStyle w:val="000000000000" w:firstRow="0" w:lastRow="0" w:firstColumn="0" w:lastColumn="0" w:oddVBand="0" w:evenVBand="0" w:oddHBand="0" w:evenHBand="0" w:firstRowFirstColumn="0" w:firstRowLastColumn="0" w:lastRowFirstColumn="0" w:lastRowLastColumn="0"/>
              <w:rPr>
                <w:lang w:val="en-GB"/>
              </w:rPr>
            </w:pPr>
            <w:r w:rsidRPr="00A33264">
              <w:rPr>
                <w:lang w:val="en-GB"/>
              </w:rPr>
              <w:t>0</w:t>
            </w:r>
          </w:p>
        </w:tc>
        <w:tc>
          <w:tcPr>
            <w:tcW w:w="1077" w:type="dxa"/>
            <w:shd w:val="clear" w:color="auto" w:fill="E0E0E0" w:themeFill="background1" w:themeFillShade="E6"/>
            <w:noWrap/>
            <w:hideMark/>
          </w:tcPr>
          <w:p w14:paraId="0072E602" w14:textId="77777777" w:rsidR="00641555" w:rsidRPr="00A33264" w:rsidRDefault="00641555" w:rsidP="005A19CA">
            <w:pPr>
              <w:pStyle w:val="TableBody"/>
              <w:jc w:val="right"/>
              <w:cnfStyle w:val="000000000000" w:firstRow="0" w:lastRow="0" w:firstColumn="0" w:lastColumn="0" w:oddVBand="0" w:evenVBand="0" w:oddHBand="0" w:evenHBand="0" w:firstRowFirstColumn="0" w:firstRowLastColumn="0" w:lastRowFirstColumn="0" w:lastRowLastColumn="0"/>
              <w:rPr>
                <w:lang w:val="en-GB"/>
              </w:rPr>
            </w:pPr>
            <w:r w:rsidRPr="00A33264">
              <w:rPr>
                <w:lang w:val="en-GB"/>
              </w:rPr>
              <w:t>-993</w:t>
            </w:r>
          </w:p>
        </w:tc>
        <w:tc>
          <w:tcPr>
            <w:tcW w:w="1077" w:type="dxa"/>
            <w:shd w:val="clear" w:color="auto" w:fill="E0E0E0" w:themeFill="background1" w:themeFillShade="E6"/>
            <w:noWrap/>
            <w:hideMark/>
          </w:tcPr>
          <w:p w14:paraId="52EE8CA1" w14:textId="77777777" w:rsidR="00641555" w:rsidRPr="00A33264" w:rsidRDefault="00641555" w:rsidP="005A19CA">
            <w:pPr>
              <w:pStyle w:val="TableBody"/>
              <w:jc w:val="right"/>
              <w:cnfStyle w:val="000000000000" w:firstRow="0" w:lastRow="0" w:firstColumn="0" w:lastColumn="0" w:oddVBand="0" w:evenVBand="0" w:oddHBand="0" w:evenHBand="0" w:firstRowFirstColumn="0" w:firstRowLastColumn="0" w:lastRowFirstColumn="0" w:lastRowLastColumn="0"/>
              <w:rPr>
                <w:lang w:val="en-GB"/>
              </w:rPr>
            </w:pPr>
            <w:r w:rsidRPr="00A33264">
              <w:rPr>
                <w:lang w:val="en-GB"/>
              </w:rPr>
              <w:t>-1800</w:t>
            </w:r>
          </w:p>
        </w:tc>
        <w:tc>
          <w:tcPr>
            <w:tcW w:w="1077" w:type="dxa"/>
            <w:shd w:val="clear" w:color="auto" w:fill="E0E0E0" w:themeFill="background1" w:themeFillShade="E6"/>
            <w:hideMark/>
          </w:tcPr>
          <w:p w14:paraId="2495D548" w14:textId="77777777" w:rsidR="00641555" w:rsidRPr="00A33264" w:rsidRDefault="00641555" w:rsidP="005A19CA">
            <w:pPr>
              <w:pStyle w:val="TableBody"/>
              <w:jc w:val="right"/>
              <w:cnfStyle w:val="000000000000" w:firstRow="0" w:lastRow="0" w:firstColumn="0" w:lastColumn="0" w:oddVBand="0" w:evenVBand="0" w:oddHBand="0" w:evenHBand="0" w:firstRowFirstColumn="0" w:firstRowLastColumn="0" w:lastRowFirstColumn="0" w:lastRowLastColumn="0"/>
              <w:rPr>
                <w:lang w:val="en-GB"/>
              </w:rPr>
            </w:pPr>
            <w:r w:rsidRPr="00A33264">
              <w:rPr>
                <w:lang w:val="en-GB"/>
              </w:rPr>
              <w:t>-2,303</w:t>
            </w:r>
          </w:p>
        </w:tc>
      </w:tr>
      <w:tr w:rsidR="00C27C63" w:rsidRPr="00A33264" w14:paraId="1A33D7BA" w14:textId="77777777" w:rsidTr="00C27C6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76" w:type="dxa"/>
            <w:shd w:val="clear" w:color="auto" w:fill="F2E2F2"/>
            <w:noWrap/>
            <w:hideMark/>
          </w:tcPr>
          <w:p w14:paraId="353FDA92" w14:textId="219494D7" w:rsidR="00641555" w:rsidRPr="00A33264" w:rsidRDefault="00641555" w:rsidP="004B375F">
            <w:pPr>
              <w:pStyle w:val="TableBody"/>
              <w:rPr>
                <w:lang w:val="en-GB"/>
              </w:rPr>
            </w:pPr>
            <w:r w:rsidRPr="00A33264">
              <w:rPr>
                <w:lang w:val="en-GB"/>
              </w:rPr>
              <w:t>Difference (%) (a/c -</w:t>
            </w:r>
            <w:r w:rsidR="00BF41E8">
              <w:rPr>
                <w:lang w:val="en-GB"/>
              </w:rPr>
              <w:t xml:space="preserve"> </w:t>
            </w:r>
            <w:r w:rsidRPr="00A33264">
              <w:rPr>
                <w:lang w:val="en-GB"/>
              </w:rPr>
              <w:t>1)</w:t>
            </w:r>
          </w:p>
        </w:tc>
        <w:tc>
          <w:tcPr>
            <w:tcW w:w="1077" w:type="dxa"/>
            <w:shd w:val="clear" w:color="auto" w:fill="auto"/>
            <w:noWrap/>
            <w:hideMark/>
          </w:tcPr>
          <w:p w14:paraId="6DB0F1AC" w14:textId="77777777" w:rsidR="00641555" w:rsidRPr="00A33264" w:rsidRDefault="00641555" w:rsidP="005A19CA">
            <w:pPr>
              <w:pStyle w:val="TableBody"/>
              <w:jc w:val="right"/>
              <w:cnfStyle w:val="000000100000" w:firstRow="0" w:lastRow="0" w:firstColumn="0" w:lastColumn="0" w:oddVBand="0" w:evenVBand="0" w:oddHBand="1" w:evenHBand="0" w:firstRowFirstColumn="0" w:firstRowLastColumn="0" w:lastRowFirstColumn="0" w:lastRowLastColumn="0"/>
              <w:rPr>
                <w:lang w:val="en-GB"/>
              </w:rPr>
            </w:pPr>
            <w:r w:rsidRPr="00A33264">
              <w:rPr>
                <w:lang w:val="en-GB"/>
              </w:rPr>
              <w:t>1.1%</w:t>
            </w:r>
          </w:p>
        </w:tc>
        <w:tc>
          <w:tcPr>
            <w:tcW w:w="1077" w:type="dxa"/>
            <w:shd w:val="clear" w:color="auto" w:fill="auto"/>
            <w:noWrap/>
            <w:hideMark/>
          </w:tcPr>
          <w:p w14:paraId="38343D22" w14:textId="77777777" w:rsidR="00641555" w:rsidRPr="00A33264" w:rsidRDefault="00641555" w:rsidP="005A19CA">
            <w:pPr>
              <w:pStyle w:val="TableBody"/>
              <w:jc w:val="right"/>
              <w:cnfStyle w:val="000000100000" w:firstRow="0" w:lastRow="0" w:firstColumn="0" w:lastColumn="0" w:oddVBand="0" w:evenVBand="0" w:oddHBand="1" w:evenHBand="0" w:firstRowFirstColumn="0" w:firstRowLastColumn="0" w:lastRowFirstColumn="0" w:lastRowLastColumn="0"/>
              <w:rPr>
                <w:lang w:val="en-GB"/>
              </w:rPr>
            </w:pPr>
            <w:r w:rsidRPr="00A33264">
              <w:rPr>
                <w:lang w:val="en-GB"/>
              </w:rPr>
              <w:t>0.0%</w:t>
            </w:r>
          </w:p>
        </w:tc>
        <w:tc>
          <w:tcPr>
            <w:tcW w:w="1077" w:type="dxa"/>
            <w:shd w:val="clear" w:color="auto" w:fill="auto"/>
            <w:noWrap/>
            <w:hideMark/>
          </w:tcPr>
          <w:p w14:paraId="471A1FB0" w14:textId="77777777" w:rsidR="00641555" w:rsidRPr="00A33264" w:rsidRDefault="00641555" w:rsidP="005A19CA">
            <w:pPr>
              <w:pStyle w:val="TableBody"/>
              <w:jc w:val="right"/>
              <w:cnfStyle w:val="000000100000" w:firstRow="0" w:lastRow="0" w:firstColumn="0" w:lastColumn="0" w:oddVBand="0" w:evenVBand="0" w:oddHBand="1" w:evenHBand="0" w:firstRowFirstColumn="0" w:firstRowLastColumn="0" w:lastRowFirstColumn="0" w:lastRowLastColumn="0"/>
              <w:rPr>
                <w:lang w:val="en-GB"/>
              </w:rPr>
            </w:pPr>
            <w:r w:rsidRPr="00A33264">
              <w:rPr>
                <w:lang w:val="en-GB"/>
              </w:rPr>
              <w:t>-1.8%</w:t>
            </w:r>
          </w:p>
        </w:tc>
        <w:tc>
          <w:tcPr>
            <w:tcW w:w="1077" w:type="dxa"/>
            <w:shd w:val="clear" w:color="auto" w:fill="auto"/>
            <w:noWrap/>
            <w:hideMark/>
          </w:tcPr>
          <w:p w14:paraId="503E70B6" w14:textId="77777777" w:rsidR="00641555" w:rsidRPr="00A33264" w:rsidRDefault="00641555" w:rsidP="005A19CA">
            <w:pPr>
              <w:pStyle w:val="TableBody"/>
              <w:jc w:val="right"/>
              <w:cnfStyle w:val="000000100000" w:firstRow="0" w:lastRow="0" w:firstColumn="0" w:lastColumn="0" w:oddVBand="0" w:evenVBand="0" w:oddHBand="1" w:evenHBand="0" w:firstRowFirstColumn="0" w:firstRowLastColumn="0" w:lastRowFirstColumn="0" w:lastRowLastColumn="0"/>
              <w:rPr>
                <w:lang w:val="en-GB"/>
              </w:rPr>
            </w:pPr>
            <w:r w:rsidRPr="00A33264">
              <w:rPr>
                <w:lang w:val="en-GB"/>
              </w:rPr>
              <w:t>-3.0%</w:t>
            </w:r>
          </w:p>
        </w:tc>
        <w:tc>
          <w:tcPr>
            <w:tcW w:w="1077" w:type="dxa"/>
            <w:shd w:val="clear" w:color="auto" w:fill="auto"/>
            <w:hideMark/>
          </w:tcPr>
          <w:p w14:paraId="0676E4CA" w14:textId="77777777" w:rsidR="00641555" w:rsidRPr="00A33264" w:rsidRDefault="00641555" w:rsidP="005A19CA">
            <w:pPr>
              <w:pStyle w:val="TableBody"/>
              <w:jc w:val="right"/>
              <w:cnfStyle w:val="000000100000" w:firstRow="0" w:lastRow="0" w:firstColumn="0" w:lastColumn="0" w:oddVBand="0" w:evenVBand="0" w:oddHBand="1" w:evenHBand="0" w:firstRowFirstColumn="0" w:firstRowLastColumn="0" w:lastRowFirstColumn="0" w:lastRowLastColumn="0"/>
              <w:rPr>
                <w:lang w:val="en-GB"/>
              </w:rPr>
            </w:pPr>
            <w:r w:rsidRPr="00A33264">
              <w:rPr>
                <w:lang w:val="en-GB"/>
              </w:rPr>
              <w:t>-1.1%</w:t>
            </w:r>
          </w:p>
        </w:tc>
      </w:tr>
    </w:tbl>
    <w:p w14:paraId="3BCDD02C" w14:textId="3C30EDB1" w:rsidR="00D76E73" w:rsidRDefault="00AF2B54" w:rsidP="00B27FA1">
      <w:pPr>
        <w:pStyle w:val="Tablenote"/>
      </w:pPr>
      <w:r>
        <w:t>N</w:t>
      </w:r>
      <w:r w:rsidR="00D76E73">
        <w:t xml:space="preserve">ote: </w:t>
      </w:r>
      <w:r w:rsidR="00D76E73" w:rsidRPr="00D76E73">
        <w:t>Values have been rounded to the nearest whole number; differences are calculated from unrounded metrics.</w:t>
      </w:r>
    </w:p>
    <w:p w14:paraId="4F864F59" w14:textId="25581C9F" w:rsidR="004B375F" w:rsidRPr="00A33264" w:rsidRDefault="004B375F" w:rsidP="004B375F">
      <w:pPr>
        <w:rPr>
          <w:lang w:val="en-GB"/>
        </w:rPr>
      </w:pPr>
      <w:r w:rsidRPr="00A33264">
        <w:rPr>
          <w:lang w:val="en-GB"/>
        </w:rPr>
        <w:t xml:space="preserve">Table </w:t>
      </w:r>
      <w:r w:rsidR="00A27A9C">
        <w:rPr>
          <w:lang w:val="en-GB"/>
        </w:rPr>
        <w:t>2</w:t>
      </w:r>
      <w:r w:rsidRPr="00A33264">
        <w:rPr>
          <w:lang w:val="en-GB"/>
        </w:rPr>
        <w:t xml:space="preserve"> shows the changes in the projected </w:t>
      </w:r>
      <w:r w:rsidR="009D4600">
        <w:rPr>
          <w:lang w:val="en-GB"/>
        </w:rPr>
        <w:t>Scheme</w:t>
      </w:r>
      <w:r w:rsidR="00880C4D" w:rsidRPr="00A33264">
        <w:rPr>
          <w:lang w:val="en-GB"/>
        </w:rPr>
        <w:t xml:space="preserve"> </w:t>
      </w:r>
      <w:r w:rsidRPr="00A33264">
        <w:rPr>
          <w:lang w:val="en-GB"/>
        </w:rPr>
        <w:t>expenses since the previous review</w:t>
      </w:r>
      <w:r w:rsidR="00AF2B54">
        <w:rPr>
          <w:lang w:val="en-GB"/>
        </w:rPr>
        <w:t>.</w:t>
      </w:r>
      <w:r w:rsidRPr="00A33264">
        <w:rPr>
          <w:lang w:val="en-GB"/>
        </w:rPr>
        <w:t xml:space="preserve"> </w:t>
      </w:r>
      <w:r w:rsidR="00AF2B54">
        <w:rPr>
          <w:lang w:val="en-GB"/>
        </w:rPr>
        <w:t xml:space="preserve">Changes are </w:t>
      </w:r>
      <w:r w:rsidRPr="00A33264">
        <w:rPr>
          <w:lang w:val="en-GB"/>
        </w:rPr>
        <w:t xml:space="preserve">due to impacts related to participant numbers and participant mix, impacts related to changes in payments per participant, and the allowance made for </w:t>
      </w:r>
      <w:r w:rsidR="00966323">
        <w:rPr>
          <w:lang w:val="en-GB"/>
        </w:rPr>
        <w:t xml:space="preserve">Recent and </w:t>
      </w:r>
      <w:r w:rsidRPr="00A33264">
        <w:rPr>
          <w:lang w:val="en-GB"/>
        </w:rPr>
        <w:t>Proposed Reforms.</w:t>
      </w:r>
    </w:p>
    <w:p w14:paraId="005E0EA0" w14:textId="00E22C8F" w:rsidR="00966323" w:rsidRDefault="00966323" w:rsidP="004B375F">
      <w:pPr>
        <w:rPr>
          <w:lang w:val="en-GB"/>
        </w:rPr>
      </w:pPr>
      <w:r w:rsidRPr="00966323">
        <w:rPr>
          <w:lang w:val="en-GB"/>
        </w:rPr>
        <w:t>Updates for participant and payment</w:t>
      </w:r>
      <w:r w:rsidR="009B1C5B">
        <w:rPr>
          <w:lang w:val="en-GB"/>
        </w:rPr>
        <w:t>-</w:t>
      </w:r>
      <w:r w:rsidRPr="00966323">
        <w:rPr>
          <w:lang w:val="en-GB"/>
        </w:rPr>
        <w:t>related impacts, before Recent and Proposed Reforms</w:t>
      </w:r>
      <w:r w:rsidR="00D26F9A">
        <w:rPr>
          <w:lang w:val="en-GB"/>
        </w:rPr>
        <w:t>,</w:t>
      </w:r>
      <w:r w:rsidRPr="00966323">
        <w:rPr>
          <w:lang w:val="en-GB"/>
        </w:rPr>
        <w:t xml:space="preserve"> have increased projected </w:t>
      </w:r>
      <w:r w:rsidR="009D4600">
        <w:rPr>
          <w:lang w:val="en-GB"/>
        </w:rPr>
        <w:t>Scheme</w:t>
      </w:r>
      <w:r w:rsidRPr="00966323">
        <w:rPr>
          <w:lang w:val="en-GB"/>
        </w:rPr>
        <w:t xml:space="preserve"> expenses by $16.9 billion (8.0%) for the </w:t>
      </w:r>
      <w:r w:rsidR="00AF2B54">
        <w:rPr>
          <w:lang w:val="en-GB"/>
        </w:rPr>
        <w:t>4</w:t>
      </w:r>
      <w:r w:rsidR="00AF2B54" w:rsidRPr="00966323">
        <w:rPr>
          <w:lang w:val="en-GB"/>
        </w:rPr>
        <w:t xml:space="preserve"> </w:t>
      </w:r>
      <w:r w:rsidRPr="00966323">
        <w:rPr>
          <w:lang w:val="en-GB"/>
        </w:rPr>
        <w:t>years to 30 June 2028. Of this, changes due to payment</w:t>
      </w:r>
      <w:r w:rsidR="00E903C1">
        <w:rPr>
          <w:lang w:val="en-GB"/>
        </w:rPr>
        <w:t>-</w:t>
      </w:r>
      <w:r w:rsidRPr="00966323">
        <w:rPr>
          <w:lang w:val="en-GB"/>
        </w:rPr>
        <w:t xml:space="preserve">related impacts account for $16.0 billion of the total $16.9 billion increase in projected </w:t>
      </w:r>
      <w:r w:rsidR="001F2C42">
        <w:rPr>
          <w:lang w:val="en-GB"/>
        </w:rPr>
        <w:t>Scheme</w:t>
      </w:r>
      <w:r w:rsidRPr="00966323">
        <w:rPr>
          <w:lang w:val="en-GB"/>
        </w:rPr>
        <w:t xml:space="preserve"> expenses for the </w:t>
      </w:r>
      <w:r w:rsidR="00AF2B54">
        <w:rPr>
          <w:lang w:val="en-GB"/>
        </w:rPr>
        <w:t>4</w:t>
      </w:r>
      <w:r w:rsidR="00D26F9A">
        <w:rPr>
          <w:lang w:val="en-GB"/>
        </w:rPr>
        <w:t xml:space="preserve"> </w:t>
      </w:r>
      <w:r w:rsidRPr="00966323">
        <w:rPr>
          <w:lang w:val="en-GB"/>
        </w:rPr>
        <w:t>years to 30 June 2028, with participant</w:t>
      </w:r>
      <w:r w:rsidR="00A451EB">
        <w:rPr>
          <w:lang w:val="en-GB"/>
        </w:rPr>
        <w:t>-</w:t>
      </w:r>
      <w:r w:rsidRPr="00966323">
        <w:rPr>
          <w:lang w:val="en-GB"/>
        </w:rPr>
        <w:t>related impacts accounting for the remaining $0.9 billion.</w:t>
      </w:r>
    </w:p>
    <w:p w14:paraId="232AA908" w14:textId="36A35BB8" w:rsidR="004B52CB" w:rsidRDefault="00C27C63" w:rsidP="004B375F">
      <w:pPr>
        <w:rPr>
          <w:u w:val="single"/>
          <w:lang w:val="en-GB"/>
        </w:rPr>
      </w:pPr>
      <w:r>
        <w:rPr>
          <w:lang w:val="en-GB"/>
        </w:rPr>
        <w:t xml:space="preserve">Recent and </w:t>
      </w:r>
      <w:r w:rsidR="004B375F" w:rsidRPr="00A33264">
        <w:rPr>
          <w:lang w:val="en-GB"/>
        </w:rPr>
        <w:t xml:space="preserve">Proposed Reforms are expected to stabilise the growth in </w:t>
      </w:r>
      <w:r w:rsidR="001F2C42">
        <w:rPr>
          <w:lang w:val="en-GB"/>
        </w:rPr>
        <w:t>Scheme</w:t>
      </w:r>
      <w:r w:rsidR="00880C4D" w:rsidRPr="00A33264">
        <w:rPr>
          <w:lang w:val="en-GB"/>
        </w:rPr>
        <w:t xml:space="preserve"> </w:t>
      </w:r>
      <w:r w:rsidR="004B375F" w:rsidRPr="00A33264">
        <w:rPr>
          <w:lang w:val="en-GB"/>
        </w:rPr>
        <w:t>expenses, with the program of work mostly targeted at reducing additional growth in participant plans beyond price</w:t>
      </w:r>
      <w:r w:rsidR="00AF2B54">
        <w:rPr>
          <w:lang w:val="en-GB"/>
        </w:rPr>
        <w:t>-</w:t>
      </w:r>
      <w:r w:rsidR="004B375F" w:rsidRPr="00A33264">
        <w:rPr>
          <w:lang w:val="en-GB"/>
        </w:rPr>
        <w:t>related indexation of plans and increases in participant plans due to changes in circumstances.</w:t>
      </w:r>
      <w:r w:rsidR="00850FCB" w:rsidRPr="00A33264">
        <w:rPr>
          <w:rStyle w:val="FootnoteReference"/>
          <w:rFonts w:cs="Arial"/>
          <w:lang w:val="en-GB"/>
        </w:rPr>
        <w:footnoteReference w:id="10"/>
      </w:r>
      <w:r w:rsidR="004B375F" w:rsidRPr="00A33264">
        <w:rPr>
          <w:lang w:val="en-GB"/>
        </w:rPr>
        <w:t xml:space="preserve"> These </w:t>
      </w:r>
      <w:r w:rsidR="00966323">
        <w:rPr>
          <w:lang w:val="en-GB"/>
        </w:rPr>
        <w:t>r</w:t>
      </w:r>
      <w:r w:rsidR="004B375F" w:rsidRPr="00A33264">
        <w:rPr>
          <w:lang w:val="en-GB"/>
        </w:rPr>
        <w:t xml:space="preserve">eforms are expected to reduce projected </w:t>
      </w:r>
      <w:r w:rsidR="00255AAB">
        <w:rPr>
          <w:lang w:val="en-GB"/>
        </w:rPr>
        <w:t>Scheme</w:t>
      </w:r>
      <w:r w:rsidR="00880C4D" w:rsidRPr="00A33264">
        <w:rPr>
          <w:lang w:val="en-GB"/>
        </w:rPr>
        <w:t xml:space="preserve"> </w:t>
      </w:r>
      <w:r w:rsidR="004B375F" w:rsidRPr="00A33264">
        <w:rPr>
          <w:lang w:val="en-GB"/>
        </w:rPr>
        <w:t xml:space="preserve">expenses by $19.3 billion over the </w:t>
      </w:r>
      <w:r w:rsidR="00A50D1B">
        <w:rPr>
          <w:lang w:val="en-GB"/>
        </w:rPr>
        <w:t>4</w:t>
      </w:r>
      <w:r w:rsidR="004B375F" w:rsidRPr="00A33264">
        <w:rPr>
          <w:lang w:val="en-GB"/>
        </w:rPr>
        <w:t xml:space="preserve"> years to 30 June 2028.</w:t>
      </w:r>
      <w:r w:rsidR="004B52CB">
        <w:rPr>
          <w:u w:val="single"/>
          <w:lang w:val="en-GB"/>
        </w:rPr>
        <w:br w:type="page"/>
      </w:r>
    </w:p>
    <w:p w14:paraId="379FE6FD" w14:textId="70FC8942" w:rsidR="004B375F" w:rsidRPr="00A33264" w:rsidRDefault="004B375F" w:rsidP="004B375F">
      <w:pPr>
        <w:rPr>
          <w:u w:val="single"/>
          <w:lang w:val="en-GB"/>
        </w:rPr>
      </w:pPr>
      <w:r w:rsidRPr="00A33264">
        <w:rPr>
          <w:u w:val="single"/>
          <w:lang w:val="en-GB"/>
        </w:rPr>
        <w:lastRenderedPageBreak/>
        <w:t xml:space="preserve">Table </w:t>
      </w:r>
      <w:r w:rsidR="00A27A9C">
        <w:rPr>
          <w:u w:val="single"/>
          <w:lang w:val="en-GB"/>
        </w:rPr>
        <w:t>2</w:t>
      </w:r>
      <w:r w:rsidRPr="00A33264">
        <w:rPr>
          <w:u w:val="single"/>
          <w:lang w:val="en-GB"/>
        </w:rPr>
        <w:t>: Movement</w:t>
      </w:r>
      <w:r w:rsidR="00966323">
        <w:rPr>
          <w:u w:val="single"/>
          <w:lang w:val="en-GB"/>
        </w:rPr>
        <w:t>s</w:t>
      </w:r>
      <w:r w:rsidRPr="00A33264">
        <w:rPr>
          <w:u w:val="single"/>
          <w:lang w:val="en-GB"/>
        </w:rPr>
        <w:t xml:space="preserve"> in projected </w:t>
      </w:r>
      <w:r w:rsidR="0096681C">
        <w:rPr>
          <w:u w:val="single"/>
          <w:lang w:val="en-GB"/>
        </w:rPr>
        <w:t>Scheme</w:t>
      </w:r>
      <w:r w:rsidRPr="00A33264">
        <w:rPr>
          <w:u w:val="single"/>
          <w:lang w:val="en-GB"/>
        </w:rPr>
        <w:t xml:space="preserve"> expenses since previous review</w:t>
      </w:r>
    </w:p>
    <w:tbl>
      <w:tblPr>
        <w:tblStyle w:val="GridTable4-Accent1"/>
        <w:tblW w:w="9067" w:type="dxa"/>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CellMar>
          <w:top w:w="28" w:type="dxa"/>
          <w:left w:w="28" w:type="dxa"/>
          <w:bottom w:w="28" w:type="dxa"/>
          <w:right w:w="28" w:type="dxa"/>
        </w:tblCellMar>
        <w:tblLook w:val="04A0" w:firstRow="1" w:lastRow="0" w:firstColumn="1" w:lastColumn="0" w:noHBand="0" w:noVBand="1"/>
      </w:tblPr>
      <w:tblGrid>
        <w:gridCol w:w="3397"/>
        <w:gridCol w:w="1134"/>
        <w:gridCol w:w="1134"/>
        <w:gridCol w:w="1134"/>
        <w:gridCol w:w="1134"/>
        <w:gridCol w:w="1134"/>
      </w:tblGrid>
      <w:tr w:rsidR="004B375F" w:rsidRPr="00A33264" w14:paraId="142EACA6" w14:textId="77777777" w:rsidTr="005A19CA">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F9F9F9" w:themeColor="background1"/>
            </w:tcBorders>
            <w:vAlign w:val="center"/>
          </w:tcPr>
          <w:p w14:paraId="0C6BC35C" w14:textId="68919899" w:rsidR="004B375F" w:rsidRPr="00A33264" w:rsidRDefault="0096681C" w:rsidP="004B375F">
            <w:pPr>
              <w:rPr>
                <w:bCs w:val="0"/>
                <w:lang w:val="en-GB"/>
              </w:rPr>
            </w:pPr>
            <w:bookmarkStart w:id="267" w:name="Title_Table2"/>
            <w:bookmarkEnd w:id="267"/>
            <w:r>
              <w:rPr>
                <w:szCs w:val="21"/>
                <w:lang w:val="en-GB" w:eastAsia="en-AU"/>
              </w:rPr>
              <w:t>Scheme</w:t>
            </w:r>
            <w:r w:rsidR="00880C4D" w:rsidRPr="00A33264">
              <w:rPr>
                <w:szCs w:val="21"/>
                <w:lang w:val="en-GB" w:eastAsia="en-AU"/>
              </w:rPr>
              <w:t xml:space="preserve"> </w:t>
            </w:r>
            <w:r w:rsidR="00AF2B54">
              <w:rPr>
                <w:szCs w:val="21"/>
                <w:lang w:val="en-GB" w:eastAsia="en-AU"/>
              </w:rPr>
              <w:t>e</w:t>
            </w:r>
            <w:r w:rsidR="004B375F" w:rsidRPr="00A33264">
              <w:rPr>
                <w:szCs w:val="21"/>
                <w:lang w:val="en-GB" w:eastAsia="en-AU"/>
              </w:rPr>
              <w:t>xpenses (accrual basis)</w:t>
            </w:r>
          </w:p>
        </w:tc>
        <w:tc>
          <w:tcPr>
            <w:tcW w:w="1134" w:type="dxa"/>
            <w:tcBorders>
              <w:left w:val="single" w:sz="4" w:space="0" w:color="F9F9F9" w:themeColor="background1"/>
              <w:right w:val="single" w:sz="4" w:space="0" w:color="F9F9F9" w:themeColor="background1"/>
            </w:tcBorders>
            <w:vAlign w:val="center"/>
          </w:tcPr>
          <w:p w14:paraId="522F05B5" w14:textId="658DFA01" w:rsidR="004B375F" w:rsidRPr="00A33264" w:rsidRDefault="004B375F" w:rsidP="005A19CA">
            <w:pPr>
              <w:pStyle w:val="TableBody"/>
              <w:jc w:val="right"/>
              <w:cnfStyle w:val="100000000000" w:firstRow="1" w:lastRow="0" w:firstColumn="0" w:lastColumn="0" w:oddVBand="0" w:evenVBand="0" w:oddHBand="0" w:evenHBand="0" w:firstRowFirstColumn="0" w:firstRowLastColumn="0" w:lastRowFirstColumn="0" w:lastRowLastColumn="0"/>
              <w:rPr>
                <w:lang w:val="en-GB"/>
              </w:rPr>
            </w:pPr>
            <w:r w:rsidRPr="00A33264">
              <w:rPr>
                <w:rFonts w:eastAsia="Times New Roman"/>
                <w:szCs w:val="21"/>
                <w:lang w:val="en-GB" w:eastAsia="en-AU"/>
              </w:rPr>
              <w:t>2024</w:t>
            </w:r>
            <w:r w:rsidR="005A19CA">
              <w:rPr>
                <w:lang w:val="en-GB"/>
              </w:rPr>
              <w:t>–</w:t>
            </w:r>
            <w:r w:rsidRPr="00A33264">
              <w:rPr>
                <w:rFonts w:eastAsia="Times New Roman"/>
                <w:szCs w:val="21"/>
                <w:lang w:val="en-GB" w:eastAsia="en-AU"/>
              </w:rPr>
              <w:t>25</w:t>
            </w:r>
            <w:r w:rsidR="00AF2B54">
              <w:rPr>
                <w:rFonts w:eastAsia="Times New Roman"/>
                <w:szCs w:val="21"/>
                <w:lang w:val="en-GB" w:eastAsia="en-AU"/>
              </w:rPr>
              <w:t xml:space="preserve"> </w:t>
            </w:r>
            <w:r w:rsidR="00AF2B54" w:rsidRPr="00A33264">
              <w:rPr>
                <w:szCs w:val="21"/>
                <w:lang w:val="en-GB" w:eastAsia="en-AU"/>
              </w:rPr>
              <w:t>($m)</w:t>
            </w:r>
          </w:p>
        </w:tc>
        <w:tc>
          <w:tcPr>
            <w:tcW w:w="1134" w:type="dxa"/>
            <w:tcBorders>
              <w:left w:val="single" w:sz="4" w:space="0" w:color="F9F9F9" w:themeColor="background1"/>
              <w:right w:val="single" w:sz="4" w:space="0" w:color="F9F9F9" w:themeColor="background1"/>
            </w:tcBorders>
            <w:noWrap/>
            <w:vAlign w:val="center"/>
          </w:tcPr>
          <w:p w14:paraId="70FAD096" w14:textId="397C2D1F" w:rsidR="004B375F" w:rsidRPr="00A33264" w:rsidRDefault="004B375F" w:rsidP="005A19CA">
            <w:pPr>
              <w:pStyle w:val="TableBody"/>
              <w:jc w:val="right"/>
              <w:cnfStyle w:val="100000000000" w:firstRow="1" w:lastRow="0" w:firstColumn="0" w:lastColumn="0" w:oddVBand="0" w:evenVBand="0" w:oddHBand="0" w:evenHBand="0" w:firstRowFirstColumn="0" w:firstRowLastColumn="0" w:lastRowFirstColumn="0" w:lastRowLastColumn="0"/>
              <w:rPr>
                <w:lang w:val="en-GB"/>
              </w:rPr>
            </w:pPr>
            <w:r w:rsidRPr="00A33264">
              <w:rPr>
                <w:rFonts w:eastAsia="Times New Roman"/>
                <w:szCs w:val="21"/>
                <w:lang w:val="en-GB" w:eastAsia="en-AU"/>
              </w:rPr>
              <w:t>2025</w:t>
            </w:r>
            <w:r w:rsidR="005A19CA">
              <w:rPr>
                <w:lang w:val="en-GB"/>
              </w:rPr>
              <w:t>–</w:t>
            </w:r>
            <w:r w:rsidRPr="00A33264">
              <w:rPr>
                <w:rFonts w:eastAsia="Times New Roman"/>
                <w:szCs w:val="21"/>
                <w:lang w:val="en-GB" w:eastAsia="en-AU"/>
              </w:rPr>
              <w:t>26</w:t>
            </w:r>
            <w:r w:rsidR="00AF2B54">
              <w:rPr>
                <w:rFonts w:eastAsia="Times New Roman"/>
                <w:szCs w:val="21"/>
                <w:lang w:val="en-GB" w:eastAsia="en-AU"/>
              </w:rPr>
              <w:t xml:space="preserve"> </w:t>
            </w:r>
            <w:r w:rsidR="00AF2B54" w:rsidRPr="00A33264">
              <w:rPr>
                <w:szCs w:val="21"/>
                <w:lang w:val="en-GB" w:eastAsia="en-AU"/>
              </w:rPr>
              <w:t>($m)</w:t>
            </w:r>
          </w:p>
        </w:tc>
        <w:tc>
          <w:tcPr>
            <w:tcW w:w="1134" w:type="dxa"/>
            <w:tcBorders>
              <w:left w:val="single" w:sz="4" w:space="0" w:color="F9F9F9" w:themeColor="background1"/>
              <w:right w:val="single" w:sz="4" w:space="0" w:color="F9F9F9" w:themeColor="background1"/>
            </w:tcBorders>
            <w:noWrap/>
            <w:vAlign w:val="center"/>
          </w:tcPr>
          <w:p w14:paraId="6120F08B" w14:textId="2CBAECD6" w:rsidR="004B375F" w:rsidRPr="00A33264" w:rsidRDefault="004B375F" w:rsidP="005A19CA">
            <w:pPr>
              <w:pStyle w:val="TableBody"/>
              <w:jc w:val="right"/>
              <w:cnfStyle w:val="100000000000" w:firstRow="1" w:lastRow="0" w:firstColumn="0" w:lastColumn="0" w:oddVBand="0" w:evenVBand="0" w:oddHBand="0" w:evenHBand="0" w:firstRowFirstColumn="0" w:firstRowLastColumn="0" w:lastRowFirstColumn="0" w:lastRowLastColumn="0"/>
              <w:rPr>
                <w:lang w:val="en-GB"/>
              </w:rPr>
            </w:pPr>
            <w:r w:rsidRPr="00A33264">
              <w:rPr>
                <w:rFonts w:eastAsia="Times New Roman"/>
                <w:szCs w:val="21"/>
                <w:lang w:val="en-GB" w:eastAsia="en-AU"/>
              </w:rPr>
              <w:t>2026</w:t>
            </w:r>
            <w:r w:rsidR="005A19CA">
              <w:rPr>
                <w:lang w:val="en-GB"/>
              </w:rPr>
              <w:t>–</w:t>
            </w:r>
            <w:r w:rsidRPr="00A33264">
              <w:rPr>
                <w:rFonts w:eastAsia="Times New Roman"/>
                <w:szCs w:val="21"/>
                <w:lang w:val="en-GB" w:eastAsia="en-AU"/>
              </w:rPr>
              <w:t>27</w:t>
            </w:r>
            <w:r w:rsidR="00AF2B54">
              <w:rPr>
                <w:rFonts w:eastAsia="Times New Roman"/>
                <w:szCs w:val="21"/>
                <w:lang w:val="en-GB" w:eastAsia="en-AU"/>
              </w:rPr>
              <w:t xml:space="preserve"> </w:t>
            </w:r>
            <w:r w:rsidR="00AF2B54" w:rsidRPr="00A33264">
              <w:rPr>
                <w:szCs w:val="21"/>
                <w:lang w:val="en-GB" w:eastAsia="en-AU"/>
              </w:rPr>
              <w:t>($m)</w:t>
            </w:r>
          </w:p>
        </w:tc>
        <w:tc>
          <w:tcPr>
            <w:tcW w:w="1134" w:type="dxa"/>
            <w:tcBorders>
              <w:left w:val="single" w:sz="4" w:space="0" w:color="F9F9F9" w:themeColor="background1"/>
              <w:right w:val="single" w:sz="4" w:space="0" w:color="F9F9F9" w:themeColor="background1"/>
            </w:tcBorders>
            <w:noWrap/>
            <w:vAlign w:val="center"/>
          </w:tcPr>
          <w:p w14:paraId="47B8ED9F" w14:textId="596E2678" w:rsidR="004B375F" w:rsidRPr="00A33264" w:rsidRDefault="004B375F" w:rsidP="005A19CA">
            <w:pPr>
              <w:pStyle w:val="TableBody"/>
              <w:jc w:val="right"/>
              <w:cnfStyle w:val="100000000000" w:firstRow="1" w:lastRow="0" w:firstColumn="0" w:lastColumn="0" w:oddVBand="0" w:evenVBand="0" w:oddHBand="0" w:evenHBand="0" w:firstRowFirstColumn="0" w:firstRowLastColumn="0" w:lastRowFirstColumn="0" w:lastRowLastColumn="0"/>
              <w:rPr>
                <w:lang w:val="en-GB"/>
              </w:rPr>
            </w:pPr>
            <w:r w:rsidRPr="00A33264">
              <w:rPr>
                <w:rFonts w:eastAsia="Times New Roman"/>
                <w:szCs w:val="21"/>
                <w:lang w:val="en-GB" w:eastAsia="en-AU"/>
              </w:rPr>
              <w:t>2027</w:t>
            </w:r>
            <w:r w:rsidR="005A19CA">
              <w:rPr>
                <w:lang w:val="en-GB"/>
              </w:rPr>
              <w:t>–</w:t>
            </w:r>
            <w:r w:rsidRPr="00A33264">
              <w:rPr>
                <w:rFonts w:eastAsia="Times New Roman"/>
                <w:szCs w:val="21"/>
                <w:lang w:val="en-GB" w:eastAsia="en-AU"/>
              </w:rPr>
              <w:t>28</w:t>
            </w:r>
            <w:r w:rsidR="00AF2B54">
              <w:rPr>
                <w:rFonts w:eastAsia="Times New Roman"/>
                <w:szCs w:val="21"/>
                <w:lang w:val="en-GB" w:eastAsia="en-AU"/>
              </w:rPr>
              <w:t xml:space="preserve"> </w:t>
            </w:r>
            <w:r w:rsidR="00AF2B54" w:rsidRPr="00A33264">
              <w:rPr>
                <w:szCs w:val="21"/>
                <w:lang w:val="en-GB" w:eastAsia="en-AU"/>
              </w:rPr>
              <w:t>($m)</w:t>
            </w:r>
          </w:p>
        </w:tc>
        <w:tc>
          <w:tcPr>
            <w:tcW w:w="1134" w:type="dxa"/>
            <w:tcBorders>
              <w:left w:val="single" w:sz="4" w:space="0" w:color="F9F9F9" w:themeColor="background1"/>
            </w:tcBorders>
            <w:noWrap/>
            <w:vAlign w:val="center"/>
          </w:tcPr>
          <w:p w14:paraId="1C80C089" w14:textId="59A654AA" w:rsidR="004B375F" w:rsidRPr="00A33264" w:rsidRDefault="004B375F" w:rsidP="005A19CA">
            <w:pPr>
              <w:pStyle w:val="TableBody"/>
              <w:jc w:val="right"/>
              <w:cnfStyle w:val="100000000000" w:firstRow="1" w:lastRow="0" w:firstColumn="0" w:lastColumn="0" w:oddVBand="0" w:evenVBand="0" w:oddHBand="0" w:evenHBand="0" w:firstRowFirstColumn="0" w:firstRowLastColumn="0" w:lastRowFirstColumn="0" w:lastRowLastColumn="0"/>
              <w:rPr>
                <w:lang w:val="en-GB"/>
              </w:rPr>
            </w:pPr>
            <w:r w:rsidRPr="00A33264">
              <w:rPr>
                <w:rFonts w:eastAsia="Times New Roman"/>
                <w:szCs w:val="21"/>
                <w:lang w:val="en-GB" w:eastAsia="en-AU"/>
              </w:rPr>
              <w:t>Total 2024</w:t>
            </w:r>
            <w:r w:rsidR="005A19CA">
              <w:rPr>
                <w:lang w:val="en-GB"/>
              </w:rPr>
              <w:t>–</w:t>
            </w:r>
            <w:r w:rsidRPr="00A33264">
              <w:rPr>
                <w:rFonts w:eastAsia="Times New Roman"/>
                <w:szCs w:val="21"/>
                <w:lang w:val="en-GB" w:eastAsia="en-AU"/>
              </w:rPr>
              <w:t>28</w:t>
            </w:r>
            <w:r w:rsidR="00AF2B54">
              <w:rPr>
                <w:rFonts w:eastAsia="Times New Roman"/>
                <w:szCs w:val="21"/>
                <w:lang w:val="en-GB" w:eastAsia="en-AU"/>
              </w:rPr>
              <w:t xml:space="preserve"> </w:t>
            </w:r>
            <w:r w:rsidR="00AF2B54" w:rsidRPr="00A33264">
              <w:rPr>
                <w:szCs w:val="21"/>
                <w:lang w:val="en-GB" w:eastAsia="en-AU"/>
              </w:rPr>
              <w:t>($m)</w:t>
            </w:r>
          </w:p>
        </w:tc>
      </w:tr>
      <w:tr w:rsidR="004B375F" w:rsidRPr="00A33264" w14:paraId="7E364782" w14:textId="77777777" w:rsidTr="00C27C6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397" w:type="dxa"/>
            <w:shd w:val="clear" w:color="auto" w:fill="ECD4F0"/>
            <w:vAlign w:val="center"/>
          </w:tcPr>
          <w:p w14:paraId="2E78F3D9" w14:textId="10633C66" w:rsidR="004B375F" w:rsidRPr="00A33264" w:rsidRDefault="004B375F" w:rsidP="004B375F">
            <w:pPr>
              <w:pStyle w:val="TableBody"/>
              <w:rPr>
                <w:lang w:val="en-GB"/>
              </w:rPr>
            </w:pPr>
            <w:r w:rsidRPr="00A33264">
              <w:rPr>
                <w:rFonts w:eastAsia="Times New Roman"/>
                <w:color w:val="000000"/>
                <w:szCs w:val="21"/>
                <w:lang w:val="en-GB" w:eastAsia="en-AU"/>
              </w:rPr>
              <w:t>June 2023 projections</w:t>
            </w:r>
          </w:p>
        </w:tc>
        <w:tc>
          <w:tcPr>
            <w:tcW w:w="1134" w:type="dxa"/>
            <w:shd w:val="clear" w:color="auto" w:fill="ECD4F0"/>
            <w:noWrap/>
            <w:vAlign w:val="center"/>
          </w:tcPr>
          <w:p w14:paraId="5DA20C2F" w14:textId="5ED6B5A3" w:rsidR="004B375F" w:rsidRPr="00C27C63" w:rsidRDefault="004B375F" w:rsidP="005A19CA">
            <w:pPr>
              <w:pStyle w:val="TableBody"/>
              <w:jc w:val="right"/>
              <w:cnfStyle w:val="000000100000" w:firstRow="0" w:lastRow="0" w:firstColumn="0" w:lastColumn="0" w:oddVBand="0" w:evenVBand="0" w:oddHBand="1" w:evenHBand="0" w:firstRowFirstColumn="0" w:firstRowLastColumn="0" w:lastRowFirstColumn="0" w:lastRowLastColumn="0"/>
              <w:rPr>
                <w:b/>
                <w:bCs/>
                <w:lang w:val="en-GB"/>
              </w:rPr>
            </w:pPr>
            <w:r w:rsidRPr="00C27C63">
              <w:rPr>
                <w:rFonts w:eastAsia="Times New Roman"/>
                <w:b/>
                <w:bCs/>
                <w:color w:val="000000"/>
                <w:szCs w:val="21"/>
                <w:lang w:val="en-GB" w:eastAsia="en-AU"/>
              </w:rPr>
              <w:t>46,376</w:t>
            </w:r>
          </w:p>
        </w:tc>
        <w:tc>
          <w:tcPr>
            <w:tcW w:w="1134" w:type="dxa"/>
            <w:shd w:val="clear" w:color="auto" w:fill="ECD4F0"/>
            <w:noWrap/>
            <w:vAlign w:val="center"/>
          </w:tcPr>
          <w:p w14:paraId="2CBA438A" w14:textId="6E03116B" w:rsidR="004B375F" w:rsidRPr="00C27C63" w:rsidRDefault="004B375F" w:rsidP="005A19CA">
            <w:pPr>
              <w:pStyle w:val="TableBody"/>
              <w:jc w:val="right"/>
              <w:cnfStyle w:val="000000100000" w:firstRow="0" w:lastRow="0" w:firstColumn="0" w:lastColumn="0" w:oddVBand="0" w:evenVBand="0" w:oddHBand="1" w:evenHBand="0" w:firstRowFirstColumn="0" w:firstRowLastColumn="0" w:lastRowFirstColumn="0" w:lastRowLastColumn="0"/>
              <w:rPr>
                <w:b/>
                <w:bCs/>
                <w:lang w:val="en-GB"/>
              </w:rPr>
            </w:pPr>
            <w:r w:rsidRPr="00C27C63">
              <w:rPr>
                <w:rFonts w:eastAsia="Times New Roman"/>
                <w:b/>
                <w:bCs/>
                <w:color w:val="000000"/>
                <w:szCs w:val="21"/>
                <w:lang w:val="en-GB" w:eastAsia="en-AU"/>
              </w:rPr>
              <w:t>50,788</w:t>
            </w:r>
          </w:p>
        </w:tc>
        <w:tc>
          <w:tcPr>
            <w:tcW w:w="1134" w:type="dxa"/>
            <w:shd w:val="clear" w:color="auto" w:fill="ECD4F0"/>
            <w:noWrap/>
            <w:vAlign w:val="center"/>
          </w:tcPr>
          <w:p w14:paraId="00BDBE28" w14:textId="06C02299" w:rsidR="004B375F" w:rsidRPr="00C27C63" w:rsidRDefault="004B375F" w:rsidP="005A19CA">
            <w:pPr>
              <w:pStyle w:val="TableBody"/>
              <w:jc w:val="right"/>
              <w:cnfStyle w:val="000000100000" w:firstRow="0" w:lastRow="0" w:firstColumn="0" w:lastColumn="0" w:oddVBand="0" w:evenVBand="0" w:oddHBand="1" w:evenHBand="0" w:firstRowFirstColumn="0" w:firstRowLastColumn="0" w:lastRowFirstColumn="0" w:lastRowLastColumn="0"/>
              <w:rPr>
                <w:b/>
                <w:bCs/>
                <w:lang w:val="en-GB"/>
              </w:rPr>
            </w:pPr>
            <w:r w:rsidRPr="00C27C63">
              <w:rPr>
                <w:rFonts w:eastAsia="Times New Roman"/>
                <w:b/>
                <w:bCs/>
                <w:color w:val="000000"/>
                <w:szCs w:val="21"/>
                <w:lang w:val="en-GB" w:eastAsia="en-AU"/>
              </w:rPr>
              <w:t>55,207</w:t>
            </w:r>
          </w:p>
        </w:tc>
        <w:tc>
          <w:tcPr>
            <w:tcW w:w="1134" w:type="dxa"/>
            <w:shd w:val="clear" w:color="auto" w:fill="ECD4F0"/>
            <w:noWrap/>
            <w:vAlign w:val="center"/>
          </w:tcPr>
          <w:p w14:paraId="0A34C0C7" w14:textId="13FBEA47" w:rsidR="004B375F" w:rsidRPr="00C27C63" w:rsidRDefault="004B375F" w:rsidP="005A19CA">
            <w:pPr>
              <w:pStyle w:val="TableBody"/>
              <w:jc w:val="right"/>
              <w:cnfStyle w:val="000000100000" w:firstRow="0" w:lastRow="0" w:firstColumn="0" w:lastColumn="0" w:oddVBand="0" w:evenVBand="0" w:oddHBand="1" w:evenHBand="0" w:firstRowFirstColumn="0" w:firstRowLastColumn="0" w:lastRowFirstColumn="0" w:lastRowLastColumn="0"/>
              <w:rPr>
                <w:b/>
                <w:bCs/>
                <w:lang w:val="en-GB"/>
              </w:rPr>
            </w:pPr>
            <w:r w:rsidRPr="00C27C63">
              <w:rPr>
                <w:rFonts w:eastAsia="Times New Roman"/>
                <w:b/>
                <w:bCs/>
                <w:color w:val="000000"/>
                <w:szCs w:val="21"/>
                <w:lang w:val="en-GB" w:eastAsia="en-AU"/>
              </w:rPr>
              <w:t>60,190</w:t>
            </w:r>
          </w:p>
        </w:tc>
        <w:tc>
          <w:tcPr>
            <w:tcW w:w="1134" w:type="dxa"/>
            <w:shd w:val="clear" w:color="auto" w:fill="ECD4F0"/>
            <w:noWrap/>
            <w:vAlign w:val="center"/>
          </w:tcPr>
          <w:p w14:paraId="24D44745" w14:textId="42575D17" w:rsidR="004B375F" w:rsidRPr="00C27C63" w:rsidRDefault="004B375F" w:rsidP="005A19CA">
            <w:pPr>
              <w:pStyle w:val="TableBody"/>
              <w:jc w:val="right"/>
              <w:cnfStyle w:val="000000100000" w:firstRow="0" w:lastRow="0" w:firstColumn="0" w:lastColumn="0" w:oddVBand="0" w:evenVBand="0" w:oddHBand="1" w:evenHBand="0" w:firstRowFirstColumn="0" w:firstRowLastColumn="0" w:lastRowFirstColumn="0" w:lastRowLastColumn="0"/>
              <w:rPr>
                <w:b/>
                <w:bCs/>
                <w:lang w:val="en-GB"/>
              </w:rPr>
            </w:pPr>
            <w:r w:rsidRPr="00C27C63">
              <w:rPr>
                <w:rFonts w:eastAsia="Times New Roman"/>
                <w:b/>
                <w:bCs/>
                <w:color w:val="000000"/>
                <w:szCs w:val="21"/>
                <w:lang w:val="en-GB" w:eastAsia="en-AU"/>
              </w:rPr>
              <w:t>212,561</w:t>
            </w:r>
          </w:p>
        </w:tc>
      </w:tr>
      <w:tr w:rsidR="004B375F" w:rsidRPr="00A33264" w14:paraId="53E624E3" w14:textId="77777777" w:rsidTr="00C27C63">
        <w:trPr>
          <w:trHeight w:val="397"/>
        </w:trPr>
        <w:tc>
          <w:tcPr>
            <w:cnfStyle w:val="001000000000" w:firstRow="0" w:lastRow="0" w:firstColumn="1" w:lastColumn="0" w:oddVBand="0" w:evenVBand="0" w:oddHBand="0" w:evenHBand="0" w:firstRowFirstColumn="0" w:firstRowLastColumn="0" w:lastRowFirstColumn="0" w:lastRowLastColumn="0"/>
            <w:tcW w:w="3397" w:type="dxa"/>
            <w:shd w:val="clear" w:color="auto" w:fill="F9F0FA"/>
            <w:vAlign w:val="center"/>
          </w:tcPr>
          <w:p w14:paraId="4BEDC96A" w14:textId="680A630E" w:rsidR="004B375F" w:rsidRPr="00C27C63" w:rsidRDefault="004B375F" w:rsidP="004B375F">
            <w:pPr>
              <w:pStyle w:val="TableBody"/>
              <w:rPr>
                <w:b w:val="0"/>
                <w:bCs w:val="0"/>
                <w:lang w:val="en-GB"/>
              </w:rPr>
            </w:pPr>
            <w:r w:rsidRPr="00C27C63">
              <w:rPr>
                <w:rFonts w:eastAsia="Times New Roman"/>
                <w:b w:val="0"/>
                <w:bCs w:val="0"/>
                <w:color w:val="000000"/>
                <w:szCs w:val="21"/>
                <w:lang w:val="en-GB" w:eastAsia="en-AU"/>
              </w:rPr>
              <w:t>Participant</w:t>
            </w:r>
            <w:r w:rsidR="00AF2B54">
              <w:rPr>
                <w:rFonts w:eastAsia="Times New Roman"/>
                <w:b w:val="0"/>
                <w:bCs w:val="0"/>
                <w:color w:val="000000"/>
                <w:szCs w:val="21"/>
                <w:lang w:val="en-GB" w:eastAsia="en-AU"/>
              </w:rPr>
              <w:t>-</w:t>
            </w:r>
            <w:r w:rsidRPr="00C27C63">
              <w:rPr>
                <w:rFonts w:eastAsia="Times New Roman"/>
                <w:b w:val="0"/>
                <w:bCs w:val="0"/>
                <w:color w:val="000000"/>
                <w:szCs w:val="21"/>
                <w:lang w:val="en-GB" w:eastAsia="en-AU"/>
              </w:rPr>
              <w:t xml:space="preserve">related updates </w:t>
            </w:r>
          </w:p>
        </w:tc>
        <w:tc>
          <w:tcPr>
            <w:tcW w:w="1134" w:type="dxa"/>
            <w:shd w:val="clear" w:color="auto" w:fill="auto"/>
            <w:noWrap/>
            <w:vAlign w:val="center"/>
          </w:tcPr>
          <w:p w14:paraId="036242D6" w14:textId="2C9B1725" w:rsidR="004B375F" w:rsidRPr="00A33264" w:rsidRDefault="004B375F" w:rsidP="005A19CA">
            <w:pPr>
              <w:pStyle w:val="TableBody"/>
              <w:jc w:val="right"/>
              <w:cnfStyle w:val="000000000000" w:firstRow="0" w:lastRow="0" w:firstColumn="0" w:lastColumn="0" w:oddVBand="0" w:evenVBand="0" w:oddHBand="0" w:evenHBand="0" w:firstRowFirstColumn="0" w:firstRowLastColumn="0" w:lastRowFirstColumn="0" w:lastRowLastColumn="0"/>
              <w:rPr>
                <w:lang w:val="en-GB"/>
              </w:rPr>
            </w:pPr>
            <w:r w:rsidRPr="00A33264">
              <w:rPr>
                <w:rFonts w:eastAsia="Times New Roman"/>
                <w:color w:val="000000"/>
                <w:szCs w:val="21"/>
                <w:lang w:val="en-GB" w:eastAsia="en-AU"/>
              </w:rPr>
              <w:t>-196</w:t>
            </w:r>
          </w:p>
        </w:tc>
        <w:tc>
          <w:tcPr>
            <w:tcW w:w="1134" w:type="dxa"/>
            <w:shd w:val="clear" w:color="auto" w:fill="auto"/>
            <w:noWrap/>
            <w:vAlign w:val="center"/>
          </w:tcPr>
          <w:p w14:paraId="6BAAC1EA" w14:textId="54D3AD79" w:rsidR="004B375F" w:rsidRPr="00A33264" w:rsidRDefault="004B375F" w:rsidP="005A19CA">
            <w:pPr>
              <w:pStyle w:val="TableBody"/>
              <w:jc w:val="right"/>
              <w:cnfStyle w:val="000000000000" w:firstRow="0" w:lastRow="0" w:firstColumn="0" w:lastColumn="0" w:oddVBand="0" w:evenVBand="0" w:oddHBand="0" w:evenHBand="0" w:firstRowFirstColumn="0" w:firstRowLastColumn="0" w:lastRowFirstColumn="0" w:lastRowLastColumn="0"/>
              <w:rPr>
                <w:lang w:val="en-GB"/>
              </w:rPr>
            </w:pPr>
            <w:r w:rsidRPr="00A33264">
              <w:rPr>
                <w:rFonts w:eastAsia="Times New Roman"/>
                <w:color w:val="000000"/>
                <w:szCs w:val="21"/>
                <w:lang w:val="en-GB" w:eastAsia="en-AU"/>
              </w:rPr>
              <w:t>37</w:t>
            </w:r>
          </w:p>
        </w:tc>
        <w:tc>
          <w:tcPr>
            <w:tcW w:w="1134" w:type="dxa"/>
            <w:shd w:val="clear" w:color="auto" w:fill="auto"/>
            <w:noWrap/>
            <w:vAlign w:val="center"/>
          </w:tcPr>
          <w:p w14:paraId="10DE145D" w14:textId="57B2DC4A" w:rsidR="004B375F" w:rsidRPr="00A33264" w:rsidRDefault="004B375F" w:rsidP="005A19CA">
            <w:pPr>
              <w:pStyle w:val="TableBody"/>
              <w:jc w:val="right"/>
              <w:cnfStyle w:val="000000000000" w:firstRow="0" w:lastRow="0" w:firstColumn="0" w:lastColumn="0" w:oddVBand="0" w:evenVBand="0" w:oddHBand="0" w:evenHBand="0" w:firstRowFirstColumn="0" w:firstRowLastColumn="0" w:lastRowFirstColumn="0" w:lastRowLastColumn="0"/>
              <w:rPr>
                <w:lang w:val="en-GB"/>
              </w:rPr>
            </w:pPr>
            <w:r w:rsidRPr="00A33264">
              <w:rPr>
                <w:rFonts w:eastAsia="Times New Roman"/>
                <w:color w:val="000000"/>
                <w:szCs w:val="21"/>
                <w:lang w:val="en-GB" w:eastAsia="en-AU"/>
              </w:rPr>
              <w:t>395</w:t>
            </w:r>
          </w:p>
        </w:tc>
        <w:tc>
          <w:tcPr>
            <w:tcW w:w="1134" w:type="dxa"/>
            <w:shd w:val="clear" w:color="auto" w:fill="auto"/>
            <w:noWrap/>
            <w:vAlign w:val="center"/>
          </w:tcPr>
          <w:p w14:paraId="32BFEC0F" w14:textId="03B9DADA" w:rsidR="004B375F" w:rsidRPr="00A33264" w:rsidRDefault="004B375F" w:rsidP="005A19CA">
            <w:pPr>
              <w:pStyle w:val="TableBody"/>
              <w:jc w:val="right"/>
              <w:cnfStyle w:val="000000000000" w:firstRow="0" w:lastRow="0" w:firstColumn="0" w:lastColumn="0" w:oddVBand="0" w:evenVBand="0" w:oddHBand="0" w:evenHBand="0" w:firstRowFirstColumn="0" w:firstRowLastColumn="0" w:lastRowFirstColumn="0" w:lastRowLastColumn="0"/>
              <w:rPr>
                <w:lang w:val="en-GB"/>
              </w:rPr>
            </w:pPr>
            <w:r w:rsidRPr="00A33264">
              <w:rPr>
                <w:rFonts w:eastAsia="Times New Roman"/>
                <w:color w:val="000000"/>
                <w:szCs w:val="21"/>
                <w:lang w:val="en-GB" w:eastAsia="en-AU"/>
              </w:rPr>
              <w:t>705</w:t>
            </w:r>
          </w:p>
        </w:tc>
        <w:tc>
          <w:tcPr>
            <w:tcW w:w="1134" w:type="dxa"/>
            <w:shd w:val="clear" w:color="auto" w:fill="auto"/>
            <w:noWrap/>
            <w:vAlign w:val="center"/>
          </w:tcPr>
          <w:p w14:paraId="07CFBEBD" w14:textId="0C0D9A1E" w:rsidR="004B375F" w:rsidRPr="00A33264" w:rsidRDefault="004B375F" w:rsidP="005A19CA">
            <w:pPr>
              <w:pStyle w:val="TableBody"/>
              <w:jc w:val="right"/>
              <w:cnfStyle w:val="000000000000" w:firstRow="0" w:lastRow="0" w:firstColumn="0" w:lastColumn="0" w:oddVBand="0" w:evenVBand="0" w:oddHBand="0" w:evenHBand="0" w:firstRowFirstColumn="0" w:firstRowLastColumn="0" w:lastRowFirstColumn="0" w:lastRowLastColumn="0"/>
              <w:rPr>
                <w:lang w:val="en-GB"/>
              </w:rPr>
            </w:pPr>
            <w:r w:rsidRPr="00A33264">
              <w:rPr>
                <w:rFonts w:eastAsia="Times New Roman"/>
                <w:color w:val="000000"/>
                <w:szCs w:val="21"/>
                <w:lang w:val="en-GB" w:eastAsia="en-AU"/>
              </w:rPr>
              <w:t>941</w:t>
            </w:r>
          </w:p>
        </w:tc>
      </w:tr>
      <w:tr w:rsidR="004B375F" w:rsidRPr="00A33264" w14:paraId="577BFEB5" w14:textId="77777777" w:rsidTr="00C27C63">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3397" w:type="dxa"/>
            <w:shd w:val="clear" w:color="auto" w:fill="F9F0FA"/>
            <w:vAlign w:val="center"/>
          </w:tcPr>
          <w:p w14:paraId="5BB5378D" w14:textId="7186FE9A" w:rsidR="004B375F" w:rsidRPr="00C27C63" w:rsidRDefault="004B375F" w:rsidP="004B375F">
            <w:pPr>
              <w:pStyle w:val="TableBody"/>
              <w:rPr>
                <w:b w:val="0"/>
                <w:bCs w:val="0"/>
                <w:lang w:val="en-GB"/>
              </w:rPr>
            </w:pPr>
            <w:r w:rsidRPr="00C27C63">
              <w:rPr>
                <w:rFonts w:eastAsia="Times New Roman"/>
                <w:b w:val="0"/>
                <w:bCs w:val="0"/>
                <w:color w:val="000000"/>
                <w:szCs w:val="21"/>
                <w:lang w:val="en-GB" w:eastAsia="en-AU"/>
              </w:rPr>
              <w:t>Payment</w:t>
            </w:r>
            <w:r w:rsidR="00AF2B54">
              <w:rPr>
                <w:rFonts w:eastAsia="Times New Roman"/>
                <w:b w:val="0"/>
                <w:bCs w:val="0"/>
                <w:color w:val="000000"/>
                <w:szCs w:val="21"/>
                <w:lang w:val="en-GB" w:eastAsia="en-AU"/>
              </w:rPr>
              <w:t>-</w:t>
            </w:r>
            <w:r w:rsidRPr="00C27C63">
              <w:rPr>
                <w:rFonts w:eastAsia="Times New Roman"/>
                <w:b w:val="0"/>
                <w:bCs w:val="0"/>
                <w:color w:val="000000"/>
                <w:szCs w:val="21"/>
                <w:lang w:val="en-GB" w:eastAsia="en-AU"/>
              </w:rPr>
              <w:t>related updates</w:t>
            </w:r>
          </w:p>
        </w:tc>
        <w:tc>
          <w:tcPr>
            <w:tcW w:w="1134" w:type="dxa"/>
            <w:shd w:val="clear" w:color="auto" w:fill="auto"/>
            <w:noWrap/>
            <w:vAlign w:val="center"/>
          </w:tcPr>
          <w:p w14:paraId="3F21E903" w14:textId="00DE17DE" w:rsidR="004B375F" w:rsidRPr="00A33264" w:rsidRDefault="004B375F" w:rsidP="005A19CA">
            <w:pPr>
              <w:pStyle w:val="TableBody"/>
              <w:jc w:val="right"/>
              <w:cnfStyle w:val="000000100000" w:firstRow="0" w:lastRow="0" w:firstColumn="0" w:lastColumn="0" w:oddVBand="0" w:evenVBand="0" w:oddHBand="1" w:evenHBand="0" w:firstRowFirstColumn="0" w:firstRowLastColumn="0" w:lastRowFirstColumn="0" w:lastRowLastColumn="0"/>
              <w:rPr>
                <w:lang w:val="en-GB"/>
              </w:rPr>
            </w:pPr>
            <w:r w:rsidRPr="00A33264">
              <w:rPr>
                <w:rFonts w:eastAsia="Times New Roman"/>
                <w:color w:val="000000"/>
                <w:szCs w:val="21"/>
                <w:lang w:val="en-GB" w:eastAsia="en-AU"/>
              </w:rPr>
              <w:t>2,356</w:t>
            </w:r>
          </w:p>
        </w:tc>
        <w:tc>
          <w:tcPr>
            <w:tcW w:w="1134" w:type="dxa"/>
            <w:shd w:val="clear" w:color="auto" w:fill="auto"/>
            <w:noWrap/>
            <w:vAlign w:val="center"/>
          </w:tcPr>
          <w:p w14:paraId="12F4FC0C" w14:textId="63463E24" w:rsidR="004B375F" w:rsidRPr="00A33264" w:rsidRDefault="004B375F" w:rsidP="005A19CA">
            <w:pPr>
              <w:pStyle w:val="TableBody"/>
              <w:jc w:val="right"/>
              <w:cnfStyle w:val="000000100000" w:firstRow="0" w:lastRow="0" w:firstColumn="0" w:lastColumn="0" w:oddVBand="0" w:evenVBand="0" w:oddHBand="1" w:evenHBand="0" w:firstRowFirstColumn="0" w:firstRowLastColumn="0" w:lastRowFirstColumn="0" w:lastRowLastColumn="0"/>
              <w:rPr>
                <w:lang w:val="en-GB"/>
              </w:rPr>
            </w:pPr>
            <w:r w:rsidRPr="00A33264">
              <w:rPr>
                <w:rFonts w:eastAsia="Times New Roman"/>
                <w:color w:val="000000"/>
                <w:szCs w:val="21"/>
                <w:lang w:val="en-GB" w:eastAsia="en-AU"/>
              </w:rPr>
              <w:t>3,610</w:t>
            </w:r>
          </w:p>
        </w:tc>
        <w:tc>
          <w:tcPr>
            <w:tcW w:w="1134" w:type="dxa"/>
            <w:shd w:val="clear" w:color="auto" w:fill="auto"/>
            <w:noWrap/>
            <w:vAlign w:val="center"/>
          </w:tcPr>
          <w:p w14:paraId="5B7617AC" w14:textId="18CAE883" w:rsidR="004B375F" w:rsidRPr="00A33264" w:rsidRDefault="004B375F" w:rsidP="005A19CA">
            <w:pPr>
              <w:pStyle w:val="TableBody"/>
              <w:jc w:val="right"/>
              <w:cnfStyle w:val="000000100000" w:firstRow="0" w:lastRow="0" w:firstColumn="0" w:lastColumn="0" w:oddVBand="0" w:evenVBand="0" w:oddHBand="1" w:evenHBand="0" w:firstRowFirstColumn="0" w:firstRowLastColumn="0" w:lastRowFirstColumn="0" w:lastRowLastColumn="0"/>
              <w:rPr>
                <w:lang w:val="en-GB"/>
              </w:rPr>
            </w:pPr>
            <w:r w:rsidRPr="00A33264">
              <w:rPr>
                <w:rFonts w:eastAsia="Times New Roman"/>
                <w:color w:val="000000"/>
                <w:szCs w:val="21"/>
                <w:lang w:val="en-GB" w:eastAsia="en-AU"/>
              </w:rPr>
              <w:t>4,638</w:t>
            </w:r>
          </w:p>
        </w:tc>
        <w:tc>
          <w:tcPr>
            <w:tcW w:w="1134" w:type="dxa"/>
            <w:shd w:val="clear" w:color="auto" w:fill="auto"/>
            <w:noWrap/>
            <w:vAlign w:val="center"/>
          </w:tcPr>
          <w:p w14:paraId="5C770DFB" w14:textId="3B46AB14" w:rsidR="004B375F" w:rsidRPr="00A33264" w:rsidRDefault="004B375F" w:rsidP="005A19CA">
            <w:pPr>
              <w:pStyle w:val="TableBody"/>
              <w:jc w:val="right"/>
              <w:cnfStyle w:val="000000100000" w:firstRow="0" w:lastRow="0" w:firstColumn="0" w:lastColumn="0" w:oddVBand="0" w:evenVBand="0" w:oddHBand="1" w:evenHBand="0" w:firstRowFirstColumn="0" w:firstRowLastColumn="0" w:lastRowFirstColumn="0" w:lastRowLastColumn="0"/>
              <w:rPr>
                <w:lang w:val="en-GB"/>
              </w:rPr>
            </w:pPr>
            <w:r w:rsidRPr="00A33264">
              <w:rPr>
                <w:rFonts w:eastAsia="Times New Roman"/>
                <w:color w:val="000000"/>
                <w:szCs w:val="21"/>
                <w:lang w:val="en-GB" w:eastAsia="en-AU"/>
              </w:rPr>
              <w:t>5,412</w:t>
            </w:r>
          </w:p>
        </w:tc>
        <w:tc>
          <w:tcPr>
            <w:tcW w:w="1134" w:type="dxa"/>
            <w:shd w:val="clear" w:color="auto" w:fill="auto"/>
            <w:noWrap/>
            <w:vAlign w:val="center"/>
          </w:tcPr>
          <w:p w14:paraId="5E60309F" w14:textId="211DEEAA" w:rsidR="004B375F" w:rsidRPr="00A33264" w:rsidRDefault="004B375F" w:rsidP="005A19CA">
            <w:pPr>
              <w:pStyle w:val="TableBody"/>
              <w:jc w:val="right"/>
              <w:cnfStyle w:val="000000100000" w:firstRow="0" w:lastRow="0" w:firstColumn="0" w:lastColumn="0" w:oddVBand="0" w:evenVBand="0" w:oddHBand="1" w:evenHBand="0" w:firstRowFirstColumn="0" w:firstRowLastColumn="0" w:lastRowFirstColumn="0" w:lastRowLastColumn="0"/>
              <w:rPr>
                <w:lang w:val="en-GB"/>
              </w:rPr>
            </w:pPr>
            <w:r w:rsidRPr="00A33264">
              <w:rPr>
                <w:rFonts w:eastAsia="Times New Roman"/>
                <w:color w:val="000000"/>
                <w:szCs w:val="21"/>
                <w:lang w:val="en-GB" w:eastAsia="en-AU"/>
              </w:rPr>
              <w:t>16,015</w:t>
            </w:r>
          </w:p>
        </w:tc>
      </w:tr>
      <w:tr w:rsidR="004B375F" w:rsidRPr="00A33264" w14:paraId="6939BB68" w14:textId="77777777" w:rsidTr="00C27C63">
        <w:trPr>
          <w:trHeight w:val="397"/>
        </w:trPr>
        <w:tc>
          <w:tcPr>
            <w:cnfStyle w:val="001000000000" w:firstRow="0" w:lastRow="0" w:firstColumn="1" w:lastColumn="0" w:oddVBand="0" w:evenVBand="0" w:oddHBand="0" w:evenHBand="0" w:firstRowFirstColumn="0" w:firstRowLastColumn="0" w:lastRowFirstColumn="0" w:lastRowLastColumn="0"/>
            <w:tcW w:w="3397" w:type="dxa"/>
            <w:shd w:val="clear" w:color="auto" w:fill="F9F0FA"/>
            <w:vAlign w:val="center"/>
          </w:tcPr>
          <w:p w14:paraId="5A43DF2B" w14:textId="3373357A" w:rsidR="004B375F" w:rsidRPr="00A33264" w:rsidRDefault="004B375F" w:rsidP="004B375F">
            <w:pPr>
              <w:pStyle w:val="TableBody"/>
              <w:rPr>
                <w:lang w:val="en-GB"/>
              </w:rPr>
            </w:pPr>
            <w:r w:rsidRPr="00A33264">
              <w:rPr>
                <w:rFonts w:eastAsia="Times New Roman"/>
                <w:color w:val="000000"/>
                <w:szCs w:val="21"/>
                <w:lang w:val="en-GB" w:eastAsia="en-AU"/>
              </w:rPr>
              <w:t xml:space="preserve">Total movement before </w:t>
            </w:r>
            <w:r w:rsidR="00966323">
              <w:rPr>
                <w:rFonts w:eastAsia="Times New Roman"/>
                <w:color w:val="000000"/>
                <w:szCs w:val="21"/>
                <w:lang w:val="en-GB" w:eastAsia="en-AU"/>
              </w:rPr>
              <w:t xml:space="preserve">Recent and </w:t>
            </w:r>
            <w:r w:rsidRPr="00A33264">
              <w:rPr>
                <w:rFonts w:eastAsia="Times New Roman"/>
                <w:color w:val="000000"/>
                <w:szCs w:val="21"/>
                <w:lang w:val="en-GB" w:eastAsia="en-AU"/>
              </w:rPr>
              <w:t>Proposed Reforms</w:t>
            </w:r>
          </w:p>
        </w:tc>
        <w:tc>
          <w:tcPr>
            <w:tcW w:w="1134" w:type="dxa"/>
            <w:shd w:val="clear" w:color="auto" w:fill="E0E0E0" w:themeFill="background1" w:themeFillShade="E6"/>
            <w:noWrap/>
            <w:vAlign w:val="center"/>
          </w:tcPr>
          <w:p w14:paraId="4AE75D57" w14:textId="1459C5C7" w:rsidR="004B375F" w:rsidRPr="00C27C63" w:rsidRDefault="004B375F" w:rsidP="005A19CA">
            <w:pPr>
              <w:pStyle w:val="TableBody"/>
              <w:jc w:val="right"/>
              <w:cnfStyle w:val="000000000000" w:firstRow="0" w:lastRow="0" w:firstColumn="0" w:lastColumn="0" w:oddVBand="0" w:evenVBand="0" w:oddHBand="0" w:evenHBand="0" w:firstRowFirstColumn="0" w:firstRowLastColumn="0" w:lastRowFirstColumn="0" w:lastRowLastColumn="0"/>
              <w:rPr>
                <w:b/>
                <w:bCs/>
                <w:lang w:val="en-GB"/>
              </w:rPr>
            </w:pPr>
            <w:r w:rsidRPr="00C27C63">
              <w:rPr>
                <w:rFonts w:eastAsia="Times New Roman"/>
                <w:b/>
                <w:bCs/>
                <w:color w:val="000000"/>
                <w:szCs w:val="21"/>
                <w:lang w:val="en-GB" w:eastAsia="en-AU"/>
              </w:rPr>
              <w:t>2,159</w:t>
            </w:r>
          </w:p>
        </w:tc>
        <w:tc>
          <w:tcPr>
            <w:tcW w:w="1134" w:type="dxa"/>
            <w:shd w:val="clear" w:color="auto" w:fill="E0E0E0" w:themeFill="background1" w:themeFillShade="E6"/>
            <w:noWrap/>
            <w:vAlign w:val="center"/>
          </w:tcPr>
          <w:p w14:paraId="28F4A88D" w14:textId="53052AD9" w:rsidR="004B375F" w:rsidRPr="00C27C63" w:rsidRDefault="004B375F" w:rsidP="005A19CA">
            <w:pPr>
              <w:pStyle w:val="TableBody"/>
              <w:jc w:val="right"/>
              <w:cnfStyle w:val="000000000000" w:firstRow="0" w:lastRow="0" w:firstColumn="0" w:lastColumn="0" w:oddVBand="0" w:evenVBand="0" w:oddHBand="0" w:evenHBand="0" w:firstRowFirstColumn="0" w:firstRowLastColumn="0" w:lastRowFirstColumn="0" w:lastRowLastColumn="0"/>
              <w:rPr>
                <w:b/>
                <w:bCs/>
                <w:lang w:val="en-GB"/>
              </w:rPr>
            </w:pPr>
            <w:r w:rsidRPr="00C27C63">
              <w:rPr>
                <w:rFonts w:eastAsia="Times New Roman"/>
                <w:b/>
                <w:bCs/>
                <w:color w:val="000000"/>
                <w:szCs w:val="21"/>
                <w:lang w:val="en-GB" w:eastAsia="en-AU"/>
              </w:rPr>
              <w:t>3,647</w:t>
            </w:r>
          </w:p>
        </w:tc>
        <w:tc>
          <w:tcPr>
            <w:tcW w:w="1134" w:type="dxa"/>
            <w:shd w:val="clear" w:color="auto" w:fill="E0E0E0" w:themeFill="background1" w:themeFillShade="E6"/>
            <w:noWrap/>
            <w:vAlign w:val="center"/>
          </w:tcPr>
          <w:p w14:paraId="4CF2E9CF" w14:textId="0849B295" w:rsidR="004B375F" w:rsidRPr="00C27C63" w:rsidRDefault="004B375F" w:rsidP="005A19CA">
            <w:pPr>
              <w:pStyle w:val="TableBody"/>
              <w:jc w:val="right"/>
              <w:cnfStyle w:val="000000000000" w:firstRow="0" w:lastRow="0" w:firstColumn="0" w:lastColumn="0" w:oddVBand="0" w:evenVBand="0" w:oddHBand="0" w:evenHBand="0" w:firstRowFirstColumn="0" w:firstRowLastColumn="0" w:lastRowFirstColumn="0" w:lastRowLastColumn="0"/>
              <w:rPr>
                <w:b/>
                <w:bCs/>
                <w:lang w:val="en-GB"/>
              </w:rPr>
            </w:pPr>
            <w:r w:rsidRPr="00C27C63">
              <w:rPr>
                <w:rFonts w:eastAsia="Times New Roman"/>
                <w:b/>
                <w:bCs/>
                <w:color w:val="000000"/>
                <w:szCs w:val="21"/>
                <w:lang w:val="en-GB" w:eastAsia="en-AU"/>
              </w:rPr>
              <w:t>5,033</w:t>
            </w:r>
          </w:p>
        </w:tc>
        <w:tc>
          <w:tcPr>
            <w:tcW w:w="1134" w:type="dxa"/>
            <w:shd w:val="clear" w:color="auto" w:fill="E0E0E0" w:themeFill="background1" w:themeFillShade="E6"/>
            <w:noWrap/>
            <w:vAlign w:val="center"/>
          </w:tcPr>
          <w:p w14:paraId="1E009A12" w14:textId="0E54B940" w:rsidR="004B375F" w:rsidRPr="00C27C63" w:rsidRDefault="004B375F" w:rsidP="005A19CA">
            <w:pPr>
              <w:pStyle w:val="TableBody"/>
              <w:jc w:val="right"/>
              <w:cnfStyle w:val="000000000000" w:firstRow="0" w:lastRow="0" w:firstColumn="0" w:lastColumn="0" w:oddVBand="0" w:evenVBand="0" w:oddHBand="0" w:evenHBand="0" w:firstRowFirstColumn="0" w:firstRowLastColumn="0" w:lastRowFirstColumn="0" w:lastRowLastColumn="0"/>
              <w:rPr>
                <w:b/>
                <w:bCs/>
                <w:lang w:val="en-GB"/>
              </w:rPr>
            </w:pPr>
            <w:r w:rsidRPr="00C27C63">
              <w:rPr>
                <w:rFonts w:eastAsia="Times New Roman"/>
                <w:b/>
                <w:bCs/>
                <w:color w:val="000000"/>
                <w:szCs w:val="21"/>
                <w:lang w:val="en-GB" w:eastAsia="en-AU"/>
              </w:rPr>
              <w:t>6,117</w:t>
            </w:r>
          </w:p>
        </w:tc>
        <w:tc>
          <w:tcPr>
            <w:tcW w:w="1134" w:type="dxa"/>
            <w:shd w:val="clear" w:color="auto" w:fill="E0E0E0" w:themeFill="background1" w:themeFillShade="E6"/>
            <w:noWrap/>
            <w:vAlign w:val="center"/>
          </w:tcPr>
          <w:p w14:paraId="18235F49" w14:textId="63538BCA" w:rsidR="004B375F" w:rsidRPr="00C27C63" w:rsidRDefault="004B375F" w:rsidP="005A19CA">
            <w:pPr>
              <w:pStyle w:val="TableBody"/>
              <w:jc w:val="right"/>
              <w:cnfStyle w:val="000000000000" w:firstRow="0" w:lastRow="0" w:firstColumn="0" w:lastColumn="0" w:oddVBand="0" w:evenVBand="0" w:oddHBand="0" w:evenHBand="0" w:firstRowFirstColumn="0" w:firstRowLastColumn="0" w:lastRowFirstColumn="0" w:lastRowLastColumn="0"/>
              <w:rPr>
                <w:b/>
                <w:bCs/>
                <w:lang w:val="en-GB"/>
              </w:rPr>
            </w:pPr>
            <w:r w:rsidRPr="00C27C63">
              <w:rPr>
                <w:rFonts w:eastAsia="Times New Roman"/>
                <w:b/>
                <w:bCs/>
                <w:color w:val="000000"/>
                <w:szCs w:val="21"/>
                <w:lang w:val="en-GB" w:eastAsia="en-AU"/>
              </w:rPr>
              <w:t>16,956</w:t>
            </w:r>
          </w:p>
        </w:tc>
      </w:tr>
      <w:tr w:rsidR="00BB40DF" w:rsidRPr="00A33264" w14:paraId="2AA9E2D7" w14:textId="77777777" w:rsidTr="00BB40D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shd w:val="clear" w:color="auto" w:fill="F9F0FA"/>
            <w:vAlign w:val="center"/>
          </w:tcPr>
          <w:p w14:paraId="29721F14" w14:textId="1FA40392" w:rsidR="004B375F" w:rsidRPr="00C27C63" w:rsidRDefault="004B375F" w:rsidP="004B375F">
            <w:pPr>
              <w:pStyle w:val="TableBody"/>
              <w:rPr>
                <w:b w:val="0"/>
                <w:bCs w:val="0"/>
                <w:lang w:val="en-GB"/>
              </w:rPr>
            </w:pPr>
            <w:r w:rsidRPr="00C27C63">
              <w:rPr>
                <w:rFonts w:eastAsia="Times New Roman"/>
                <w:b w:val="0"/>
                <w:bCs w:val="0"/>
                <w:color w:val="000000"/>
                <w:szCs w:val="21"/>
                <w:lang w:val="en-GB" w:eastAsia="en-AU"/>
              </w:rPr>
              <w:t xml:space="preserve">Allowance for </w:t>
            </w:r>
            <w:r w:rsidR="00966323" w:rsidRPr="00C27C63">
              <w:rPr>
                <w:rFonts w:eastAsia="Times New Roman"/>
                <w:b w:val="0"/>
                <w:bCs w:val="0"/>
                <w:color w:val="000000"/>
                <w:szCs w:val="21"/>
                <w:lang w:val="en-GB" w:eastAsia="en-AU"/>
              </w:rPr>
              <w:t xml:space="preserve">Recent and </w:t>
            </w:r>
            <w:r w:rsidRPr="00C27C63">
              <w:rPr>
                <w:rFonts w:eastAsia="Times New Roman"/>
                <w:b w:val="0"/>
                <w:bCs w:val="0"/>
                <w:color w:val="000000"/>
                <w:szCs w:val="21"/>
                <w:lang w:val="en-GB" w:eastAsia="en-AU"/>
              </w:rPr>
              <w:t>Proposed Reforms</w:t>
            </w:r>
          </w:p>
        </w:tc>
        <w:tc>
          <w:tcPr>
            <w:tcW w:w="0" w:type="dxa"/>
            <w:shd w:val="clear" w:color="auto" w:fill="auto"/>
            <w:noWrap/>
            <w:vAlign w:val="center"/>
          </w:tcPr>
          <w:p w14:paraId="66D77758" w14:textId="17269F6C" w:rsidR="004B375F" w:rsidRPr="00A33264" w:rsidRDefault="004B375F" w:rsidP="00BB40DF">
            <w:pPr>
              <w:spacing w:after="0"/>
              <w:jc w:val="right"/>
              <w:cnfStyle w:val="000000100000" w:firstRow="0" w:lastRow="0" w:firstColumn="0" w:lastColumn="0" w:oddVBand="0" w:evenVBand="0" w:oddHBand="1" w:evenHBand="0" w:firstRowFirstColumn="0" w:firstRowLastColumn="0" w:lastRowFirstColumn="0" w:lastRowLastColumn="0"/>
              <w:rPr>
                <w:lang w:val="en-GB"/>
              </w:rPr>
            </w:pPr>
            <w:r w:rsidRPr="00A33264">
              <w:rPr>
                <w:lang w:val="en-GB" w:eastAsia="en-AU"/>
              </w:rPr>
              <w:t>-1,670</w:t>
            </w:r>
          </w:p>
        </w:tc>
        <w:tc>
          <w:tcPr>
            <w:tcW w:w="0" w:type="dxa"/>
            <w:shd w:val="clear" w:color="auto" w:fill="auto"/>
            <w:noWrap/>
            <w:vAlign w:val="center"/>
          </w:tcPr>
          <w:p w14:paraId="730A60C1" w14:textId="3FBEC04F" w:rsidR="004B375F" w:rsidRPr="00A33264" w:rsidRDefault="004B375F" w:rsidP="00D26F9A">
            <w:pPr>
              <w:pStyle w:val="TableBody"/>
              <w:jc w:val="right"/>
              <w:cnfStyle w:val="000000100000" w:firstRow="0" w:lastRow="0" w:firstColumn="0" w:lastColumn="0" w:oddVBand="0" w:evenVBand="0" w:oddHBand="1" w:evenHBand="0" w:firstRowFirstColumn="0" w:firstRowLastColumn="0" w:lastRowFirstColumn="0" w:lastRowLastColumn="0"/>
              <w:rPr>
                <w:lang w:val="en-GB"/>
              </w:rPr>
            </w:pPr>
            <w:r w:rsidRPr="00A33264">
              <w:rPr>
                <w:rFonts w:eastAsia="Times New Roman"/>
                <w:color w:val="000000"/>
                <w:szCs w:val="21"/>
                <w:lang w:val="en-GB" w:eastAsia="en-AU"/>
              </w:rPr>
              <w:t>-3,647</w:t>
            </w:r>
          </w:p>
        </w:tc>
        <w:tc>
          <w:tcPr>
            <w:tcW w:w="0" w:type="dxa"/>
            <w:shd w:val="clear" w:color="auto" w:fill="auto"/>
            <w:noWrap/>
            <w:vAlign w:val="center"/>
          </w:tcPr>
          <w:p w14:paraId="702EBAA1" w14:textId="13E47AE2" w:rsidR="004B375F" w:rsidRPr="00A33264" w:rsidRDefault="004B375F" w:rsidP="00D26F9A">
            <w:pPr>
              <w:pStyle w:val="TableBody"/>
              <w:jc w:val="right"/>
              <w:cnfStyle w:val="000000100000" w:firstRow="0" w:lastRow="0" w:firstColumn="0" w:lastColumn="0" w:oddVBand="0" w:evenVBand="0" w:oddHBand="1" w:evenHBand="0" w:firstRowFirstColumn="0" w:firstRowLastColumn="0" w:lastRowFirstColumn="0" w:lastRowLastColumn="0"/>
              <w:rPr>
                <w:lang w:val="en-GB"/>
              </w:rPr>
            </w:pPr>
            <w:r w:rsidRPr="00A33264">
              <w:rPr>
                <w:rFonts w:eastAsia="Times New Roman"/>
                <w:color w:val="000000"/>
                <w:szCs w:val="21"/>
                <w:lang w:val="en-GB" w:eastAsia="en-AU"/>
              </w:rPr>
              <w:t>-6,025</w:t>
            </w:r>
          </w:p>
        </w:tc>
        <w:tc>
          <w:tcPr>
            <w:tcW w:w="0" w:type="dxa"/>
            <w:shd w:val="clear" w:color="auto" w:fill="auto"/>
            <w:noWrap/>
            <w:vAlign w:val="center"/>
          </w:tcPr>
          <w:p w14:paraId="4BBAAFB1" w14:textId="3F4ADDF5" w:rsidR="004B375F" w:rsidRPr="00A33264" w:rsidRDefault="004B375F" w:rsidP="00D26F9A">
            <w:pPr>
              <w:pStyle w:val="TableBody"/>
              <w:jc w:val="right"/>
              <w:cnfStyle w:val="000000100000" w:firstRow="0" w:lastRow="0" w:firstColumn="0" w:lastColumn="0" w:oddVBand="0" w:evenVBand="0" w:oddHBand="1" w:evenHBand="0" w:firstRowFirstColumn="0" w:firstRowLastColumn="0" w:lastRowFirstColumn="0" w:lastRowLastColumn="0"/>
              <w:rPr>
                <w:lang w:val="en-GB"/>
              </w:rPr>
            </w:pPr>
            <w:r w:rsidRPr="00A33264">
              <w:rPr>
                <w:rFonts w:eastAsia="Times New Roman"/>
                <w:color w:val="000000"/>
                <w:szCs w:val="21"/>
                <w:lang w:val="en-GB" w:eastAsia="en-AU"/>
              </w:rPr>
              <w:t>-7,917</w:t>
            </w:r>
          </w:p>
        </w:tc>
        <w:tc>
          <w:tcPr>
            <w:tcW w:w="0" w:type="dxa"/>
            <w:shd w:val="clear" w:color="auto" w:fill="auto"/>
            <w:noWrap/>
            <w:vAlign w:val="center"/>
          </w:tcPr>
          <w:p w14:paraId="53F30738" w14:textId="3631E023" w:rsidR="004B375F" w:rsidRPr="00A33264" w:rsidRDefault="004B375F" w:rsidP="00D26F9A">
            <w:pPr>
              <w:pStyle w:val="TableBody"/>
              <w:jc w:val="right"/>
              <w:cnfStyle w:val="000000100000" w:firstRow="0" w:lastRow="0" w:firstColumn="0" w:lastColumn="0" w:oddVBand="0" w:evenVBand="0" w:oddHBand="1" w:evenHBand="0" w:firstRowFirstColumn="0" w:firstRowLastColumn="0" w:lastRowFirstColumn="0" w:lastRowLastColumn="0"/>
              <w:rPr>
                <w:lang w:val="en-GB"/>
              </w:rPr>
            </w:pPr>
            <w:r w:rsidRPr="00A33264">
              <w:rPr>
                <w:rFonts w:eastAsia="Times New Roman"/>
                <w:color w:val="000000"/>
                <w:szCs w:val="21"/>
                <w:lang w:val="en-GB" w:eastAsia="en-AU"/>
              </w:rPr>
              <w:t>-19,259</w:t>
            </w:r>
          </w:p>
        </w:tc>
      </w:tr>
      <w:tr w:rsidR="004B375F" w:rsidRPr="00A33264" w14:paraId="47C27CAA" w14:textId="77777777" w:rsidTr="00C27C63">
        <w:trPr>
          <w:trHeight w:val="397"/>
        </w:trPr>
        <w:tc>
          <w:tcPr>
            <w:cnfStyle w:val="001000000000" w:firstRow="0" w:lastRow="0" w:firstColumn="1" w:lastColumn="0" w:oddVBand="0" w:evenVBand="0" w:oddHBand="0" w:evenHBand="0" w:firstRowFirstColumn="0" w:firstRowLastColumn="0" w:lastRowFirstColumn="0" w:lastRowLastColumn="0"/>
            <w:tcW w:w="3397" w:type="dxa"/>
            <w:shd w:val="clear" w:color="auto" w:fill="F9F0FA"/>
            <w:vAlign w:val="center"/>
          </w:tcPr>
          <w:p w14:paraId="31394686" w14:textId="3233206E" w:rsidR="004B375F" w:rsidRPr="00A33264" w:rsidRDefault="004B375F" w:rsidP="004B375F">
            <w:pPr>
              <w:pStyle w:val="TableBody"/>
              <w:rPr>
                <w:lang w:val="en-GB"/>
              </w:rPr>
            </w:pPr>
            <w:r w:rsidRPr="00A33264">
              <w:rPr>
                <w:rFonts w:eastAsia="Times New Roman"/>
                <w:color w:val="000000"/>
                <w:szCs w:val="21"/>
                <w:lang w:val="en-GB" w:eastAsia="en-AU"/>
              </w:rPr>
              <w:t>June 2024 projections</w:t>
            </w:r>
          </w:p>
        </w:tc>
        <w:tc>
          <w:tcPr>
            <w:tcW w:w="1134" w:type="dxa"/>
            <w:shd w:val="clear" w:color="auto" w:fill="F2E2F2"/>
            <w:noWrap/>
            <w:vAlign w:val="center"/>
          </w:tcPr>
          <w:p w14:paraId="527011A5" w14:textId="32707A47" w:rsidR="004B375F" w:rsidRPr="00C27C63" w:rsidRDefault="004B375F" w:rsidP="005A19CA">
            <w:pPr>
              <w:pStyle w:val="TableBody"/>
              <w:jc w:val="right"/>
              <w:cnfStyle w:val="000000000000" w:firstRow="0" w:lastRow="0" w:firstColumn="0" w:lastColumn="0" w:oddVBand="0" w:evenVBand="0" w:oddHBand="0" w:evenHBand="0" w:firstRowFirstColumn="0" w:firstRowLastColumn="0" w:lastRowFirstColumn="0" w:lastRowLastColumn="0"/>
              <w:rPr>
                <w:b/>
                <w:bCs/>
                <w:lang w:val="en-GB"/>
              </w:rPr>
            </w:pPr>
            <w:r w:rsidRPr="00C27C63">
              <w:rPr>
                <w:b/>
                <w:bCs/>
                <w:color w:val="000000"/>
                <w:lang w:val="en-GB"/>
              </w:rPr>
              <w:t>46,865</w:t>
            </w:r>
          </w:p>
        </w:tc>
        <w:tc>
          <w:tcPr>
            <w:tcW w:w="1134" w:type="dxa"/>
            <w:shd w:val="clear" w:color="auto" w:fill="F2E2F2"/>
            <w:noWrap/>
            <w:vAlign w:val="center"/>
          </w:tcPr>
          <w:p w14:paraId="3061C1FB" w14:textId="200FCE49" w:rsidR="004B375F" w:rsidRPr="00C27C63" w:rsidRDefault="004B375F" w:rsidP="005A19CA">
            <w:pPr>
              <w:pStyle w:val="TableBody"/>
              <w:jc w:val="right"/>
              <w:cnfStyle w:val="000000000000" w:firstRow="0" w:lastRow="0" w:firstColumn="0" w:lastColumn="0" w:oddVBand="0" w:evenVBand="0" w:oddHBand="0" w:evenHBand="0" w:firstRowFirstColumn="0" w:firstRowLastColumn="0" w:lastRowFirstColumn="0" w:lastRowLastColumn="0"/>
              <w:rPr>
                <w:b/>
                <w:bCs/>
                <w:lang w:val="en-GB"/>
              </w:rPr>
            </w:pPr>
            <w:r w:rsidRPr="00C27C63">
              <w:rPr>
                <w:b/>
                <w:bCs/>
                <w:color w:val="000000"/>
                <w:lang w:val="en-GB"/>
              </w:rPr>
              <w:t>50,789</w:t>
            </w:r>
          </w:p>
        </w:tc>
        <w:tc>
          <w:tcPr>
            <w:tcW w:w="1134" w:type="dxa"/>
            <w:shd w:val="clear" w:color="auto" w:fill="F2E2F2"/>
            <w:noWrap/>
            <w:vAlign w:val="center"/>
          </w:tcPr>
          <w:p w14:paraId="315B8843" w14:textId="19698DDB" w:rsidR="004B375F" w:rsidRPr="00C27C63" w:rsidRDefault="004B375F" w:rsidP="005A19CA">
            <w:pPr>
              <w:pStyle w:val="TableBody"/>
              <w:jc w:val="right"/>
              <w:cnfStyle w:val="000000000000" w:firstRow="0" w:lastRow="0" w:firstColumn="0" w:lastColumn="0" w:oddVBand="0" w:evenVBand="0" w:oddHBand="0" w:evenHBand="0" w:firstRowFirstColumn="0" w:firstRowLastColumn="0" w:lastRowFirstColumn="0" w:lastRowLastColumn="0"/>
              <w:rPr>
                <w:b/>
                <w:bCs/>
                <w:lang w:val="en-GB"/>
              </w:rPr>
            </w:pPr>
            <w:r w:rsidRPr="00C27C63">
              <w:rPr>
                <w:b/>
                <w:bCs/>
                <w:color w:val="000000"/>
                <w:lang w:val="en-GB"/>
              </w:rPr>
              <w:t>54,215</w:t>
            </w:r>
          </w:p>
        </w:tc>
        <w:tc>
          <w:tcPr>
            <w:tcW w:w="1134" w:type="dxa"/>
            <w:shd w:val="clear" w:color="auto" w:fill="F2E2F2"/>
            <w:noWrap/>
            <w:vAlign w:val="center"/>
          </w:tcPr>
          <w:p w14:paraId="1F873028" w14:textId="0173BB0B" w:rsidR="004B375F" w:rsidRPr="00C27C63" w:rsidRDefault="004B375F" w:rsidP="005A19CA">
            <w:pPr>
              <w:pStyle w:val="TableBody"/>
              <w:jc w:val="right"/>
              <w:cnfStyle w:val="000000000000" w:firstRow="0" w:lastRow="0" w:firstColumn="0" w:lastColumn="0" w:oddVBand="0" w:evenVBand="0" w:oddHBand="0" w:evenHBand="0" w:firstRowFirstColumn="0" w:firstRowLastColumn="0" w:lastRowFirstColumn="0" w:lastRowLastColumn="0"/>
              <w:rPr>
                <w:b/>
                <w:bCs/>
                <w:lang w:val="en-GB"/>
              </w:rPr>
            </w:pPr>
            <w:r w:rsidRPr="00C27C63">
              <w:rPr>
                <w:b/>
                <w:bCs/>
                <w:color w:val="000000"/>
                <w:lang w:val="en-GB"/>
              </w:rPr>
              <w:t>58,390</w:t>
            </w:r>
          </w:p>
        </w:tc>
        <w:tc>
          <w:tcPr>
            <w:tcW w:w="1134" w:type="dxa"/>
            <w:shd w:val="clear" w:color="auto" w:fill="F2E2F2"/>
            <w:noWrap/>
            <w:vAlign w:val="center"/>
          </w:tcPr>
          <w:p w14:paraId="204F42C1" w14:textId="4FDB361D" w:rsidR="004B375F" w:rsidRPr="00C27C63" w:rsidRDefault="004B375F" w:rsidP="005A19CA">
            <w:pPr>
              <w:pStyle w:val="TableBody"/>
              <w:jc w:val="right"/>
              <w:cnfStyle w:val="000000000000" w:firstRow="0" w:lastRow="0" w:firstColumn="0" w:lastColumn="0" w:oddVBand="0" w:evenVBand="0" w:oddHBand="0" w:evenHBand="0" w:firstRowFirstColumn="0" w:firstRowLastColumn="0" w:lastRowFirstColumn="0" w:lastRowLastColumn="0"/>
              <w:rPr>
                <w:b/>
                <w:bCs/>
                <w:lang w:val="en-GB"/>
              </w:rPr>
            </w:pPr>
            <w:r w:rsidRPr="00C27C63">
              <w:rPr>
                <w:b/>
                <w:bCs/>
                <w:color w:val="000000"/>
                <w:lang w:val="en-GB"/>
              </w:rPr>
              <w:t>210,258</w:t>
            </w:r>
          </w:p>
        </w:tc>
      </w:tr>
    </w:tbl>
    <w:p w14:paraId="2F11EC47" w14:textId="62E25713" w:rsidR="00D76E73" w:rsidRDefault="00AF2B54" w:rsidP="00B27FA1">
      <w:pPr>
        <w:pStyle w:val="Tablenote"/>
      </w:pPr>
      <w:r>
        <w:t>N</w:t>
      </w:r>
      <w:r w:rsidR="00D76E73">
        <w:t xml:space="preserve">ote: </w:t>
      </w:r>
      <w:r w:rsidR="00D76E73" w:rsidRPr="00D76E73">
        <w:t xml:space="preserve">Values have been rounded to </w:t>
      </w:r>
      <w:r w:rsidR="00D76E73" w:rsidRPr="00F86FC3">
        <w:t xml:space="preserve">the </w:t>
      </w:r>
      <w:r w:rsidR="00D76E73" w:rsidRPr="00D76E73">
        <w:t>nearest whole number; differences are calculated from unrounded metrics.</w:t>
      </w:r>
    </w:p>
    <w:p w14:paraId="49BE62EF" w14:textId="7E04838A" w:rsidR="00966323" w:rsidRDefault="00AF2B54" w:rsidP="004B375F">
      <w:pPr>
        <w:rPr>
          <w:lang w:val="en-GB"/>
        </w:rPr>
      </w:pPr>
      <w:r>
        <w:rPr>
          <w:lang w:val="en-GB"/>
        </w:rPr>
        <w:t>T</w:t>
      </w:r>
      <w:r w:rsidR="004B375F" w:rsidRPr="00A33264">
        <w:rPr>
          <w:lang w:val="en-GB"/>
        </w:rPr>
        <w:t xml:space="preserve">he June 2024 projections assume </w:t>
      </w:r>
      <w:r w:rsidR="00586997">
        <w:rPr>
          <w:lang w:val="en-GB"/>
        </w:rPr>
        <w:t>NDIA</w:t>
      </w:r>
      <w:r w:rsidR="00586997" w:rsidRPr="00A33264">
        <w:rPr>
          <w:lang w:val="en-GB"/>
        </w:rPr>
        <w:t xml:space="preserve"> </w:t>
      </w:r>
      <w:r w:rsidR="004B375F" w:rsidRPr="00A33264">
        <w:rPr>
          <w:lang w:val="en-GB"/>
        </w:rPr>
        <w:t>resourcing remains relatively constant in real terms</w:t>
      </w:r>
      <w:r>
        <w:rPr>
          <w:lang w:val="en-GB"/>
        </w:rPr>
        <w:t>.</w:t>
      </w:r>
      <w:r w:rsidR="00966323">
        <w:rPr>
          <w:lang w:val="en-GB"/>
        </w:rPr>
        <w:t xml:space="preserve"> </w:t>
      </w:r>
      <w:r>
        <w:rPr>
          <w:lang w:val="en-GB"/>
        </w:rPr>
        <w:t>I</w:t>
      </w:r>
      <w:r w:rsidR="00966323">
        <w:rPr>
          <w:lang w:val="en-GB"/>
        </w:rPr>
        <w:t xml:space="preserve">f </w:t>
      </w:r>
      <w:r>
        <w:rPr>
          <w:lang w:val="en-GB"/>
        </w:rPr>
        <w:t>it</w:t>
      </w:r>
      <w:r w:rsidR="00966323">
        <w:rPr>
          <w:lang w:val="en-GB"/>
        </w:rPr>
        <w:t xml:space="preserve"> do</w:t>
      </w:r>
      <w:r>
        <w:rPr>
          <w:lang w:val="en-GB"/>
        </w:rPr>
        <w:t>es</w:t>
      </w:r>
      <w:r w:rsidR="00966323">
        <w:rPr>
          <w:lang w:val="en-GB"/>
        </w:rPr>
        <w:t xml:space="preserve"> not</w:t>
      </w:r>
      <w:r>
        <w:rPr>
          <w:lang w:val="en-GB"/>
        </w:rPr>
        <w:t>,</w:t>
      </w:r>
      <w:r w:rsidR="00966323">
        <w:rPr>
          <w:lang w:val="en-GB"/>
        </w:rPr>
        <w:t xml:space="preserve"> NDIS expenses would be expected to be higher than those shown at this review</w:t>
      </w:r>
      <w:r w:rsidR="004B375F" w:rsidRPr="00A33264">
        <w:rPr>
          <w:lang w:val="en-GB"/>
        </w:rPr>
        <w:t xml:space="preserve">. In the 2024–25 Budget, </w:t>
      </w:r>
      <w:r w:rsidR="00586997">
        <w:rPr>
          <w:lang w:val="en-GB"/>
        </w:rPr>
        <w:t>NDIA</w:t>
      </w:r>
      <w:r w:rsidR="00586997" w:rsidRPr="00A33264">
        <w:rPr>
          <w:lang w:val="en-GB"/>
        </w:rPr>
        <w:t xml:space="preserve"> </w:t>
      </w:r>
      <w:r w:rsidR="004B375F" w:rsidRPr="00A33264">
        <w:rPr>
          <w:lang w:val="en-GB"/>
        </w:rPr>
        <w:t xml:space="preserve">operating expenses reduce by 35% in 2025–26. </w:t>
      </w:r>
    </w:p>
    <w:p w14:paraId="012A87E4" w14:textId="23AADF54" w:rsidR="00CC73B2" w:rsidRPr="00CC73B2" w:rsidRDefault="00966323" w:rsidP="00CC73B2">
      <w:r>
        <w:rPr>
          <w:lang w:val="en-GB"/>
        </w:rPr>
        <w:t xml:space="preserve">More discussion </w:t>
      </w:r>
      <w:r w:rsidR="00AF2B54">
        <w:rPr>
          <w:lang w:val="en-GB"/>
        </w:rPr>
        <w:t>on</w:t>
      </w:r>
      <w:r>
        <w:rPr>
          <w:lang w:val="en-GB"/>
        </w:rPr>
        <w:t xml:space="preserve"> recent NDIS experience, the June 2024 projection results and the assumptions underlying the projections is in the 2023</w:t>
      </w:r>
      <w:r w:rsidR="00760DED">
        <w:rPr>
          <w:lang w:val="en-GB"/>
        </w:rPr>
        <w:t>–</w:t>
      </w:r>
      <w:r>
        <w:rPr>
          <w:lang w:val="en-GB"/>
        </w:rPr>
        <w:t>24 AFSR.</w:t>
      </w:r>
      <w:bookmarkStart w:id="268" w:name="_Toc169592970"/>
      <w:bookmarkStart w:id="269" w:name="_Toc174354195"/>
      <w:bookmarkStart w:id="270" w:name="_Toc175316899"/>
      <w:bookmarkStart w:id="271" w:name="_Toc176786390"/>
      <w:r w:rsidR="00CC73B2" w:rsidRPr="00CC73B2">
        <w:br w:type="page"/>
      </w:r>
    </w:p>
    <w:p w14:paraId="764A0ADD" w14:textId="1CFBC112" w:rsidR="00D7463A" w:rsidRPr="00A33264" w:rsidRDefault="00D7463A" w:rsidP="00D7463A">
      <w:pPr>
        <w:pStyle w:val="Heading3"/>
        <w:rPr>
          <w:lang w:val="en-GB"/>
        </w:rPr>
      </w:pPr>
      <w:bookmarkStart w:id="272" w:name="_Toc180505672"/>
      <w:r w:rsidRPr="00A33264">
        <w:rPr>
          <w:lang w:val="en-GB"/>
        </w:rPr>
        <w:lastRenderedPageBreak/>
        <w:t>Letter from Independent Actuary</w:t>
      </w:r>
      <w:bookmarkEnd w:id="268"/>
      <w:bookmarkEnd w:id="269"/>
      <w:bookmarkEnd w:id="270"/>
      <w:bookmarkEnd w:id="271"/>
      <w:bookmarkEnd w:id="272"/>
    </w:p>
    <w:p w14:paraId="7C243CD1" w14:textId="38BC798C" w:rsidR="00D7463A" w:rsidRPr="00A33264" w:rsidRDefault="00CC73B2" w:rsidP="00D7463A">
      <w:pPr>
        <w:rPr>
          <w:lang w:val="en-GB"/>
        </w:rPr>
      </w:pPr>
      <w:r>
        <w:rPr>
          <w:noProof/>
        </w:rPr>
        <w:drawing>
          <wp:inline distT="0" distB="0" distL="0" distR="0" wp14:anchorId="0013D61E" wp14:editId="2193F41E">
            <wp:extent cx="5448300" cy="7686675"/>
            <wp:effectExtent l="0" t="0" r="0" b="9525"/>
            <wp:docPr id="590880903" name="Picture 1" descr="A letter from the Australian Government Actuary confirming his review of the June 2024 financial sustainabilit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880903" name="Picture 1" descr="A letter from the Australian Government Actuary confirming his review of the June 2024 financial sustainability report."/>
                    <pic:cNvPicPr/>
                  </pic:nvPicPr>
                  <pic:blipFill>
                    <a:blip r:embed="rId63"/>
                    <a:stretch>
                      <a:fillRect/>
                    </a:stretch>
                  </pic:blipFill>
                  <pic:spPr>
                    <a:xfrm>
                      <a:off x="0" y="0"/>
                      <a:ext cx="5448300" cy="7686675"/>
                    </a:xfrm>
                    <a:prstGeom prst="rect">
                      <a:avLst/>
                    </a:prstGeom>
                  </pic:spPr>
                </pic:pic>
              </a:graphicData>
            </a:graphic>
          </wp:inline>
        </w:drawing>
      </w:r>
    </w:p>
    <w:p w14:paraId="45D44011" w14:textId="77777777" w:rsidR="00E70ACE" w:rsidRPr="00A33264" w:rsidRDefault="00E70ACE" w:rsidP="00D7463A">
      <w:pPr>
        <w:pStyle w:val="Heading2"/>
        <w:rPr>
          <w:lang w:val="en-GB"/>
        </w:rPr>
        <w:sectPr w:rsidR="00E70ACE" w:rsidRPr="00A33264" w:rsidSect="004B52CB">
          <w:headerReference w:type="default" r:id="rId64"/>
          <w:headerReference w:type="first" r:id="rId65"/>
          <w:pgSz w:w="11906" w:h="16838" w:code="9"/>
          <w:pgMar w:top="1361" w:right="1361" w:bottom="1361" w:left="1361" w:header="561" w:footer="374" w:gutter="0"/>
          <w:cols w:space="708"/>
          <w:titlePg/>
          <w:docGrid w:linePitch="360"/>
        </w:sectPr>
      </w:pPr>
      <w:bookmarkStart w:id="273" w:name="_Toc169592971"/>
      <w:bookmarkStart w:id="274" w:name="_Toc174354196"/>
      <w:bookmarkStart w:id="275" w:name="_Toc174354232"/>
    </w:p>
    <w:p w14:paraId="28450D84" w14:textId="2D978935" w:rsidR="00D7463A" w:rsidRPr="00A33264" w:rsidRDefault="00D7463A" w:rsidP="00D7463A">
      <w:pPr>
        <w:pStyle w:val="Heading2"/>
        <w:rPr>
          <w:lang w:val="en-GB"/>
        </w:rPr>
      </w:pPr>
      <w:bookmarkStart w:id="276" w:name="_Toc175316900"/>
      <w:bookmarkStart w:id="277" w:name="_Toc176786391"/>
      <w:bookmarkStart w:id="278" w:name="_Toc180505673"/>
      <w:r w:rsidRPr="00A33264">
        <w:rPr>
          <w:lang w:val="en-GB"/>
        </w:rPr>
        <w:lastRenderedPageBreak/>
        <w:t>Management and accountability</w:t>
      </w:r>
      <w:bookmarkEnd w:id="273"/>
      <w:bookmarkEnd w:id="274"/>
      <w:bookmarkEnd w:id="275"/>
      <w:bookmarkEnd w:id="276"/>
      <w:bookmarkEnd w:id="277"/>
      <w:bookmarkEnd w:id="278"/>
    </w:p>
    <w:p w14:paraId="6ABA5C12" w14:textId="4E846375" w:rsidR="00D7463A" w:rsidRPr="00A33264" w:rsidRDefault="00D7463A" w:rsidP="00D7463A">
      <w:pPr>
        <w:pStyle w:val="Heading3"/>
        <w:rPr>
          <w:lang w:val="en-GB"/>
        </w:rPr>
      </w:pPr>
      <w:bookmarkStart w:id="279" w:name="_Toc169592972"/>
      <w:bookmarkStart w:id="280" w:name="_Toc174354197"/>
      <w:bookmarkStart w:id="281" w:name="_Toc175316901"/>
      <w:bookmarkStart w:id="282" w:name="_Toc176786392"/>
      <w:bookmarkStart w:id="283" w:name="_Toc180505674"/>
      <w:r w:rsidRPr="00A33264">
        <w:rPr>
          <w:lang w:val="en-GB"/>
        </w:rPr>
        <w:t>Governance</w:t>
      </w:r>
      <w:bookmarkEnd w:id="279"/>
      <w:bookmarkEnd w:id="280"/>
      <w:bookmarkEnd w:id="281"/>
      <w:bookmarkEnd w:id="282"/>
      <w:bookmarkEnd w:id="283"/>
    </w:p>
    <w:p w14:paraId="1BEA7ED8" w14:textId="26376B58" w:rsidR="0047222D" w:rsidRPr="00A33264" w:rsidRDefault="0047222D" w:rsidP="0047222D">
      <w:pPr>
        <w:rPr>
          <w:lang w:val="en-GB"/>
        </w:rPr>
      </w:pPr>
      <w:r w:rsidRPr="00A33264">
        <w:rPr>
          <w:lang w:val="en-GB"/>
        </w:rPr>
        <w:t xml:space="preserve">The governance model for the NDIA is set out in the </w:t>
      </w:r>
      <w:r w:rsidR="004E5432">
        <w:rPr>
          <w:i/>
          <w:iCs/>
          <w:lang w:val="en-GB"/>
        </w:rPr>
        <w:t xml:space="preserve">National Disability Insurance Scheme Act 2013 </w:t>
      </w:r>
      <w:r w:rsidR="004E5432">
        <w:rPr>
          <w:lang w:val="en-GB"/>
        </w:rPr>
        <w:t>(Cth) (</w:t>
      </w:r>
      <w:r w:rsidRPr="00A33264">
        <w:rPr>
          <w:lang w:val="en-GB"/>
        </w:rPr>
        <w:t>NDIS Act</w:t>
      </w:r>
      <w:r w:rsidR="004E5432">
        <w:rPr>
          <w:lang w:val="en-GB"/>
        </w:rPr>
        <w:t>)</w:t>
      </w:r>
      <w:r w:rsidR="007D4FB6">
        <w:rPr>
          <w:lang w:val="en-GB"/>
        </w:rPr>
        <w:t xml:space="preserve"> and outlined below</w:t>
      </w:r>
      <w:r w:rsidRPr="00A33264">
        <w:rPr>
          <w:lang w:val="en-GB"/>
        </w:rPr>
        <w:t>.</w:t>
      </w:r>
    </w:p>
    <w:p w14:paraId="78537387" w14:textId="7C5526DB" w:rsidR="0047222D" w:rsidRPr="00A33264" w:rsidRDefault="0047222D" w:rsidP="0047222D">
      <w:pPr>
        <w:rPr>
          <w:u w:val="single"/>
          <w:lang w:val="en-GB"/>
        </w:rPr>
      </w:pPr>
      <w:r w:rsidRPr="00A33264">
        <w:rPr>
          <w:u w:val="single"/>
          <w:lang w:val="en-GB"/>
        </w:rPr>
        <w:t xml:space="preserve">Figure </w:t>
      </w:r>
      <w:r w:rsidR="0035317C">
        <w:rPr>
          <w:u w:val="single"/>
          <w:lang w:val="en-GB"/>
        </w:rPr>
        <w:t>2</w:t>
      </w:r>
      <w:r w:rsidRPr="00A33264">
        <w:rPr>
          <w:u w:val="single"/>
          <w:lang w:val="en-GB"/>
        </w:rPr>
        <w:t xml:space="preserve">: </w:t>
      </w:r>
      <w:r w:rsidR="007D4FB6">
        <w:rPr>
          <w:u w:val="single"/>
          <w:lang w:val="en-GB"/>
        </w:rPr>
        <w:t>NDIA</w:t>
      </w:r>
      <w:r w:rsidR="007D4FB6" w:rsidRPr="00A33264">
        <w:rPr>
          <w:u w:val="single"/>
          <w:lang w:val="en-GB"/>
        </w:rPr>
        <w:t xml:space="preserve"> </w:t>
      </w:r>
      <w:r w:rsidRPr="00A33264">
        <w:rPr>
          <w:u w:val="single"/>
          <w:lang w:val="en-GB"/>
        </w:rPr>
        <w:t>governance</w:t>
      </w:r>
    </w:p>
    <w:p w14:paraId="2E60E2C4" w14:textId="3A0F9F6F" w:rsidR="0047222D" w:rsidRPr="00A33264" w:rsidRDefault="0047222D" w:rsidP="0047222D">
      <w:pPr>
        <w:rPr>
          <w:u w:val="single"/>
          <w:lang w:val="en-GB"/>
        </w:rPr>
      </w:pPr>
      <w:r w:rsidRPr="00A33264">
        <w:rPr>
          <w:rFonts w:eastAsia="DengXian"/>
          <w:noProof/>
          <w:lang w:val="en-GB" w:eastAsia="en-AU"/>
        </w:rPr>
        <w:drawing>
          <wp:inline distT="0" distB="0" distL="0" distR="0" wp14:anchorId="0464271D" wp14:editId="28123B88">
            <wp:extent cx="5715000" cy="2289534"/>
            <wp:effectExtent l="0" t="0" r="0" b="0"/>
            <wp:docPr id="1" name="Picture 1" descr="A diagram showing the Agency governance model. This is in 3 layers. At the top there is Federal Parliament (Commonwealth Minister) and the Ministerial Council.&#10;The second level is the NDIA Board and the Independent Advisory Council.&#10;The third level is the NDIA C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showing the Agency governance model. This is in 3 layers. At the top there is Federal Parliament (Commonwealth Minister) and the Ministerial Council.&#10;The second level is the NDIA Board and the Independent Advisory Council.&#10;The third level is the NDIA CEO."/>
                    <pic:cNvPicPr>
                      <a:picLocks noChangeAspect="1" noChangeArrowheads="1"/>
                    </pic:cNvPicPr>
                  </pic:nvPicPr>
                  <pic:blipFill rotWithShape="1">
                    <a:blip r:embed="rId66">
                      <a:extLst>
                        <a:ext uri="{28A0092B-C50C-407E-A947-70E740481C1C}">
                          <a14:useLocalDpi xmlns:a14="http://schemas.microsoft.com/office/drawing/2010/main" val="0"/>
                        </a:ext>
                      </a:extLst>
                    </a:blip>
                    <a:srcRect l="12381" r="12270"/>
                    <a:stretch/>
                  </pic:blipFill>
                  <pic:spPr bwMode="auto">
                    <a:xfrm>
                      <a:off x="0" y="0"/>
                      <a:ext cx="5727907" cy="2294705"/>
                    </a:xfrm>
                    <a:prstGeom prst="rect">
                      <a:avLst/>
                    </a:prstGeom>
                    <a:noFill/>
                    <a:ln>
                      <a:noFill/>
                    </a:ln>
                    <a:extLst>
                      <a:ext uri="{53640926-AAD7-44D8-BBD7-CCE9431645EC}">
                        <a14:shadowObscured xmlns:a14="http://schemas.microsoft.com/office/drawing/2010/main"/>
                      </a:ext>
                    </a:extLst>
                  </pic:spPr>
                </pic:pic>
              </a:graphicData>
            </a:graphic>
          </wp:inline>
        </w:drawing>
      </w:r>
    </w:p>
    <w:p w14:paraId="0FFCB92D" w14:textId="463635BD" w:rsidR="00D7463A" w:rsidRPr="00A33264" w:rsidRDefault="005E78D1" w:rsidP="00D7463A">
      <w:pPr>
        <w:pStyle w:val="Heading4"/>
        <w:rPr>
          <w:lang w:val="en-GB"/>
        </w:rPr>
      </w:pPr>
      <w:bookmarkStart w:id="284" w:name="_Toc169592973"/>
      <w:r>
        <w:rPr>
          <w:lang w:val="en-GB"/>
        </w:rPr>
        <w:t>Minister</w:t>
      </w:r>
      <w:bookmarkEnd w:id="284"/>
      <w:r>
        <w:rPr>
          <w:lang w:val="en-GB"/>
        </w:rPr>
        <w:t xml:space="preserve"> for the NDIS</w:t>
      </w:r>
    </w:p>
    <w:p w14:paraId="141A80FF" w14:textId="6254D3AF" w:rsidR="006520F1" w:rsidRPr="00A33264" w:rsidRDefault="005E78D1" w:rsidP="006520F1">
      <w:pPr>
        <w:rPr>
          <w:lang w:val="en-GB"/>
        </w:rPr>
      </w:pPr>
      <w:r w:rsidRPr="005E78D1">
        <w:rPr>
          <w:lang w:val="en-GB"/>
        </w:rPr>
        <w:t>On 30 June 2024 the responsible minister for the NDIS was the Hon Bill Shorten MP.</w:t>
      </w:r>
    </w:p>
    <w:p w14:paraId="631312B6" w14:textId="57D3617F" w:rsidR="00D7463A" w:rsidRPr="00A33264" w:rsidRDefault="006520F1" w:rsidP="006520F1">
      <w:pPr>
        <w:rPr>
          <w:lang w:val="en-GB"/>
        </w:rPr>
      </w:pPr>
      <w:r w:rsidRPr="00A33264">
        <w:rPr>
          <w:lang w:val="en-GB"/>
        </w:rPr>
        <w:t>The Minister for the NDIS is responsible for administering the NDIS Act and, with the agreement of states and territories, exercises statutory powers, including the power to make delegated legislation in the form of NDIS Rules and to direct the NDIA.</w:t>
      </w:r>
    </w:p>
    <w:p w14:paraId="333DC09D" w14:textId="220F1D7A" w:rsidR="00D7463A" w:rsidRPr="00A33264" w:rsidRDefault="00704E0E" w:rsidP="00D7463A">
      <w:pPr>
        <w:pStyle w:val="Heading4"/>
        <w:rPr>
          <w:lang w:val="en-GB"/>
        </w:rPr>
      </w:pPr>
      <w:bookmarkStart w:id="285" w:name="_Toc169592974"/>
      <w:r w:rsidRPr="00880C4D">
        <w:rPr>
          <w:lang w:val="en-GB"/>
        </w:rPr>
        <w:t>Disability Reform</w:t>
      </w:r>
      <w:r>
        <w:rPr>
          <w:lang w:val="en-GB"/>
        </w:rPr>
        <w:t xml:space="preserve"> </w:t>
      </w:r>
      <w:r w:rsidR="00D7463A" w:rsidRPr="00A33264">
        <w:rPr>
          <w:lang w:val="en-GB"/>
        </w:rPr>
        <w:t>Ministerial Council</w:t>
      </w:r>
      <w:bookmarkEnd w:id="285"/>
    </w:p>
    <w:p w14:paraId="3BFD71D1" w14:textId="4E876B9C" w:rsidR="00D7463A" w:rsidRPr="00A33264" w:rsidRDefault="00CC2BD5" w:rsidP="00D7463A">
      <w:pPr>
        <w:rPr>
          <w:lang w:val="en-GB"/>
        </w:rPr>
      </w:pPr>
      <w:r w:rsidRPr="00A33264">
        <w:rPr>
          <w:lang w:val="en-GB"/>
        </w:rPr>
        <w:t>Commonwealth and state and territory ministers with responsibility for disability policy meet regularly through the Disability Reform Ministerial Council</w:t>
      </w:r>
      <w:r w:rsidR="004E5432">
        <w:rPr>
          <w:lang w:val="en-GB"/>
        </w:rPr>
        <w:t xml:space="preserve"> (Ministerial Council)</w:t>
      </w:r>
      <w:r w:rsidRPr="00A33264">
        <w:rPr>
          <w:lang w:val="en-GB"/>
        </w:rPr>
        <w:t>. The Ministerial Council discuss</w:t>
      </w:r>
      <w:r w:rsidR="009B61F9" w:rsidRPr="00A33264">
        <w:rPr>
          <w:lang w:val="en-GB"/>
        </w:rPr>
        <w:t>es</w:t>
      </w:r>
      <w:r w:rsidRPr="00A33264">
        <w:rPr>
          <w:lang w:val="en-GB"/>
        </w:rPr>
        <w:t xml:space="preserve"> ways to improve and implement policy through Australia’s Disability Strategy and the </w:t>
      </w:r>
      <w:r w:rsidR="001A6947">
        <w:rPr>
          <w:lang w:val="en-GB"/>
        </w:rPr>
        <w:t>NDIS</w:t>
      </w:r>
      <w:r w:rsidRPr="00A33264">
        <w:rPr>
          <w:lang w:val="en-GB"/>
        </w:rPr>
        <w:t xml:space="preserve">. </w:t>
      </w:r>
      <w:r w:rsidR="004E5432">
        <w:rPr>
          <w:lang w:val="en-GB"/>
        </w:rPr>
        <w:t>It</w:t>
      </w:r>
      <w:r w:rsidRPr="00A33264">
        <w:rPr>
          <w:lang w:val="en-GB"/>
        </w:rPr>
        <w:t xml:space="preserve"> reports to National Cabinet.</w:t>
      </w:r>
    </w:p>
    <w:p w14:paraId="3A6477DD" w14:textId="77F6B9A9" w:rsidR="00D7463A" w:rsidRPr="00A33264" w:rsidRDefault="00ED204F" w:rsidP="00D7463A">
      <w:pPr>
        <w:pStyle w:val="Heading3"/>
        <w:rPr>
          <w:lang w:val="en-GB"/>
        </w:rPr>
      </w:pPr>
      <w:bookmarkStart w:id="286" w:name="_Toc169592975"/>
      <w:bookmarkStart w:id="287" w:name="_Toc174354198"/>
      <w:bookmarkStart w:id="288" w:name="_Toc175316902"/>
      <w:bookmarkStart w:id="289" w:name="_Toc176786393"/>
      <w:bookmarkStart w:id="290" w:name="_Toc180505675"/>
      <w:r>
        <w:rPr>
          <w:lang w:val="en-GB"/>
        </w:rPr>
        <w:t xml:space="preserve">NDIA </w:t>
      </w:r>
      <w:r w:rsidR="00D7463A" w:rsidRPr="00A33264">
        <w:rPr>
          <w:lang w:val="en-GB"/>
        </w:rPr>
        <w:t>Board</w:t>
      </w:r>
      <w:bookmarkEnd w:id="286"/>
      <w:bookmarkEnd w:id="287"/>
      <w:bookmarkEnd w:id="288"/>
      <w:bookmarkEnd w:id="289"/>
      <w:bookmarkEnd w:id="290"/>
    </w:p>
    <w:p w14:paraId="438F3E63" w14:textId="69592F82" w:rsidR="006418CC" w:rsidRDefault="002B17B8" w:rsidP="006418CC">
      <w:pPr>
        <w:rPr>
          <w:lang w:val="en-GB"/>
        </w:rPr>
      </w:pPr>
      <w:r w:rsidRPr="5DD3BBE8">
        <w:t xml:space="preserve">The NDIA is overseen by the NDIA Board, the accountable authority under the </w:t>
      </w:r>
      <w:r w:rsidR="004E5432" w:rsidRPr="5DD3BBE8">
        <w:rPr>
          <w:i/>
        </w:rPr>
        <w:t>Public Governance, Performance and Accountability Act 2013</w:t>
      </w:r>
      <w:r w:rsidR="004E5432" w:rsidRPr="5DD3BBE8">
        <w:t xml:space="preserve"> (Cth) (PGPA Act) (see Table 3 for details of accountable authority).</w:t>
      </w:r>
      <w:r w:rsidR="006418CC">
        <w:rPr>
          <w:lang w:val="en-GB"/>
        </w:rPr>
        <w:br w:type="page"/>
      </w:r>
    </w:p>
    <w:p w14:paraId="7B3104DB" w14:textId="07BB9D53" w:rsidR="0047222D" w:rsidRPr="00A33264" w:rsidRDefault="002B17B8" w:rsidP="00C3116F">
      <w:pPr>
        <w:rPr>
          <w:lang w:val="en-GB"/>
        </w:rPr>
      </w:pPr>
      <w:r w:rsidRPr="00A33264">
        <w:rPr>
          <w:lang w:val="en-GB"/>
        </w:rPr>
        <w:lastRenderedPageBreak/>
        <w:t>Under</w:t>
      </w:r>
      <w:r w:rsidR="0047222D" w:rsidRPr="00A33264">
        <w:rPr>
          <w:lang w:val="en-GB"/>
        </w:rPr>
        <w:t xml:space="preserve"> section 124 of the NDIS Act, the Board operates to:</w:t>
      </w:r>
    </w:p>
    <w:p w14:paraId="22944D55" w14:textId="4A67BA03" w:rsidR="0047222D" w:rsidRPr="00A33264" w:rsidRDefault="0047222D" w:rsidP="0047222D">
      <w:pPr>
        <w:pStyle w:val="Bullet1"/>
        <w:rPr>
          <w:lang w:val="en-GB"/>
        </w:rPr>
      </w:pPr>
      <w:r w:rsidRPr="00A33264">
        <w:rPr>
          <w:lang w:val="en-GB"/>
        </w:rPr>
        <w:t>ensure the proper, efficient and effective performance of the NDIA’s functions</w:t>
      </w:r>
    </w:p>
    <w:p w14:paraId="2E678587" w14:textId="2F075703" w:rsidR="0047222D" w:rsidRPr="00A33264" w:rsidRDefault="0047222D" w:rsidP="0047222D">
      <w:pPr>
        <w:pStyle w:val="Bullet1"/>
        <w:rPr>
          <w:lang w:val="en-GB"/>
        </w:rPr>
      </w:pPr>
      <w:r w:rsidRPr="00A33264">
        <w:rPr>
          <w:lang w:val="en-GB"/>
        </w:rPr>
        <w:t>determine objectives, strategies and policies to be followed by the NDIA</w:t>
      </w:r>
    </w:p>
    <w:p w14:paraId="547A691A" w14:textId="34DFB6F0" w:rsidR="0047222D" w:rsidRPr="00A33264" w:rsidRDefault="001A6947" w:rsidP="0047222D">
      <w:pPr>
        <w:pStyle w:val="Bullet1"/>
        <w:rPr>
          <w:lang w:val="en-GB"/>
        </w:rPr>
      </w:pPr>
      <w:r>
        <w:rPr>
          <w:lang w:val="en-GB"/>
        </w:rPr>
        <w:t xml:space="preserve">carry out </w:t>
      </w:r>
      <w:r w:rsidR="0047222D" w:rsidRPr="00A33264">
        <w:rPr>
          <w:lang w:val="en-GB"/>
        </w:rPr>
        <w:t xml:space="preserve">any other functions conferred on </w:t>
      </w:r>
      <w:r>
        <w:rPr>
          <w:lang w:val="en-GB"/>
        </w:rPr>
        <w:t>it</w:t>
      </w:r>
      <w:r w:rsidR="0047222D" w:rsidRPr="00A33264">
        <w:rPr>
          <w:lang w:val="en-GB"/>
        </w:rPr>
        <w:t xml:space="preserve"> by or under the NDIS Act, regulations or instruments made under the NDIS Act, or any other law of the Commonwealth.</w:t>
      </w:r>
    </w:p>
    <w:p w14:paraId="771EFB36" w14:textId="50BE76AC" w:rsidR="0047222D" w:rsidRPr="00A33264" w:rsidRDefault="0047222D" w:rsidP="0047222D">
      <w:pPr>
        <w:rPr>
          <w:lang w:val="en-GB"/>
        </w:rPr>
      </w:pPr>
      <w:r w:rsidRPr="00A33264">
        <w:rPr>
          <w:lang w:val="en-GB"/>
        </w:rPr>
        <w:t xml:space="preserve">Board members are appointed by the responsible Commonwealth </w:t>
      </w:r>
      <w:r w:rsidR="001A6947">
        <w:rPr>
          <w:lang w:val="en-GB"/>
        </w:rPr>
        <w:t>m</w:t>
      </w:r>
      <w:r w:rsidRPr="00A33264">
        <w:rPr>
          <w:lang w:val="en-GB"/>
        </w:rPr>
        <w:t>inister in consultation with the Disability Ministers of each state and territory. In 2023–24 Board appointments were made by the Minister for the NDIS.</w:t>
      </w:r>
    </w:p>
    <w:p w14:paraId="7A982E9D" w14:textId="77777777" w:rsidR="0047222D" w:rsidRPr="00A33264" w:rsidRDefault="0047222D" w:rsidP="0047222D">
      <w:pPr>
        <w:rPr>
          <w:lang w:val="en-GB"/>
        </w:rPr>
      </w:pPr>
      <w:r w:rsidRPr="00A33264">
        <w:rPr>
          <w:lang w:val="en-GB"/>
        </w:rPr>
        <w:t>The Board undertakes an annual review of its functions and committees as part of its commitment to best practice corporate governance. This includes:</w:t>
      </w:r>
    </w:p>
    <w:p w14:paraId="3B4141BC" w14:textId="7858C62C" w:rsidR="0047222D" w:rsidRPr="00A33264" w:rsidRDefault="0047222D" w:rsidP="0047222D">
      <w:pPr>
        <w:pStyle w:val="Bullet1"/>
        <w:rPr>
          <w:lang w:val="en-GB"/>
        </w:rPr>
      </w:pPr>
      <w:r w:rsidRPr="00A33264">
        <w:rPr>
          <w:lang w:val="en-GB"/>
        </w:rPr>
        <w:t xml:space="preserve">review of Board committee charters to ensure the focus and work effort of the committees uphold the Board’s responsibility as </w:t>
      </w:r>
      <w:r w:rsidR="001A6947">
        <w:rPr>
          <w:lang w:val="en-GB"/>
        </w:rPr>
        <w:t>the</w:t>
      </w:r>
      <w:r w:rsidRPr="00A33264">
        <w:rPr>
          <w:lang w:val="en-GB"/>
        </w:rPr>
        <w:t xml:space="preserve"> accountability authority of the NDIA</w:t>
      </w:r>
    </w:p>
    <w:p w14:paraId="7352F332" w14:textId="73350050" w:rsidR="00D7463A" w:rsidRPr="00A33264" w:rsidRDefault="0047222D" w:rsidP="0047222D">
      <w:pPr>
        <w:pStyle w:val="Bullet1"/>
        <w:rPr>
          <w:lang w:val="en-GB"/>
        </w:rPr>
      </w:pPr>
      <w:r w:rsidRPr="00A33264">
        <w:rPr>
          <w:lang w:val="en-GB"/>
        </w:rPr>
        <w:t>review of committee membership to ensure members have appropriate qualifications, knowledge, skills or experience to assist each committee to perform its functions.</w:t>
      </w:r>
    </w:p>
    <w:p w14:paraId="6774CBE1" w14:textId="1825B955" w:rsidR="002B17B8" w:rsidRDefault="002B17B8" w:rsidP="00A9438A">
      <w:pPr>
        <w:rPr>
          <w:lang w:val="en-GB"/>
        </w:rPr>
      </w:pPr>
      <w:r w:rsidRPr="00A33264">
        <w:rPr>
          <w:lang w:val="en-GB"/>
        </w:rPr>
        <w:t xml:space="preserve">The Board receives advice from the Independent Advisory Council and the Scheme Actuary, </w:t>
      </w:r>
      <w:r w:rsidR="004E5CA0">
        <w:rPr>
          <w:lang w:val="en-GB"/>
        </w:rPr>
        <w:t>in accordance with the</w:t>
      </w:r>
      <w:r w:rsidRPr="00A33264">
        <w:rPr>
          <w:lang w:val="en-GB"/>
        </w:rPr>
        <w:t xml:space="preserve"> functions and duties </w:t>
      </w:r>
      <w:r w:rsidR="004E5CA0">
        <w:rPr>
          <w:lang w:val="en-GB"/>
        </w:rPr>
        <w:t>outlined in</w:t>
      </w:r>
      <w:r w:rsidRPr="00A33264">
        <w:rPr>
          <w:lang w:val="en-GB"/>
        </w:rPr>
        <w:t xml:space="preserve"> the NDIS Act.</w:t>
      </w:r>
    </w:p>
    <w:p w14:paraId="1F306076" w14:textId="00708820" w:rsidR="004E5432" w:rsidRPr="00A33264" w:rsidRDefault="004E5432" w:rsidP="00A9438A">
      <w:pPr>
        <w:rPr>
          <w:lang w:val="en-GB"/>
        </w:rPr>
      </w:pPr>
      <w:r>
        <w:rPr>
          <w:lang w:val="en-GB"/>
        </w:rPr>
        <w:t>See Table 5 for details on Board member attendance at meetings.</w:t>
      </w:r>
    </w:p>
    <w:p w14:paraId="61E6EE5B" w14:textId="56AD9FC4" w:rsidR="00D7463A" w:rsidRPr="00A33264" w:rsidRDefault="00280054" w:rsidP="00D7463A">
      <w:pPr>
        <w:pStyle w:val="Heading4"/>
        <w:rPr>
          <w:lang w:val="en-GB"/>
        </w:rPr>
      </w:pPr>
      <w:r w:rsidRPr="00A33264">
        <w:rPr>
          <w:lang w:val="en-GB"/>
        </w:rPr>
        <w:t>Members as at 30 June 2024</w:t>
      </w:r>
    </w:p>
    <w:p w14:paraId="3DF42FD9" w14:textId="2C718ED4" w:rsidR="0047222D" w:rsidRPr="00A33264" w:rsidRDefault="0047222D" w:rsidP="00D7463A">
      <w:pPr>
        <w:rPr>
          <w:lang w:val="en-GB"/>
        </w:rPr>
      </w:pPr>
      <w:r w:rsidRPr="00A33264">
        <w:rPr>
          <w:noProof/>
          <w:lang w:val="en-GB"/>
          <w14:ligatures w14:val="standardContextual"/>
        </w:rPr>
        <w:drawing>
          <wp:inline distT="0" distB="0" distL="0" distR="0" wp14:anchorId="1B811ED4" wp14:editId="43886D41">
            <wp:extent cx="1256400" cy="1893600"/>
            <wp:effectExtent l="0" t="0" r="1270" b="0"/>
            <wp:docPr id="934161242" name="Picture 934161242" descr="A photograph of Mr Kurt Fearnley AO, Chair of the Boar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61242" name="Picture 934161242" descr="A photograph of Mr Kurt Fearnley AO, Chair of the Board.">
                      <a:extLst>
                        <a:ext uri="{C183D7F6-B498-43B3-948B-1728B52AA6E4}">
                          <adec:decorative xmlns:adec="http://schemas.microsoft.com/office/drawing/2017/decorative" val="0"/>
                        </a:ext>
                      </a:extLst>
                    </pic:cNvPr>
                    <pic:cNvPicPr/>
                  </pic:nvPicPr>
                  <pic:blipFill>
                    <a:blip r:embed="rId67">
                      <a:extLst>
                        <a:ext uri="{28A0092B-C50C-407E-A947-70E740481C1C}">
                          <a14:useLocalDpi xmlns:a14="http://schemas.microsoft.com/office/drawing/2010/main" val="0"/>
                        </a:ext>
                      </a:extLst>
                    </a:blip>
                    <a:stretch>
                      <a:fillRect/>
                    </a:stretch>
                  </pic:blipFill>
                  <pic:spPr>
                    <a:xfrm>
                      <a:off x="0" y="0"/>
                      <a:ext cx="1256400" cy="1893600"/>
                    </a:xfrm>
                    <a:prstGeom prst="rect">
                      <a:avLst/>
                    </a:prstGeom>
                  </pic:spPr>
                </pic:pic>
              </a:graphicData>
            </a:graphic>
          </wp:inline>
        </w:drawing>
      </w:r>
    </w:p>
    <w:p w14:paraId="1B518633" w14:textId="77777777" w:rsidR="0047222D" w:rsidRPr="00A33264" w:rsidRDefault="0047222D" w:rsidP="0047222D">
      <w:pPr>
        <w:rPr>
          <w:b/>
          <w:lang w:val="en-GB"/>
        </w:rPr>
      </w:pPr>
      <w:r w:rsidRPr="00A33264">
        <w:rPr>
          <w:b/>
          <w:lang w:val="en-GB"/>
        </w:rPr>
        <w:t xml:space="preserve">Mr Kurt Fearnley AO, Chair </w:t>
      </w:r>
    </w:p>
    <w:p w14:paraId="21960961" w14:textId="77777777" w:rsidR="0047222D" w:rsidRPr="00A33264" w:rsidRDefault="0047222D" w:rsidP="0047222D">
      <w:pPr>
        <w:rPr>
          <w:bCs/>
          <w:lang w:val="en-GB"/>
        </w:rPr>
      </w:pPr>
      <w:r w:rsidRPr="00A33264">
        <w:rPr>
          <w:bCs/>
          <w:lang w:val="en-GB"/>
        </w:rPr>
        <w:t>Mr Kurt Fearnley AO is an experienced government and non-government director and 5-time Australian Paralympian.</w:t>
      </w:r>
    </w:p>
    <w:p w14:paraId="13F28038" w14:textId="77777777" w:rsidR="0047222D" w:rsidRPr="00A33264" w:rsidRDefault="0047222D" w:rsidP="0047222D">
      <w:pPr>
        <w:rPr>
          <w:bCs/>
          <w:lang w:val="en-GB"/>
        </w:rPr>
      </w:pPr>
      <w:r w:rsidRPr="00A33264">
        <w:rPr>
          <w:bCs/>
          <w:lang w:val="en-GB"/>
        </w:rPr>
        <w:lastRenderedPageBreak/>
        <w:t>He is a current Board Commissioner of the Australian Sports Commission, Board Director of the Brisbane 2032 Olympic and Paralympic Organising Committee, and member of the NSW TAFE Commission Advisory Board.</w:t>
      </w:r>
    </w:p>
    <w:p w14:paraId="592D9DBD" w14:textId="2FD962AD" w:rsidR="0047222D" w:rsidRPr="00A33264" w:rsidRDefault="0047222D" w:rsidP="00482705">
      <w:pPr>
        <w:tabs>
          <w:tab w:val="left" w:pos="1560"/>
        </w:tabs>
        <w:rPr>
          <w:bCs/>
          <w:lang w:val="en-GB"/>
        </w:rPr>
      </w:pPr>
      <w:r w:rsidRPr="00A33264">
        <w:rPr>
          <w:bCs/>
          <w:lang w:val="en-GB"/>
        </w:rPr>
        <w:t>Mr Fearnley is a former member of the boards of several organisations</w:t>
      </w:r>
      <w:r w:rsidR="004E5432">
        <w:rPr>
          <w:bCs/>
          <w:lang w:val="en-GB"/>
        </w:rPr>
        <w:t>,</w:t>
      </w:r>
      <w:r w:rsidRPr="00A33264">
        <w:rPr>
          <w:bCs/>
          <w:lang w:val="en-GB"/>
        </w:rPr>
        <w:t xml:space="preserve"> including Paralympics Australia, Life Without Barriers, Australian Volunteers International and the Newcastle Permanent Charitable Foundation.</w:t>
      </w:r>
    </w:p>
    <w:p w14:paraId="46093ABE" w14:textId="77777777" w:rsidR="0047222D" w:rsidRPr="00A33264" w:rsidRDefault="0047222D" w:rsidP="0047222D">
      <w:pPr>
        <w:rPr>
          <w:bCs/>
          <w:lang w:val="en-GB"/>
        </w:rPr>
      </w:pPr>
      <w:r w:rsidRPr="00A33264">
        <w:rPr>
          <w:bCs/>
          <w:lang w:val="en-GB"/>
        </w:rPr>
        <w:t>He was a member of the inaugural NDIS Independent Advisory Council, was Vice Chairperson of the International Paralympic Committee Athletes’ Council, carried out a number of roles for the Gold Coast 2018 Commonwealth Games Organising Committee, and was Co-Captain of the Australian Paralympic Team at the Rio 2016 Paralympics.</w:t>
      </w:r>
    </w:p>
    <w:p w14:paraId="6B1F781E" w14:textId="30BEC15F" w:rsidR="0047222D" w:rsidRPr="00A33264" w:rsidRDefault="0047222D" w:rsidP="0047222D">
      <w:pPr>
        <w:rPr>
          <w:bCs/>
          <w:lang w:val="en-GB"/>
        </w:rPr>
      </w:pPr>
      <w:r w:rsidRPr="00A33264">
        <w:rPr>
          <w:bCs/>
          <w:lang w:val="en-GB"/>
        </w:rPr>
        <w:t xml:space="preserve">Mr Fearnley was </w:t>
      </w:r>
      <w:r w:rsidR="000A7258" w:rsidRPr="00A33264">
        <w:rPr>
          <w:bCs/>
          <w:lang w:val="en-GB"/>
        </w:rPr>
        <w:t>appointed</w:t>
      </w:r>
      <w:r w:rsidRPr="00A33264">
        <w:rPr>
          <w:bCs/>
          <w:lang w:val="en-GB"/>
        </w:rPr>
        <w:t xml:space="preserve"> an Officer of the Order of Australia (AO) in the General Division in 2018 for his distinguished service to people with disability; as a supporter of, and fundraiser for, Indigenous athletics and charitable organisations; and as a Paralympic athlete.</w:t>
      </w:r>
    </w:p>
    <w:p w14:paraId="315002B9" w14:textId="7A43B490" w:rsidR="0047222D" w:rsidRPr="00A33264" w:rsidRDefault="0047222D" w:rsidP="0047222D">
      <w:pPr>
        <w:rPr>
          <w:bCs/>
          <w:lang w:val="en-GB"/>
        </w:rPr>
      </w:pPr>
      <w:r w:rsidRPr="00A33264">
        <w:rPr>
          <w:bCs/>
          <w:lang w:val="en-GB"/>
        </w:rPr>
        <w:t xml:space="preserve">He was the 2019 NSW Australian of the Year and was awarded an </w:t>
      </w:r>
      <w:r w:rsidR="001A6947">
        <w:rPr>
          <w:bCs/>
          <w:lang w:val="en-GB"/>
        </w:rPr>
        <w:t>h</w:t>
      </w:r>
      <w:r w:rsidRPr="00A33264">
        <w:rPr>
          <w:bCs/>
          <w:lang w:val="en-GB"/>
        </w:rPr>
        <w:t xml:space="preserve">onorary </w:t>
      </w:r>
      <w:r w:rsidR="001A6947">
        <w:rPr>
          <w:bCs/>
          <w:lang w:val="en-GB"/>
        </w:rPr>
        <w:t>d</w:t>
      </w:r>
      <w:r w:rsidRPr="00A33264">
        <w:rPr>
          <w:bCs/>
          <w:lang w:val="en-GB"/>
        </w:rPr>
        <w:t>octorate from Griffith University for his contribution to sport and disability advocacy.</w:t>
      </w:r>
    </w:p>
    <w:p w14:paraId="6585355E" w14:textId="77777777" w:rsidR="0047222D" w:rsidRPr="00A33264" w:rsidRDefault="0047222D" w:rsidP="0047222D">
      <w:pPr>
        <w:rPr>
          <w:bCs/>
          <w:lang w:val="en-GB"/>
        </w:rPr>
      </w:pPr>
      <w:r w:rsidRPr="00A33264">
        <w:rPr>
          <w:bCs/>
          <w:lang w:val="en-GB"/>
        </w:rPr>
        <w:t>Mr Fearnley is a high-school teacher, television presenter, podcaster and broadcaster, and former professional wheelchair athlete.</w:t>
      </w:r>
    </w:p>
    <w:p w14:paraId="425D3FE6" w14:textId="77777777" w:rsidR="0047222D" w:rsidRPr="00A33264" w:rsidRDefault="0047222D" w:rsidP="0047222D">
      <w:pPr>
        <w:rPr>
          <w:bCs/>
          <w:lang w:val="en-GB"/>
        </w:rPr>
      </w:pPr>
      <w:r w:rsidRPr="00A33264">
        <w:rPr>
          <w:bCs/>
          <w:lang w:val="en-GB"/>
        </w:rPr>
        <w:t>Mr Fearnley commenced as Chair of the Board on 18 October 2022.</w:t>
      </w:r>
    </w:p>
    <w:p w14:paraId="0E6931D9" w14:textId="77777777" w:rsidR="0047222D" w:rsidRPr="00A33264" w:rsidRDefault="0047222D" w:rsidP="0047222D">
      <w:pPr>
        <w:rPr>
          <w:bCs/>
          <w:lang w:val="en-GB"/>
        </w:rPr>
      </w:pPr>
      <w:r w:rsidRPr="00A33264">
        <w:rPr>
          <w:b/>
          <w:bCs/>
          <w:lang w:val="en-GB"/>
        </w:rPr>
        <w:t>Qualifications:</w:t>
      </w:r>
      <w:r w:rsidRPr="00A33264">
        <w:rPr>
          <w:bCs/>
          <w:lang w:val="en-GB"/>
        </w:rPr>
        <w:t xml:space="preserve"> Bachelor of Education and Bachelor of Human Movement, Charles Sturt University.</w:t>
      </w:r>
    </w:p>
    <w:p w14:paraId="154B3CD0" w14:textId="0268AAF8" w:rsidR="00482705" w:rsidRDefault="0047222D" w:rsidP="00482705">
      <w:pPr>
        <w:rPr>
          <w:b/>
          <w:lang w:val="en-GB"/>
        </w:rPr>
      </w:pPr>
      <w:r w:rsidRPr="00A33264">
        <w:rPr>
          <w:b/>
          <w:bCs/>
          <w:lang w:val="en-GB"/>
        </w:rPr>
        <w:t>Member:</w:t>
      </w:r>
      <w:r w:rsidRPr="00A33264">
        <w:rPr>
          <w:bCs/>
          <w:lang w:val="en-GB"/>
        </w:rPr>
        <w:t xml:space="preserve"> Sustainability Committee</w:t>
      </w:r>
      <w:r w:rsidR="001A6947">
        <w:rPr>
          <w:bCs/>
          <w:lang w:val="en-GB"/>
        </w:rPr>
        <w:t>;</w:t>
      </w:r>
      <w:r w:rsidRPr="00A33264">
        <w:rPr>
          <w:bCs/>
          <w:lang w:val="en-GB"/>
        </w:rPr>
        <w:t xml:space="preserve"> Strategic Direction and Participant Outcomes Committee.</w:t>
      </w:r>
      <w:r w:rsidR="00482705">
        <w:rPr>
          <w:b/>
          <w:lang w:val="en-GB"/>
        </w:rPr>
        <w:br w:type="page"/>
      </w:r>
    </w:p>
    <w:p w14:paraId="3A37759E" w14:textId="12CE742A" w:rsidR="0047222D" w:rsidRPr="00A33264" w:rsidRDefault="0047222D" w:rsidP="0047222D">
      <w:pPr>
        <w:rPr>
          <w:b/>
          <w:lang w:val="en-GB"/>
        </w:rPr>
      </w:pPr>
      <w:r w:rsidRPr="00A33264">
        <w:rPr>
          <w:noProof/>
          <w:lang w:val="en-GB"/>
          <w14:ligatures w14:val="standardContextual"/>
        </w:rPr>
        <w:lastRenderedPageBreak/>
        <w:drawing>
          <wp:inline distT="0" distB="0" distL="0" distR="0" wp14:anchorId="2F929804" wp14:editId="25DEB14A">
            <wp:extent cx="1414800" cy="1886400"/>
            <wp:effectExtent l="0" t="0" r="0" b="0"/>
            <wp:docPr id="1459425494" name="Picture 1459425494" descr="Photograph of Ms Meredith Alla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425494" name="Picture 1459425494" descr="Photograph of Ms Meredith Allan.">
                      <a:extLst>
                        <a:ext uri="{C183D7F6-B498-43B3-948B-1728B52AA6E4}">
                          <adec:decorative xmlns:adec="http://schemas.microsoft.com/office/drawing/2017/decorative" val="0"/>
                        </a:ext>
                      </a:extLst>
                    </pic:cNvPr>
                    <pic:cNvPicPr/>
                  </pic:nvPicPr>
                  <pic:blipFill>
                    <a:blip r:embed="rId68">
                      <a:extLst>
                        <a:ext uri="{28A0092B-C50C-407E-A947-70E740481C1C}">
                          <a14:useLocalDpi xmlns:a14="http://schemas.microsoft.com/office/drawing/2010/main" val="0"/>
                        </a:ext>
                      </a:extLst>
                    </a:blip>
                    <a:stretch>
                      <a:fillRect/>
                    </a:stretch>
                  </pic:blipFill>
                  <pic:spPr>
                    <a:xfrm>
                      <a:off x="0" y="0"/>
                      <a:ext cx="1414800" cy="1886400"/>
                    </a:xfrm>
                    <a:prstGeom prst="rect">
                      <a:avLst/>
                    </a:prstGeom>
                  </pic:spPr>
                </pic:pic>
              </a:graphicData>
            </a:graphic>
          </wp:inline>
        </w:drawing>
      </w:r>
    </w:p>
    <w:p w14:paraId="7CA7F55A" w14:textId="77777777" w:rsidR="0047222D" w:rsidRPr="00A33264" w:rsidRDefault="0047222D" w:rsidP="0047222D">
      <w:pPr>
        <w:rPr>
          <w:b/>
          <w:lang w:val="en-GB"/>
        </w:rPr>
      </w:pPr>
      <w:r w:rsidRPr="00A33264">
        <w:rPr>
          <w:b/>
          <w:lang w:val="en-GB"/>
        </w:rPr>
        <w:t>Ms Meredith Allan</w:t>
      </w:r>
    </w:p>
    <w:p w14:paraId="527C7E6C" w14:textId="5D6FF58F" w:rsidR="0047222D" w:rsidRPr="00A33264" w:rsidRDefault="0047222D" w:rsidP="0047222D">
      <w:pPr>
        <w:rPr>
          <w:lang w:val="en-GB"/>
        </w:rPr>
      </w:pPr>
      <w:r w:rsidRPr="00A33264">
        <w:rPr>
          <w:lang w:val="en-GB"/>
        </w:rPr>
        <w:t>Ms Meredith Allan is a former president of the International Society of Alternative and Augmentative Communication, an organisation working to improve the lives of children and adults with complex communication needs. She was the first president to speak via alternative and augmentative communication.</w:t>
      </w:r>
    </w:p>
    <w:p w14:paraId="0D0AD179" w14:textId="35DB8CDC" w:rsidR="0047222D" w:rsidRPr="00A33264" w:rsidRDefault="0047222D" w:rsidP="0047222D">
      <w:pPr>
        <w:rPr>
          <w:lang w:val="en-GB"/>
        </w:rPr>
      </w:pPr>
      <w:r w:rsidRPr="00A33264">
        <w:rPr>
          <w:lang w:val="en-GB"/>
        </w:rPr>
        <w:t xml:space="preserve">Ms Allan is retired from her 30-year career in the public </w:t>
      </w:r>
      <w:r w:rsidR="007751BE" w:rsidRPr="00A33264">
        <w:rPr>
          <w:lang w:val="en-GB"/>
        </w:rPr>
        <w:t>service but</w:t>
      </w:r>
      <w:r w:rsidRPr="00A33264">
        <w:rPr>
          <w:lang w:val="en-GB"/>
        </w:rPr>
        <w:t xml:space="preserve"> continues working as a communication assessor for Scope and </w:t>
      </w:r>
      <w:r w:rsidR="000A7258" w:rsidRPr="00A33264">
        <w:rPr>
          <w:lang w:val="en-GB"/>
        </w:rPr>
        <w:t xml:space="preserve">a </w:t>
      </w:r>
      <w:r w:rsidRPr="00A33264">
        <w:rPr>
          <w:lang w:val="en-GB"/>
        </w:rPr>
        <w:t>casual lecturer for Deakin University.</w:t>
      </w:r>
    </w:p>
    <w:p w14:paraId="7312D96F" w14:textId="77777777" w:rsidR="0047222D" w:rsidRPr="00A33264" w:rsidRDefault="0047222D" w:rsidP="0047222D">
      <w:pPr>
        <w:rPr>
          <w:lang w:val="en-GB"/>
        </w:rPr>
      </w:pPr>
      <w:r w:rsidRPr="00A33264">
        <w:rPr>
          <w:b/>
          <w:bCs/>
          <w:lang w:val="en-GB"/>
        </w:rPr>
        <w:t>Qualifications:</w:t>
      </w:r>
      <w:r w:rsidRPr="00A33264">
        <w:rPr>
          <w:lang w:val="en-GB"/>
        </w:rPr>
        <w:t xml:space="preserve"> Bachelor of Economics and Bachelor of Arts, Monash University.</w:t>
      </w:r>
    </w:p>
    <w:p w14:paraId="352C664B" w14:textId="77777777" w:rsidR="0047222D" w:rsidRPr="00A33264" w:rsidRDefault="0047222D" w:rsidP="0047222D">
      <w:pPr>
        <w:rPr>
          <w:lang w:val="en-GB"/>
        </w:rPr>
      </w:pPr>
      <w:r w:rsidRPr="00A33264">
        <w:rPr>
          <w:b/>
          <w:bCs/>
          <w:lang w:val="en-GB"/>
        </w:rPr>
        <w:t>Member:</w:t>
      </w:r>
      <w:r w:rsidRPr="00A33264">
        <w:rPr>
          <w:lang w:val="en-GB"/>
        </w:rPr>
        <w:t xml:space="preserve"> Audit and Risk Committee.</w:t>
      </w:r>
    </w:p>
    <w:p w14:paraId="4AFF8154" w14:textId="77777777" w:rsidR="009073D2" w:rsidRPr="00A33264" w:rsidRDefault="009073D2" w:rsidP="0047222D">
      <w:pPr>
        <w:rPr>
          <w:b/>
          <w:lang w:val="en-GB"/>
        </w:rPr>
      </w:pPr>
      <w:r w:rsidRPr="00A33264">
        <w:rPr>
          <w:noProof/>
          <w:lang w:val="en-GB"/>
        </w:rPr>
        <w:drawing>
          <wp:inline distT="0" distB="0" distL="0" distR="0" wp14:anchorId="2242FC90" wp14:editId="25F15ECA">
            <wp:extent cx="1258251" cy="1886400"/>
            <wp:effectExtent l="0" t="0" r="0" b="0"/>
            <wp:docPr id="1706847839" name="Picture 1" descr="Photograph of Mr Mark Dar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847839" name="Picture 1" descr="Photograph of Mr Mark Darra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58251" cy="1886400"/>
                    </a:xfrm>
                    <a:prstGeom prst="rect">
                      <a:avLst/>
                    </a:prstGeom>
                    <a:noFill/>
                    <a:ln>
                      <a:noFill/>
                    </a:ln>
                  </pic:spPr>
                </pic:pic>
              </a:graphicData>
            </a:graphic>
          </wp:inline>
        </w:drawing>
      </w:r>
    </w:p>
    <w:p w14:paraId="2775CDE4" w14:textId="52FCE58F" w:rsidR="0047222D" w:rsidRPr="00A33264" w:rsidRDefault="0047222D" w:rsidP="0047222D">
      <w:pPr>
        <w:rPr>
          <w:b/>
          <w:lang w:val="en-GB"/>
        </w:rPr>
      </w:pPr>
      <w:r w:rsidRPr="00A33264">
        <w:rPr>
          <w:b/>
          <w:lang w:val="en-GB"/>
        </w:rPr>
        <w:t>Mr Mark Darras</w:t>
      </w:r>
    </w:p>
    <w:p w14:paraId="6078CFD6" w14:textId="06EC1895" w:rsidR="00482705" w:rsidRDefault="000A7258" w:rsidP="00482705">
      <w:pPr>
        <w:rPr>
          <w:bCs/>
          <w:lang w:val="en-GB"/>
        </w:rPr>
      </w:pPr>
      <w:r w:rsidRPr="00A33264">
        <w:rPr>
          <w:bCs/>
          <w:lang w:val="en-GB"/>
        </w:rPr>
        <w:t xml:space="preserve">Mr </w:t>
      </w:r>
      <w:r w:rsidR="0047222D" w:rsidRPr="00A33264">
        <w:rPr>
          <w:bCs/>
          <w:lang w:val="en-GB"/>
        </w:rPr>
        <w:t xml:space="preserve">Mark Darras was appointed a </w:t>
      </w:r>
      <w:r w:rsidR="001A6947">
        <w:rPr>
          <w:bCs/>
          <w:lang w:val="en-GB"/>
        </w:rPr>
        <w:t>d</w:t>
      </w:r>
      <w:r w:rsidR="0047222D" w:rsidRPr="00A33264">
        <w:rPr>
          <w:bCs/>
          <w:lang w:val="en-GB"/>
        </w:rPr>
        <w:t xml:space="preserve">irector of the NDIA on 24 November 2023. </w:t>
      </w:r>
      <w:r w:rsidR="001A6947">
        <w:rPr>
          <w:bCs/>
          <w:lang w:val="en-GB"/>
        </w:rPr>
        <w:t>He</w:t>
      </w:r>
      <w:r w:rsidR="001A6947" w:rsidRPr="00A33264">
        <w:rPr>
          <w:bCs/>
          <w:lang w:val="en-GB"/>
        </w:rPr>
        <w:t xml:space="preserve"> </w:t>
      </w:r>
      <w:r w:rsidR="0047222D" w:rsidRPr="00A33264">
        <w:rPr>
          <w:bCs/>
          <w:lang w:val="en-GB"/>
        </w:rPr>
        <w:t>is also Acting Chairman and a Commissioner of the Essential Services Commission of South Australia.</w:t>
      </w:r>
    </w:p>
    <w:p w14:paraId="774E0EC4" w14:textId="04739070" w:rsidR="00936CCC" w:rsidRPr="00A33264" w:rsidRDefault="00084F52" w:rsidP="0047222D">
      <w:pPr>
        <w:rPr>
          <w:bCs/>
          <w:lang w:val="en-GB"/>
        </w:rPr>
      </w:pPr>
      <w:r w:rsidRPr="00A33264">
        <w:rPr>
          <w:bCs/>
          <w:lang w:val="en-GB"/>
        </w:rPr>
        <w:t>M</w:t>
      </w:r>
      <w:r w:rsidR="001A6947">
        <w:rPr>
          <w:bCs/>
          <w:lang w:val="en-GB"/>
        </w:rPr>
        <w:t>r Darras</w:t>
      </w:r>
      <w:r w:rsidRPr="00A33264">
        <w:rPr>
          <w:bCs/>
          <w:lang w:val="en-GB"/>
        </w:rPr>
        <w:t xml:space="preserve"> is a former corporate lawyer and adviser at a national law firm</w:t>
      </w:r>
      <w:r w:rsidR="001A6947">
        <w:rPr>
          <w:bCs/>
          <w:lang w:val="en-GB"/>
        </w:rPr>
        <w:t>. He is</w:t>
      </w:r>
      <w:r w:rsidRPr="00A33264">
        <w:rPr>
          <w:bCs/>
          <w:lang w:val="en-GB"/>
        </w:rPr>
        <w:t xml:space="preserve"> an experienced company director, having served as a </w:t>
      </w:r>
      <w:r w:rsidR="001A6947">
        <w:rPr>
          <w:bCs/>
          <w:lang w:val="en-GB"/>
        </w:rPr>
        <w:t>d</w:t>
      </w:r>
      <w:r w:rsidRPr="00A33264">
        <w:rPr>
          <w:bCs/>
          <w:lang w:val="en-GB"/>
        </w:rPr>
        <w:t xml:space="preserve">irector, and in </w:t>
      </w:r>
      <w:r w:rsidR="001A6947">
        <w:rPr>
          <w:bCs/>
          <w:lang w:val="en-GB"/>
        </w:rPr>
        <w:t xml:space="preserve">board </w:t>
      </w:r>
      <w:r w:rsidRPr="00A33264">
        <w:rPr>
          <w:bCs/>
          <w:lang w:val="en-GB"/>
        </w:rPr>
        <w:t>leadership roles</w:t>
      </w:r>
      <w:r w:rsidR="001A6947">
        <w:rPr>
          <w:bCs/>
          <w:lang w:val="en-GB"/>
        </w:rPr>
        <w:t>,</w:t>
      </w:r>
      <w:r w:rsidRPr="00A33264">
        <w:rPr>
          <w:bCs/>
          <w:lang w:val="en-GB"/>
        </w:rPr>
        <w:t xml:space="preserve"> including </w:t>
      </w:r>
      <w:r w:rsidR="001A6947">
        <w:rPr>
          <w:bCs/>
          <w:lang w:val="en-GB"/>
        </w:rPr>
        <w:t xml:space="preserve">on the boards of </w:t>
      </w:r>
      <w:r w:rsidRPr="00A33264">
        <w:rPr>
          <w:bCs/>
          <w:lang w:val="en-GB"/>
        </w:rPr>
        <w:t xml:space="preserve">Australia Post and Australia Post Superannuation, </w:t>
      </w:r>
      <w:r w:rsidRPr="00A33264">
        <w:rPr>
          <w:bCs/>
          <w:lang w:val="en-GB"/>
        </w:rPr>
        <w:lastRenderedPageBreak/>
        <w:t>Southern Rural Water, John Holland Engineering and John Holland Queensland, and the South Australian Forestry Corporation.</w:t>
      </w:r>
    </w:p>
    <w:p w14:paraId="58E4063F" w14:textId="4990CBF8" w:rsidR="0047222D" w:rsidRPr="00A33264" w:rsidRDefault="001A6947" w:rsidP="0047222D">
      <w:pPr>
        <w:rPr>
          <w:bCs/>
          <w:lang w:val="en-GB"/>
        </w:rPr>
      </w:pPr>
      <w:r>
        <w:rPr>
          <w:bCs/>
          <w:lang w:val="en-GB"/>
        </w:rPr>
        <w:t>Mr Darras</w:t>
      </w:r>
      <w:r w:rsidR="0047222D" w:rsidRPr="00A33264">
        <w:rPr>
          <w:bCs/>
          <w:lang w:val="en-GB"/>
        </w:rPr>
        <w:t xml:space="preserve"> was formerly the </w:t>
      </w:r>
      <w:r>
        <w:rPr>
          <w:bCs/>
          <w:lang w:val="en-GB"/>
        </w:rPr>
        <w:t>chair</w:t>
      </w:r>
      <w:r w:rsidRPr="00A33264">
        <w:rPr>
          <w:bCs/>
          <w:lang w:val="en-GB"/>
        </w:rPr>
        <w:t xml:space="preserve"> </w:t>
      </w:r>
      <w:r w:rsidR="0047222D" w:rsidRPr="00A33264">
        <w:rPr>
          <w:bCs/>
          <w:lang w:val="en-GB"/>
        </w:rPr>
        <w:t xml:space="preserve">of the </w:t>
      </w:r>
      <w:r>
        <w:rPr>
          <w:bCs/>
          <w:lang w:val="en-GB"/>
        </w:rPr>
        <w:t xml:space="preserve">Australian </w:t>
      </w:r>
      <w:r w:rsidR="0047222D" w:rsidRPr="00A33264">
        <w:rPr>
          <w:bCs/>
          <w:lang w:val="en-GB"/>
        </w:rPr>
        <w:t>Government's $7</w:t>
      </w:r>
      <w:r w:rsidR="000A7258" w:rsidRPr="00A33264">
        <w:rPr>
          <w:bCs/>
          <w:lang w:val="en-GB"/>
        </w:rPr>
        <w:t xml:space="preserve"> </w:t>
      </w:r>
      <w:r w:rsidR="0047222D" w:rsidRPr="00A33264">
        <w:rPr>
          <w:bCs/>
          <w:lang w:val="en-GB"/>
        </w:rPr>
        <w:t xml:space="preserve">billion Telecommunications Universal Services Management Agency and has also served as a </w:t>
      </w:r>
      <w:r>
        <w:rPr>
          <w:bCs/>
          <w:lang w:val="en-GB"/>
        </w:rPr>
        <w:t>m</w:t>
      </w:r>
      <w:r w:rsidR="0047222D" w:rsidRPr="00A33264">
        <w:rPr>
          <w:bCs/>
          <w:lang w:val="en-GB"/>
        </w:rPr>
        <w:t>ember of the Australian Takeovers Panel.</w:t>
      </w:r>
    </w:p>
    <w:p w14:paraId="3ED07C06" w14:textId="1BB741D5" w:rsidR="0047222D" w:rsidRPr="00A33264" w:rsidRDefault="001A6947" w:rsidP="0047222D">
      <w:pPr>
        <w:rPr>
          <w:bCs/>
          <w:lang w:val="en-GB"/>
        </w:rPr>
      </w:pPr>
      <w:r>
        <w:rPr>
          <w:bCs/>
          <w:lang w:val="en-GB"/>
        </w:rPr>
        <w:t>Before</w:t>
      </w:r>
      <w:r w:rsidR="0047222D" w:rsidRPr="00A33264">
        <w:rPr>
          <w:bCs/>
          <w:lang w:val="en-GB"/>
        </w:rPr>
        <w:t xml:space="preserve"> his appointment to the </w:t>
      </w:r>
      <w:r>
        <w:rPr>
          <w:bCs/>
          <w:lang w:val="en-GB"/>
        </w:rPr>
        <w:t>NDIA</w:t>
      </w:r>
      <w:r w:rsidR="0047222D" w:rsidRPr="00A33264">
        <w:rPr>
          <w:bCs/>
          <w:lang w:val="en-GB"/>
        </w:rPr>
        <w:t xml:space="preserve">, </w:t>
      </w:r>
      <w:r>
        <w:rPr>
          <w:bCs/>
          <w:lang w:val="en-GB"/>
        </w:rPr>
        <w:t>Mr Darras</w:t>
      </w:r>
      <w:r w:rsidR="0047222D" w:rsidRPr="00A33264">
        <w:rPr>
          <w:bCs/>
          <w:lang w:val="en-GB"/>
        </w:rPr>
        <w:t xml:space="preserve"> was the </w:t>
      </w:r>
      <w:r>
        <w:rPr>
          <w:bCs/>
          <w:lang w:val="en-GB"/>
        </w:rPr>
        <w:t>i</w:t>
      </w:r>
      <w:r w:rsidR="0047222D" w:rsidRPr="00A33264">
        <w:rPr>
          <w:bCs/>
          <w:lang w:val="en-GB"/>
        </w:rPr>
        <w:t xml:space="preserve">ndependent </w:t>
      </w:r>
      <w:r>
        <w:rPr>
          <w:bCs/>
          <w:lang w:val="en-GB"/>
        </w:rPr>
        <w:t>c</w:t>
      </w:r>
      <w:r w:rsidR="0047222D" w:rsidRPr="00A33264">
        <w:rPr>
          <w:bCs/>
          <w:lang w:val="en-GB"/>
        </w:rPr>
        <w:t>hair of the N</w:t>
      </w:r>
      <w:r>
        <w:rPr>
          <w:bCs/>
          <w:lang w:val="en-GB"/>
        </w:rPr>
        <w:t xml:space="preserve">ew </w:t>
      </w:r>
      <w:r w:rsidR="0047222D" w:rsidRPr="00A33264">
        <w:rPr>
          <w:bCs/>
          <w:lang w:val="en-GB"/>
        </w:rPr>
        <w:t>S</w:t>
      </w:r>
      <w:r>
        <w:rPr>
          <w:bCs/>
          <w:lang w:val="en-GB"/>
        </w:rPr>
        <w:t xml:space="preserve">outh </w:t>
      </w:r>
      <w:r w:rsidR="0047222D" w:rsidRPr="00A33264">
        <w:rPr>
          <w:bCs/>
          <w:lang w:val="en-GB"/>
        </w:rPr>
        <w:t>W</w:t>
      </w:r>
      <w:r>
        <w:rPr>
          <w:bCs/>
          <w:lang w:val="en-GB"/>
        </w:rPr>
        <w:t>ales</w:t>
      </w:r>
      <w:r w:rsidR="0047222D" w:rsidRPr="00A33264">
        <w:rPr>
          <w:bCs/>
          <w:lang w:val="en-GB"/>
        </w:rPr>
        <w:t xml:space="preserve"> Government</w:t>
      </w:r>
      <w:r w:rsidR="004E5432">
        <w:rPr>
          <w:bCs/>
          <w:lang w:val="en-GB"/>
        </w:rPr>
        <w:t>’</w:t>
      </w:r>
      <w:r w:rsidR="0047222D" w:rsidRPr="00A33264">
        <w:rPr>
          <w:bCs/>
          <w:lang w:val="en-GB"/>
        </w:rPr>
        <w:t xml:space="preserve">s Advisory </w:t>
      </w:r>
      <w:r>
        <w:rPr>
          <w:bCs/>
          <w:lang w:val="en-GB"/>
        </w:rPr>
        <w:t>Body</w:t>
      </w:r>
      <w:r w:rsidRPr="00A33264">
        <w:rPr>
          <w:bCs/>
          <w:lang w:val="en-GB"/>
        </w:rPr>
        <w:t xml:space="preserve"> </w:t>
      </w:r>
      <w:r w:rsidR="0047222D" w:rsidRPr="00A33264">
        <w:rPr>
          <w:bCs/>
          <w:lang w:val="en-GB"/>
        </w:rPr>
        <w:t xml:space="preserve">for Strategic Release. </w:t>
      </w:r>
      <w:r>
        <w:rPr>
          <w:bCs/>
          <w:lang w:val="en-GB"/>
        </w:rPr>
        <w:t>He</w:t>
      </w:r>
      <w:r w:rsidRPr="00A33264">
        <w:rPr>
          <w:bCs/>
          <w:lang w:val="en-GB"/>
        </w:rPr>
        <w:t xml:space="preserve"> </w:t>
      </w:r>
      <w:r w:rsidR="0047222D" w:rsidRPr="00A33264">
        <w:rPr>
          <w:bCs/>
          <w:lang w:val="en-GB"/>
        </w:rPr>
        <w:t>is from South Australia</w:t>
      </w:r>
      <w:r w:rsidR="004E5432">
        <w:rPr>
          <w:bCs/>
          <w:lang w:val="en-GB"/>
        </w:rPr>
        <w:t>’</w:t>
      </w:r>
      <w:r w:rsidR="0047222D" w:rsidRPr="00A33264">
        <w:rPr>
          <w:bCs/>
          <w:lang w:val="en-GB"/>
        </w:rPr>
        <w:t>s Riverland area.</w:t>
      </w:r>
    </w:p>
    <w:p w14:paraId="5F32C38D" w14:textId="751D7506" w:rsidR="0047222D" w:rsidRPr="00A33264" w:rsidRDefault="0047222D" w:rsidP="0047222D">
      <w:pPr>
        <w:rPr>
          <w:bCs/>
          <w:lang w:val="en-GB"/>
        </w:rPr>
      </w:pPr>
      <w:r w:rsidRPr="00A33264">
        <w:rPr>
          <w:b/>
          <w:bCs/>
          <w:lang w:val="en-GB"/>
        </w:rPr>
        <w:t>Qualifications:</w:t>
      </w:r>
      <w:r w:rsidRPr="00A33264">
        <w:rPr>
          <w:bCs/>
          <w:lang w:val="en-GB"/>
        </w:rPr>
        <w:t xml:space="preserve"> Bachelor of Arts and Bachelor of Laws</w:t>
      </w:r>
      <w:r w:rsidR="000A7258" w:rsidRPr="00A33264">
        <w:rPr>
          <w:bCs/>
          <w:lang w:val="en-GB"/>
        </w:rPr>
        <w:t>,</w:t>
      </w:r>
      <w:r w:rsidRPr="00A33264">
        <w:rPr>
          <w:bCs/>
          <w:lang w:val="en-GB"/>
        </w:rPr>
        <w:t xml:space="preserve"> University of Tasmania</w:t>
      </w:r>
      <w:r w:rsidR="001A6947">
        <w:rPr>
          <w:bCs/>
          <w:lang w:val="en-GB"/>
        </w:rPr>
        <w:t>;</w:t>
      </w:r>
      <w:r w:rsidRPr="00A33264">
        <w:rPr>
          <w:bCs/>
          <w:lang w:val="en-GB"/>
        </w:rPr>
        <w:t xml:space="preserve"> Master of Laws</w:t>
      </w:r>
      <w:r w:rsidR="000A7258" w:rsidRPr="00A33264">
        <w:rPr>
          <w:bCs/>
          <w:lang w:val="en-GB"/>
        </w:rPr>
        <w:t>,</w:t>
      </w:r>
      <w:r w:rsidRPr="00A33264">
        <w:rPr>
          <w:bCs/>
          <w:lang w:val="en-GB"/>
        </w:rPr>
        <w:t xml:space="preserve"> </w:t>
      </w:r>
      <w:r w:rsidR="000A7258" w:rsidRPr="00A33264">
        <w:rPr>
          <w:bCs/>
          <w:lang w:val="en-GB"/>
        </w:rPr>
        <w:t>Australian National University</w:t>
      </w:r>
      <w:r w:rsidR="001A6947">
        <w:rPr>
          <w:bCs/>
          <w:lang w:val="en-GB"/>
        </w:rPr>
        <w:t>;</w:t>
      </w:r>
      <w:r w:rsidRPr="00A33264">
        <w:rPr>
          <w:bCs/>
          <w:lang w:val="en-GB"/>
        </w:rPr>
        <w:t xml:space="preserve"> Bachelor of Education</w:t>
      </w:r>
      <w:r w:rsidR="000A7258" w:rsidRPr="00A33264">
        <w:rPr>
          <w:bCs/>
          <w:lang w:val="en-GB"/>
        </w:rPr>
        <w:t>,</w:t>
      </w:r>
      <w:r w:rsidRPr="00A33264">
        <w:rPr>
          <w:bCs/>
          <w:lang w:val="en-GB"/>
        </w:rPr>
        <w:t xml:space="preserve"> Uni</w:t>
      </w:r>
      <w:r w:rsidR="000A7258" w:rsidRPr="00A33264">
        <w:rPr>
          <w:bCs/>
          <w:lang w:val="en-GB"/>
        </w:rPr>
        <w:t>versity</w:t>
      </w:r>
      <w:r w:rsidRPr="00A33264">
        <w:rPr>
          <w:bCs/>
          <w:lang w:val="en-GB"/>
        </w:rPr>
        <w:t xml:space="preserve"> of South Australia.</w:t>
      </w:r>
    </w:p>
    <w:p w14:paraId="3984DC1A" w14:textId="77777777" w:rsidR="0047222D" w:rsidRPr="00A33264" w:rsidRDefault="0047222D" w:rsidP="0047222D">
      <w:pPr>
        <w:rPr>
          <w:bCs/>
          <w:lang w:val="en-GB"/>
        </w:rPr>
      </w:pPr>
      <w:r w:rsidRPr="00A33264">
        <w:rPr>
          <w:b/>
          <w:bCs/>
          <w:lang w:val="en-GB"/>
        </w:rPr>
        <w:t>Member:</w:t>
      </w:r>
      <w:r w:rsidRPr="00A33264">
        <w:rPr>
          <w:bCs/>
          <w:lang w:val="en-GB"/>
        </w:rPr>
        <w:t xml:space="preserve"> Audit and Risk Committee.</w:t>
      </w:r>
    </w:p>
    <w:p w14:paraId="38FCB028" w14:textId="77777777" w:rsidR="0047222D" w:rsidRPr="00A33264" w:rsidRDefault="0047222D" w:rsidP="0047222D">
      <w:pPr>
        <w:rPr>
          <w:b/>
          <w:lang w:val="en-GB"/>
        </w:rPr>
      </w:pPr>
      <w:r w:rsidRPr="00A33264">
        <w:rPr>
          <w:noProof/>
          <w:lang w:val="en-GB"/>
          <w14:ligatures w14:val="standardContextual"/>
        </w:rPr>
        <w:drawing>
          <wp:inline distT="0" distB="0" distL="0" distR="0" wp14:anchorId="6B442392" wp14:editId="30158104">
            <wp:extent cx="1260000" cy="1900800"/>
            <wp:effectExtent l="0" t="0" r="0" b="4445"/>
            <wp:docPr id="21650407" name="Picture 21650407" descr="Photograph of Ms Maryanne Diamond A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0407" name="Picture 21650407" descr="Photograph of Ms Maryanne Diamond AO.">
                      <a:extLst>
                        <a:ext uri="{C183D7F6-B498-43B3-948B-1728B52AA6E4}">
                          <adec:decorative xmlns:adec="http://schemas.microsoft.com/office/drawing/2017/decorative" val="0"/>
                        </a:ext>
                      </a:extLst>
                    </pic:cNvPr>
                    <pic:cNvPicPr/>
                  </pic:nvPicPr>
                  <pic:blipFill>
                    <a:blip r:embed="rId70">
                      <a:extLst>
                        <a:ext uri="{28A0092B-C50C-407E-A947-70E740481C1C}">
                          <a14:useLocalDpi xmlns:a14="http://schemas.microsoft.com/office/drawing/2010/main" val="0"/>
                        </a:ext>
                      </a:extLst>
                    </a:blip>
                    <a:stretch>
                      <a:fillRect/>
                    </a:stretch>
                  </pic:blipFill>
                  <pic:spPr>
                    <a:xfrm>
                      <a:off x="0" y="0"/>
                      <a:ext cx="1260000" cy="1900800"/>
                    </a:xfrm>
                    <a:prstGeom prst="rect">
                      <a:avLst/>
                    </a:prstGeom>
                  </pic:spPr>
                </pic:pic>
              </a:graphicData>
            </a:graphic>
          </wp:inline>
        </w:drawing>
      </w:r>
    </w:p>
    <w:p w14:paraId="50FEB8C9" w14:textId="77777777" w:rsidR="0047222D" w:rsidRPr="00A33264" w:rsidRDefault="0047222D" w:rsidP="0047222D">
      <w:pPr>
        <w:rPr>
          <w:lang w:val="en-GB"/>
        </w:rPr>
      </w:pPr>
      <w:r w:rsidRPr="00A33264">
        <w:rPr>
          <w:b/>
          <w:lang w:val="en-GB"/>
        </w:rPr>
        <w:t xml:space="preserve">Ms Maryanne Diamond AO </w:t>
      </w:r>
    </w:p>
    <w:p w14:paraId="5703D115" w14:textId="77777777" w:rsidR="0047222D" w:rsidRPr="00A33264" w:rsidRDefault="0047222D" w:rsidP="0047222D">
      <w:pPr>
        <w:rPr>
          <w:lang w:val="en-GB"/>
        </w:rPr>
      </w:pPr>
      <w:r w:rsidRPr="00A33264">
        <w:rPr>
          <w:lang w:val="en-GB"/>
        </w:rPr>
        <w:t>Ms Maryanne Diamond AO has lived with disability all her life. She is an NDIS participant and was employed as a senior executive at the NDIA for 5 years.</w:t>
      </w:r>
    </w:p>
    <w:p w14:paraId="4878F935" w14:textId="2A1D0B0C" w:rsidR="0047222D" w:rsidRPr="00A33264" w:rsidRDefault="0047222D" w:rsidP="0047222D">
      <w:pPr>
        <w:rPr>
          <w:lang w:val="en-GB"/>
        </w:rPr>
      </w:pPr>
      <w:r w:rsidRPr="00A33264">
        <w:rPr>
          <w:lang w:val="en-GB"/>
        </w:rPr>
        <w:t xml:space="preserve">Ms Diamond has been employed in the information technology industry, the disability sector and government. She has extensive experience leading organisations in Australia, including being Executive Officer of Blind Citizens Australia, and inaugural </w:t>
      </w:r>
      <w:r w:rsidR="004E5432">
        <w:rPr>
          <w:lang w:val="en-GB"/>
        </w:rPr>
        <w:t>Chief Executive Officer (</w:t>
      </w:r>
      <w:r w:rsidRPr="00A33264">
        <w:rPr>
          <w:lang w:val="en-GB"/>
        </w:rPr>
        <w:t>CEO</w:t>
      </w:r>
      <w:r w:rsidR="004E5432">
        <w:rPr>
          <w:lang w:val="en-GB"/>
        </w:rPr>
        <w:t>)</w:t>
      </w:r>
      <w:r w:rsidRPr="00A33264">
        <w:rPr>
          <w:lang w:val="en-GB"/>
        </w:rPr>
        <w:t xml:space="preserve"> of the Australian Federation of Disability Organisations. At the international level, Ms Diamond was President of the World Blind Union </w:t>
      </w:r>
      <w:r w:rsidR="000A7258" w:rsidRPr="00A33264">
        <w:rPr>
          <w:lang w:val="en-GB"/>
        </w:rPr>
        <w:t xml:space="preserve">(WBU) </w:t>
      </w:r>
      <w:r w:rsidRPr="00A33264">
        <w:rPr>
          <w:lang w:val="en-GB"/>
        </w:rPr>
        <w:t xml:space="preserve">from 2008 to 2012 and Chair of the International Disability Alliance from 2014 to 2016. As president of the </w:t>
      </w:r>
      <w:r w:rsidR="000A7258" w:rsidRPr="00A33264">
        <w:rPr>
          <w:lang w:val="en-GB"/>
        </w:rPr>
        <w:t>WBU</w:t>
      </w:r>
      <w:r w:rsidRPr="00A33264">
        <w:rPr>
          <w:lang w:val="en-GB"/>
        </w:rPr>
        <w:t xml:space="preserve">, </w:t>
      </w:r>
      <w:r w:rsidR="001A6947">
        <w:rPr>
          <w:lang w:val="en-GB"/>
        </w:rPr>
        <w:t>she</w:t>
      </w:r>
      <w:r w:rsidRPr="00A33264">
        <w:rPr>
          <w:lang w:val="en-GB"/>
        </w:rPr>
        <w:t xml:space="preserve"> led</w:t>
      </w:r>
      <w:r w:rsidR="000A7258" w:rsidRPr="00A33264">
        <w:rPr>
          <w:lang w:val="en-GB"/>
        </w:rPr>
        <w:t xml:space="preserve"> the WBU delegation during</w:t>
      </w:r>
      <w:r w:rsidRPr="00A33264">
        <w:rPr>
          <w:lang w:val="en-GB"/>
        </w:rPr>
        <w:t xml:space="preserve"> </w:t>
      </w:r>
      <w:r w:rsidR="001A6947">
        <w:rPr>
          <w:lang w:val="en-GB"/>
        </w:rPr>
        <w:t>5</w:t>
      </w:r>
      <w:r w:rsidRPr="00A33264">
        <w:rPr>
          <w:lang w:val="en-GB"/>
        </w:rPr>
        <w:t xml:space="preserve"> years </w:t>
      </w:r>
      <w:r w:rsidR="000A7258" w:rsidRPr="00A33264">
        <w:rPr>
          <w:lang w:val="en-GB"/>
        </w:rPr>
        <w:t xml:space="preserve">of </w:t>
      </w:r>
      <w:r w:rsidRPr="00A33264">
        <w:rPr>
          <w:lang w:val="en-GB"/>
        </w:rPr>
        <w:t>negotiation</w:t>
      </w:r>
      <w:r w:rsidR="000A7258" w:rsidRPr="00A33264">
        <w:rPr>
          <w:lang w:val="en-GB"/>
        </w:rPr>
        <w:t>s</w:t>
      </w:r>
      <w:r w:rsidRPr="00A33264">
        <w:rPr>
          <w:lang w:val="en-GB"/>
        </w:rPr>
        <w:t xml:space="preserve"> </w:t>
      </w:r>
      <w:r w:rsidR="000A7258" w:rsidRPr="00A33264">
        <w:rPr>
          <w:lang w:val="en-GB"/>
        </w:rPr>
        <w:t>that led to the adoption in 2013 of the Marrakesh Treaty to Facilitate Access to Published Words for Persons Who Are Blind, Visually Impaired or Otherwise Print Disabled</w:t>
      </w:r>
      <w:r w:rsidRPr="00A33264">
        <w:rPr>
          <w:lang w:val="en-GB"/>
        </w:rPr>
        <w:t>.</w:t>
      </w:r>
    </w:p>
    <w:p w14:paraId="63FD3347" w14:textId="4FBE6C51" w:rsidR="0047222D" w:rsidRPr="00A33264" w:rsidRDefault="0047222D" w:rsidP="0047222D">
      <w:pPr>
        <w:rPr>
          <w:lang w:val="en-GB"/>
        </w:rPr>
      </w:pPr>
      <w:r w:rsidRPr="00A33264">
        <w:rPr>
          <w:lang w:val="en-GB"/>
        </w:rPr>
        <w:lastRenderedPageBreak/>
        <w:t>In 2014 Ms Diamond was appointed an Officer of the Order of Australia (AO) for her distinguished service to people who are blind or have low vision and her international leadership roles and advocacy for best practice employment opportunities.</w:t>
      </w:r>
    </w:p>
    <w:p w14:paraId="03A52082" w14:textId="0BE53F2F" w:rsidR="0047222D" w:rsidRPr="00A33264" w:rsidRDefault="0047222D" w:rsidP="0047222D">
      <w:pPr>
        <w:rPr>
          <w:lang w:val="en-GB"/>
        </w:rPr>
      </w:pPr>
      <w:r w:rsidRPr="00A33264">
        <w:rPr>
          <w:b/>
          <w:bCs/>
          <w:lang w:val="en-GB"/>
        </w:rPr>
        <w:t>Qualifications:</w:t>
      </w:r>
      <w:r w:rsidRPr="00A33264">
        <w:rPr>
          <w:lang w:val="en-GB"/>
        </w:rPr>
        <w:t xml:space="preserve"> Bachelor of Science, Monash University</w:t>
      </w:r>
      <w:r w:rsidR="001A6947">
        <w:rPr>
          <w:lang w:val="en-GB"/>
        </w:rPr>
        <w:t>;</w:t>
      </w:r>
      <w:r w:rsidRPr="00A33264">
        <w:rPr>
          <w:lang w:val="en-GB"/>
        </w:rPr>
        <w:t xml:space="preserve"> Graduate Diploma Information Technology, Caulfield Institute of Technology</w:t>
      </w:r>
      <w:r w:rsidR="001A6947">
        <w:rPr>
          <w:lang w:val="en-GB"/>
        </w:rPr>
        <w:t>;</w:t>
      </w:r>
      <w:r w:rsidRPr="00A33264">
        <w:rPr>
          <w:lang w:val="en-GB"/>
        </w:rPr>
        <w:t xml:space="preserve"> Graduate of the Australian Institute of Company Directors.</w:t>
      </w:r>
    </w:p>
    <w:p w14:paraId="70DCDC69" w14:textId="77777777" w:rsidR="0047222D" w:rsidRPr="00A33264" w:rsidRDefault="0047222D" w:rsidP="0047222D">
      <w:pPr>
        <w:rPr>
          <w:lang w:val="en-GB"/>
        </w:rPr>
      </w:pPr>
      <w:r w:rsidRPr="00A33264">
        <w:rPr>
          <w:b/>
          <w:bCs/>
          <w:lang w:val="en-GB"/>
        </w:rPr>
        <w:t>Deputy Chair:</w:t>
      </w:r>
      <w:r w:rsidRPr="00A33264">
        <w:rPr>
          <w:lang w:val="en-GB"/>
        </w:rPr>
        <w:t xml:space="preserve"> Audit and Risk Committee.</w:t>
      </w:r>
    </w:p>
    <w:p w14:paraId="6400A965" w14:textId="77777777" w:rsidR="0047222D" w:rsidRPr="00A33264" w:rsidRDefault="0047222D" w:rsidP="0047222D">
      <w:pPr>
        <w:rPr>
          <w:lang w:val="en-GB"/>
        </w:rPr>
      </w:pPr>
      <w:r w:rsidRPr="00A33264">
        <w:rPr>
          <w:b/>
          <w:bCs/>
          <w:lang w:val="en-GB"/>
        </w:rPr>
        <w:t>Member:</w:t>
      </w:r>
      <w:r w:rsidRPr="00A33264">
        <w:rPr>
          <w:lang w:val="en-GB"/>
        </w:rPr>
        <w:t xml:space="preserve"> Sustainability Committee.</w:t>
      </w:r>
    </w:p>
    <w:p w14:paraId="086F6E46" w14:textId="77777777" w:rsidR="0047222D" w:rsidRPr="00A33264" w:rsidRDefault="0047222D" w:rsidP="0047222D">
      <w:pPr>
        <w:rPr>
          <w:b/>
          <w:lang w:val="en-GB"/>
        </w:rPr>
      </w:pPr>
      <w:r w:rsidRPr="00A33264">
        <w:rPr>
          <w:noProof/>
          <w:lang w:val="en-GB"/>
          <w14:ligatures w14:val="standardContextual"/>
        </w:rPr>
        <w:drawing>
          <wp:inline distT="0" distB="0" distL="0" distR="0" wp14:anchorId="44033C5C" wp14:editId="4B2F8151">
            <wp:extent cx="1389600" cy="1828800"/>
            <wp:effectExtent l="0" t="0" r="1270" b="0"/>
            <wp:docPr id="1595145766" name="Picture 1595145766" descr="Photograph of Dr Richard Fej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5145766" name="Picture 1595145766" descr="Photograph of Dr Richard Fejo."/>
                    <pic:cNvPicPr/>
                  </pic:nvPicPr>
                  <pic:blipFill>
                    <a:blip r:embed="rId71"/>
                    <a:stretch>
                      <a:fillRect/>
                    </a:stretch>
                  </pic:blipFill>
                  <pic:spPr>
                    <a:xfrm>
                      <a:off x="0" y="0"/>
                      <a:ext cx="1389600" cy="1828800"/>
                    </a:xfrm>
                    <a:prstGeom prst="rect">
                      <a:avLst/>
                    </a:prstGeom>
                  </pic:spPr>
                </pic:pic>
              </a:graphicData>
            </a:graphic>
          </wp:inline>
        </w:drawing>
      </w:r>
    </w:p>
    <w:p w14:paraId="35E61A18" w14:textId="77777777" w:rsidR="0047222D" w:rsidRPr="00A33264" w:rsidRDefault="0047222D" w:rsidP="0047222D">
      <w:pPr>
        <w:rPr>
          <w:b/>
          <w:lang w:val="en-GB"/>
        </w:rPr>
      </w:pPr>
      <w:r w:rsidRPr="00A33264">
        <w:rPr>
          <w:b/>
          <w:lang w:val="en-GB"/>
        </w:rPr>
        <w:t xml:space="preserve">Dr Richard Fejo </w:t>
      </w:r>
    </w:p>
    <w:p w14:paraId="5783DA11" w14:textId="77777777" w:rsidR="0047222D" w:rsidRPr="00A33264" w:rsidRDefault="0047222D" w:rsidP="0047222D">
      <w:pPr>
        <w:rPr>
          <w:lang w:val="en-GB"/>
        </w:rPr>
      </w:pPr>
      <w:r w:rsidRPr="00A33264">
        <w:rPr>
          <w:lang w:val="en-GB"/>
        </w:rPr>
        <w:t>Dr Richard Fejo, better known as Richie, is a Larrakia man of direct male descent, through his father, grandfather and great-grandfather.</w:t>
      </w:r>
    </w:p>
    <w:p w14:paraId="7851A5B9" w14:textId="74B59F86" w:rsidR="0047222D" w:rsidRPr="00A33264" w:rsidRDefault="0047222D" w:rsidP="0047222D">
      <w:pPr>
        <w:rPr>
          <w:lang w:val="en-GB"/>
        </w:rPr>
      </w:pPr>
      <w:r w:rsidRPr="00A33264">
        <w:rPr>
          <w:lang w:val="en-GB"/>
        </w:rPr>
        <w:t xml:space="preserve">Dr Fejo has devoted his life to improving education and health outcomes for </w:t>
      </w:r>
      <w:r w:rsidR="001A6947">
        <w:rPr>
          <w:lang w:val="en-GB"/>
        </w:rPr>
        <w:t>First Nations</w:t>
      </w:r>
      <w:r w:rsidRPr="00A33264">
        <w:rPr>
          <w:lang w:val="en-GB"/>
        </w:rPr>
        <w:t xml:space="preserve"> people in urban, rural and remote communities. </w:t>
      </w:r>
    </w:p>
    <w:p w14:paraId="6F4FAB75" w14:textId="68550A22" w:rsidR="0047222D" w:rsidRPr="00A33264" w:rsidRDefault="0047222D" w:rsidP="0047222D">
      <w:pPr>
        <w:rPr>
          <w:lang w:val="en-GB"/>
        </w:rPr>
      </w:pPr>
      <w:r w:rsidRPr="00A33264">
        <w:rPr>
          <w:lang w:val="en-GB"/>
        </w:rPr>
        <w:t xml:space="preserve">He is a former </w:t>
      </w:r>
      <w:r w:rsidR="001A6947">
        <w:rPr>
          <w:lang w:val="en-GB"/>
        </w:rPr>
        <w:t>c</w:t>
      </w:r>
      <w:r w:rsidRPr="00A33264">
        <w:rPr>
          <w:lang w:val="en-GB"/>
        </w:rPr>
        <w:t>hairman of the Larrakia Nation Aboriginal Corporation</w:t>
      </w:r>
      <w:r w:rsidR="001A6947">
        <w:rPr>
          <w:lang w:val="en-GB"/>
        </w:rPr>
        <w:t xml:space="preserve"> and</w:t>
      </w:r>
      <w:r w:rsidRPr="00A33264">
        <w:rPr>
          <w:lang w:val="en-GB"/>
        </w:rPr>
        <w:t xml:space="preserve"> former </w:t>
      </w:r>
      <w:r w:rsidR="001A6947">
        <w:rPr>
          <w:lang w:val="en-GB"/>
        </w:rPr>
        <w:t>v</w:t>
      </w:r>
      <w:r w:rsidRPr="00A33264">
        <w:rPr>
          <w:lang w:val="en-GB"/>
        </w:rPr>
        <w:t>ice-</w:t>
      </w:r>
      <w:r w:rsidR="001A6947">
        <w:rPr>
          <w:lang w:val="en-GB"/>
        </w:rPr>
        <w:t>p</w:t>
      </w:r>
      <w:r w:rsidRPr="00A33264">
        <w:rPr>
          <w:lang w:val="en-GB"/>
        </w:rPr>
        <w:t xml:space="preserve">resident of Darwin Buffaloes Football </w:t>
      </w:r>
      <w:r w:rsidR="002F48B3" w:rsidRPr="00A33264">
        <w:rPr>
          <w:lang w:val="en-GB"/>
        </w:rPr>
        <w:t>Club</w:t>
      </w:r>
      <w:r w:rsidR="004E5432">
        <w:rPr>
          <w:lang w:val="en-GB"/>
        </w:rPr>
        <w:t>.</w:t>
      </w:r>
      <w:r w:rsidR="002F48B3">
        <w:rPr>
          <w:lang w:val="en-GB"/>
        </w:rPr>
        <w:t xml:space="preserve"> </w:t>
      </w:r>
      <w:r w:rsidR="004E5432">
        <w:rPr>
          <w:lang w:val="en-GB"/>
        </w:rPr>
        <w:t>He</w:t>
      </w:r>
      <w:r w:rsidRPr="00A33264">
        <w:rPr>
          <w:lang w:val="en-GB"/>
        </w:rPr>
        <w:t xml:space="preserve"> sat on the City of Darwin’s International Relations Committee</w:t>
      </w:r>
      <w:r w:rsidR="004E5432">
        <w:rPr>
          <w:lang w:val="en-GB"/>
        </w:rPr>
        <w:t xml:space="preserve"> and</w:t>
      </w:r>
      <w:r w:rsidR="00924C91">
        <w:rPr>
          <w:lang w:val="en-GB"/>
        </w:rPr>
        <w:t xml:space="preserve"> </w:t>
      </w:r>
      <w:r w:rsidR="004E5432">
        <w:rPr>
          <w:lang w:val="en-GB"/>
        </w:rPr>
        <w:t>spent 5 years as</w:t>
      </w:r>
      <w:r w:rsidRPr="00A33264">
        <w:rPr>
          <w:lang w:val="en-GB"/>
        </w:rPr>
        <w:t xml:space="preserve"> the </w:t>
      </w:r>
      <w:r w:rsidR="001A6947">
        <w:rPr>
          <w:lang w:val="en-GB"/>
        </w:rPr>
        <w:t>c</w:t>
      </w:r>
      <w:r w:rsidRPr="00A33264">
        <w:rPr>
          <w:lang w:val="en-GB"/>
        </w:rPr>
        <w:t>hair of the National Cultural Educators</w:t>
      </w:r>
      <w:r w:rsidR="001A6947">
        <w:rPr>
          <w:lang w:val="en-GB"/>
        </w:rPr>
        <w:t xml:space="preserve"> and</w:t>
      </w:r>
      <w:r w:rsidRPr="00A33264">
        <w:rPr>
          <w:lang w:val="en-GB"/>
        </w:rPr>
        <w:t xml:space="preserve"> </w:t>
      </w:r>
      <w:r w:rsidR="003626AF">
        <w:rPr>
          <w:lang w:val="en-GB"/>
        </w:rPr>
        <w:t xml:space="preserve">Cultural </w:t>
      </w:r>
      <w:r w:rsidRPr="00A33264">
        <w:rPr>
          <w:lang w:val="en-GB"/>
        </w:rPr>
        <w:t xml:space="preserve">Mentors Network during </w:t>
      </w:r>
      <w:r w:rsidR="001A6947">
        <w:rPr>
          <w:lang w:val="en-GB"/>
        </w:rPr>
        <w:t xml:space="preserve">his </w:t>
      </w:r>
      <w:r w:rsidR="000A7258" w:rsidRPr="00A33264">
        <w:rPr>
          <w:lang w:val="en-GB"/>
        </w:rPr>
        <w:t>11-</w:t>
      </w:r>
      <w:r w:rsidRPr="00A33264">
        <w:rPr>
          <w:lang w:val="en-GB"/>
        </w:rPr>
        <w:t xml:space="preserve">year employment </w:t>
      </w:r>
      <w:r w:rsidR="000A7258" w:rsidRPr="00A33264">
        <w:rPr>
          <w:lang w:val="en-GB"/>
        </w:rPr>
        <w:t xml:space="preserve">as Senior Cultural Educator </w:t>
      </w:r>
      <w:r w:rsidRPr="00A33264">
        <w:rPr>
          <w:lang w:val="en-GB"/>
        </w:rPr>
        <w:t>with Northern Territory General Practice Educatio</w:t>
      </w:r>
      <w:r w:rsidR="000A7258" w:rsidRPr="00A33264">
        <w:rPr>
          <w:lang w:val="en-GB"/>
        </w:rPr>
        <w:t>n</w:t>
      </w:r>
      <w:r w:rsidRPr="00A33264">
        <w:rPr>
          <w:lang w:val="en-GB"/>
        </w:rPr>
        <w:t>.</w:t>
      </w:r>
    </w:p>
    <w:p w14:paraId="5E718E14" w14:textId="2172AD12" w:rsidR="0047222D" w:rsidRPr="00A33264" w:rsidRDefault="0047222D" w:rsidP="0047222D">
      <w:pPr>
        <w:rPr>
          <w:lang w:val="en-GB"/>
        </w:rPr>
      </w:pPr>
      <w:r w:rsidRPr="00A33264">
        <w:rPr>
          <w:lang w:val="en-GB"/>
        </w:rPr>
        <w:t>In 2022 Dr Fejo was awarded an honorary doctorate by Flinders University in recognition of his contribution to education and Indigenous health.</w:t>
      </w:r>
    </w:p>
    <w:p w14:paraId="456488BB" w14:textId="4F81380A" w:rsidR="0047222D" w:rsidRPr="00A33264" w:rsidRDefault="0047222D" w:rsidP="0047222D">
      <w:pPr>
        <w:rPr>
          <w:lang w:val="en-GB"/>
        </w:rPr>
      </w:pPr>
      <w:r w:rsidRPr="00A33264">
        <w:rPr>
          <w:lang w:val="en-GB"/>
        </w:rPr>
        <w:t>Dr Fejo currently holds the positions of Senior Elder on campus with Flinders University, Chair of the Darwin Waterfront Corporation</w:t>
      </w:r>
      <w:r w:rsidR="000A7258" w:rsidRPr="00A33264">
        <w:rPr>
          <w:lang w:val="en-GB"/>
        </w:rPr>
        <w:t xml:space="preserve"> and</w:t>
      </w:r>
      <w:r w:rsidRPr="00A33264">
        <w:rPr>
          <w:lang w:val="en-GB"/>
        </w:rPr>
        <w:t xml:space="preserve"> Chair of the Australia Day Council (NT).</w:t>
      </w:r>
    </w:p>
    <w:p w14:paraId="3CDE4440" w14:textId="3913680C" w:rsidR="0047222D" w:rsidRPr="00A33264" w:rsidRDefault="0047222D" w:rsidP="0047222D">
      <w:pPr>
        <w:rPr>
          <w:lang w:val="en-GB"/>
        </w:rPr>
      </w:pPr>
      <w:r w:rsidRPr="00A33264">
        <w:rPr>
          <w:lang w:val="en-GB"/>
        </w:rPr>
        <w:t xml:space="preserve">In addition to his service to the community, Dr Fejo is </w:t>
      </w:r>
      <w:r w:rsidR="001A6947">
        <w:rPr>
          <w:lang w:val="en-GB"/>
        </w:rPr>
        <w:t>c</w:t>
      </w:r>
      <w:r w:rsidRPr="00A33264">
        <w:rPr>
          <w:lang w:val="en-GB"/>
        </w:rPr>
        <w:t xml:space="preserve">ultural </w:t>
      </w:r>
      <w:r w:rsidR="001A6947">
        <w:rPr>
          <w:lang w:val="en-GB"/>
        </w:rPr>
        <w:t>a</w:t>
      </w:r>
      <w:r w:rsidRPr="00A33264">
        <w:rPr>
          <w:lang w:val="en-GB"/>
        </w:rPr>
        <w:t xml:space="preserve">mbassador of </w:t>
      </w:r>
      <w:r w:rsidR="000A7258" w:rsidRPr="00A33264">
        <w:rPr>
          <w:lang w:val="en-GB"/>
        </w:rPr>
        <w:t xml:space="preserve">the </w:t>
      </w:r>
      <w:r w:rsidRPr="00A33264">
        <w:rPr>
          <w:lang w:val="en-GB"/>
        </w:rPr>
        <w:t xml:space="preserve">Darwin Salties </w:t>
      </w:r>
      <w:r w:rsidR="000A7258" w:rsidRPr="00A33264">
        <w:rPr>
          <w:lang w:val="en-GB"/>
        </w:rPr>
        <w:t>b</w:t>
      </w:r>
      <w:r w:rsidRPr="00A33264">
        <w:rPr>
          <w:lang w:val="en-GB"/>
        </w:rPr>
        <w:t xml:space="preserve">asketball </w:t>
      </w:r>
      <w:r w:rsidR="000A7258" w:rsidRPr="00A33264">
        <w:rPr>
          <w:lang w:val="en-GB"/>
        </w:rPr>
        <w:t xml:space="preserve">club </w:t>
      </w:r>
      <w:r w:rsidRPr="00A33264">
        <w:rPr>
          <w:lang w:val="en-GB"/>
        </w:rPr>
        <w:t>and a talented comedian and singer</w:t>
      </w:r>
      <w:r w:rsidR="004E5432" w:rsidRPr="00650775">
        <w:rPr>
          <w:rFonts w:ascii="Symbol" w:eastAsia="Symbol" w:hAnsi="Symbol" w:cs="Symbol"/>
          <w:lang w:val="en-GB"/>
        </w:rPr>
        <w:sym w:font="Symbol" w:char="F02D"/>
      </w:r>
      <w:r w:rsidRPr="00A33264">
        <w:rPr>
          <w:lang w:val="en-GB"/>
        </w:rPr>
        <w:t xml:space="preserve">songwriter, </w:t>
      </w:r>
      <w:r w:rsidRPr="00A33264">
        <w:rPr>
          <w:lang w:val="en-GB"/>
        </w:rPr>
        <w:lastRenderedPageBreak/>
        <w:t>performing regularly around town and nurturing the next generation of comics and aspiring singer</w:t>
      </w:r>
      <w:r w:rsidR="004E5432" w:rsidRPr="00650775">
        <w:rPr>
          <w:rFonts w:ascii="Symbol" w:eastAsia="Symbol" w:hAnsi="Symbol" w:cs="Symbol"/>
          <w:lang w:val="en-GB"/>
        </w:rPr>
        <w:sym w:font="Symbol" w:char="F02D"/>
      </w:r>
      <w:r w:rsidRPr="00A33264">
        <w:rPr>
          <w:lang w:val="en-GB"/>
        </w:rPr>
        <w:t>songwriters.</w:t>
      </w:r>
    </w:p>
    <w:p w14:paraId="35ED2EAE" w14:textId="09E0BD1B" w:rsidR="0047222D" w:rsidRPr="00A33264" w:rsidRDefault="0047222D" w:rsidP="0047222D">
      <w:pPr>
        <w:rPr>
          <w:lang w:val="en-GB"/>
        </w:rPr>
      </w:pPr>
      <w:r w:rsidRPr="00A33264">
        <w:rPr>
          <w:b/>
          <w:bCs/>
          <w:lang w:val="en-GB"/>
        </w:rPr>
        <w:t>Qualifications:</w:t>
      </w:r>
      <w:r w:rsidRPr="00A33264">
        <w:rPr>
          <w:lang w:val="en-GB"/>
        </w:rPr>
        <w:t xml:space="preserve"> Honorary </w:t>
      </w:r>
      <w:r w:rsidR="001A6947">
        <w:rPr>
          <w:lang w:val="en-GB"/>
        </w:rPr>
        <w:t>d</w:t>
      </w:r>
      <w:r w:rsidRPr="00A33264">
        <w:rPr>
          <w:lang w:val="en-GB"/>
        </w:rPr>
        <w:t>octorate, Flinders University.</w:t>
      </w:r>
    </w:p>
    <w:p w14:paraId="6724A479" w14:textId="77777777" w:rsidR="0047222D" w:rsidRPr="00A33264" w:rsidRDefault="0047222D" w:rsidP="0047222D">
      <w:pPr>
        <w:rPr>
          <w:b/>
          <w:bCs/>
          <w:lang w:val="en-GB"/>
        </w:rPr>
      </w:pPr>
      <w:r w:rsidRPr="00A33264">
        <w:rPr>
          <w:b/>
          <w:bCs/>
          <w:lang w:val="en-GB"/>
        </w:rPr>
        <w:t xml:space="preserve">Member: </w:t>
      </w:r>
      <w:r w:rsidRPr="00A33264">
        <w:rPr>
          <w:lang w:val="en-GB"/>
        </w:rPr>
        <w:t>Strategic Direction and Participant Outcomes Committee.</w:t>
      </w:r>
    </w:p>
    <w:p w14:paraId="03C698F1" w14:textId="77777777" w:rsidR="0047222D" w:rsidRPr="00A33264" w:rsidRDefault="0047222D" w:rsidP="0047222D">
      <w:pPr>
        <w:rPr>
          <w:b/>
          <w:lang w:val="en-GB"/>
        </w:rPr>
      </w:pPr>
      <w:r w:rsidRPr="00A33264">
        <w:rPr>
          <w:noProof/>
          <w:lang w:val="en-GB"/>
          <w14:ligatures w14:val="standardContextual"/>
        </w:rPr>
        <w:drawing>
          <wp:inline distT="0" distB="0" distL="0" distR="0" wp14:anchorId="7880EFD7" wp14:editId="057E0F22">
            <wp:extent cx="1371600" cy="2008800"/>
            <wp:effectExtent l="0" t="0" r="0" b="0"/>
            <wp:docPr id="1256285001" name="Picture 1256285001" descr="Photograph of Dr Graeme Innes A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285001" name="Picture 1256285001" descr="Photograph of Dr Graeme Innes AM.">
                      <a:extLst>
                        <a:ext uri="{C183D7F6-B498-43B3-948B-1728B52AA6E4}">
                          <adec:decorative xmlns:adec="http://schemas.microsoft.com/office/drawing/2017/decorative" val="0"/>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1371600" cy="2008800"/>
                    </a:xfrm>
                    <a:prstGeom prst="rect">
                      <a:avLst/>
                    </a:prstGeom>
                  </pic:spPr>
                </pic:pic>
              </a:graphicData>
            </a:graphic>
          </wp:inline>
        </w:drawing>
      </w:r>
    </w:p>
    <w:p w14:paraId="74E60700" w14:textId="77777777" w:rsidR="0047222D" w:rsidRPr="00A33264" w:rsidRDefault="0047222D" w:rsidP="0047222D">
      <w:pPr>
        <w:rPr>
          <w:lang w:val="en-GB"/>
        </w:rPr>
      </w:pPr>
      <w:r w:rsidRPr="00A33264">
        <w:rPr>
          <w:b/>
          <w:lang w:val="en-GB"/>
        </w:rPr>
        <w:t>Dr Graeme Innes AM</w:t>
      </w:r>
    </w:p>
    <w:p w14:paraId="37A786B5" w14:textId="4E7E19C9" w:rsidR="0047222D" w:rsidRPr="00A33264" w:rsidRDefault="0047222D" w:rsidP="0047222D">
      <w:pPr>
        <w:rPr>
          <w:lang w:val="en-GB"/>
        </w:rPr>
      </w:pPr>
      <w:r w:rsidRPr="00A33264">
        <w:rPr>
          <w:lang w:val="en-GB"/>
        </w:rPr>
        <w:t>Dr Graeme Innes AM is a lawyer, author and company director who was Australia’s Disability Discrimination Commissioner for 9 years.</w:t>
      </w:r>
    </w:p>
    <w:p w14:paraId="30E7A366" w14:textId="77777777" w:rsidR="0047222D" w:rsidRPr="00A33264" w:rsidRDefault="0047222D" w:rsidP="0047222D">
      <w:pPr>
        <w:rPr>
          <w:lang w:val="en-GB"/>
        </w:rPr>
      </w:pPr>
      <w:r w:rsidRPr="00A33264">
        <w:rPr>
          <w:lang w:val="en-GB"/>
        </w:rPr>
        <w:t>Dr Innes has been a human rights practitioner for more than 30 years and has been responsible for issues relating to disability, race and human rights.</w:t>
      </w:r>
    </w:p>
    <w:p w14:paraId="41744B22" w14:textId="1B3FC502" w:rsidR="0047222D" w:rsidRPr="00A33264" w:rsidRDefault="0047222D" w:rsidP="0047222D">
      <w:pPr>
        <w:rPr>
          <w:lang w:val="en-GB"/>
        </w:rPr>
      </w:pPr>
      <w:r w:rsidRPr="00A33264">
        <w:rPr>
          <w:lang w:val="en-GB"/>
        </w:rPr>
        <w:t xml:space="preserve">Dr Innes was </w:t>
      </w:r>
      <w:r w:rsidR="000A7258" w:rsidRPr="00A33264">
        <w:rPr>
          <w:lang w:val="en-GB"/>
        </w:rPr>
        <w:t xml:space="preserve">appointed </w:t>
      </w:r>
      <w:r w:rsidRPr="00A33264">
        <w:rPr>
          <w:lang w:val="en-GB"/>
        </w:rPr>
        <w:t>a Member of the Order of Australia (AM) for his work on the development of the Disability Discrimination Act and was a finalist for Australian of the Year. On the international stage, he was a member of the Australian delegation that participated in negotiating the UN Convention on the Rights of People with Disabilities.</w:t>
      </w:r>
    </w:p>
    <w:p w14:paraId="25733158" w14:textId="388B6BE0" w:rsidR="0047222D" w:rsidRPr="00A33264" w:rsidRDefault="0047222D" w:rsidP="0047222D">
      <w:pPr>
        <w:rPr>
          <w:lang w:val="en-GB"/>
        </w:rPr>
      </w:pPr>
      <w:r w:rsidRPr="00A33264">
        <w:rPr>
          <w:lang w:val="en-GB"/>
        </w:rPr>
        <w:t xml:space="preserve">Dr Innes led the merger of 4 blindness agencies to form Vision Australia and chaired the board of that agency. He is Chancellor of Central Queensland University and a </w:t>
      </w:r>
      <w:r w:rsidR="00C97790">
        <w:rPr>
          <w:lang w:val="en-GB"/>
        </w:rPr>
        <w:t>d</w:t>
      </w:r>
      <w:r w:rsidRPr="00A33264">
        <w:rPr>
          <w:lang w:val="en-GB"/>
        </w:rPr>
        <w:t>irector of the State Insurance Regulatory Authority</w:t>
      </w:r>
      <w:r w:rsidR="001A6947">
        <w:rPr>
          <w:lang w:val="en-GB"/>
        </w:rPr>
        <w:t xml:space="preserve"> in New South Wales</w:t>
      </w:r>
      <w:r w:rsidRPr="00A33264">
        <w:rPr>
          <w:lang w:val="en-GB"/>
        </w:rPr>
        <w:t xml:space="preserve">, regulating workers’ compensation and motor vehicle accident insurance. </w:t>
      </w:r>
      <w:r w:rsidR="007D04C8">
        <w:rPr>
          <w:lang w:val="en-GB"/>
        </w:rPr>
        <w:t>He is a member of the board</w:t>
      </w:r>
      <w:r w:rsidR="00C97790">
        <w:rPr>
          <w:lang w:val="en-GB"/>
        </w:rPr>
        <w:t>s</w:t>
      </w:r>
      <w:r w:rsidR="007D04C8">
        <w:rPr>
          <w:lang w:val="en-GB"/>
        </w:rPr>
        <w:t xml:space="preserve"> of Healthy North Coast and the Jeffrey Blyth Foundation. </w:t>
      </w:r>
      <w:r w:rsidRPr="00A33264">
        <w:rPr>
          <w:lang w:val="en-GB"/>
        </w:rPr>
        <w:t xml:space="preserve">His autobiography </w:t>
      </w:r>
      <w:r w:rsidRPr="00A33264">
        <w:rPr>
          <w:i/>
          <w:iCs/>
          <w:lang w:val="en-GB"/>
        </w:rPr>
        <w:t xml:space="preserve">Finding a </w:t>
      </w:r>
      <w:r w:rsidR="004E5432">
        <w:rPr>
          <w:i/>
          <w:iCs/>
          <w:lang w:val="en-GB"/>
        </w:rPr>
        <w:t>w</w:t>
      </w:r>
      <w:r w:rsidRPr="00A33264">
        <w:rPr>
          <w:i/>
          <w:iCs/>
          <w:lang w:val="en-GB"/>
        </w:rPr>
        <w:t>ay</w:t>
      </w:r>
      <w:r w:rsidRPr="00A33264">
        <w:rPr>
          <w:lang w:val="en-GB"/>
        </w:rPr>
        <w:t xml:space="preserve"> achieved popular acclaim in 2016.</w:t>
      </w:r>
    </w:p>
    <w:p w14:paraId="4F38B637" w14:textId="1789B014" w:rsidR="0047222D" w:rsidRPr="00A33264" w:rsidRDefault="0047222D" w:rsidP="0047222D">
      <w:pPr>
        <w:rPr>
          <w:lang w:val="en-GB"/>
        </w:rPr>
      </w:pPr>
      <w:r w:rsidRPr="00A33264">
        <w:rPr>
          <w:b/>
          <w:bCs/>
          <w:lang w:val="en-GB"/>
        </w:rPr>
        <w:t>Qualifications:</w:t>
      </w:r>
      <w:r w:rsidRPr="00A33264">
        <w:rPr>
          <w:lang w:val="en-GB"/>
        </w:rPr>
        <w:t xml:space="preserve"> Bachelor of Law</w:t>
      </w:r>
      <w:r w:rsidR="00C97790">
        <w:rPr>
          <w:lang w:val="en-GB"/>
        </w:rPr>
        <w:t>s</w:t>
      </w:r>
      <w:r w:rsidRPr="00A33264">
        <w:rPr>
          <w:lang w:val="en-GB"/>
        </w:rPr>
        <w:t>, Sydney University</w:t>
      </w:r>
      <w:r w:rsidR="007D04C8">
        <w:rPr>
          <w:lang w:val="en-GB"/>
        </w:rPr>
        <w:t>;</w:t>
      </w:r>
      <w:r w:rsidRPr="00A33264">
        <w:rPr>
          <w:lang w:val="en-GB"/>
        </w:rPr>
        <w:t xml:space="preserve"> </w:t>
      </w:r>
      <w:r w:rsidR="007D04C8">
        <w:rPr>
          <w:lang w:val="en-GB"/>
        </w:rPr>
        <w:t>m</w:t>
      </w:r>
      <w:r w:rsidRPr="00A33264">
        <w:rPr>
          <w:lang w:val="en-GB"/>
        </w:rPr>
        <w:t>ediator courses</w:t>
      </w:r>
      <w:r w:rsidR="007D04C8">
        <w:rPr>
          <w:lang w:val="en-GB"/>
        </w:rPr>
        <w:t>,</w:t>
      </w:r>
      <w:r w:rsidRPr="00A33264">
        <w:rPr>
          <w:lang w:val="en-GB"/>
        </w:rPr>
        <w:t xml:space="preserve"> Community Justice Centre NSW</w:t>
      </w:r>
      <w:r w:rsidR="007D04C8">
        <w:rPr>
          <w:lang w:val="en-GB"/>
        </w:rPr>
        <w:t>,</w:t>
      </w:r>
      <w:r w:rsidRPr="00A33264">
        <w:rPr>
          <w:lang w:val="en-GB"/>
        </w:rPr>
        <w:t xml:space="preserve"> Australian Commercial Dispute Centre</w:t>
      </w:r>
      <w:r w:rsidR="007D04C8">
        <w:rPr>
          <w:lang w:val="en-GB"/>
        </w:rPr>
        <w:t>;</w:t>
      </w:r>
      <w:r w:rsidRPr="00A33264">
        <w:rPr>
          <w:lang w:val="en-GB"/>
        </w:rPr>
        <w:t xml:space="preserve"> </w:t>
      </w:r>
      <w:r w:rsidR="007D04C8">
        <w:rPr>
          <w:lang w:val="en-GB"/>
        </w:rPr>
        <w:t>h</w:t>
      </w:r>
      <w:r w:rsidRPr="00A33264">
        <w:rPr>
          <w:lang w:val="en-GB"/>
        </w:rPr>
        <w:t>onorary doctorates</w:t>
      </w:r>
      <w:r w:rsidR="00C97790">
        <w:rPr>
          <w:lang w:val="en-GB"/>
        </w:rPr>
        <w:t>,</w:t>
      </w:r>
      <w:r w:rsidRPr="00A33264">
        <w:rPr>
          <w:lang w:val="en-GB"/>
        </w:rPr>
        <w:t xml:space="preserve"> University of Canberra, RMIT University, University of N</w:t>
      </w:r>
      <w:r w:rsidR="007D04C8">
        <w:rPr>
          <w:lang w:val="en-GB"/>
        </w:rPr>
        <w:t xml:space="preserve">ew </w:t>
      </w:r>
      <w:r w:rsidRPr="00A33264">
        <w:rPr>
          <w:lang w:val="en-GB"/>
        </w:rPr>
        <w:t>S</w:t>
      </w:r>
      <w:r w:rsidR="007D04C8">
        <w:rPr>
          <w:lang w:val="en-GB"/>
        </w:rPr>
        <w:t xml:space="preserve">outh </w:t>
      </w:r>
      <w:r w:rsidRPr="00A33264">
        <w:rPr>
          <w:lang w:val="en-GB"/>
        </w:rPr>
        <w:t>W</w:t>
      </w:r>
      <w:r w:rsidR="007D04C8">
        <w:rPr>
          <w:lang w:val="en-GB"/>
        </w:rPr>
        <w:t>ales</w:t>
      </w:r>
      <w:r w:rsidR="00C97790">
        <w:rPr>
          <w:lang w:val="en-GB"/>
        </w:rPr>
        <w:t>,</w:t>
      </w:r>
      <w:r w:rsidRPr="00A33264">
        <w:rPr>
          <w:lang w:val="en-GB"/>
        </w:rPr>
        <w:t xml:space="preserve"> Edith Cowan University</w:t>
      </w:r>
      <w:r w:rsidR="007D04C8">
        <w:rPr>
          <w:lang w:val="en-GB"/>
        </w:rPr>
        <w:t>;</w:t>
      </w:r>
      <w:r w:rsidRPr="00A33264">
        <w:rPr>
          <w:lang w:val="en-GB"/>
        </w:rPr>
        <w:t xml:space="preserve"> Fellow of the Australian Institute of Company Directors.</w:t>
      </w:r>
    </w:p>
    <w:p w14:paraId="6DD719F6" w14:textId="77777777" w:rsidR="0047222D" w:rsidRPr="00A33264" w:rsidRDefault="0047222D" w:rsidP="0047222D">
      <w:pPr>
        <w:rPr>
          <w:lang w:val="en-GB"/>
        </w:rPr>
      </w:pPr>
      <w:r w:rsidRPr="00A33264">
        <w:rPr>
          <w:b/>
          <w:bCs/>
          <w:lang w:val="en-GB"/>
        </w:rPr>
        <w:t xml:space="preserve">Chair: </w:t>
      </w:r>
      <w:r w:rsidRPr="00A33264">
        <w:rPr>
          <w:lang w:val="en-GB"/>
        </w:rPr>
        <w:t>Audit and Risk Committee.</w:t>
      </w:r>
    </w:p>
    <w:p w14:paraId="700BDD70" w14:textId="77777777" w:rsidR="0047222D" w:rsidRPr="00A33264" w:rsidRDefault="0047222D" w:rsidP="0047222D">
      <w:pPr>
        <w:rPr>
          <w:b/>
          <w:lang w:val="en-GB"/>
        </w:rPr>
      </w:pPr>
      <w:r w:rsidRPr="00A33264">
        <w:rPr>
          <w:rStyle w:val="FGCEMPHASIS"/>
          <w:noProof/>
          <w:lang w:val="en-GB"/>
        </w:rPr>
        <w:lastRenderedPageBreak/>
        <w:drawing>
          <wp:inline distT="0" distB="0" distL="0" distR="0" wp14:anchorId="501740ED" wp14:editId="27229911">
            <wp:extent cx="1371600" cy="1774800"/>
            <wp:effectExtent l="0" t="0" r="0" b="0"/>
            <wp:docPr id="1485613013" name="Picture 1485613013" descr="Photograph of Mrs Joan McKenna Ker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613013" name="Picture 1485613013" descr="Photograph of Mrs Joan McKenna Kerr.">
                      <a:extLst>
                        <a:ext uri="{C183D7F6-B498-43B3-948B-1728B52AA6E4}">
                          <adec:decorative xmlns:adec="http://schemas.microsoft.com/office/drawing/2017/decorative" val="0"/>
                        </a:ext>
                      </a:extLst>
                    </pic:cNvPr>
                    <pic:cNvPicPr/>
                  </pic:nvPicPr>
                  <pic:blipFill>
                    <a:blip r:embed="rId73">
                      <a:extLst>
                        <a:ext uri="{28A0092B-C50C-407E-A947-70E740481C1C}">
                          <a14:useLocalDpi xmlns:a14="http://schemas.microsoft.com/office/drawing/2010/main" val="0"/>
                        </a:ext>
                      </a:extLst>
                    </a:blip>
                    <a:stretch>
                      <a:fillRect/>
                    </a:stretch>
                  </pic:blipFill>
                  <pic:spPr>
                    <a:xfrm>
                      <a:off x="0" y="0"/>
                      <a:ext cx="1371600" cy="1774800"/>
                    </a:xfrm>
                    <a:prstGeom prst="rect">
                      <a:avLst/>
                    </a:prstGeom>
                  </pic:spPr>
                </pic:pic>
              </a:graphicData>
            </a:graphic>
          </wp:inline>
        </w:drawing>
      </w:r>
    </w:p>
    <w:p w14:paraId="123B0142" w14:textId="77777777" w:rsidR="0047222D" w:rsidRPr="00A33264" w:rsidRDefault="0047222D" w:rsidP="0047222D">
      <w:pPr>
        <w:rPr>
          <w:lang w:val="en-GB"/>
        </w:rPr>
      </w:pPr>
      <w:r w:rsidRPr="00A33264">
        <w:rPr>
          <w:b/>
          <w:lang w:val="en-GB"/>
        </w:rPr>
        <w:t>Mrs Joan McKenna Kerr</w:t>
      </w:r>
    </w:p>
    <w:p w14:paraId="7CAC0648" w14:textId="697C56D0" w:rsidR="0047222D" w:rsidRPr="00A33264" w:rsidRDefault="0047222D" w:rsidP="0047222D">
      <w:pPr>
        <w:rPr>
          <w:lang w:val="en-GB"/>
        </w:rPr>
      </w:pPr>
      <w:r w:rsidRPr="00A33264">
        <w:rPr>
          <w:lang w:val="en-GB"/>
        </w:rPr>
        <w:t xml:space="preserve">Mrs Joan McKenna Kerr is an experienced </w:t>
      </w:r>
      <w:r w:rsidR="007D04C8">
        <w:rPr>
          <w:lang w:val="en-GB"/>
        </w:rPr>
        <w:t>CEO</w:t>
      </w:r>
      <w:r w:rsidRPr="00A33264">
        <w:rPr>
          <w:lang w:val="en-GB"/>
        </w:rPr>
        <w:t xml:space="preserve"> in the field of disability with significant experience as a board director.</w:t>
      </w:r>
    </w:p>
    <w:p w14:paraId="6E79F908" w14:textId="57B65035" w:rsidR="0047222D" w:rsidRPr="00A33264" w:rsidRDefault="0047222D" w:rsidP="0047222D">
      <w:pPr>
        <w:rPr>
          <w:lang w:val="en-GB"/>
        </w:rPr>
      </w:pPr>
      <w:r w:rsidRPr="00A33264">
        <w:rPr>
          <w:lang w:val="en-GB"/>
        </w:rPr>
        <w:t xml:space="preserve">She was a member of the </w:t>
      </w:r>
      <w:r w:rsidR="007D04C8">
        <w:rPr>
          <w:lang w:val="en-GB"/>
        </w:rPr>
        <w:t>e</w:t>
      </w:r>
      <w:r w:rsidRPr="00A33264">
        <w:rPr>
          <w:lang w:val="en-GB"/>
        </w:rPr>
        <w:t xml:space="preserve">xpert </w:t>
      </w:r>
      <w:r w:rsidR="007D04C8">
        <w:rPr>
          <w:lang w:val="en-GB"/>
        </w:rPr>
        <w:t>a</w:t>
      </w:r>
      <w:r w:rsidRPr="00A33264">
        <w:rPr>
          <w:lang w:val="en-GB"/>
        </w:rPr>
        <w:t xml:space="preserve">dvisory </w:t>
      </w:r>
      <w:r w:rsidR="007D04C8">
        <w:rPr>
          <w:lang w:val="en-GB"/>
        </w:rPr>
        <w:t>g</w:t>
      </w:r>
      <w:r w:rsidRPr="00A33264">
        <w:rPr>
          <w:lang w:val="en-GB"/>
        </w:rPr>
        <w:t xml:space="preserve">roup reporting to the Council of </w:t>
      </w:r>
      <w:r w:rsidR="007D04C8">
        <w:rPr>
          <w:lang w:val="en-GB"/>
        </w:rPr>
        <w:t>Australian Governments select council of t</w:t>
      </w:r>
      <w:r w:rsidRPr="00A33264">
        <w:rPr>
          <w:lang w:val="en-GB"/>
        </w:rPr>
        <w:t xml:space="preserve">reasurers and </w:t>
      </w:r>
      <w:r w:rsidR="007D04C8">
        <w:rPr>
          <w:lang w:val="en-GB"/>
        </w:rPr>
        <w:t>m</w:t>
      </w:r>
      <w:r w:rsidRPr="00A33264">
        <w:rPr>
          <w:lang w:val="en-GB"/>
        </w:rPr>
        <w:t>inisters on the development and establishment of the NDIS.</w:t>
      </w:r>
    </w:p>
    <w:p w14:paraId="585391EE" w14:textId="6A57D47B" w:rsidR="0047222D" w:rsidRPr="00A33264" w:rsidRDefault="0047222D" w:rsidP="0047222D">
      <w:pPr>
        <w:rPr>
          <w:lang w:val="en-GB"/>
        </w:rPr>
      </w:pPr>
      <w:r w:rsidRPr="00A33264">
        <w:rPr>
          <w:lang w:val="en-GB"/>
        </w:rPr>
        <w:t xml:space="preserve">Mrs McKenna Kerr was a member of the inaugural NDIS Independent Advisory Council and </w:t>
      </w:r>
      <w:r w:rsidR="007D04C8">
        <w:rPr>
          <w:lang w:val="en-GB"/>
        </w:rPr>
        <w:t>c</w:t>
      </w:r>
      <w:r w:rsidRPr="00A33264">
        <w:rPr>
          <w:lang w:val="en-GB"/>
        </w:rPr>
        <w:t>o-</w:t>
      </w:r>
      <w:r w:rsidR="007D04C8">
        <w:rPr>
          <w:lang w:val="en-GB"/>
        </w:rPr>
        <w:t>c</w:t>
      </w:r>
      <w:r w:rsidRPr="00A33264">
        <w:rPr>
          <w:lang w:val="en-GB"/>
        </w:rPr>
        <w:t>hair of the NDIS Working Party on Eligibility and Assessment.</w:t>
      </w:r>
    </w:p>
    <w:p w14:paraId="19123234" w14:textId="467F5B6F" w:rsidR="0047222D" w:rsidRPr="00A33264" w:rsidRDefault="000A7258" w:rsidP="0047222D">
      <w:pPr>
        <w:rPr>
          <w:lang w:val="en-GB"/>
        </w:rPr>
      </w:pPr>
      <w:r w:rsidRPr="00A33264">
        <w:rPr>
          <w:lang w:val="en-GB"/>
        </w:rPr>
        <w:t>Throughout her career, she has also</w:t>
      </w:r>
      <w:r w:rsidR="0047222D" w:rsidRPr="00A33264">
        <w:rPr>
          <w:lang w:val="en-GB"/>
        </w:rPr>
        <w:t xml:space="preserve"> chair</w:t>
      </w:r>
      <w:r w:rsidRPr="00A33264">
        <w:rPr>
          <w:lang w:val="en-GB"/>
        </w:rPr>
        <w:t>ed</w:t>
      </w:r>
      <w:r w:rsidR="0047222D" w:rsidRPr="00A33264">
        <w:rPr>
          <w:lang w:val="en-GB"/>
        </w:rPr>
        <w:t xml:space="preserve"> and serv</w:t>
      </w:r>
      <w:r w:rsidRPr="00A33264">
        <w:rPr>
          <w:lang w:val="en-GB"/>
        </w:rPr>
        <w:t>ed</w:t>
      </w:r>
      <w:r w:rsidR="0047222D" w:rsidRPr="00A33264">
        <w:rPr>
          <w:lang w:val="en-GB"/>
        </w:rPr>
        <w:t xml:space="preserve"> </w:t>
      </w:r>
      <w:r w:rsidR="007D04C8">
        <w:rPr>
          <w:lang w:val="en-GB"/>
        </w:rPr>
        <w:t>in</w:t>
      </w:r>
      <w:r w:rsidR="0047222D" w:rsidRPr="00A33264">
        <w:rPr>
          <w:lang w:val="en-GB"/>
        </w:rPr>
        <w:t xml:space="preserve"> numerous working parties</w:t>
      </w:r>
      <w:r w:rsidRPr="00A33264">
        <w:rPr>
          <w:lang w:val="en-GB"/>
        </w:rPr>
        <w:t xml:space="preserve"> </w:t>
      </w:r>
      <w:r w:rsidR="0047222D" w:rsidRPr="00A33264">
        <w:rPr>
          <w:lang w:val="en-GB"/>
        </w:rPr>
        <w:t>tasked with disability sector reform and sustainability.</w:t>
      </w:r>
    </w:p>
    <w:p w14:paraId="68431204" w14:textId="7D311A0A" w:rsidR="0047222D" w:rsidRPr="00A33264" w:rsidRDefault="0047222D" w:rsidP="0047222D">
      <w:pPr>
        <w:rPr>
          <w:lang w:val="en-GB"/>
        </w:rPr>
      </w:pPr>
      <w:r w:rsidRPr="00A33264">
        <w:rPr>
          <w:lang w:val="en-GB"/>
        </w:rPr>
        <w:t xml:space="preserve">Mrs McKenna Kerr is a former </w:t>
      </w:r>
      <w:r w:rsidR="007D04C8">
        <w:rPr>
          <w:lang w:val="en-GB"/>
        </w:rPr>
        <w:t>p</w:t>
      </w:r>
      <w:r w:rsidRPr="00A33264">
        <w:rPr>
          <w:lang w:val="en-GB"/>
        </w:rPr>
        <w:t xml:space="preserve">resident of National Disability Services and the former </w:t>
      </w:r>
      <w:r w:rsidR="007D04C8">
        <w:rPr>
          <w:lang w:val="en-GB"/>
        </w:rPr>
        <w:t>n</w:t>
      </w:r>
      <w:r w:rsidRPr="00A33264">
        <w:rPr>
          <w:lang w:val="en-GB"/>
        </w:rPr>
        <w:t xml:space="preserve">ational </w:t>
      </w:r>
      <w:r w:rsidR="007D04C8">
        <w:rPr>
          <w:lang w:val="en-GB"/>
        </w:rPr>
        <w:t>c</w:t>
      </w:r>
      <w:r w:rsidRPr="00A33264">
        <w:rPr>
          <w:lang w:val="en-GB"/>
        </w:rPr>
        <w:t>hair of the Australian Advisory Board on Autism.</w:t>
      </w:r>
    </w:p>
    <w:p w14:paraId="70171C89" w14:textId="77777777" w:rsidR="0047222D" w:rsidRPr="00A33264" w:rsidRDefault="0047222D" w:rsidP="0047222D">
      <w:pPr>
        <w:rPr>
          <w:lang w:val="en-GB"/>
        </w:rPr>
      </w:pPr>
      <w:r w:rsidRPr="00A33264">
        <w:rPr>
          <w:lang w:val="en-GB"/>
        </w:rPr>
        <w:t>She has also been involved for the last decade in the sister-state initiative between the Western Australian Government and East Java, Indonesia, assisting in the development of disability services in 5 regional government areas of East Java.</w:t>
      </w:r>
    </w:p>
    <w:p w14:paraId="41AEA1FD" w14:textId="082FE74F" w:rsidR="0047222D" w:rsidRPr="00A33264" w:rsidRDefault="0047222D" w:rsidP="0047222D">
      <w:pPr>
        <w:rPr>
          <w:lang w:val="en-GB"/>
        </w:rPr>
      </w:pPr>
      <w:r w:rsidRPr="00A33264">
        <w:rPr>
          <w:lang w:val="en-GB"/>
        </w:rPr>
        <w:t>In 2017 Mrs McKenna Kerr was awarded the Asia Pacific Autism Award for a lifetime of service to people with autism and their families.</w:t>
      </w:r>
    </w:p>
    <w:p w14:paraId="6389483D" w14:textId="4B24F71E" w:rsidR="0047222D" w:rsidRPr="00A33264" w:rsidRDefault="0047222D" w:rsidP="0047222D">
      <w:pPr>
        <w:rPr>
          <w:lang w:val="en-GB"/>
        </w:rPr>
      </w:pPr>
      <w:r w:rsidRPr="00A33264">
        <w:rPr>
          <w:b/>
          <w:bCs/>
          <w:lang w:val="en-GB"/>
        </w:rPr>
        <w:t>Qualifications:</w:t>
      </w:r>
      <w:r w:rsidRPr="00A33264">
        <w:rPr>
          <w:lang w:val="en-GB"/>
        </w:rPr>
        <w:t xml:space="preserve"> Bachelor of Arts, Moderatorship in Sociology, Trinity College Dublin.</w:t>
      </w:r>
    </w:p>
    <w:p w14:paraId="24A54A7E" w14:textId="77777777" w:rsidR="0047222D" w:rsidRPr="00A33264" w:rsidRDefault="0047222D" w:rsidP="0047222D">
      <w:pPr>
        <w:rPr>
          <w:lang w:val="en-GB"/>
        </w:rPr>
      </w:pPr>
      <w:r w:rsidRPr="00A33264">
        <w:rPr>
          <w:b/>
          <w:bCs/>
          <w:lang w:val="en-GB"/>
        </w:rPr>
        <w:t>Member:</w:t>
      </w:r>
      <w:r w:rsidRPr="00A33264">
        <w:rPr>
          <w:lang w:val="en-GB"/>
        </w:rPr>
        <w:t xml:space="preserve"> Strategic Direction and Participant Outcomes Committee.</w:t>
      </w:r>
    </w:p>
    <w:p w14:paraId="742780B0" w14:textId="77777777" w:rsidR="0047222D" w:rsidRPr="00A33264" w:rsidRDefault="0047222D" w:rsidP="0047222D">
      <w:pPr>
        <w:rPr>
          <w:b/>
          <w:lang w:val="en-GB"/>
        </w:rPr>
      </w:pPr>
      <w:bookmarkStart w:id="291" w:name="_Hlk141959052"/>
      <w:r w:rsidRPr="00A33264">
        <w:rPr>
          <w:noProof/>
          <w:lang w:val="en-GB"/>
          <w14:ligatures w14:val="standardContextual"/>
        </w:rPr>
        <w:lastRenderedPageBreak/>
        <w:drawing>
          <wp:inline distT="0" distB="0" distL="0" distR="0" wp14:anchorId="7556FA43" wp14:editId="24CBDB6C">
            <wp:extent cx="1256030" cy="1939925"/>
            <wp:effectExtent l="0" t="0" r="1270" b="3175"/>
            <wp:docPr id="789038397" name="Picture 789038397" descr="Photograph of Dr Denis Napthine 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038397" name="Picture 789038397" descr="Photograph of Dr Denis Napthine AO."/>
                    <pic:cNvPicPr/>
                  </pic:nvPicPr>
                  <pic:blipFill>
                    <a:blip r:embed="rId74">
                      <a:extLst>
                        <a:ext uri="{28A0092B-C50C-407E-A947-70E740481C1C}">
                          <a14:useLocalDpi xmlns:a14="http://schemas.microsoft.com/office/drawing/2010/main" val="0"/>
                        </a:ext>
                      </a:extLst>
                    </a:blip>
                    <a:stretch>
                      <a:fillRect/>
                    </a:stretch>
                  </pic:blipFill>
                  <pic:spPr>
                    <a:xfrm>
                      <a:off x="0" y="0"/>
                      <a:ext cx="1256030" cy="1939925"/>
                    </a:xfrm>
                    <a:prstGeom prst="rect">
                      <a:avLst/>
                    </a:prstGeom>
                  </pic:spPr>
                </pic:pic>
              </a:graphicData>
            </a:graphic>
          </wp:inline>
        </w:drawing>
      </w:r>
    </w:p>
    <w:p w14:paraId="2A80D3A1" w14:textId="77777777" w:rsidR="0047222D" w:rsidRPr="00A33264" w:rsidRDefault="0047222D" w:rsidP="0047222D">
      <w:pPr>
        <w:rPr>
          <w:lang w:val="en-GB"/>
        </w:rPr>
      </w:pPr>
      <w:r w:rsidRPr="00A33264">
        <w:rPr>
          <w:b/>
          <w:lang w:val="en-GB"/>
        </w:rPr>
        <w:t xml:space="preserve">Dr Denis Napthine </w:t>
      </w:r>
      <w:bookmarkEnd w:id="291"/>
      <w:r w:rsidRPr="00A33264">
        <w:rPr>
          <w:b/>
          <w:lang w:val="en-GB"/>
        </w:rPr>
        <w:t>AO</w:t>
      </w:r>
    </w:p>
    <w:p w14:paraId="2B438C59" w14:textId="76B3F163" w:rsidR="0047222D" w:rsidRPr="00A33264" w:rsidRDefault="0047222D" w:rsidP="0047222D">
      <w:pPr>
        <w:rPr>
          <w:lang w:val="en-GB"/>
        </w:rPr>
      </w:pPr>
      <w:r w:rsidRPr="00A33264">
        <w:rPr>
          <w:lang w:val="en-GB"/>
        </w:rPr>
        <w:t xml:space="preserve">Dr Denis Napthine </w:t>
      </w:r>
      <w:r w:rsidR="000D6CF7">
        <w:rPr>
          <w:lang w:val="en-GB"/>
        </w:rPr>
        <w:t xml:space="preserve">AO </w:t>
      </w:r>
      <w:r w:rsidRPr="00A33264">
        <w:rPr>
          <w:lang w:val="en-GB"/>
        </w:rPr>
        <w:t xml:space="preserve">has held various senior positions in government and was the 47th </w:t>
      </w:r>
      <w:r w:rsidR="007D04C8">
        <w:rPr>
          <w:lang w:val="en-GB"/>
        </w:rPr>
        <w:t>p</w:t>
      </w:r>
      <w:r w:rsidRPr="00A33264">
        <w:rPr>
          <w:lang w:val="en-GB"/>
        </w:rPr>
        <w:t>remier of Victoria.</w:t>
      </w:r>
    </w:p>
    <w:p w14:paraId="596C0966" w14:textId="46358521" w:rsidR="0047222D" w:rsidRPr="00A33264" w:rsidRDefault="0047222D" w:rsidP="0047222D">
      <w:pPr>
        <w:rPr>
          <w:lang w:val="en-GB"/>
        </w:rPr>
      </w:pPr>
      <w:r w:rsidRPr="00A33264">
        <w:rPr>
          <w:lang w:val="en-GB"/>
        </w:rPr>
        <w:t xml:space="preserve">As the </w:t>
      </w:r>
      <w:r w:rsidR="007D04C8">
        <w:rPr>
          <w:lang w:val="en-GB"/>
        </w:rPr>
        <w:t>p</w:t>
      </w:r>
      <w:r w:rsidRPr="00A33264">
        <w:rPr>
          <w:lang w:val="en-GB"/>
        </w:rPr>
        <w:t xml:space="preserve">remier, Dr Napthine led the Victorian Government to sign the NDIS </w:t>
      </w:r>
      <w:r w:rsidR="007D04C8">
        <w:rPr>
          <w:lang w:val="en-GB"/>
        </w:rPr>
        <w:t>a</w:t>
      </w:r>
      <w:r w:rsidRPr="00A33264">
        <w:rPr>
          <w:lang w:val="en-GB"/>
        </w:rPr>
        <w:t xml:space="preserve">greement with the then </w:t>
      </w:r>
      <w:r w:rsidR="007D04C8">
        <w:rPr>
          <w:lang w:val="en-GB"/>
        </w:rPr>
        <w:t>p</w:t>
      </w:r>
      <w:r w:rsidRPr="00A33264">
        <w:rPr>
          <w:lang w:val="en-GB"/>
        </w:rPr>
        <w:t xml:space="preserve">rime </w:t>
      </w:r>
      <w:r w:rsidR="007D04C8">
        <w:rPr>
          <w:lang w:val="en-GB"/>
        </w:rPr>
        <w:t>m</w:t>
      </w:r>
      <w:r w:rsidRPr="00A33264">
        <w:rPr>
          <w:lang w:val="en-GB"/>
        </w:rPr>
        <w:t>inister</w:t>
      </w:r>
      <w:r w:rsidR="003053C7" w:rsidRPr="00A33264">
        <w:rPr>
          <w:lang w:val="en-GB"/>
        </w:rPr>
        <w:t>,</w:t>
      </w:r>
      <w:r w:rsidRPr="00A33264">
        <w:rPr>
          <w:lang w:val="en-GB"/>
        </w:rPr>
        <w:t xml:space="preserve"> Julia Gillard. He has a long history of active involvement in local and regional services for people with disabilities and their families and carers. Dr Napthine is the parent of a person with disabilities and has previously worked in frontline services for people with disabilities.</w:t>
      </w:r>
    </w:p>
    <w:p w14:paraId="20B16A72" w14:textId="30C98450" w:rsidR="0047222D" w:rsidRPr="00A33264" w:rsidRDefault="0047222D" w:rsidP="0047222D">
      <w:pPr>
        <w:rPr>
          <w:lang w:val="en-GB"/>
        </w:rPr>
      </w:pPr>
      <w:r w:rsidRPr="00A33264">
        <w:rPr>
          <w:lang w:val="en-GB"/>
        </w:rPr>
        <w:t xml:space="preserve">In 2020 Dr Napthine was </w:t>
      </w:r>
      <w:r w:rsidR="003053C7" w:rsidRPr="00A33264">
        <w:rPr>
          <w:lang w:val="en-GB"/>
        </w:rPr>
        <w:t>appointed</w:t>
      </w:r>
      <w:r w:rsidRPr="00A33264">
        <w:rPr>
          <w:lang w:val="en-GB"/>
        </w:rPr>
        <w:t xml:space="preserve"> an Officer of the Order of Australia (AO) for distinguished service to the people and Parliament of Victoria, particularly as </w:t>
      </w:r>
      <w:r w:rsidR="007D04C8">
        <w:rPr>
          <w:lang w:val="en-GB"/>
        </w:rPr>
        <w:t>p</w:t>
      </w:r>
      <w:r w:rsidRPr="00A33264">
        <w:rPr>
          <w:lang w:val="en-GB"/>
        </w:rPr>
        <w:t>remier, to veterinary science, and to the community. Previously he was the Victorian Minister for Community Services, which included disability services.</w:t>
      </w:r>
    </w:p>
    <w:p w14:paraId="514D4977" w14:textId="0901512F" w:rsidR="0047222D" w:rsidRPr="00A33264" w:rsidRDefault="0047222D" w:rsidP="0047222D">
      <w:pPr>
        <w:rPr>
          <w:lang w:val="en-GB"/>
        </w:rPr>
      </w:pPr>
      <w:r w:rsidRPr="00A33264">
        <w:rPr>
          <w:lang w:val="en-GB"/>
        </w:rPr>
        <w:t xml:space="preserve">Dr Napthine was appointed as </w:t>
      </w:r>
      <w:r w:rsidR="007D04C8">
        <w:rPr>
          <w:lang w:val="en-GB"/>
        </w:rPr>
        <w:t>c</w:t>
      </w:r>
      <w:r w:rsidRPr="00A33264">
        <w:rPr>
          <w:lang w:val="en-GB"/>
        </w:rPr>
        <w:t xml:space="preserve">hair of the NDIA Board on 1 April 2022. He resigned on 18 July 2022. </w:t>
      </w:r>
      <w:r w:rsidR="007D04C8">
        <w:rPr>
          <w:lang w:val="en-GB"/>
        </w:rPr>
        <w:t xml:space="preserve">He </w:t>
      </w:r>
      <w:r w:rsidRPr="00A33264">
        <w:rPr>
          <w:lang w:val="en-GB"/>
        </w:rPr>
        <w:t>was reappointed to the Board in October 2022.</w:t>
      </w:r>
    </w:p>
    <w:p w14:paraId="1D0840F6" w14:textId="12943957" w:rsidR="0047222D" w:rsidRPr="00A33264" w:rsidRDefault="0047222D" w:rsidP="0047222D">
      <w:pPr>
        <w:rPr>
          <w:lang w:val="en-GB"/>
        </w:rPr>
      </w:pPr>
      <w:r w:rsidRPr="00A33264">
        <w:rPr>
          <w:lang w:val="en-GB"/>
        </w:rPr>
        <w:t xml:space="preserve">Dr Napthine is a </w:t>
      </w:r>
      <w:r w:rsidR="007D04C8">
        <w:rPr>
          <w:lang w:val="en-GB"/>
        </w:rPr>
        <w:t>d</w:t>
      </w:r>
      <w:r w:rsidRPr="00A33264">
        <w:rPr>
          <w:lang w:val="en-GB"/>
        </w:rPr>
        <w:t>irector of GMHBA Limited.</w:t>
      </w:r>
    </w:p>
    <w:p w14:paraId="60B0D1F7" w14:textId="39847FF8" w:rsidR="0047222D" w:rsidRPr="00A33264" w:rsidRDefault="0047222D" w:rsidP="0047222D">
      <w:pPr>
        <w:rPr>
          <w:lang w:val="en-GB"/>
        </w:rPr>
      </w:pPr>
      <w:r w:rsidRPr="00A33264">
        <w:rPr>
          <w:b/>
          <w:bCs/>
          <w:lang w:val="en-GB"/>
        </w:rPr>
        <w:t>Qualifications:</w:t>
      </w:r>
      <w:r w:rsidRPr="00A33264">
        <w:rPr>
          <w:lang w:val="en-GB"/>
        </w:rPr>
        <w:t xml:space="preserve"> B</w:t>
      </w:r>
      <w:r w:rsidR="007D04C8">
        <w:rPr>
          <w:lang w:val="en-GB"/>
        </w:rPr>
        <w:t xml:space="preserve">achelor of </w:t>
      </w:r>
      <w:r w:rsidRPr="00A33264">
        <w:rPr>
          <w:lang w:val="en-GB"/>
        </w:rPr>
        <w:t>V</w:t>
      </w:r>
      <w:r w:rsidR="007D04C8">
        <w:rPr>
          <w:lang w:val="en-GB"/>
        </w:rPr>
        <w:t xml:space="preserve">eterinary </w:t>
      </w:r>
      <w:r w:rsidRPr="00A33264">
        <w:rPr>
          <w:lang w:val="en-GB"/>
        </w:rPr>
        <w:t>Sc</w:t>
      </w:r>
      <w:r w:rsidR="007D04C8">
        <w:rPr>
          <w:lang w:val="en-GB"/>
        </w:rPr>
        <w:t>ience</w:t>
      </w:r>
      <w:r w:rsidR="00C97790">
        <w:rPr>
          <w:lang w:val="en-GB"/>
        </w:rPr>
        <w:t>,</w:t>
      </w:r>
      <w:r w:rsidRPr="00A33264">
        <w:rPr>
          <w:lang w:val="en-GB"/>
        </w:rPr>
        <w:t xml:space="preserve"> M</w:t>
      </w:r>
      <w:r w:rsidR="007D04C8">
        <w:rPr>
          <w:lang w:val="en-GB"/>
        </w:rPr>
        <w:t xml:space="preserve">aster of </w:t>
      </w:r>
      <w:r w:rsidRPr="00A33264">
        <w:rPr>
          <w:lang w:val="en-GB"/>
        </w:rPr>
        <w:t>V</w:t>
      </w:r>
      <w:r w:rsidR="007D04C8">
        <w:rPr>
          <w:lang w:val="en-GB"/>
        </w:rPr>
        <w:t xml:space="preserve">eterinary </w:t>
      </w:r>
      <w:r w:rsidRPr="00A33264">
        <w:rPr>
          <w:lang w:val="en-GB"/>
        </w:rPr>
        <w:t>S</w:t>
      </w:r>
      <w:r w:rsidR="007D04C8">
        <w:rPr>
          <w:lang w:val="en-GB"/>
        </w:rPr>
        <w:t>cience</w:t>
      </w:r>
      <w:r w:rsidRPr="00A33264">
        <w:rPr>
          <w:lang w:val="en-GB"/>
        </w:rPr>
        <w:t xml:space="preserve"> (Epidemiology and Preventive Medicine), University of Melbourne</w:t>
      </w:r>
      <w:r w:rsidR="007D04C8">
        <w:rPr>
          <w:lang w:val="en-GB"/>
        </w:rPr>
        <w:t>;</w:t>
      </w:r>
      <w:r w:rsidRPr="00A33264">
        <w:rPr>
          <w:lang w:val="en-GB"/>
        </w:rPr>
        <w:t xml:space="preserve"> Master of Business Administration, Deakin University.</w:t>
      </w:r>
    </w:p>
    <w:p w14:paraId="7A73DE33" w14:textId="77777777" w:rsidR="0047222D" w:rsidRPr="00A33264" w:rsidRDefault="0047222D" w:rsidP="0047222D">
      <w:pPr>
        <w:rPr>
          <w:lang w:val="en-GB"/>
        </w:rPr>
      </w:pPr>
      <w:r w:rsidRPr="00A33264">
        <w:rPr>
          <w:b/>
          <w:bCs/>
          <w:lang w:val="en-GB"/>
        </w:rPr>
        <w:t>Member:</w:t>
      </w:r>
      <w:r w:rsidRPr="00A33264">
        <w:rPr>
          <w:lang w:val="en-GB"/>
        </w:rPr>
        <w:t xml:space="preserve"> Audit and Risk Committee.</w:t>
      </w:r>
    </w:p>
    <w:p w14:paraId="4A2032D4" w14:textId="77777777" w:rsidR="0047222D" w:rsidRPr="00A33264" w:rsidRDefault="0047222D" w:rsidP="0047222D">
      <w:pPr>
        <w:rPr>
          <w:b/>
          <w:lang w:val="en-GB"/>
        </w:rPr>
      </w:pPr>
      <w:r w:rsidRPr="00A33264">
        <w:rPr>
          <w:noProof/>
          <w:lang w:val="en-GB"/>
          <w14:ligatures w14:val="standardContextual"/>
        </w:rPr>
        <w:lastRenderedPageBreak/>
        <w:drawing>
          <wp:inline distT="0" distB="0" distL="0" distR="0" wp14:anchorId="3BAD741C" wp14:editId="084C20A8">
            <wp:extent cx="1148400" cy="1879200"/>
            <wp:effectExtent l="0" t="0" r="0" b="6985"/>
            <wp:docPr id="750659303" name="Picture 750659303" descr="Photograph of Ms Estelle Pears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659303" name="Picture 750659303" descr="Photograph of Ms Estelle Pearson.">
                      <a:extLst>
                        <a:ext uri="{C183D7F6-B498-43B3-948B-1728B52AA6E4}">
                          <adec:decorative xmlns:adec="http://schemas.microsoft.com/office/drawing/2017/decorative" val="0"/>
                        </a:ext>
                      </a:extLst>
                    </pic:cNvPr>
                    <pic:cNvPicPr/>
                  </pic:nvPicPr>
                  <pic:blipFill>
                    <a:blip r:embed="rId75">
                      <a:extLst>
                        <a:ext uri="{28A0092B-C50C-407E-A947-70E740481C1C}">
                          <a14:useLocalDpi xmlns:a14="http://schemas.microsoft.com/office/drawing/2010/main" val="0"/>
                        </a:ext>
                      </a:extLst>
                    </a:blip>
                    <a:stretch>
                      <a:fillRect/>
                    </a:stretch>
                  </pic:blipFill>
                  <pic:spPr>
                    <a:xfrm>
                      <a:off x="0" y="0"/>
                      <a:ext cx="1148400" cy="1879200"/>
                    </a:xfrm>
                    <a:prstGeom prst="rect">
                      <a:avLst/>
                    </a:prstGeom>
                  </pic:spPr>
                </pic:pic>
              </a:graphicData>
            </a:graphic>
          </wp:inline>
        </w:drawing>
      </w:r>
    </w:p>
    <w:p w14:paraId="504AC2DC" w14:textId="77777777" w:rsidR="0047222D" w:rsidRPr="00A33264" w:rsidRDefault="0047222D" w:rsidP="0047222D">
      <w:pPr>
        <w:rPr>
          <w:lang w:val="en-GB"/>
        </w:rPr>
      </w:pPr>
      <w:r w:rsidRPr="00A33264">
        <w:rPr>
          <w:b/>
          <w:lang w:val="en-GB"/>
        </w:rPr>
        <w:t xml:space="preserve">Ms Estelle Pearson </w:t>
      </w:r>
    </w:p>
    <w:p w14:paraId="5F225593" w14:textId="52D8F56F" w:rsidR="0047222D" w:rsidRPr="00D003CF" w:rsidRDefault="0047222D" w:rsidP="0047222D">
      <w:pPr>
        <w:rPr>
          <w:lang w:val="en-GB"/>
        </w:rPr>
      </w:pPr>
      <w:r w:rsidRPr="00D003CF">
        <w:rPr>
          <w:lang w:val="en-GB"/>
        </w:rPr>
        <w:t xml:space="preserve">Ms Estelle Pearson has extensive experience in the insurance and injury compensation sector, having worked as an actuary and consultant in this sector since 1989. She is currently a </w:t>
      </w:r>
      <w:r w:rsidR="007D04C8">
        <w:rPr>
          <w:lang w:val="en-GB"/>
        </w:rPr>
        <w:t>d</w:t>
      </w:r>
      <w:r w:rsidRPr="00D003CF">
        <w:rPr>
          <w:lang w:val="en-GB"/>
        </w:rPr>
        <w:t xml:space="preserve">irector of Finity Consulting Pty Limited and was previously on the Council of the Actuaries Institute, including a term as </w:t>
      </w:r>
      <w:r w:rsidR="007D04C8">
        <w:rPr>
          <w:lang w:val="en-GB"/>
        </w:rPr>
        <w:t>p</w:t>
      </w:r>
      <w:r w:rsidRPr="00D003CF">
        <w:rPr>
          <w:lang w:val="en-GB"/>
        </w:rPr>
        <w:t>resident in 2015.</w:t>
      </w:r>
    </w:p>
    <w:p w14:paraId="4339D892" w14:textId="6E1D47FF" w:rsidR="0047222D" w:rsidRPr="00D003CF" w:rsidRDefault="0047222D" w:rsidP="0047222D">
      <w:pPr>
        <w:rPr>
          <w:lang w:val="en-GB"/>
        </w:rPr>
      </w:pPr>
      <w:r w:rsidRPr="00D003CF">
        <w:rPr>
          <w:b/>
          <w:bCs/>
          <w:lang w:val="en-GB"/>
        </w:rPr>
        <w:t>Qualifications:</w:t>
      </w:r>
      <w:r w:rsidRPr="00D003CF">
        <w:rPr>
          <w:lang w:val="en-GB"/>
        </w:rPr>
        <w:t xml:space="preserve"> B</w:t>
      </w:r>
      <w:r w:rsidR="007D04C8">
        <w:rPr>
          <w:lang w:val="en-GB"/>
        </w:rPr>
        <w:t xml:space="preserve">achelor of </w:t>
      </w:r>
      <w:r w:rsidRPr="00D003CF">
        <w:rPr>
          <w:lang w:val="en-GB"/>
        </w:rPr>
        <w:t>A</w:t>
      </w:r>
      <w:r w:rsidR="007D04C8">
        <w:rPr>
          <w:lang w:val="en-GB"/>
        </w:rPr>
        <w:t>rts</w:t>
      </w:r>
      <w:r w:rsidRPr="00D003CF">
        <w:rPr>
          <w:lang w:val="en-GB"/>
        </w:rPr>
        <w:t xml:space="preserve"> (Hons) </w:t>
      </w:r>
      <w:r w:rsidR="007D04C8">
        <w:rPr>
          <w:lang w:val="en-GB"/>
        </w:rPr>
        <w:t>(</w:t>
      </w:r>
      <w:r w:rsidRPr="00D003CF">
        <w:rPr>
          <w:lang w:val="en-GB"/>
        </w:rPr>
        <w:t>Mathematics</w:t>
      </w:r>
      <w:r w:rsidR="007D04C8">
        <w:rPr>
          <w:lang w:val="en-GB"/>
        </w:rPr>
        <w:t>)</w:t>
      </w:r>
      <w:r w:rsidRPr="00D003CF">
        <w:rPr>
          <w:lang w:val="en-GB"/>
        </w:rPr>
        <w:t>, University of Oxford; Fellow of the Institutes of Actuaries of Australia.</w:t>
      </w:r>
    </w:p>
    <w:p w14:paraId="1D362FA9" w14:textId="77777777" w:rsidR="0047222D" w:rsidRPr="00A33264" w:rsidRDefault="0047222D" w:rsidP="0047222D">
      <w:pPr>
        <w:rPr>
          <w:lang w:val="en-GB"/>
        </w:rPr>
      </w:pPr>
      <w:r w:rsidRPr="00D003CF">
        <w:rPr>
          <w:b/>
          <w:bCs/>
          <w:lang w:val="en-GB"/>
        </w:rPr>
        <w:t>Chair:</w:t>
      </w:r>
      <w:r w:rsidRPr="00D003CF">
        <w:rPr>
          <w:lang w:val="en-GB"/>
        </w:rPr>
        <w:t xml:space="preserve"> Sustainability Committee.</w:t>
      </w:r>
    </w:p>
    <w:p w14:paraId="42CF18F9" w14:textId="77777777" w:rsidR="0047222D" w:rsidRPr="00A33264" w:rsidRDefault="0047222D" w:rsidP="0047222D">
      <w:pPr>
        <w:rPr>
          <w:b/>
          <w:lang w:val="en-GB"/>
        </w:rPr>
      </w:pPr>
      <w:r w:rsidRPr="00A33264">
        <w:rPr>
          <w:noProof/>
          <w:lang w:val="en-GB"/>
          <w14:ligatures w14:val="standardContextual"/>
        </w:rPr>
        <w:drawing>
          <wp:inline distT="0" distB="0" distL="0" distR="0" wp14:anchorId="6B8D6F45" wp14:editId="2BF2AAA5">
            <wp:extent cx="1245600" cy="1832400"/>
            <wp:effectExtent l="0" t="0" r="0" b="0"/>
            <wp:docPr id="1455829345" name="Picture 1455829345" descr="Photograph of Ms Leah van Pop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29345" name="Picture 1455829345" descr="Photograph of Ms Leah van Poppel."/>
                    <pic:cNvPicPr/>
                  </pic:nvPicPr>
                  <pic:blipFill>
                    <a:blip r:embed="rId76"/>
                    <a:stretch>
                      <a:fillRect/>
                    </a:stretch>
                  </pic:blipFill>
                  <pic:spPr>
                    <a:xfrm>
                      <a:off x="0" y="0"/>
                      <a:ext cx="1245600" cy="1832400"/>
                    </a:xfrm>
                    <a:prstGeom prst="rect">
                      <a:avLst/>
                    </a:prstGeom>
                  </pic:spPr>
                </pic:pic>
              </a:graphicData>
            </a:graphic>
          </wp:inline>
        </w:drawing>
      </w:r>
    </w:p>
    <w:p w14:paraId="1DFDD33D" w14:textId="77777777" w:rsidR="0047222D" w:rsidRPr="00A33264" w:rsidRDefault="0047222D" w:rsidP="0047222D">
      <w:pPr>
        <w:rPr>
          <w:b/>
          <w:lang w:val="en-GB"/>
        </w:rPr>
      </w:pPr>
      <w:r w:rsidRPr="00A33264">
        <w:rPr>
          <w:b/>
          <w:lang w:val="en-GB"/>
        </w:rPr>
        <w:t xml:space="preserve">Ms Leah van Poppel </w:t>
      </w:r>
    </w:p>
    <w:p w14:paraId="2D9D8947" w14:textId="745FF7CC" w:rsidR="0047222D" w:rsidRPr="00D003CF" w:rsidRDefault="0047222D" w:rsidP="0047222D">
      <w:pPr>
        <w:rPr>
          <w:lang w:val="en-GB"/>
        </w:rPr>
      </w:pPr>
      <w:r w:rsidRPr="00D003CF">
        <w:rPr>
          <w:lang w:val="en-GB"/>
        </w:rPr>
        <w:t xml:space="preserve">Ms Leah van Poppel is Chair of the Victorian NDIS Community Advisory </w:t>
      </w:r>
      <w:r w:rsidR="007D04C8">
        <w:rPr>
          <w:lang w:val="en-GB"/>
        </w:rPr>
        <w:t xml:space="preserve">Council </w:t>
      </w:r>
      <w:r w:rsidRPr="00D003CF">
        <w:rPr>
          <w:lang w:val="en-GB"/>
        </w:rPr>
        <w:t xml:space="preserve">and a </w:t>
      </w:r>
      <w:r w:rsidR="007D04C8">
        <w:rPr>
          <w:lang w:val="en-GB"/>
        </w:rPr>
        <w:t>Principal M</w:t>
      </w:r>
      <w:r w:rsidRPr="00D003CF">
        <w:rPr>
          <w:lang w:val="en-GB"/>
        </w:rPr>
        <w:t>ember of the NDIS Independent Advisory Council.</w:t>
      </w:r>
    </w:p>
    <w:p w14:paraId="0FA83287" w14:textId="77777777" w:rsidR="0047222D" w:rsidRPr="00D003CF" w:rsidRDefault="0047222D" w:rsidP="0047222D">
      <w:pPr>
        <w:rPr>
          <w:lang w:val="en-GB"/>
        </w:rPr>
      </w:pPr>
      <w:r w:rsidRPr="00D003CF">
        <w:rPr>
          <w:lang w:val="en-GB"/>
        </w:rPr>
        <w:t>A highly respected leader and disability rights advocate, Ms van Poppel was CEO of Women with Disabilities Victoria from 2018 to 2021.</w:t>
      </w:r>
    </w:p>
    <w:p w14:paraId="42A70E54" w14:textId="77777777" w:rsidR="0047222D" w:rsidRPr="00D003CF" w:rsidRDefault="0047222D" w:rsidP="00E970BA">
      <w:pPr>
        <w:spacing w:line="276" w:lineRule="auto"/>
        <w:rPr>
          <w:lang w:val="en-GB"/>
        </w:rPr>
      </w:pPr>
      <w:r w:rsidRPr="00D003CF">
        <w:rPr>
          <w:lang w:val="en-GB"/>
        </w:rPr>
        <w:t>In this position, she worked to empower marginalised women in the community through education and mentoring, as well as research, policy advice and government advocacy.</w:t>
      </w:r>
    </w:p>
    <w:p w14:paraId="1DDD8994" w14:textId="6A098B63" w:rsidR="0047222D" w:rsidRPr="00D003CF" w:rsidRDefault="0047222D" w:rsidP="00E970BA">
      <w:pPr>
        <w:spacing w:line="276" w:lineRule="auto"/>
        <w:rPr>
          <w:lang w:val="en-GB"/>
        </w:rPr>
      </w:pPr>
      <w:r w:rsidRPr="00D003CF">
        <w:rPr>
          <w:lang w:val="en-GB"/>
        </w:rPr>
        <w:lastRenderedPageBreak/>
        <w:t xml:space="preserve">Previously Ms van Poppel was CEO of Blind Citizens Australia, </w:t>
      </w:r>
      <w:r w:rsidR="007D04C8">
        <w:rPr>
          <w:lang w:val="en-GB"/>
        </w:rPr>
        <w:t>m</w:t>
      </w:r>
      <w:r w:rsidRPr="00D003CF">
        <w:rPr>
          <w:lang w:val="en-GB"/>
        </w:rPr>
        <w:t xml:space="preserve">anager at Youth Disability Advocacy Service, and NDIS </w:t>
      </w:r>
      <w:r w:rsidR="007D04C8">
        <w:rPr>
          <w:lang w:val="en-GB"/>
        </w:rPr>
        <w:t>r</w:t>
      </w:r>
      <w:r w:rsidRPr="00D003CF">
        <w:rPr>
          <w:lang w:val="en-GB"/>
        </w:rPr>
        <w:t xml:space="preserve">eadiness </w:t>
      </w:r>
      <w:r w:rsidR="007D04C8">
        <w:rPr>
          <w:lang w:val="en-GB"/>
        </w:rPr>
        <w:t>p</w:t>
      </w:r>
      <w:r w:rsidRPr="00D003CF">
        <w:rPr>
          <w:lang w:val="en-GB"/>
        </w:rPr>
        <w:t xml:space="preserve">roject </w:t>
      </w:r>
      <w:r w:rsidR="007D04C8">
        <w:rPr>
          <w:lang w:val="en-GB"/>
        </w:rPr>
        <w:t>o</w:t>
      </w:r>
      <w:r w:rsidRPr="00D003CF">
        <w:rPr>
          <w:lang w:val="en-GB"/>
        </w:rPr>
        <w:t>fficer at</w:t>
      </w:r>
      <w:r w:rsidR="007D04C8">
        <w:rPr>
          <w:lang w:val="en-GB"/>
        </w:rPr>
        <w:t xml:space="preserve"> the</w:t>
      </w:r>
      <w:r w:rsidRPr="00D003CF">
        <w:rPr>
          <w:lang w:val="en-GB"/>
        </w:rPr>
        <w:t xml:space="preserve"> Australian Federation of Disability Organisations.</w:t>
      </w:r>
    </w:p>
    <w:p w14:paraId="56F3BD2B" w14:textId="77777777" w:rsidR="0047222D" w:rsidRPr="00D003CF" w:rsidRDefault="0047222D" w:rsidP="008361EE">
      <w:pPr>
        <w:spacing w:line="276" w:lineRule="auto"/>
        <w:rPr>
          <w:lang w:val="en-GB"/>
        </w:rPr>
      </w:pPr>
      <w:r w:rsidRPr="00D003CF">
        <w:rPr>
          <w:b/>
          <w:bCs/>
          <w:lang w:val="en-GB"/>
        </w:rPr>
        <w:t>Qualifications:</w:t>
      </w:r>
      <w:r w:rsidRPr="00D003CF">
        <w:rPr>
          <w:lang w:val="en-GB"/>
        </w:rPr>
        <w:t xml:space="preserve"> Bachelor of Arts, Macquarie University.</w:t>
      </w:r>
    </w:p>
    <w:p w14:paraId="5FAD029F" w14:textId="0B354EE0" w:rsidR="0047222D" w:rsidRPr="00A33264" w:rsidRDefault="0047222D" w:rsidP="008361EE">
      <w:pPr>
        <w:spacing w:after="120" w:line="276" w:lineRule="auto"/>
        <w:rPr>
          <w:lang w:val="en-GB"/>
        </w:rPr>
      </w:pPr>
      <w:r w:rsidRPr="00D003CF">
        <w:rPr>
          <w:b/>
          <w:bCs/>
          <w:lang w:val="en-GB"/>
        </w:rPr>
        <w:t>Member:</w:t>
      </w:r>
      <w:r w:rsidRPr="00D003CF">
        <w:rPr>
          <w:lang w:val="en-GB"/>
        </w:rPr>
        <w:t xml:space="preserve"> Sustainability Committee</w:t>
      </w:r>
      <w:r w:rsidR="007D04C8">
        <w:rPr>
          <w:lang w:val="en-GB"/>
        </w:rPr>
        <w:t>;</w:t>
      </w:r>
      <w:r w:rsidRPr="00D003CF">
        <w:rPr>
          <w:lang w:val="en-GB"/>
        </w:rPr>
        <w:t xml:space="preserve"> Strategic Direction and Participant Outcomes Committee.</w:t>
      </w:r>
    </w:p>
    <w:p w14:paraId="0B4A6C1A" w14:textId="77777777" w:rsidR="0047222D" w:rsidRPr="00A33264" w:rsidRDefault="0047222D" w:rsidP="0047222D">
      <w:pPr>
        <w:rPr>
          <w:b/>
          <w:lang w:val="en-GB"/>
        </w:rPr>
      </w:pPr>
      <w:r w:rsidRPr="00A33264">
        <w:rPr>
          <w:b/>
          <w:bCs/>
          <w:noProof/>
          <w:lang w:val="en-GB"/>
          <w14:ligatures w14:val="standardContextual"/>
        </w:rPr>
        <w:drawing>
          <wp:inline distT="0" distB="0" distL="0" distR="0" wp14:anchorId="17894A18" wp14:editId="08EC3F82">
            <wp:extent cx="1270635" cy="1969135"/>
            <wp:effectExtent l="0" t="0" r="5715" b="0"/>
            <wp:docPr id="1393345263" name="Picture 1393345263" descr="Photograph of Dr Peta Seaton A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45263" name="Picture 1393345263" descr="Photograph of Dr Peta Seaton AM.">
                      <a:extLst>
                        <a:ext uri="{C183D7F6-B498-43B3-948B-1728B52AA6E4}">
                          <adec:decorative xmlns:adec="http://schemas.microsoft.com/office/drawing/2017/decorative" val="0"/>
                        </a:ext>
                      </a:extLst>
                    </pic:cNvPr>
                    <pic:cNvPicPr/>
                  </pic:nvPicPr>
                  <pic:blipFill>
                    <a:blip r:embed="rId77">
                      <a:extLst>
                        <a:ext uri="{28A0092B-C50C-407E-A947-70E740481C1C}">
                          <a14:useLocalDpi xmlns:a14="http://schemas.microsoft.com/office/drawing/2010/main" val="0"/>
                        </a:ext>
                      </a:extLst>
                    </a:blip>
                    <a:stretch>
                      <a:fillRect/>
                    </a:stretch>
                  </pic:blipFill>
                  <pic:spPr>
                    <a:xfrm>
                      <a:off x="0" y="0"/>
                      <a:ext cx="1270635" cy="1969135"/>
                    </a:xfrm>
                    <a:prstGeom prst="rect">
                      <a:avLst/>
                    </a:prstGeom>
                  </pic:spPr>
                </pic:pic>
              </a:graphicData>
            </a:graphic>
          </wp:inline>
        </w:drawing>
      </w:r>
    </w:p>
    <w:p w14:paraId="4121C8DC" w14:textId="77777777" w:rsidR="0047222D" w:rsidRPr="00A33264" w:rsidRDefault="0047222D" w:rsidP="0047222D">
      <w:pPr>
        <w:rPr>
          <w:lang w:val="en-GB"/>
        </w:rPr>
      </w:pPr>
      <w:r w:rsidRPr="00A33264">
        <w:rPr>
          <w:b/>
          <w:lang w:val="en-GB"/>
        </w:rPr>
        <w:t xml:space="preserve">Dr Peta Seaton AM </w:t>
      </w:r>
    </w:p>
    <w:p w14:paraId="4823683A" w14:textId="74470E65" w:rsidR="0047222D" w:rsidRPr="00A33264" w:rsidRDefault="0047222D" w:rsidP="00E970BA">
      <w:pPr>
        <w:spacing w:line="276" w:lineRule="auto"/>
        <w:rPr>
          <w:lang w:val="en-GB"/>
        </w:rPr>
      </w:pPr>
      <w:r w:rsidRPr="00A33264">
        <w:rPr>
          <w:lang w:val="en-GB"/>
        </w:rPr>
        <w:t xml:space="preserve">Dr Peta Seaton </w:t>
      </w:r>
      <w:r w:rsidR="00723B6B">
        <w:rPr>
          <w:lang w:val="en-GB"/>
        </w:rPr>
        <w:t xml:space="preserve">AM </w:t>
      </w:r>
      <w:r w:rsidRPr="00A33264">
        <w:rPr>
          <w:lang w:val="en-GB"/>
        </w:rPr>
        <w:t xml:space="preserve">is an experienced non-executive </w:t>
      </w:r>
      <w:r w:rsidR="00BF7483">
        <w:rPr>
          <w:lang w:val="en-GB"/>
        </w:rPr>
        <w:t>d</w:t>
      </w:r>
      <w:r w:rsidRPr="00A33264">
        <w:rPr>
          <w:lang w:val="en-GB"/>
        </w:rPr>
        <w:t>irector</w:t>
      </w:r>
      <w:r w:rsidR="00C97790">
        <w:rPr>
          <w:lang w:val="en-GB"/>
        </w:rPr>
        <w:t>,</w:t>
      </w:r>
      <w:r w:rsidRPr="00A33264">
        <w:rPr>
          <w:lang w:val="en-GB"/>
        </w:rPr>
        <w:t xml:space="preserve"> including </w:t>
      </w:r>
      <w:r w:rsidR="00C97790">
        <w:rPr>
          <w:lang w:val="en-GB"/>
        </w:rPr>
        <w:t xml:space="preserve">in </w:t>
      </w:r>
      <w:r w:rsidRPr="00A33264">
        <w:rPr>
          <w:lang w:val="en-GB"/>
        </w:rPr>
        <w:t xml:space="preserve">former board roles as </w:t>
      </w:r>
      <w:r w:rsidR="00BF7483">
        <w:rPr>
          <w:lang w:val="en-GB"/>
        </w:rPr>
        <w:t>c</w:t>
      </w:r>
      <w:r w:rsidRPr="00A33264">
        <w:rPr>
          <w:lang w:val="en-GB"/>
        </w:rPr>
        <w:t xml:space="preserve">hair of Hearing Australia, </w:t>
      </w:r>
      <w:r w:rsidR="00BF7483">
        <w:rPr>
          <w:lang w:val="en-GB"/>
        </w:rPr>
        <w:t>c</w:t>
      </w:r>
      <w:r w:rsidRPr="00A33264">
        <w:rPr>
          <w:lang w:val="en-GB"/>
        </w:rPr>
        <w:t xml:space="preserve">hair of Near Eastern Archaeology Foundation (University of Sydney), </w:t>
      </w:r>
      <w:r w:rsidR="00BF7483">
        <w:rPr>
          <w:lang w:val="en-GB"/>
        </w:rPr>
        <w:t>and d</w:t>
      </w:r>
      <w:r w:rsidRPr="00A33264">
        <w:rPr>
          <w:lang w:val="en-GB"/>
        </w:rPr>
        <w:t xml:space="preserve">eputy </w:t>
      </w:r>
      <w:r w:rsidR="00BF7483">
        <w:rPr>
          <w:lang w:val="en-GB"/>
        </w:rPr>
        <w:t>c</w:t>
      </w:r>
      <w:r w:rsidRPr="00A33264">
        <w:rPr>
          <w:lang w:val="en-GB"/>
        </w:rPr>
        <w:t xml:space="preserve">hair of the Bradman Foundation, Nepean Blue Mountains Local Health District, Menzies Research Centre, BDCU Alliance Bank, and CARE Australia. </w:t>
      </w:r>
    </w:p>
    <w:p w14:paraId="11625DC7" w14:textId="62B405F4" w:rsidR="0047222D" w:rsidRPr="00A33264" w:rsidRDefault="0047222D" w:rsidP="00E970BA">
      <w:pPr>
        <w:spacing w:line="276" w:lineRule="auto"/>
        <w:rPr>
          <w:lang w:val="en-GB"/>
        </w:rPr>
      </w:pPr>
      <w:r w:rsidRPr="00A33264">
        <w:rPr>
          <w:lang w:val="en-GB"/>
        </w:rPr>
        <w:t>A former N</w:t>
      </w:r>
      <w:r w:rsidR="004E5432">
        <w:rPr>
          <w:lang w:val="en-GB"/>
        </w:rPr>
        <w:t xml:space="preserve">ew </w:t>
      </w:r>
      <w:r w:rsidRPr="00A33264">
        <w:rPr>
          <w:lang w:val="en-GB"/>
        </w:rPr>
        <w:t>S</w:t>
      </w:r>
      <w:r w:rsidR="004E5432">
        <w:rPr>
          <w:lang w:val="en-GB"/>
        </w:rPr>
        <w:t xml:space="preserve">outh </w:t>
      </w:r>
      <w:r w:rsidRPr="00A33264">
        <w:rPr>
          <w:lang w:val="en-GB"/>
        </w:rPr>
        <w:t>W</w:t>
      </w:r>
      <w:r w:rsidR="004E5432">
        <w:rPr>
          <w:lang w:val="en-GB"/>
        </w:rPr>
        <w:t>ales</w:t>
      </w:r>
      <w:r w:rsidRPr="00A33264">
        <w:rPr>
          <w:lang w:val="en-GB"/>
        </w:rPr>
        <w:t xml:space="preserve"> parliamentarian and frontbencher, Dr Seaton served as </w:t>
      </w:r>
      <w:r w:rsidR="00BF7483">
        <w:rPr>
          <w:lang w:val="en-GB"/>
        </w:rPr>
        <w:t>d</w:t>
      </w:r>
      <w:r w:rsidRPr="00A33264">
        <w:rPr>
          <w:lang w:val="en-GB"/>
        </w:rPr>
        <w:t xml:space="preserve">irector of </w:t>
      </w:r>
      <w:r w:rsidR="00BF7483">
        <w:rPr>
          <w:lang w:val="en-GB"/>
        </w:rPr>
        <w:t>t</w:t>
      </w:r>
      <w:r w:rsidRPr="00A33264">
        <w:rPr>
          <w:lang w:val="en-GB"/>
        </w:rPr>
        <w:t xml:space="preserve">ransition and </w:t>
      </w:r>
      <w:r w:rsidR="00BF7483">
        <w:rPr>
          <w:lang w:val="en-GB"/>
        </w:rPr>
        <w:t>d</w:t>
      </w:r>
      <w:r w:rsidRPr="00A33264">
        <w:rPr>
          <w:lang w:val="en-GB"/>
        </w:rPr>
        <w:t xml:space="preserve">irector of </w:t>
      </w:r>
      <w:r w:rsidR="00BF7483">
        <w:rPr>
          <w:lang w:val="en-GB"/>
        </w:rPr>
        <w:t>s</w:t>
      </w:r>
      <w:r w:rsidRPr="00A33264">
        <w:rPr>
          <w:lang w:val="en-GB"/>
        </w:rPr>
        <w:t xml:space="preserve">trategic </w:t>
      </w:r>
      <w:r w:rsidR="00BF7483">
        <w:rPr>
          <w:lang w:val="en-GB"/>
        </w:rPr>
        <w:t>p</w:t>
      </w:r>
      <w:r w:rsidRPr="00A33264">
        <w:rPr>
          <w:lang w:val="en-GB"/>
        </w:rPr>
        <w:t>riorities in the N</w:t>
      </w:r>
      <w:r w:rsidR="004E5432">
        <w:rPr>
          <w:lang w:val="en-GB"/>
        </w:rPr>
        <w:t xml:space="preserve">ew </w:t>
      </w:r>
      <w:r w:rsidRPr="00A33264">
        <w:rPr>
          <w:lang w:val="en-GB"/>
        </w:rPr>
        <w:t>S</w:t>
      </w:r>
      <w:r w:rsidR="004E5432">
        <w:rPr>
          <w:lang w:val="en-GB"/>
        </w:rPr>
        <w:t xml:space="preserve">outh </w:t>
      </w:r>
      <w:r w:rsidRPr="00A33264">
        <w:rPr>
          <w:lang w:val="en-GB"/>
        </w:rPr>
        <w:t>W</w:t>
      </w:r>
      <w:r w:rsidR="004E5432">
        <w:rPr>
          <w:lang w:val="en-GB"/>
        </w:rPr>
        <w:t>ales</w:t>
      </w:r>
      <w:r w:rsidRPr="00A33264">
        <w:rPr>
          <w:lang w:val="en-GB"/>
        </w:rPr>
        <w:t xml:space="preserve"> Premier’s Office from 2011 to 2014.</w:t>
      </w:r>
    </w:p>
    <w:p w14:paraId="05B45391" w14:textId="30A6541F" w:rsidR="0047222D" w:rsidRPr="00A33264" w:rsidRDefault="0047222D" w:rsidP="00E970BA">
      <w:pPr>
        <w:spacing w:line="276" w:lineRule="auto"/>
        <w:rPr>
          <w:lang w:val="en-GB"/>
        </w:rPr>
      </w:pPr>
      <w:r w:rsidRPr="00A33264">
        <w:rPr>
          <w:lang w:val="en-GB"/>
        </w:rPr>
        <w:t xml:space="preserve">In 2017 Dr Seaton </w:t>
      </w:r>
      <w:r w:rsidR="003053C7" w:rsidRPr="00A33264">
        <w:rPr>
          <w:lang w:val="en-GB"/>
        </w:rPr>
        <w:t xml:space="preserve">was appointed </w:t>
      </w:r>
      <w:r w:rsidRPr="00A33264">
        <w:rPr>
          <w:lang w:val="en-GB"/>
        </w:rPr>
        <w:t xml:space="preserve">a Member of the Order of Australia (AM) and an </w:t>
      </w:r>
      <w:r w:rsidR="00C97790">
        <w:rPr>
          <w:lang w:val="en-GB"/>
        </w:rPr>
        <w:t>h</w:t>
      </w:r>
      <w:r w:rsidRPr="00A33264">
        <w:rPr>
          <w:lang w:val="en-GB"/>
        </w:rPr>
        <w:t xml:space="preserve">onorary </w:t>
      </w:r>
      <w:r w:rsidR="00C97790">
        <w:rPr>
          <w:lang w:val="en-GB"/>
        </w:rPr>
        <w:t>a</w:t>
      </w:r>
      <w:r w:rsidRPr="00A33264">
        <w:rPr>
          <w:lang w:val="en-GB"/>
        </w:rPr>
        <w:t xml:space="preserve">ssociate at </w:t>
      </w:r>
      <w:r w:rsidR="003053C7" w:rsidRPr="00A33264">
        <w:rPr>
          <w:lang w:val="en-GB"/>
        </w:rPr>
        <w:t xml:space="preserve">the </w:t>
      </w:r>
      <w:r w:rsidRPr="00A33264">
        <w:rPr>
          <w:lang w:val="en-GB"/>
        </w:rPr>
        <w:t>University of Sydney (Archaeology). She lives in regional New South Wales</w:t>
      </w:r>
      <w:r w:rsidR="00BF7483">
        <w:rPr>
          <w:lang w:val="en-GB"/>
        </w:rPr>
        <w:t xml:space="preserve"> and</w:t>
      </w:r>
      <w:r w:rsidRPr="00A33264">
        <w:rPr>
          <w:lang w:val="en-GB"/>
        </w:rPr>
        <w:t xml:space="preserve"> runs a small farm enterprise and a public policy consultancy.</w:t>
      </w:r>
    </w:p>
    <w:p w14:paraId="71F6A4F5" w14:textId="2602CC49" w:rsidR="0047222D" w:rsidRPr="00A33264" w:rsidRDefault="0047222D" w:rsidP="0047222D">
      <w:pPr>
        <w:rPr>
          <w:lang w:val="en-GB"/>
        </w:rPr>
      </w:pPr>
      <w:r w:rsidRPr="00A33264">
        <w:rPr>
          <w:b/>
          <w:bCs/>
          <w:lang w:val="en-GB"/>
        </w:rPr>
        <w:t>Qualifications:</w:t>
      </w:r>
      <w:r w:rsidRPr="00A33264">
        <w:rPr>
          <w:lang w:val="en-GB"/>
        </w:rPr>
        <w:t xml:space="preserve"> B</w:t>
      </w:r>
      <w:r w:rsidR="00BF7483">
        <w:rPr>
          <w:lang w:val="en-GB"/>
        </w:rPr>
        <w:t xml:space="preserve">achelor of </w:t>
      </w:r>
      <w:r w:rsidRPr="00A33264">
        <w:rPr>
          <w:lang w:val="en-GB"/>
        </w:rPr>
        <w:t>A</w:t>
      </w:r>
      <w:r w:rsidR="00BF7483">
        <w:rPr>
          <w:lang w:val="en-GB"/>
        </w:rPr>
        <w:t>rts</w:t>
      </w:r>
      <w:r w:rsidRPr="00A33264">
        <w:rPr>
          <w:lang w:val="en-GB"/>
        </w:rPr>
        <w:t xml:space="preserve"> (Hons), </w:t>
      </w:r>
      <w:r w:rsidR="00BF7483">
        <w:rPr>
          <w:lang w:val="en-GB"/>
        </w:rPr>
        <w:t xml:space="preserve">Doctor of Philosophy, </w:t>
      </w:r>
      <w:r w:rsidRPr="00A33264">
        <w:rPr>
          <w:lang w:val="en-GB"/>
        </w:rPr>
        <w:t>University of Sydney; Graduate of the Australian Institute of Company Directors.</w:t>
      </w:r>
    </w:p>
    <w:p w14:paraId="1E234F8E" w14:textId="77777777" w:rsidR="0047222D" w:rsidRPr="00A33264" w:rsidRDefault="0047222D" w:rsidP="0047222D">
      <w:pPr>
        <w:rPr>
          <w:lang w:val="en-GB"/>
        </w:rPr>
      </w:pPr>
      <w:r w:rsidRPr="00A33264">
        <w:rPr>
          <w:b/>
          <w:bCs/>
          <w:lang w:val="en-GB"/>
        </w:rPr>
        <w:t>Chair:</w:t>
      </w:r>
      <w:r w:rsidRPr="00A33264">
        <w:rPr>
          <w:lang w:val="en-GB"/>
        </w:rPr>
        <w:t xml:space="preserve"> Strategic Direction and Participant Outcomes Committee.</w:t>
      </w:r>
    </w:p>
    <w:p w14:paraId="4BAFBA80" w14:textId="77777777" w:rsidR="0047222D" w:rsidRPr="00A33264" w:rsidRDefault="0047222D" w:rsidP="0047222D">
      <w:pPr>
        <w:rPr>
          <w:lang w:val="en-GB"/>
        </w:rPr>
      </w:pPr>
      <w:r w:rsidRPr="00A33264">
        <w:rPr>
          <w:b/>
          <w:bCs/>
          <w:lang w:val="en-GB"/>
        </w:rPr>
        <w:t>Member:</w:t>
      </w:r>
      <w:r w:rsidRPr="00A33264">
        <w:rPr>
          <w:lang w:val="en-GB"/>
        </w:rPr>
        <w:t xml:space="preserve"> Sustainability Committee.</w:t>
      </w:r>
    </w:p>
    <w:p w14:paraId="619C8282" w14:textId="77777777" w:rsidR="00392276" w:rsidRPr="00A33264" w:rsidRDefault="00392276" w:rsidP="0047222D">
      <w:pPr>
        <w:rPr>
          <w:u w:val="single"/>
          <w:lang w:val="en-GB"/>
        </w:rPr>
        <w:sectPr w:rsidR="00392276" w:rsidRPr="00A33264" w:rsidSect="00482705">
          <w:headerReference w:type="first" r:id="rId78"/>
          <w:pgSz w:w="11906" w:h="16838" w:code="9"/>
          <w:pgMar w:top="1361" w:right="1361" w:bottom="1361" w:left="1361" w:header="561" w:footer="374" w:gutter="0"/>
          <w:cols w:space="708"/>
          <w:titlePg/>
          <w:docGrid w:linePitch="360"/>
        </w:sectPr>
      </w:pPr>
    </w:p>
    <w:p w14:paraId="62D39D3D" w14:textId="5AC84D72" w:rsidR="00392276" w:rsidRPr="00E31597" w:rsidRDefault="00392276" w:rsidP="0047222D">
      <w:pPr>
        <w:rPr>
          <w:u w:val="single"/>
          <w:lang w:val="en-GB"/>
        </w:rPr>
      </w:pPr>
      <w:r w:rsidRPr="00A33264">
        <w:rPr>
          <w:u w:val="single"/>
          <w:lang w:val="en-GB"/>
        </w:rPr>
        <w:lastRenderedPageBreak/>
        <w:t xml:space="preserve">Table </w:t>
      </w:r>
      <w:r w:rsidR="00A27A9C">
        <w:rPr>
          <w:u w:val="single"/>
          <w:lang w:val="en-GB"/>
        </w:rPr>
        <w:t>3</w:t>
      </w:r>
      <w:r w:rsidR="00C25B9C">
        <w:rPr>
          <w:u w:val="single"/>
          <w:lang w:val="en-GB"/>
        </w:rPr>
        <w:t>:</w:t>
      </w:r>
      <w:r w:rsidRPr="00A33264">
        <w:rPr>
          <w:u w:val="single"/>
          <w:lang w:val="en-GB"/>
        </w:rPr>
        <w:t xml:space="preserve"> Details of </w:t>
      </w:r>
      <w:r w:rsidR="00BF7483">
        <w:rPr>
          <w:u w:val="single"/>
          <w:lang w:val="en-GB"/>
        </w:rPr>
        <w:t>a</w:t>
      </w:r>
      <w:r w:rsidRPr="00A33264">
        <w:rPr>
          <w:u w:val="single"/>
          <w:lang w:val="en-GB"/>
        </w:rPr>
        <w:t xml:space="preserve">ccountable </w:t>
      </w:r>
      <w:r w:rsidR="00BF7483">
        <w:rPr>
          <w:u w:val="single"/>
          <w:lang w:val="en-GB"/>
        </w:rPr>
        <w:t>a</w:t>
      </w:r>
      <w:r w:rsidRPr="00A33264">
        <w:rPr>
          <w:u w:val="single"/>
          <w:lang w:val="en-GB"/>
        </w:rPr>
        <w:t>uthority</w:t>
      </w:r>
      <w:r w:rsidR="00BF7483">
        <w:rPr>
          <w:u w:val="single"/>
          <w:lang w:val="en-GB"/>
        </w:rPr>
        <w:t xml:space="preserve"> (the Board)</w:t>
      </w:r>
      <w:r w:rsidRPr="00A33264">
        <w:rPr>
          <w:u w:val="single"/>
          <w:lang w:val="en-GB"/>
        </w:rPr>
        <w:t xml:space="preserve"> during the reporting period (2023</w:t>
      </w:r>
      <w:r w:rsidR="00BF7483">
        <w:rPr>
          <w:u w:val="single"/>
          <w:lang w:val="en-GB"/>
        </w:rPr>
        <w:t>–</w:t>
      </w:r>
      <w:r w:rsidRPr="00A33264">
        <w:rPr>
          <w:u w:val="single"/>
          <w:lang w:val="en-GB"/>
        </w:rPr>
        <w:t>24)</w:t>
      </w:r>
    </w:p>
    <w:tbl>
      <w:tblPr>
        <w:tblW w:w="1430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1984"/>
        <w:gridCol w:w="1976"/>
        <w:gridCol w:w="4110"/>
        <w:gridCol w:w="1418"/>
        <w:gridCol w:w="1559"/>
        <w:gridCol w:w="1559"/>
        <w:gridCol w:w="1701"/>
      </w:tblGrid>
      <w:tr w:rsidR="00E01837" w:rsidRPr="00A33264" w14:paraId="7598324B" w14:textId="77777777" w:rsidTr="00BC1253">
        <w:trPr>
          <w:cantSplit/>
          <w:trHeight w:val="3345"/>
          <w:tblHeader/>
        </w:trPr>
        <w:tc>
          <w:tcPr>
            <w:tcW w:w="1984" w:type="dxa"/>
            <w:tcBorders>
              <w:top w:val="single" w:sz="4" w:space="0" w:color="656565"/>
              <w:left w:val="single" w:sz="4" w:space="0" w:color="000000"/>
              <w:bottom w:val="single" w:sz="4" w:space="0" w:color="656565"/>
              <w:right w:val="single" w:sz="4" w:space="0" w:color="F9F9F9" w:themeColor="background1"/>
            </w:tcBorders>
            <w:shd w:val="clear" w:color="auto" w:fill="6B2876" w:themeFill="text1"/>
            <w:hideMark/>
          </w:tcPr>
          <w:p w14:paraId="0CB95833" w14:textId="740FA177" w:rsidR="00E01837" w:rsidRPr="00A33264" w:rsidRDefault="002C4D52" w:rsidP="00385962">
            <w:pPr>
              <w:spacing w:after="0" w:line="240" w:lineRule="auto"/>
              <w:rPr>
                <w:b/>
                <w:color w:val="F9F9F9" w:themeColor="background1"/>
                <w:lang w:val="en-GB"/>
              </w:rPr>
            </w:pPr>
            <w:bookmarkStart w:id="292" w:name="_Toc169592977"/>
            <w:r>
              <w:rPr>
                <w:b/>
                <w:color w:val="F9F9F9" w:themeColor="background1"/>
                <w:lang w:val="en-GB"/>
              </w:rPr>
              <w:t>Member</w:t>
            </w:r>
          </w:p>
        </w:tc>
        <w:tc>
          <w:tcPr>
            <w:tcW w:w="1976" w:type="dxa"/>
            <w:tcBorders>
              <w:top w:val="single" w:sz="4" w:space="0" w:color="656565"/>
              <w:left w:val="single" w:sz="4" w:space="0" w:color="F9F9F9" w:themeColor="background1"/>
              <w:bottom w:val="single" w:sz="4" w:space="0" w:color="656565"/>
              <w:right w:val="single" w:sz="4" w:space="0" w:color="F9F9F9" w:themeColor="background1"/>
            </w:tcBorders>
            <w:shd w:val="clear" w:color="auto" w:fill="6B2876" w:themeFill="text1"/>
            <w:hideMark/>
          </w:tcPr>
          <w:p w14:paraId="3D796429" w14:textId="77777777" w:rsidR="00E01837" w:rsidRPr="00A33264" w:rsidRDefault="00E01837" w:rsidP="00385962">
            <w:pPr>
              <w:spacing w:after="0" w:line="240" w:lineRule="auto"/>
              <w:rPr>
                <w:b/>
                <w:color w:val="F9F9F9" w:themeColor="background1"/>
                <w:lang w:val="en-GB"/>
              </w:rPr>
            </w:pPr>
            <w:r w:rsidRPr="00A33264">
              <w:rPr>
                <w:b/>
                <w:color w:val="F9F9F9" w:themeColor="background1"/>
                <w:lang w:val="en-GB"/>
              </w:rPr>
              <w:t>Qualifications of the accountable authority</w:t>
            </w:r>
          </w:p>
        </w:tc>
        <w:tc>
          <w:tcPr>
            <w:tcW w:w="4110" w:type="dxa"/>
            <w:tcBorders>
              <w:top w:val="single" w:sz="4" w:space="0" w:color="656565"/>
              <w:left w:val="single" w:sz="4" w:space="0" w:color="F9F9F9" w:themeColor="background1"/>
              <w:bottom w:val="single" w:sz="4" w:space="0" w:color="656565"/>
              <w:right w:val="single" w:sz="4" w:space="0" w:color="F9F9F9" w:themeColor="background1"/>
            </w:tcBorders>
            <w:shd w:val="clear" w:color="auto" w:fill="6B2876" w:themeFill="text1"/>
            <w:hideMark/>
          </w:tcPr>
          <w:p w14:paraId="7504453E" w14:textId="77777777" w:rsidR="00E01837" w:rsidRPr="00A33264" w:rsidRDefault="00E01837" w:rsidP="00385962">
            <w:pPr>
              <w:spacing w:after="0" w:line="240" w:lineRule="auto"/>
              <w:rPr>
                <w:b/>
                <w:color w:val="F9F9F9" w:themeColor="background1"/>
                <w:lang w:val="en-GB"/>
              </w:rPr>
            </w:pPr>
            <w:r w:rsidRPr="00A33264">
              <w:rPr>
                <w:b/>
                <w:color w:val="F9F9F9" w:themeColor="background1"/>
                <w:lang w:val="en-GB"/>
              </w:rPr>
              <w:t xml:space="preserve">Experience of the </w:t>
            </w:r>
            <w:r>
              <w:rPr>
                <w:b/>
                <w:color w:val="F9F9F9" w:themeColor="background1"/>
                <w:lang w:val="en-GB"/>
              </w:rPr>
              <w:t>a</w:t>
            </w:r>
            <w:r w:rsidRPr="00A33264">
              <w:rPr>
                <w:b/>
                <w:color w:val="F9F9F9" w:themeColor="background1"/>
                <w:lang w:val="en-GB"/>
              </w:rPr>
              <w:t xml:space="preserve">ccountable </w:t>
            </w:r>
            <w:r>
              <w:rPr>
                <w:b/>
                <w:color w:val="F9F9F9" w:themeColor="background1"/>
                <w:lang w:val="en-GB"/>
              </w:rPr>
              <w:t>a</w:t>
            </w:r>
            <w:r w:rsidRPr="00A33264">
              <w:rPr>
                <w:b/>
                <w:color w:val="F9F9F9" w:themeColor="background1"/>
                <w:lang w:val="en-GB"/>
              </w:rPr>
              <w:t>uthority</w:t>
            </w:r>
          </w:p>
        </w:tc>
        <w:tc>
          <w:tcPr>
            <w:tcW w:w="1418" w:type="dxa"/>
            <w:tcBorders>
              <w:top w:val="single" w:sz="4" w:space="0" w:color="656565"/>
              <w:left w:val="single" w:sz="4" w:space="0" w:color="F9F9F9" w:themeColor="background1"/>
              <w:bottom w:val="single" w:sz="4" w:space="0" w:color="656565"/>
              <w:right w:val="single" w:sz="4" w:space="0" w:color="F9F9F9" w:themeColor="background1"/>
            </w:tcBorders>
            <w:shd w:val="clear" w:color="auto" w:fill="6B2876" w:themeFill="text1"/>
            <w:hideMark/>
          </w:tcPr>
          <w:p w14:paraId="3FE15F3F" w14:textId="77777777" w:rsidR="00E01837" w:rsidRPr="00A33264" w:rsidRDefault="00E01837" w:rsidP="00385962">
            <w:pPr>
              <w:spacing w:after="0" w:line="240" w:lineRule="auto"/>
              <w:rPr>
                <w:b/>
                <w:color w:val="F9F9F9" w:themeColor="background1"/>
                <w:lang w:val="en-GB"/>
              </w:rPr>
            </w:pPr>
            <w:r w:rsidRPr="00A33264">
              <w:rPr>
                <w:b/>
                <w:color w:val="F9F9F9" w:themeColor="background1"/>
                <w:lang w:val="en-GB"/>
              </w:rPr>
              <w:t xml:space="preserve">Position </w:t>
            </w:r>
            <w:r>
              <w:rPr>
                <w:b/>
                <w:color w:val="F9F9F9" w:themeColor="background1"/>
                <w:lang w:val="en-GB"/>
              </w:rPr>
              <w:t>t</w:t>
            </w:r>
            <w:r w:rsidRPr="00A33264">
              <w:rPr>
                <w:b/>
                <w:color w:val="F9F9F9" w:themeColor="background1"/>
                <w:lang w:val="en-GB"/>
              </w:rPr>
              <w:t>itle / Position held Executive / Non</w:t>
            </w:r>
            <w:r w:rsidRPr="00A33264">
              <w:rPr>
                <w:rFonts w:ascii="Cambria Math" w:hAnsi="Cambria Math" w:cs="Cambria Math"/>
                <w:b/>
                <w:color w:val="F9F9F9" w:themeColor="background1"/>
                <w:lang w:val="en-GB"/>
              </w:rPr>
              <w:t>‐</w:t>
            </w:r>
            <w:r>
              <w:rPr>
                <w:rFonts w:ascii="Cambria Math" w:hAnsi="Cambria Math" w:cs="Cambria Math"/>
                <w:b/>
                <w:color w:val="F9F9F9" w:themeColor="background1"/>
                <w:lang w:val="en-GB"/>
              </w:rPr>
              <w:t>e</w:t>
            </w:r>
            <w:r w:rsidRPr="00A33264">
              <w:rPr>
                <w:b/>
                <w:color w:val="F9F9F9" w:themeColor="background1"/>
                <w:lang w:val="en-GB"/>
              </w:rPr>
              <w:t>xecutive</w:t>
            </w:r>
          </w:p>
        </w:tc>
        <w:tc>
          <w:tcPr>
            <w:tcW w:w="1559" w:type="dxa"/>
            <w:tcBorders>
              <w:top w:val="single" w:sz="4" w:space="0" w:color="656565"/>
              <w:left w:val="single" w:sz="4" w:space="0" w:color="F9F9F9" w:themeColor="background1"/>
              <w:bottom w:val="single" w:sz="4" w:space="0" w:color="656565"/>
              <w:right w:val="single" w:sz="4" w:space="0" w:color="F9F9F9" w:themeColor="background1"/>
            </w:tcBorders>
            <w:shd w:val="clear" w:color="auto" w:fill="6B2876" w:themeFill="text1"/>
            <w:hideMark/>
          </w:tcPr>
          <w:p w14:paraId="638E142D" w14:textId="77777777" w:rsidR="00306DBB" w:rsidRDefault="00306DBB" w:rsidP="00385962">
            <w:pPr>
              <w:spacing w:after="0" w:line="240" w:lineRule="auto"/>
              <w:rPr>
                <w:b/>
                <w:bCs/>
                <w:color w:val="F9F9F9" w:themeColor="background1"/>
                <w:lang w:val="en-GB"/>
              </w:rPr>
            </w:pPr>
            <w:r>
              <w:rPr>
                <w:b/>
                <w:bCs/>
                <w:color w:val="F9F9F9" w:themeColor="background1"/>
              </w:rPr>
              <w:t>P</w:t>
            </w:r>
            <w:r w:rsidRPr="001607D3">
              <w:rPr>
                <w:b/>
                <w:bCs/>
                <w:color w:val="F9F9F9" w:themeColor="background1"/>
              </w:rPr>
              <w:t>eriod as the accountable authority or member within the reporting period</w:t>
            </w:r>
            <w:r>
              <w:rPr>
                <w:b/>
                <w:bCs/>
                <w:color w:val="F9F9F9" w:themeColor="background1"/>
                <w:lang w:val="en-GB"/>
              </w:rPr>
              <w:t xml:space="preserve"> </w:t>
            </w:r>
          </w:p>
          <w:p w14:paraId="440FDA50" w14:textId="4A135AC5" w:rsidR="00E01837" w:rsidRPr="00A33264" w:rsidRDefault="00E01837" w:rsidP="00385962">
            <w:pPr>
              <w:spacing w:after="0" w:line="240" w:lineRule="auto"/>
              <w:rPr>
                <w:b/>
                <w:bCs/>
                <w:color w:val="F9F9F9" w:themeColor="background1"/>
                <w:lang w:val="en-GB"/>
              </w:rPr>
            </w:pPr>
            <w:r>
              <w:rPr>
                <w:b/>
                <w:bCs/>
                <w:color w:val="F9F9F9" w:themeColor="background1"/>
                <w:lang w:val="en-GB"/>
              </w:rPr>
              <w:t>S</w:t>
            </w:r>
            <w:r w:rsidRPr="00A33264">
              <w:rPr>
                <w:b/>
                <w:bCs/>
                <w:color w:val="F9F9F9" w:themeColor="background1"/>
                <w:lang w:val="en-GB"/>
              </w:rPr>
              <w:t xml:space="preserve">tart date </w:t>
            </w:r>
            <w:r w:rsidRPr="00A33264">
              <w:rPr>
                <w:color w:val="F9F9F9" w:themeColor="background1"/>
                <w:lang w:val="en-GB"/>
              </w:rPr>
              <w:t>(1 July 2023 or after)</w:t>
            </w:r>
          </w:p>
        </w:tc>
        <w:tc>
          <w:tcPr>
            <w:tcW w:w="1559" w:type="dxa"/>
            <w:tcBorders>
              <w:top w:val="single" w:sz="4" w:space="0" w:color="656565"/>
              <w:left w:val="single" w:sz="4" w:space="0" w:color="F9F9F9" w:themeColor="background1"/>
              <w:bottom w:val="single" w:sz="4" w:space="0" w:color="656565"/>
              <w:right w:val="single" w:sz="4" w:space="0" w:color="F9F9F9" w:themeColor="background1"/>
            </w:tcBorders>
            <w:shd w:val="clear" w:color="auto" w:fill="6B2876" w:themeFill="text1"/>
            <w:hideMark/>
          </w:tcPr>
          <w:p w14:paraId="57FF4D7C" w14:textId="77777777" w:rsidR="00306DBB" w:rsidRDefault="00306DBB" w:rsidP="00385962">
            <w:pPr>
              <w:spacing w:after="0" w:line="240" w:lineRule="auto"/>
              <w:rPr>
                <w:b/>
                <w:bCs/>
                <w:color w:val="F9F9F9" w:themeColor="background1"/>
                <w:lang w:val="en-GB"/>
              </w:rPr>
            </w:pPr>
            <w:r>
              <w:rPr>
                <w:b/>
                <w:bCs/>
                <w:color w:val="F9F9F9" w:themeColor="background1"/>
              </w:rPr>
              <w:t>P</w:t>
            </w:r>
            <w:r w:rsidRPr="001607D3">
              <w:rPr>
                <w:b/>
                <w:bCs/>
                <w:color w:val="F9F9F9" w:themeColor="background1"/>
              </w:rPr>
              <w:t>eriod as the accountable authority or member within the reporting period</w:t>
            </w:r>
            <w:r>
              <w:rPr>
                <w:b/>
                <w:bCs/>
                <w:color w:val="F9F9F9" w:themeColor="background1"/>
                <w:lang w:val="en-GB"/>
              </w:rPr>
              <w:t xml:space="preserve"> </w:t>
            </w:r>
          </w:p>
          <w:p w14:paraId="2F371484" w14:textId="5CA8EFAB" w:rsidR="00E01837" w:rsidRPr="00A33264" w:rsidRDefault="00E01837" w:rsidP="00385962">
            <w:pPr>
              <w:spacing w:after="0" w:line="240" w:lineRule="auto"/>
              <w:rPr>
                <w:b/>
                <w:bCs/>
                <w:color w:val="F9F9F9" w:themeColor="background1"/>
                <w:lang w:val="en-GB"/>
              </w:rPr>
            </w:pPr>
            <w:r>
              <w:rPr>
                <w:b/>
                <w:bCs/>
                <w:color w:val="F9F9F9" w:themeColor="background1"/>
                <w:lang w:val="en-GB"/>
              </w:rPr>
              <w:t>E</w:t>
            </w:r>
            <w:r w:rsidRPr="00A33264">
              <w:rPr>
                <w:b/>
                <w:bCs/>
                <w:color w:val="F9F9F9" w:themeColor="background1"/>
                <w:lang w:val="en-GB"/>
              </w:rPr>
              <w:t xml:space="preserve">nd </w:t>
            </w:r>
            <w:r>
              <w:rPr>
                <w:b/>
                <w:bCs/>
                <w:color w:val="F9F9F9" w:themeColor="background1"/>
                <w:lang w:val="en-GB"/>
              </w:rPr>
              <w:t>d</w:t>
            </w:r>
            <w:r w:rsidRPr="00A33264">
              <w:rPr>
                <w:b/>
                <w:bCs/>
                <w:color w:val="F9F9F9" w:themeColor="background1"/>
                <w:lang w:val="en-GB"/>
              </w:rPr>
              <w:t xml:space="preserve">ate </w:t>
            </w:r>
            <w:r w:rsidRPr="00A33264">
              <w:rPr>
                <w:color w:val="F9F9F9" w:themeColor="background1"/>
                <w:lang w:val="en-GB"/>
              </w:rPr>
              <w:t>(30 June 2024 or before)</w:t>
            </w:r>
          </w:p>
        </w:tc>
        <w:tc>
          <w:tcPr>
            <w:tcW w:w="1701" w:type="dxa"/>
            <w:tcBorders>
              <w:top w:val="single" w:sz="4" w:space="0" w:color="656565"/>
              <w:left w:val="single" w:sz="4" w:space="0" w:color="F9F9F9" w:themeColor="background1"/>
              <w:bottom w:val="single" w:sz="4" w:space="0" w:color="656565"/>
              <w:right w:val="single" w:sz="4" w:space="0" w:color="auto"/>
            </w:tcBorders>
            <w:shd w:val="clear" w:color="auto" w:fill="6B2876" w:themeFill="text1"/>
            <w:hideMark/>
          </w:tcPr>
          <w:p w14:paraId="6F1AE38B" w14:textId="27A04211" w:rsidR="00E01837" w:rsidRPr="00A33264" w:rsidRDefault="00306DBB" w:rsidP="00385962">
            <w:pPr>
              <w:spacing w:after="0" w:line="240" w:lineRule="auto"/>
              <w:rPr>
                <w:b/>
                <w:color w:val="F9F9F9" w:themeColor="background1"/>
                <w:lang w:val="en-GB"/>
              </w:rPr>
            </w:pPr>
            <w:r>
              <w:rPr>
                <w:b/>
                <w:bCs/>
                <w:color w:val="F9F9F9" w:themeColor="background1"/>
              </w:rPr>
              <w:t>P</w:t>
            </w:r>
            <w:r w:rsidRPr="001607D3">
              <w:rPr>
                <w:b/>
                <w:bCs/>
                <w:color w:val="F9F9F9" w:themeColor="background1"/>
              </w:rPr>
              <w:t>eriod as the accountable authority or member within the reporting period</w:t>
            </w:r>
            <w:r>
              <w:rPr>
                <w:b/>
                <w:color w:val="F9F9F9" w:themeColor="background1"/>
                <w:lang w:val="en-GB"/>
              </w:rPr>
              <w:t xml:space="preserve"> </w:t>
            </w:r>
            <w:r w:rsidR="00E01837">
              <w:rPr>
                <w:b/>
                <w:color w:val="F9F9F9" w:themeColor="background1"/>
                <w:lang w:val="en-GB"/>
              </w:rPr>
              <w:t>N</w:t>
            </w:r>
            <w:r w:rsidR="00E01837" w:rsidRPr="00A33264">
              <w:rPr>
                <w:b/>
                <w:color w:val="F9F9F9" w:themeColor="background1"/>
                <w:lang w:val="en-GB"/>
              </w:rPr>
              <w:t>umber of meetings of accountable authority attended</w:t>
            </w:r>
          </w:p>
        </w:tc>
      </w:tr>
    </w:tbl>
    <w:p w14:paraId="5653D199" w14:textId="77777777" w:rsidR="000270A5" w:rsidRDefault="000270A5"/>
    <w:tbl>
      <w:tblPr>
        <w:tblW w:w="1388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1984"/>
        <w:gridCol w:w="1976"/>
        <w:gridCol w:w="3827"/>
        <w:gridCol w:w="1559"/>
        <w:gridCol w:w="1532"/>
        <w:gridCol w:w="1532"/>
        <w:gridCol w:w="1475"/>
      </w:tblGrid>
      <w:tr w:rsidR="00E01837" w:rsidRPr="00A33264" w14:paraId="51F9E265" w14:textId="77777777">
        <w:trPr>
          <w:cantSplit/>
          <w:trHeight w:val="520"/>
        </w:trPr>
        <w:tc>
          <w:tcPr>
            <w:tcW w:w="1984" w:type="dxa"/>
            <w:tcBorders>
              <w:top w:val="single" w:sz="4" w:space="0" w:color="656565"/>
              <w:left w:val="single" w:sz="4" w:space="0" w:color="000000"/>
              <w:bottom w:val="single" w:sz="4" w:space="0" w:color="656565"/>
              <w:right w:val="single" w:sz="4" w:space="0" w:color="000000"/>
            </w:tcBorders>
            <w:shd w:val="clear" w:color="auto" w:fill="F7EEF7"/>
          </w:tcPr>
          <w:p w14:paraId="6ACE6F8A" w14:textId="77777777" w:rsidR="00E01837" w:rsidRPr="00A33264" w:rsidRDefault="00E01837">
            <w:pPr>
              <w:spacing w:after="0" w:line="264" w:lineRule="auto"/>
              <w:rPr>
                <w:lang w:val="en-GB"/>
              </w:rPr>
            </w:pPr>
            <w:r w:rsidRPr="00A33264">
              <w:rPr>
                <w:lang w:val="en-GB"/>
              </w:rPr>
              <w:lastRenderedPageBreak/>
              <w:t>Mr Kurt Fearnley AO</w:t>
            </w:r>
          </w:p>
        </w:tc>
        <w:tc>
          <w:tcPr>
            <w:tcW w:w="1976" w:type="dxa"/>
            <w:tcBorders>
              <w:top w:val="single" w:sz="4" w:space="0" w:color="656565"/>
              <w:left w:val="single" w:sz="4" w:space="0" w:color="000000"/>
              <w:bottom w:val="single" w:sz="4" w:space="0" w:color="656565"/>
              <w:right w:val="single" w:sz="4" w:space="0" w:color="000000"/>
            </w:tcBorders>
            <w:shd w:val="clear" w:color="auto" w:fill="F7EEF7"/>
          </w:tcPr>
          <w:p w14:paraId="0C99EA8F" w14:textId="77777777" w:rsidR="00E01837" w:rsidRPr="00A33264" w:rsidRDefault="00E01837">
            <w:pPr>
              <w:spacing w:after="0" w:line="264" w:lineRule="auto"/>
              <w:rPr>
                <w:lang w:val="en-GB"/>
              </w:rPr>
            </w:pPr>
            <w:r>
              <w:rPr>
                <w:lang w:val="en-GB"/>
              </w:rPr>
              <w:t>BE</w:t>
            </w:r>
            <w:r w:rsidRPr="00E17B60">
              <w:rPr>
                <w:lang w:val="en-GB"/>
              </w:rPr>
              <w:t>d</w:t>
            </w:r>
            <w:r>
              <w:rPr>
                <w:lang w:val="en-GB"/>
              </w:rPr>
              <w:t>,</w:t>
            </w:r>
            <w:r w:rsidRPr="00E17B60">
              <w:rPr>
                <w:lang w:val="en-GB"/>
              </w:rPr>
              <w:t xml:space="preserve"> </w:t>
            </w:r>
            <w:r w:rsidRPr="00400C49">
              <w:rPr>
                <w:lang w:val="en-GB"/>
              </w:rPr>
              <w:t>BHumanMvt</w:t>
            </w:r>
            <w:r w:rsidRPr="00E17B60">
              <w:rPr>
                <w:lang w:val="en-GB"/>
              </w:rPr>
              <w:t>, Charles Sturt University</w:t>
            </w:r>
          </w:p>
        </w:tc>
        <w:tc>
          <w:tcPr>
            <w:tcW w:w="3827" w:type="dxa"/>
            <w:tcBorders>
              <w:top w:val="single" w:sz="4" w:space="0" w:color="656565"/>
              <w:left w:val="single" w:sz="4" w:space="0" w:color="000000"/>
              <w:bottom w:val="single" w:sz="4" w:space="0" w:color="656565"/>
              <w:right w:val="single" w:sz="4" w:space="0" w:color="656565"/>
            </w:tcBorders>
            <w:shd w:val="clear" w:color="auto" w:fill="F7EEF7"/>
          </w:tcPr>
          <w:p w14:paraId="274B3882" w14:textId="77777777" w:rsidR="00E01837" w:rsidRPr="00A33264" w:rsidRDefault="00E01837" w:rsidP="00E01837">
            <w:pPr>
              <w:pStyle w:val="Tablebullet"/>
              <w:tabs>
                <w:tab w:val="num" w:pos="397"/>
              </w:tabs>
              <w:spacing w:before="0" w:after="0" w:line="240" w:lineRule="auto"/>
              <w:ind w:left="399" w:hanging="286"/>
              <w:contextualSpacing w:val="0"/>
            </w:pPr>
            <w:r w:rsidRPr="00A33264">
              <w:t>Director, Life Without Barriers, 2021</w:t>
            </w:r>
            <w:r>
              <w:t>–</w:t>
            </w:r>
            <w:r w:rsidRPr="00A33264">
              <w:t>2022</w:t>
            </w:r>
          </w:p>
          <w:p w14:paraId="0BC39E88" w14:textId="77777777" w:rsidR="00E01837" w:rsidRDefault="00E01837" w:rsidP="00E01837">
            <w:pPr>
              <w:pStyle w:val="Tablebullet"/>
              <w:tabs>
                <w:tab w:val="num" w:pos="397"/>
              </w:tabs>
              <w:spacing w:before="0" w:after="0" w:line="240" w:lineRule="auto"/>
              <w:ind w:left="399" w:hanging="286"/>
              <w:contextualSpacing w:val="0"/>
            </w:pPr>
            <w:r w:rsidRPr="00A33264">
              <w:t>Board Director</w:t>
            </w:r>
            <w:r>
              <w:t>:</w:t>
            </w:r>
          </w:p>
          <w:p w14:paraId="54E4C007" w14:textId="6D0B9025" w:rsidR="0034591B" w:rsidRPr="00AA0637" w:rsidRDefault="0034591B" w:rsidP="00AA0637">
            <w:pPr>
              <w:pStyle w:val="ListParagraph"/>
              <w:widowControl w:val="0"/>
              <w:numPr>
                <w:ilvl w:val="0"/>
                <w:numId w:val="24"/>
              </w:numPr>
              <w:autoSpaceDE w:val="0"/>
              <w:autoSpaceDN w:val="0"/>
              <w:spacing w:after="0" w:line="264" w:lineRule="auto"/>
              <w:ind w:left="824"/>
              <w:contextualSpacing w:val="0"/>
              <w:rPr>
                <w:rFonts w:eastAsia="Calibri" w:cs="Arial"/>
              </w:rPr>
            </w:pPr>
            <w:r w:rsidRPr="00AA0637">
              <w:rPr>
                <w:rFonts w:eastAsia="Calibri" w:cs="Arial"/>
                <w:lang w:val="en-GB"/>
              </w:rPr>
              <w:t xml:space="preserve">Australian Sports Commission </w:t>
            </w:r>
          </w:p>
          <w:p w14:paraId="6AA58FEF" w14:textId="77777777" w:rsidR="00E01837" w:rsidRPr="00811517" w:rsidRDefault="00E01837" w:rsidP="00E01837">
            <w:pPr>
              <w:pStyle w:val="ListParagraph"/>
              <w:widowControl w:val="0"/>
              <w:numPr>
                <w:ilvl w:val="0"/>
                <w:numId w:val="24"/>
              </w:numPr>
              <w:autoSpaceDE w:val="0"/>
              <w:autoSpaceDN w:val="0"/>
              <w:spacing w:after="0" w:line="264" w:lineRule="auto"/>
              <w:ind w:left="824"/>
              <w:contextualSpacing w:val="0"/>
              <w:rPr>
                <w:rFonts w:eastAsia="Calibri" w:cs="Arial"/>
                <w:lang w:val="en-GB"/>
              </w:rPr>
            </w:pPr>
            <w:r w:rsidRPr="00811517">
              <w:rPr>
                <w:rFonts w:eastAsia="Calibri" w:cs="Arial"/>
                <w:lang w:val="en-GB"/>
              </w:rPr>
              <w:t>Brisbane Organising Committee for the 2032 Olympic and Paralympic Games, 2021</w:t>
            </w:r>
          </w:p>
          <w:p w14:paraId="6C8FBD6E" w14:textId="77777777" w:rsidR="00E01837" w:rsidRPr="00811517" w:rsidRDefault="00E01837" w:rsidP="00E01837">
            <w:pPr>
              <w:pStyle w:val="ListParagraph"/>
              <w:widowControl w:val="0"/>
              <w:numPr>
                <w:ilvl w:val="0"/>
                <w:numId w:val="24"/>
              </w:numPr>
              <w:autoSpaceDE w:val="0"/>
              <w:autoSpaceDN w:val="0"/>
              <w:spacing w:after="0" w:line="264" w:lineRule="auto"/>
              <w:ind w:left="824"/>
              <w:contextualSpacing w:val="0"/>
              <w:rPr>
                <w:rFonts w:eastAsia="Calibri" w:cs="Arial"/>
                <w:lang w:val="en-GB"/>
              </w:rPr>
            </w:pPr>
            <w:r w:rsidRPr="00811517">
              <w:rPr>
                <w:rFonts w:eastAsia="Calibri" w:cs="Arial"/>
                <w:lang w:val="en-GB"/>
              </w:rPr>
              <w:t>Newcastle Permanent Charitable Foundation, 2018–2022</w:t>
            </w:r>
          </w:p>
          <w:p w14:paraId="61631D98" w14:textId="77777777" w:rsidR="00E01837" w:rsidRPr="00811517" w:rsidRDefault="00E01837" w:rsidP="00E01837">
            <w:pPr>
              <w:pStyle w:val="ListParagraph"/>
              <w:widowControl w:val="0"/>
              <w:numPr>
                <w:ilvl w:val="0"/>
                <w:numId w:val="24"/>
              </w:numPr>
              <w:autoSpaceDE w:val="0"/>
              <w:autoSpaceDN w:val="0"/>
              <w:spacing w:after="0" w:line="264" w:lineRule="auto"/>
              <w:ind w:left="824"/>
              <w:contextualSpacing w:val="0"/>
              <w:rPr>
                <w:rFonts w:eastAsia="Calibri" w:cs="Arial"/>
                <w:lang w:val="en-GB"/>
              </w:rPr>
            </w:pPr>
            <w:r w:rsidRPr="00811517">
              <w:rPr>
                <w:rFonts w:eastAsia="Calibri" w:cs="Arial"/>
                <w:lang w:val="en-GB"/>
              </w:rPr>
              <w:t>Paralympics Australia, 2016–2019</w:t>
            </w:r>
          </w:p>
          <w:p w14:paraId="32733B24" w14:textId="77777777" w:rsidR="00E01837" w:rsidRPr="00811517" w:rsidRDefault="00E01837" w:rsidP="00E01837">
            <w:pPr>
              <w:pStyle w:val="ListParagraph"/>
              <w:widowControl w:val="0"/>
              <w:numPr>
                <w:ilvl w:val="0"/>
                <w:numId w:val="24"/>
              </w:numPr>
              <w:autoSpaceDE w:val="0"/>
              <w:autoSpaceDN w:val="0"/>
              <w:spacing w:after="0" w:line="264" w:lineRule="auto"/>
              <w:ind w:left="824"/>
              <w:contextualSpacing w:val="0"/>
              <w:rPr>
                <w:rFonts w:eastAsia="Calibri" w:cs="Arial"/>
                <w:lang w:val="en-GB"/>
              </w:rPr>
            </w:pPr>
            <w:r w:rsidRPr="00811517">
              <w:rPr>
                <w:rFonts w:eastAsia="Calibri" w:cs="Arial"/>
                <w:lang w:val="en-GB"/>
              </w:rPr>
              <w:t>Australian Volunteers International, 2007–2015</w:t>
            </w:r>
          </w:p>
          <w:p w14:paraId="09B0B5A3" w14:textId="77777777" w:rsidR="00E01837" w:rsidRDefault="00E01837" w:rsidP="00E01837">
            <w:pPr>
              <w:pStyle w:val="Tablebullet"/>
              <w:tabs>
                <w:tab w:val="num" w:pos="397"/>
              </w:tabs>
              <w:spacing w:before="0" w:after="0" w:line="240" w:lineRule="auto"/>
              <w:ind w:left="399" w:hanging="286"/>
              <w:contextualSpacing w:val="0"/>
            </w:pPr>
            <w:r w:rsidRPr="004E5432">
              <w:t>Member</w:t>
            </w:r>
            <w:r>
              <w:t>:</w:t>
            </w:r>
          </w:p>
          <w:p w14:paraId="5B34F4B9" w14:textId="77777777" w:rsidR="00E01837" w:rsidRPr="00A62564" w:rsidRDefault="00E01837" w:rsidP="00E01837">
            <w:pPr>
              <w:pStyle w:val="ListParagraph"/>
              <w:widowControl w:val="0"/>
              <w:numPr>
                <w:ilvl w:val="0"/>
                <w:numId w:val="24"/>
              </w:numPr>
              <w:autoSpaceDE w:val="0"/>
              <w:autoSpaceDN w:val="0"/>
              <w:spacing w:after="0" w:line="264" w:lineRule="auto"/>
              <w:ind w:left="824"/>
              <w:contextualSpacing w:val="0"/>
              <w:rPr>
                <w:rFonts w:eastAsia="Calibri" w:cs="Arial"/>
                <w:lang w:val="en-GB"/>
              </w:rPr>
            </w:pPr>
            <w:r w:rsidRPr="00A62564">
              <w:rPr>
                <w:rFonts w:eastAsia="Calibri" w:cs="Arial"/>
                <w:lang w:val="en-GB"/>
              </w:rPr>
              <w:t>Hunter Regional Advisory Council, 2021–2023</w:t>
            </w:r>
          </w:p>
          <w:p w14:paraId="199D3420" w14:textId="77777777" w:rsidR="00E01837" w:rsidRPr="00A62564" w:rsidRDefault="00E01837" w:rsidP="00E01837">
            <w:pPr>
              <w:pStyle w:val="ListParagraph"/>
              <w:widowControl w:val="0"/>
              <w:numPr>
                <w:ilvl w:val="0"/>
                <w:numId w:val="24"/>
              </w:numPr>
              <w:autoSpaceDE w:val="0"/>
              <w:autoSpaceDN w:val="0"/>
              <w:spacing w:after="0" w:line="264" w:lineRule="auto"/>
              <w:ind w:left="824"/>
              <w:contextualSpacing w:val="0"/>
              <w:rPr>
                <w:lang w:val="en-GB"/>
              </w:rPr>
            </w:pPr>
            <w:r w:rsidRPr="00A62564">
              <w:rPr>
                <w:rFonts w:eastAsia="Calibri" w:cs="Arial"/>
                <w:lang w:val="en-GB"/>
              </w:rPr>
              <w:t>NDIS Independent Advisory Council, 2013–2015</w:t>
            </w:r>
          </w:p>
          <w:p w14:paraId="3EE57E13" w14:textId="77777777" w:rsidR="00E01837" w:rsidRPr="00A33264" w:rsidRDefault="00E01837" w:rsidP="00E01837">
            <w:pPr>
              <w:pStyle w:val="Tablebullet"/>
              <w:tabs>
                <w:tab w:val="num" w:pos="397"/>
              </w:tabs>
              <w:spacing w:before="0" w:after="0" w:line="240" w:lineRule="auto"/>
              <w:ind w:left="399" w:hanging="286"/>
              <w:contextualSpacing w:val="0"/>
            </w:pPr>
            <w:r w:rsidRPr="00A62564">
              <w:t>Athlete</w:t>
            </w:r>
            <w:r w:rsidRPr="00A33264">
              <w:t xml:space="preserve"> Council Member, International Paralympic Committee, 2016</w:t>
            </w:r>
            <w:r>
              <w:t>–</w:t>
            </w:r>
            <w:r w:rsidRPr="00A33264">
              <w:t>2021</w:t>
            </w:r>
          </w:p>
        </w:tc>
        <w:tc>
          <w:tcPr>
            <w:tcW w:w="1559" w:type="dxa"/>
            <w:tcBorders>
              <w:top w:val="single" w:sz="4" w:space="0" w:color="656565"/>
              <w:left w:val="single" w:sz="4" w:space="0" w:color="656565"/>
              <w:bottom w:val="single" w:sz="4" w:space="0" w:color="656565"/>
              <w:right w:val="single" w:sz="4" w:space="0" w:color="656565"/>
            </w:tcBorders>
            <w:shd w:val="clear" w:color="auto" w:fill="F7EEF7"/>
          </w:tcPr>
          <w:p w14:paraId="05227F90" w14:textId="77777777" w:rsidR="00E01837" w:rsidRPr="00A33264" w:rsidRDefault="00E01837">
            <w:pPr>
              <w:spacing w:after="0" w:line="264" w:lineRule="auto"/>
              <w:rPr>
                <w:lang w:val="en-GB"/>
              </w:rPr>
            </w:pPr>
            <w:r w:rsidRPr="00A33264">
              <w:rPr>
                <w:lang w:val="en-GB"/>
              </w:rPr>
              <w:t xml:space="preserve">NDIA Board </w:t>
            </w:r>
            <w:r>
              <w:rPr>
                <w:lang w:val="en-GB"/>
              </w:rPr>
              <w:t>c</w:t>
            </w:r>
            <w:r w:rsidRPr="00A33264">
              <w:rPr>
                <w:lang w:val="en-GB"/>
              </w:rPr>
              <w:t xml:space="preserve">hair / </w:t>
            </w:r>
            <w:r>
              <w:rPr>
                <w:lang w:val="en-GB"/>
              </w:rPr>
              <w:t>n</w:t>
            </w:r>
            <w:r w:rsidRPr="00A33264">
              <w:rPr>
                <w:lang w:val="en-GB"/>
              </w:rPr>
              <w:t>on-</w:t>
            </w:r>
            <w:r>
              <w:rPr>
                <w:lang w:val="en-GB"/>
              </w:rPr>
              <w:t>e</w:t>
            </w:r>
            <w:r w:rsidRPr="00A33264">
              <w:rPr>
                <w:lang w:val="en-GB"/>
              </w:rPr>
              <w:t>xecutive</w:t>
            </w:r>
          </w:p>
        </w:tc>
        <w:tc>
          <w:tcPr>
            <w:tcW w:w="1532" w:type="dxa"/>
            <w:tcBorders>
              <w:top w:val="single" w:sz="4" w:space="0" w:color="656565"/>
              <w:left w:val="single" w:sz="4" w:space="0" w:color="656565"/>
              <w:bottom w:val="single" w:sz="4" w:space="0" w:color="656565"/>
              <w:right w:val="single" w:sz="4" w:space="0" w:color="000000"/>
            </w:tcBorders>
            <w:shd w:val="clear" w:color="auto" w:fill="F7EEF7"/>
          </w:tcPr>
          <w:p w14:paraId="178476EE" w14:textId="77777777" w:rsidR="00E01837" w:rsidRPr="00A33264" w:rsidRDefault="00E01837">
            <w:pPr>
              <w:spacing w:after="0" w:line="264" w:lineRule="auto"/>
              <w:rPr>
                <w:lang w:val="en-GB"/>
              </w:rPr>
            </w:pPr>
            <w:r w:rsidRPr="00A33264">
              <w:rPr>
                <w:lang w:val="en-GB"/>
              </w:rPr>
              <w:t>1 July 2023</w:t>
            </w:r>
          </w:p>
        </w:tc>
        <w:tc>
          <w:tcPr>
            <w:tcW w:w="1532" w:type="dxa"/>
            <w:tcBorders>
              <w:top w:val="single" w:sz="4" w:space="0" w:color="656565"/>
              <w:left w:val="single" w:sz="4" w:space="0" w:color="000000"/>
              <w:bottom w:val="single" w:sz="4" w:space="0" w:color="656565"/>
              <w:right w:val="single" w:sz="4" w:space="0" w:color="000000"/>
            </w:tcBorders>
            <w:shd w:val="clear" w:color="auto" w:fill="F7EEF7"/>
          </w:tcPr>
          <w:p w14:paraId="4FD3441A" w14:textId="77777777" w:rsidR="00E01837" w:rsidRPr="00A33264" w:rsidRDefault="00E01837">
            <w:pPr>
              <w:spacing w:after="0" w:line="264" w:lineRule="auto"/>
              <w:rPr>
                <w:lang w:val="en-GB"/>
              </w:rPr>
            </w:pPr>
            <w:r w:rsidRPr="00A33264">
              <w:rPr>
                <w:lang w:val="en-GB"/>
              </w:rPr>
              <w:t>30 June 2024</w:t>
            </w:r>
          </w:p>
        </w:tc>
        <w:tc>
          <w:tcPr>
            <w:tcW w:w="1475" w:type="dxa"/>
            <w:tcBorders>
              <w:top w:val="single" w:sz="4" w:space="0" w:color="656565"/>
              <w:left w:val="single" w:sz="4" w:space="0" w:color="000000"/>
              <w:bottom w:val="single" w:sz="4" w:space="0" w:color="656565"/>
              <w:right w:val="single" w:sz="4" w:space="0" w:color="auto"/>
            </w:tcBorders>
            <w:shd w:val="clear" w:color="auto" w:fill="F7EEF7"/>
          </w:tcPr>
          <w:p w14:paraId="76E889C3" w14:textId="77777777" w:rsidR="00E01837" w:rsidRPr="00A33264" w:rsidRDefault="00E01837">
            <w:pPr>
              <w:spacing w:after="0" w:line="264" w:lineRule="auto"/>
              <w:jc w:val="right"/>
              <w:rPr>
                <w:lang w:val="en-GB"/>
              </w:rPr>
            </w:pPr>
            <w:r w:rsidRPr="00A33264">
              <w:rPr>
                <w:lang w:val="en-GB"/>
              </w:rPr>
              <w:t>11</w:t>
            </w:r>
          </w:p>
        </w:tc>
      </w:tr>
      <w:tr w:rsidR="00E01837" w:rsidRPr="00A33264" w14:paraId="1C16CA0E" w14:textId="77777777">
        <w:trPr>
          <w:cantSplit/>
          <w:trHeight w:val="520"/>
        </w:trPr>
        <w:tc>
          <w:tcPr>
            <w:tcW w:w="1984" w:type="dxa"/>
            <w:tcBorders>
              <w:top w:val="single" w:sz="4" w:space="0" w:color="656565"/>
              <w:left w:val="single" w:sz="4" w:space="0" w:color="000000"/>
              <w:bottom w:val="single" w:sz="4" w:space="0" w:color="656565"/>
              <w:right w:val="single" w:sz="4" w:space="0" w:color="000000"/>
            </w:tcBorders>
            <w:shd w:val="clear" w:color="auto" w:fill="auto"/>
          </w:tcPr>
          <w:p w14:paraId="7A6F0D89" w14:textId="77777777" w:rsidR="00E01837" w:rsidRPr="00A33264" w:rsidRDefault="00E01837">
            <w:pPr>
              <w:spacing w:after="0" w:line="264" w:lineRule="auto"/>
              <w:rPr>
                <w:rFonts w:cs="Arial"/>
                <w:lang w:val="en-GB"/>
              </w:rPr>
            </w:pPr>
            <w:r w:rsidRPr="00A33264">
              <w:rPr>
                <w:rFonts w:cs="Arial"/>
                <w:lang w:val="en-GB"/>
              </w:rPr>
              <w:lastRenderedPageBreak/>
              <w:t>Dr Graeme Innes AM</w:t>
            </w:r>
          </w:p>
        </w:tc>
        <w:tc>
          <w:tcPr>
            <w:tcW w:w="1976" w:type="dxa"/>
            <w:tcBorders>
              <w:top w:val="single" w:sz="4" w:space="0" w:color="656565"/>
              <w:left w:val="single" w:sz="4" w:space="0" w:color="000000"/>
              <w:bottom w:val="single" w:sz="4" w:space="0" w:color="656565"/>
              <w:right w:val="single" w:sz="4" w:space="0" w:color="000000"/>
            </w:tcBorders>
            <w:shd w:val="clear" w:color="auto" w:fill="auto"/>
          </w:tcPr>
          <w:p w14:paraId="1167409A" w14:textId="05847C1C" w:rsidR="00E01837" w:rsidRPr="00A33264" w:rsidRDefault="00E01837">
            <w:pPr>
              <w:spacing w:after="0" w:line="264" w:lineRule="auto"/>
              <w:rPr>
                <w:rFonts w:cs="Arial"/>
                <w:lang w:val="en-GB"/>
              </w:rPr>
            </w:pPr>
            <w:r>
              <w:rPr>
                <w:rFonts w:cs="Arial"/>
                <w:lang w:val="en-GB"/>
              </w:rPr>
              <w:t>LLB</w:t>
            </w:r>
            <w:r w:rsidRPr="00E17B60">
              <w:rPr>
                <w:rFonts w:cs="Arial"/>
                <w:lang w:val="en-GB"/>
              </w:rPr>
              <w:t xml:space="preserve">, Sydney University; honorary doctorates </w:t>
            </w:r>
            <w:r>
              <w:rPr>
                <w:rFonts w:cs="Arial"/>
                <w:lang w:val="en-GB"/>
              </w:rPr>
              <w:t>(</w:t>
            </w:r>
            <w:r w:rsidRPr="00E17B60">
              <w:rPr>
                <w:rFonts w:cs="Arial"/>
                <w:lang w:val="en-GB"/>
              </w:rPr>
              <w:t xml:space="preserve">University of Canberra, RMIT University, University of </w:t>
            </w:r>
            <w:r>
              <w:rPr>
                <w:rFonts w:cs="Arial"/>
                <w:lang w:val="en-GB"/>
              </w:rPr>
              <w:t>NSW</w:t>
            </w:r>
            <w:r w:rsidRPr="00E17B60">
              <w:rPr>
                <w:rFonts w:cs="Arial"/>
                <w:lang w:val="en-GB"/>
              </w:rPr>
              <w:t>, Edith Cowan University</w:t>
            </w:r>
            <w:r>
              <w:rPr>
                <w:rFonts w:cs="Arial"/>
                <w:lang w:val="en-GB"/>
              </w:rPr>
              <w:t>)</w:t>
            </w:r>
            <w:r w:rsidRPr="00E17B60">
              <w:rPr>
                <w:rFonts w:cs="Arial"/>
                <w:lang w:val="en-GB"/>
              </w:rPr>
              <w:t>; Fellow of the Australian Institute of Company Directors</w:t>
            </w:r>
            <w:r>
              <w:rPr>
                <w:rFonts w:cs="Arial"/>
                <w:lang w:val="en-GB"/>
              </w:rPr>
              <w:t xml:space="preserve"> (AICD)</w:t>
            </w:r>
          </w:p>
        </w:tc>
        <w:tc>
          <w:tcPr>
            <w:tcW w:w="3827" w:type="dxa"/>
            <w:tcBorders>
              <w:top w:val="single" w:sz="4" w:space="0" w:color="656565"/>
              <w:left w:val="single" w:sz="4" w:space="0" w:color="000000"/>
              <w:bottom w:val="single" w:sz="4" w:space="0" w:color="656565"/>
              <w:right w:val="single" w:sz="4" w:space="0" w:color="656565"/>
            </w:tcBorders>
            <w:shd w:val="clear" w:color="auto" w:fill="auto"/>
          </w:tcPr>
          <w:p w14:paraId="412602ED" w14:textId="77777777" w:rsidR="00E01837" w:rsidRPr="00C85B76" w:rsidRDefault="00E01837" w:rsidP="00E01837">
            <w:pPr>
              <w:pStyle w:val="Tablebullet"/>
              <w:tabs>
                <w:tab w:val="num" w:pos="397"/>
              </w:tabs>
              <w:spacing w:before="0" w:after="0" w:line="240" w:lineRule="auto"/>
              <w:ind w:left="399" w:hanging="286"/>
              <w:contextualSpacing w:val="0"/>
            </w:pPr>
            <w:r w:rsidRPr="00C85B76">
              <w:t>Chancellor, Central Queensland University</w:t>
            </w:r>
          </w:p>
          <w:p w14:paraId="6A4B13AA" w14:textId="77777777" w:rsidR="00E01837" w:rsidRPr="00C85B76" w:rsidRDefault="00E01837" w:rsidP="00E01837">
            <w:pPr>
              <w:pStyle w:val="Tablebullet"/>
              <w:tabs>
                <w:tab w:val="num" w:pos="397"/>
              </w:tabs>
              <w:spacing w:before="0" w:after="0" w:line="240" w:lineRule="auto"/>
              <w:ind w:left="399" w:hanging="286"/>
              <w:contextualSpacing w:val="0"/>
            </w:pPr>
            <w:r w:rsidRPr="00C85B76">
              <w:t>Disability Discrimination Commissioner, 2005–2014</w:t>
            </w:r>
          </w:p>
          <w:p w14:paraId="5D3E4B3B" w14:textId="77777777" w:rsidR="00E01837" w:rsidRPr="00C85B76" w:rsidRDefault="00E01837" w:rsidP="00E01837">
            <w:pPr>
              <w:pStyle w:val="Tablebullet"/>
              <w:tabs>
                <w:tab w:val="num" w:pos="397"/>
              </w:tabs>
              <w:spacing w:before="0" w:after="0" w:line="240" w:lineRule="auto"/>
              <w:ind w:left="399" w:hanging="286"/>
              <w:contextualSpacing w:val="0"/>
            </w:pPr>
            <w:r w:rsidRPr="00C85B76">
              <w:t>Director, State Insurance Regulatory Authority of NSW</w:t>
            </w:r>
          </w:p>
          <w:p w14:paraId="39D8F48B" w14:textId="77777777" w:rsidR="00E01837" w:rsidRPr="00C85B76" w:rsidRDefault="00E01837" w:rsidP="00E01837">
            <w:pPr>
              <w:pStyle w:val="Tablebullet"/>
              <w:tabs>
                <w:tab w:val="num" w:pos="397"/>
              </w:tabs>
              <w:spacing w:before="0" w:after="0" w:line="240" w:lineRule="auto"/>
              <w:ind w:left="399" w:hanging="286"/>
              <w:contextualSpacing w:val="0"/>
            </w:pPr>
            <w:r w:rsidRPr="00C85B76">
              <w:t>Board member, Healthy North Coast</w:t>
            </w:r>
          </w:p>
          <w:p w14:paraId="532A57BB" w14:textId="77777777" w:rsidR="00E01837" w:rsidRPr="00C85B76" w:rsidRDefault="00E01837" w:rsidP="00E01837">
            <w:pPr>
              <w:pStyle w:val="Tablebullet"/>
              <w:tabs>
                <w:tab w:val="num" w:pos="397"/>
              </w:tabs>
              <w:spacing w:before="0" w:after="0" w:line="240" w:lineRule="auto"/>
              <w:ind w:left="399" w:hanging="286"/>
              <w:contextualSpacing w:val="0"/>
            </w:pPr>
            <w:r w:rsidRPr="00C85B76">
              <w:t>Board member, Jeffrey Blyth Foundation</w:t>
            </w:r>
          </w:p>
          <w:p w14:paraId="1A74759B" w14:textId="77777777" w:rsidR="00E01837" w:rsidRPr="00C85B76" w:rsidRDefault="00E01837" w:rsidP="00E01837">
            <w:pPr>
              <w:pStyle w:val="Tablebullet"/>
              <w:tabs>
                <w:tab w:val="num" w:pos="397"/>
              </w:tabs>
              <w:spacing w:before="0" w:after="0" w:line="240" w:lineRule="auto"/>
              <w:ind w:left="399" w:hanging="286"/>
              <w:contextualSpacing w:val="0"/>
            </w:pPr>
            <w:r w:rsidRPr="00C85B76">
              <w:t>Mediator training, Community Justice Centre NSW, Australian Commercial Dispute Centre</w:t>
            </w:r>
          </w:p>
        </w:tc>
        <w:tc>
          <w:tcPr>
            <w:tcW w:w="1559" w:type="dxa"/>
            <w:tcBorders>
              <w:top w:val="single" w:sz="4" w:space="0" w:color="656565"/>
              <w:left w:val="single" w:sz="4" w:space="0" w:color="656565"/>
              <w:bottom w:val="single" w:sz="4" w:space="0" w:color="656565"/>
              <w:right w:val="single" w:sz="4" w:space="0" w:color="656565"/>
            </w:tcBorders>
            <w:shd w:val="clear" w:color="auto" w:fill="auto"/>
          </w:tcPr>
          <w:p w14:paraId="00D07887" w14:textId="77777777" w:rsidR="00E01837" w:rsidRPr="00A33264" w:rsidRDefault="00E01837">
            <w:pPr>
              <w:spacing w:after="0" w:line="264" w:lineRule="auto"/>
              <w:rPr>
                <w:rFonts w:cs="Arial"/>
                <w:lang w:val="en-GB"/>
              </w:rPr>
            </w:pPr>
            <w:r w:rsidRPr="00A33264">
              <w:rPr>
                <w:rFonts w:cs="Arial"/>
                <w:lang w:val="en-GB"/>
              </w:rPr>
              <w:t xml:space="preserve">Board </w:t>
            </w:r>
            <w:r>
              <w:rPr>
                <w:rFonts w:cs="Arial"/>
                <w:lang w:val="en-GB"/>
              </w:rPr>
              <w:t>m</w:t>
            </w:r>
            <w:r w:rsidRPr="00A33264">
              <w:rPr>
                <w:rFonts w:cs="Arial"/>
                <w:lang w:val="en-GB"/>
              </w:rPr>
              <w:t xml:space="preserve">ember / </w:t>
            </w:r>
            <w:r>
              <w:rPr>
                <w:rFonts w:cs="Arial"/>
                <w:lang w:val="en-GB"/>
              </w:rPr>
              <w:t>n</w:t>
            </w:r>
            <w:r w:rsidRPr="00A33264">
              <w:rPr>
                <w:rFonts w:cs="Arial"/>
                <w:lang w:val="en-GB"/>
              </w:rPr>
              <w:t>on-</w:t>
            </w:r>
            <w:r>
              <w:rPr>
                <w:rFonts w:cs="Arial"/>
                <w:lang w:val="en-GB"/>
              </w:rPr>
              <w:t>e</w:t>
            </w:r>
            <w:r w:rsidRPr="00A33264">
              <w:rPr>
                <w:rFonts w:cs="Arial"/>
                <w:lang w:val="en-GB"/>
              </w:rPr>
              <w:t>xecutive</w:t>
            </w:r>
          </w:p>
        </w:tc>
        <w:tc>
          <w:tcPr>
            <w:tcW w:w="1532" w:type="dxa"/>
            <w:tcBorders>
              <w:top w:val="single" w:sz="4" w:space="0" w:color="656565"/>
              <w:left w:val="single" w:sz="4" w:space="0" w:color="656565"/>
              <w:bottom w:val="single" w:sz="4" w:space="0" w:color="656565"/>
              <w:right w:val="single" w:sz="4" w:space="0" w:color="000000"/>
            </w:tcBorders>
            <w:shd w:val="clear" w:color="auto" w:fill="auto"/>
          </w:tcPr>
          <w:p w14:paraId="58AC95E1" w14:textId="77777777" w:rsidR="00E01837" w:rsidRPr="00A33264" w:rsidRDefault="00E01837">
            <w:pPr>
              <w:spacing w:after="0" w:line="264" w:lineRule="auto"/>
              <w:rPr>
                <w:rFonts w:cs="Arial"/>
                <w:lang w:val="en-GB"/>
              </w:rPr>
            </w:pPr>
            <w:r w:rsidRPr="00A33264">
              <w:rPr>
                <w:rFonts w:cs="Arial"/>
                <w:lang w:val="en-GB"/>
              </w:rPr>
              <w:t>1 July 2023</w:t>
            </w:r>
          </w:p>
        </w:tc>
        <w:tc>
          <w:tcPr>
            <w:tcW w:w="1532" w:type="dxa"/>
            <w:tcBorders>
              <w:top w:val="single" w:sz="4" w:space="0" w:color="656565"/>
              <w:left w:val="single" w:sz="4" w:space="0" w:color="000000"/>
              <w:bottom w:val="single" w:sz="4" w:space="0" w:color="656565"/>
              <w:right w:val="single" w:sz="4" w:space="0" w:color="000000"/>
            </w:tcBorders>
            <w:shd w:val="clear" w:color="auto" w:fill="auto"/>
          </w:tcPr>
          <w:p w14:paraId="6FFEB37A" w14:textId="77777777" w:rsidR="00E01837" w:rsidRPr="00A33264" w:rsidRDefault="00E01837">
            <w:pPr>
              <w:spacing w:after="0" w:line="264" w:lineRule="auto"/>
              <w:rPr>
                <w:rFonts w:cs="Arial"/>
                <w:lang w:val="en-GB"/>
              </w:rPr>
            </w:pPr>
            <w:r w:rsidRPr="00A33264">
              <w:rPr>
                <w:rFonts w:cs="Arial"/>
                <w:lang w:val="en-GB"/>
              </w:rPr>
              <w:t>30 June 2024</w:t>
            </w:r>
          </w:p>
        </w:tc>
        <w:tc>
          <w:tcPr>
            <w:tcW w:w="1475" w:type="dxa"/>
            <w:tcBorders>
              <w:top w:val="single" w:sz="4" w:space="0" w:color="656565"/>
              <w:left w:val="single" w:sz="4" w:space="0" w:color="000000"/>
              <w:bottom w:val="single" w:sz="4" w:space="0" w:color="656565"/>
              <w:right w:val="single" w:sz="4" w:space="0" w:color="auto"/>
            </w:tcBorders>
            <w:shd w:val="clear" w:color="auto" w:fill="auto"/>
          </w:tcPr>
          <w:p w14:paraId="1938335A" w14:textId="77777777" w:rsidR="00E01837" w:rsidRPr="00A33264" w:rsidRDefault="00E01837">
            <w:pPr>
              <w:spacing w:after="0" w:line="264" w:lineRule="auto"/>
              <w:jc w:val="right"/>
              <w:rPr>
                <w:rFonts w:cs="Arial"/>
                <w:lang w:val="en-GB"/>
              </w:rPr>
            </w:pPr>
            <w:r w:rsidRPr="00A33264">
              <w:rPr>
                <w:rFonts w:cs="Arial"/>
                <w:lang w:val="en-GB"/>
              </w:rPr>
              <w:t>9</w:t>
            </w:r>
          </w:p>
        </w:tc>
      </w:tr>
      <w:tr w:rsidR="00E01837" w:rsidRPr="00A33264" w14:paraId="3BD36B20" w14:textId="77777777" w:rsidTr="006418CC">
        <w:trPr>
          <w:cantSplit/>
          <w:trHeight w:val="519"/>
        </w:trPr>
        <w:tc>
          <w:tcPr>
            <w:tcW w:w="1984" w:type="dxa"/>
            <w:tcBorders>
              <w:top w:val="single" w:sz="4" w:space="0" w:color="656565"/>
              <w:left w:val="single" w:sz="4" w:space="0" w:color="000000"/>
              <w:bottom w:val="single" w:sz="4" w:space="0" w:color="656565"/>
              <w:right w:val="single" w:sz="4" w:space="0" w:color="000000"/>
            </w:tcBorders>
            <w:shd w:val="clear" w:color="auto" w:fill="F7EEF7"/>
          </w:tcPr>
          <w:p w14:paraId="31524411" w14:textId="77777777" w:rsidR="00E01837" w:rsidRPr="00A33264" w:rsidRDefault="00E01837">
            <w:pPr>
              <w:spacing w:after="0" w:line="264" w:lineRule="auto"/>
              <w:rPr>
                <w:lang w:val="en-GB"/>
              </w:rPr>
            </w:pPr>
            <w:r w:rsidRPr="00A33264">
              <w:rPr>
                <w:lang w:val="en-GB"/>
              </w:rPr>
              <w:t>Ms Maryanne Diamond AO</w:t>
            </w:r>
          </w:p>
        </w:tc>
        <w:tc>
          <w:tcPr>
            <w:tcW w:w="1976" w:type="dxa"/>
            <w:tcBorders>
              <w:top w:val="single" w:sz="4" w:space="0" w:color="656565"/>
              <w:left w:val="single" w:sz="4" w:space="0" w:color="000000"/>
              <w:bottom w:val="single" w:sz="4" w:space="0" w:color="656565"/>
              <w:right w:val="single" w:sz="4" w:space="0" w:color="000000"/>
            </w:tcBorders>
            <w:shd w:val="clear" w:color="auto" w:fill="F7EEF7"/>
          </w:tcPr>
          <w:p w14:paraId="3C0A16DE" w14:textId="77777777" w:rsidR="00E01837" w:rsidRPr="00A33264" w:rsidRDefault="00E01837">
            <w:pPr>
              <w:spacing w:after="0" w:line="264" w:lineRule="auto"/>
              <w:rPr>
                <w:lang w:val="en-GB"/>
              </w:rPr>
            </w:pPr>
            <w:r w:rsidRPr="00E17B60">
              <w:rPr>
                <w:lang w:val="en-GB"/>
              </w:rPr>
              <w:t>BSc, Monash University; GradDip</w:t>
            </w:r>
            <w:r>
              <w:rPr>
                <w:lang w:val="en-GB"/>
              </w:rPr>
              <w:t>IT</w:t>
            </w:r>
            <w:r w:rsidRPr="00E17B60">
              <w:rPr>
                <w:lang w:val="en-GB"/>
              </w:rPr>
              <w:t xml:space="preserve">, Caulfield Institute of Technology; Graduate of the </w:t>
            </w:r>
            <w:r>
              <w:rPr>
                <w:rFonts w:cs="Arial"/>
                <w:lang w:val="en-GB"/>
              </w:rPr>
              <w:t>AICD</w:t>
            </w:r>
          </w:p>
        </w:tc>
        <w:tc>
          <w:tcPr>
            <w:tcW w:w="3827" w:type="dxa"/>
            <w:tcBorders>
              <w:top w:val="single" w:sz="4" w:space="0" w:color="656565"/>
              <w:left w:val="single" w:sz="4" w:space="0" w:color="000000"/>
              <w:bottom w:val="single" w:sz="4" w:space="0" w:color="656565"/>
              <w:right w:val="single" w:sz="4" w:space="0" w:color="656565"/>
            </w:tcBorders>
            <w:shd w:val="clear" w:color="auto" w:fill="F7EEF7"/>
          </w:tcPr>
          <w:p w14:paraId="6A1C228E" w14:textId="77777777" w:rsidR="00E01837" w:rsidRDefault="00E01837" w:rsidP="00E01837">
            <w:pPr>
              <w:pStyle w:val="Tablebullet"/>
              <w:tabs>
                <w:tab w:val="num" w:pos="397"/>
              </w:tabs>
              <w:spacing w:before="0" w:after="0" w:line="240" w:lineRule="auto"/>
              <w:ind w:left="399" w:hanging="286"/>
              <w:contextualSpacing w:val="0"/>
              <w:rPr>
                <w:rFonts w:cs="Arial"/>
              </w:rPr>
            </w:pPr>
            <w:r w:rsidRPr="00A33264">
              <w:rPr>
                <w:rFonts w:cs="Arial"/>
              </w:rPr>
              <w:t>Chair</w:t>
            </w:r>
            <w:r>
              <w:rPr>
                <w:rFonts w:cs="Arial"/>
              </w:rPr>
              <w:t>,</w:t>
            </w:r>
            <w:r w:rsidRPr="00A33264">
              <w:rPr>
                <w:rFonts w:cs="Arial"/>
              </w:rPr>
              <w:t xml:space="preserve"> International Disability Alliance</w:t>
            </w:r>
            <w:r>
              <w:rPr>
                <w:rFonts w:cs="Arial"/>
              </w:rPr>
              <w:t>,</w:t>
            </w:r>
            <w:r w:rsidRPr="00A33264">
              <w:rPr>
                <w:rFonts w:cs="Arial"/>
              </w:rPr>
              <w:t xml:space="preserve"> 2014</w:t>
            </w:r>
            <w:r>
              <w:rPr>
                <w:rFonts w:cs="Arial"/>
              </w:rPr>
              <w:t>–</w:t>
            </w:r>
            <w:r w:rsidRPr="00A33264">
              <w:rPr>
                <w:rFonts w:cs="Arial"/>
              </w:rPr>
              <w:t xml:space="preserve">2016 </w:t>
            </w:r>
          </w:p>
          <w:p w14:paraId="54668E9B" w14:textId="14121613" w:rsidR="00E01837" w:rsidRDefault="00E01837" w:rsidP="00E01837">
            <w:pPr>
              <w:pStyle w:val="Tablebullet"/>
              <w:tabs>
                <w:tab w:val="num" w:pos="397"/>
              </w:tabs>
              <w:spacing w:before="0" w:after="0" w:line="240" w:lineRule="auto"/>
              <w:ind w:left="399" w:hanging="286"/>
              <w:contextualSpacing w:val="0"/>
              <w:rPr>
                <w:rFonts w:cs="Arial"/>
              </w:rPr>
            </w:pPr>
            <w:r w:rsidRPr="00A33264">
              <w:rPr>
                <w:rFonts w:cs="Arial"/>
              </w:rPr>
              <w:t>President</w:t>
            </w:r>
            <w:r>
              <w:rPr>
                <w:rFonts w:cs="Arial"/>
              </w:rPr>
              <w:t>,</w:t>
            </w:r>
            <w:r w:rsidRPr="00A33264">
              <w:rPr>
                <w:rFonts w:cs="Arial"/>
              </w:rPr>
              <w:t xml:space="preserve"> World Blind Union</w:t>
            </w:r>
            <w:r>
              <w:rPr>
                <w:rFonts w:cs="Arial"/>
              </w:rPr>
              <w:t>,</w:t>
            </w:r>
            <w:r w:rsidRPr="00A33264">
              <w:rPr>
                <w:rFonts w:cs="Arial"/>
              </w:rPr>
              <w:t xml:space="preserve"> 2008</w:t>
            </w:r>
            <w:r>
              <w:rPr>
                <w:rFonts w:cs="Arial"/>
              </w:rPr>
              <w:t>–</w:t>
            </w:r>
            <w:r w:rsidRPr="00A33264">
              <w:rPr>
                <w:rFonts w:cs="Arial"/>
              </w:rPr>
              <w:t xml:space="preserve">2012 </w:t>
            </w:r>
          </w:p>
          <w:p w14:paraId="7D79B529" w14:textId="77777777" w:rsidR="00E01837" w:rsidRPr="00A33264" w:rsidRDefault="00E01837" w:rsidP="00E01837">
            <w:pPr>
              <w:pStyle w:val="Tablebullet"/>
              <w:tabs>
                <w:tab w:val="num" w:pos="397"/>
              </w:tabs>
              <w:spacing w:before="0" w:after="0" w:line="240" w:lineRule="auto"/>
              <w:ind w:left="399" w:hanging="286"/>
              <w:contextualSpacing w:val="0"/>
            </w:pPr>
            <w:r w:rsidRPr="00A33264">
              <w:t>CEO</w:t>
            </w:r>
            <w:r>
              <w:t>,</w:t>
            </w:r>
            <w:r w:rsidRPr="00A33264">
              <w:t xml:space="preserve"> Australian Federation of Disability Organisations</w:t>
            </w:r>
            <w:r>
              <w:t>, 2004–2007</w:t>
            </w:r>
          </w:p>
          <w:p w14:paraId="4127D277" w14:textId="77777777" w:rsidR="00E01837" w:rsidRDefault="00E01837" w:rsidP="00E01837">
            <w:pPr>
              <w:pStyle w:val="Tablebullet"/>
              <w:tabs>
                <w:tab w:val="num" w:pos="397"/>
              </w:tabs>
              <w:spacing w:before="0" w:after="0" w:line="240" w:lineRule="auto"/>
              <w:ind w:left="399" w:hanging="286"/>
              <w:contextualSpacing w:val="0"/>
            </w:pPr>
            <w:r w:rsidRPr="00A33264">
              <w:t>Executive Officer</w:t>
            </w:r>
            <w:r>
              <w:t>,</w:t>
            </w:r>
            <w:r w:rsidRPr="00A33264">
              <w:t xml:space="preserve"> Blind Citizens Australia </w:t>
            </w:r>
          </w:p>
          <w:p w14:paraId="2FC200B7" w14:textId="77777777" w:rsidR="00E01837" w:rsidRPr="00A33264" w:rsidRDefault="00E01837" w:rsidP="00E01837">
            <w:pPr>
              <w:pStyle w:val="Tablebullet"/>
              <w:tabs>
                <w:tab w:val="num" w:pos="397"/>
              </w:tabs>
              <w:spacing w:before="0" w:after="0" w:line="240" w:lineRule="auto"/>
              <w:ind w:left="399" w:hanging="286"/>
              <w:contextualSpacing w:val="0"/>
              <w:rPr>
                <w:rFonts w:cs="Arial"/>
              </w:rPr>
            </w:pPr>
            <w:r>
              <w:rPr>
                <w:rFonts w:cs="Arial"/>
              </w:rPr>
              <w:t>E</w:t>
            </w:r>
            <w:r w:rsidRPr="00A33264">
              <w:rPr>
                <w:rFonts w:cs="Arial"/>
              </w:rPr>
              <w:t>mploy</w:t>
            </w:r>
            <w:r>
              <w:rPr>
                <w:rFonts w:cs="Arial"/>
              </w:rPr>
              <w:t>ment experience</w:t>
            </w:r>
            <w:r w:rsidRPr="00A33264">
              <w:rPr>
                <w:rFonts w:cs="Arial"/>
              </w:rPr>
              <w:t xml:space="preserve"> in the information technology industry, the disability sector and government</w:t>
            </w:r>
          </w:p>
        </w:tc>
        <w:tc>
          <w:tcPr>
            <w:tcW w:w="1559" w:type="dxa"/>
            <w:tcBorders>
              <w:top w:val="single" w:sz="4" w:space="0" w:color="656565"/>
              <w:left w:val="single" w:sz="4" w:space="0" w:color="656565"/>
              <w:bottom w:val="single" w:sz="4" w:space="0" w:color="656565"/>
              <w:right w:val="single" w:sz="4" w:space="0" w:color="656565"/>
            </w:tcBorders>
            <w:shd w:val="clear" w:color="auto" w:fill="F7EEF7"/>
          </w:tcPr>
          <w:p w14:paraId="40A22C05" w14:textId="77777777" w:rsidR="00E01837" w:rsidRPr="00A33264" w:rsidRDefault="00E01837">
            <w:pPr>
              <w:spacing w:after="0" w:line="264" w:lineRule="auto"/>
              <w:rPr>
                <w:lang w:val="en-GB"/>
              </w:rPr>
            </w:pPr>
            <w:r w:rsidRPr="00A33264">
              <w:rPr>
                <w:lang w:val="en-GB"/>
              </w:rPr>
              <w:t xml:space="preserve">Board </w:t>
            </w:r>
            <w:r>
              <w:rPr>
                <w:lang w:val="en-GB"/>
              </w:rPr>
              <w:t>m</w:t>
            </w:r>
            <w:r w:rsidRPr="00A33264">
              <w:rPr>
                <w:lang w:val="en-GB"/>
              </w:rPr>
              <w:t xml:space="preserve">ember / </w:t>
            </w:r>
            <w:r>
              <w:rPr>
                <w:lang w:val="en-GB"/>
              </w:rPr>
              <w:t>n</w:t>
            </w:r>
            <w:r w:rsidRPr="00A33264">
              <w:rPr>
                <w:lang w:val="en-GB"/>
              </w:rPr>
              <w:t>on-</w:t>
            </w:r>
            <w:r>
              <w:rPr>
                <w:lang w:val="en-GB"/>
              </w:rPr>
              <w:t>e</w:t>
            </w:r>
            <w:r w:rsidRPr="00A33264">
              <w:rPr>
                <w:lang w:val="en-GB"/>
              </w:rPr>
              <w:t>xecutive</w:t>
            </w:r>
          </w:p>
        </w:tc>
        <w:tc>
          <w:tcPr>
            <w:tcW w:w="1532" w:type="dxa"/>
            <w:tcBorders>
              <w:top w:val="single" w:sz="4" w:space="0" w:color="656565"/>
              <w:left w:val="single" w:sz="4" w:space="0" w:color="656565"/>
              <w:bottom w:val="single" w:sz="4" w:space="0" w:color="656565"/>
              <w:right w:val="single" w:sz="4" w:space="0" w:color="000000"/>
            </w:tcBorders>
            <w:shd w:val="clear" w:color="auto" w:fill="F7EEF7"/>
          </w:tcPr>
          <w:p w14:paraId="287F96DB" w14:textId="77777777" w:rsidR="00E01837" w:rsidRPr="00A33264" w:rsidRDefault="00E01837">
            <w:pPr>
              <w:spacing w:after="0" w:line="264" w:lineRule="auto"/>
              <w:rPr>
                <w:lang w:val="en-GB"/>
              </w:rPr>
            </w:pPr>
            <w:r w:rsidRPr="00A33264">
              <w:rPr>
                <w:lang w:val="en-GB"/>
              </w:rPr>
              <w:t>1 July 2023</w:t>
            </w:r>
          </w:p>
        </w:tc>
        <w:tc>
          <w:tcPr>
            <w:tcW w:w="1532" w:type="dxa"/>
            <w:tcBorders>
              <w:top w:val="single" w:sz="4" w:space="0" w:color="656565"/>
              <w:left w:val="single" w:sz="4" w:space="0" w:color="000000"/>
              <w:bottom w:val="single" w:sz="4" w:space="0" w:color="656565"/>
              <w:right w:val="single" w:sz="4" w:space="0" w:color="000000"/>
            </w:tcBorders>
            <w:shd w:val="clear" w:color="auto" w:fill="F7EEF7"/>
          </w:tcPr>
          <w:p w14:paraId="41CB1DA2" w14:textId="77777777" w:rsidR="00E01837" w:rsidRPr="00A33264" w:rsidRDefault="00E01837">
            <w:pPr>
              <w:spacing w:after="0" w:line="264" w:lineRule="auto"/>
              <w:rPr>
                <w:lang w:val="en-GB"/>
              </w:rPr>
            </w:pPr>
            <w:r w:rsidRPr="00A33264">
              <w:rPr>
                <w:lang w:val="en-GB"/>
              </w:rPr>
              <w:t>30 June 2024</w:t>
            </w:r>
          </w:p>
        </w:tc>
        <w:tc>
          <w:tcPr>
            <w:tcW w:w="1475" w:type="dxa"/>
            <w:tcBorders>
              <w:top w:val="single" w:sz="4" w:space="0" w:color="656565"/>
              <w:left w:val="single" w:sz="4" w:space="0" w:color="000000"/>
              <w:bottom w:val="single" w:sz="4" w:space="0" w:color="656565"/>
              <w:right w:val="single" w:sz="4" w:space="0" w:color="auto"/>
            </w:tcBorders>
            <w:shd w:val="clear" w:color="auto" w:fill="F7EEF7"/>
          </w:tcPr>
          <w:p w14:paraId="283CB408" w14:textId="77777777" w:rsidR="00E01837" w:rsidRPr="00A33264" w:rsidRDefault="00E01837">
            <w:pPr>
              <w:spacing w:after="0" w:line="264" w:lineRule="auto"/>
              <w:jc w:val="right"/>
              <w:rPr>
                <w:lang w:val="en-GB"/>
              </w:rPr>
            </w:pPr>
            <w:r w:rsidRPr="00A33264">
              <w:rPr>
                <w:lang w:val="en-GB"/>
              </w:rPr>
              <w:t>11</w:t>
            </w:r>
          </w:p>
        </w:tc>
      </w:tr>
      <w:tr w:rsidR="00E01837" w:rsidRPr="00A33264" w14:paraId="21428D43" w14:textId="77777777" w:rsidTr="006418CC">
        <w:trPr>
          <w:cantSplit/>
          <w:trHeight w:val="520"/>
        </w:trPr>
        <w:tc>
          <w:tcPr>
            <w:tcW w:w="1984" w:type="dxa"/>
            <w:tcBorders>
              <w:top w:val="single" w:sz="4" w:space="0" w:color="656565"/>
              <w:left w:val="single" w:sz="4" w:space="0" w:color="000000"/>
              <w:bottom w:val="single" w:sz="4" w:space="0" w:color="656565"/>
              <w:right w:val="single" w:sz="4" w:space="0" w:color="000000"/>
            </w:tcBorders>
            <w:shd w:val="clear" w:color="auto" w:fill="auto"/>
          </w:tcPr>
          <w:p w14:paraId="38C18AC2" w14:textId="77777777" w:rsidR="00E01837" w:rsidRPr="00A33264" w:rsidRDefault="00E01837">
            <w:pPr>
              <w:spacing w:after="0" w:line="264" w:lineRule="auto"/>
              <w:rPr>
                <w:lang w:val="en-GB"/>
              </w:rPr>
            </w:pPr>
            <w:r w:rsidRPr="00A33264">
              <w:rPr>
                <w:lang w:val="en-GB"/>
              </w:rPr>
              <w:lastRenderedPageBreak/>
              <w:t>Dr Denis Napthine AO</w:t>
            </w:r>
          </w:p>
        </w:tc>
        <w:tc>
          <w:tcPr>
            <w:tcW w:w="1976" w:type="dxa"/>
            <w:tcBorders>
              <w:top w:val="single" w:sz="4" w:space="0" w:color="656565"/>
              <w:left w:val="single" w:sz="4" w:space="0" w:color="000000"/>
              <w:bottom w:val="single" w:sz="4" w:space="0" w:color="656565"/>
              <w:right w:val="single" w:sz="4" w:space="0" w:color="000000"/>
            </w:tcBorders>
            <w:shd w:val="clear" w:color="auto" w:fill="auto"/>
          </w:tcPr>
          <w:p w14:paraId="73F51009" w14:textId="14E5A248" w:rsidR="00E01837" w:rsidRPr="00A33264" w:rsidRDefault="00E01837">
            <w:pPr>
              <w:spacing w:after="0" w:line="264" w:lineRule="auto"/>
              <w:rPr>
                <w:lang w:val="en-GB"/>
              </w:rPr>
            </w:pPr>
            <w:r>
              <w:rPr>
                <w:lang w:val="en-GB"/>
              </w:rPr>
              <w:t>B</w:t>
            </w:r>
            <w:r w:rsidRPr="00333916">
              <w:rPr>
                <w:lang w:val="en-GB"/>
              </w:rPr>
              <w:t>VSc, MVetSc, University of Melbourne; M</w:t>
            </w:r>
            <w:r>
              <w:rPr>
                <w:lang w:val="en-GB"/>
              </w:rPr>
              <w:t>BA</w:t>
            </w:r>
            <w:r w:rsidRPr="00333916">
              <w:rPr>
                <w:lang w:val="en-GB"/>
              </w:rPr>
              <w:t>, Deakin University</w:t>
            </w:r>
          </w:p>
        </w:tc>
        <w:tc>
          <w:tcPr>
            <w:tcW w:w="3827" w:type="dxa"/>
            <w:tcBorders>
              <w:top w:val="single" w:sz="4" w:space="0" w:color="656565"/>
              <w:left w:val="single" w:sz="4" w:space="0" w:color="000000"/>
              <w:bottom w:val="single" w:sz="4" w:space="0" w:color="656565"/>
              <w:right w:val="single" w:sz="4" w:space="0" w:color="656565"/>
            </w:tcBorders>
            <w:shd w:val="clear" w:color="auto" w:fill="auto"/>
          </w:tcPr>
          <w:p w14:paraId="1B752820" w14:textId="77777777" w:rsidR="00E01837" w:rsidRDefault="00E01837" w:rsidP="00E01837">
            <w:pPr>
              <w:pStyle w:val="Tablebullet"/>
              <w:tabs>
                <w:tab w:val="num" w:pos="397"/>
              </w:tabs>
              <w:spacing w:before="0" w:after="0" w:line="240" w:lineRule="auto"/>
              <w:ind w:left="399" w:hanging="286"/>
              <w:contextualSpacing w:val="0"/>
            </w:pPr>
            <w:r w:rsidRPr="00A33264">
              <w:t>NDIA Board Chair</w:t>
            </w:r>
            <w:r>
              <w:t>, 2022</w:t>
            </w:r>
            <w:r w:rsidRPr="00A33264">
              <w:t xml:space="preserve"> </w:t>
            </w:r>
          </w:p>
          <w:p w14:paraId="78911B07" w14:textId="77777777" w:rsidR="00E01837" w:rsidRDefault="00E01837" w:rsidP="00E01837">
            <w:pPr>
              <w:pStyle w:val="Tablebullet"/>
              <w:tabs>
                <w:tab w:val="num" w:pos="397"/>
              </w:tabs>
              <w:spacing w:before="0" w:after="0" w:line="240" w:lineRule="auto"/>
              <w:ind w:left="399" w:hanging="286"/>
              <w:contextualSpacing w:val="0"/>
            </w:pPr>
            <w:r w:rsidRPr="00A33264">
              <w:t>Premier of Victoria</w:t>
            </w:r>
            <w:r>
              <w:t>, 2013–2014</w:t>
            </w:r>
          </w:p>
          <w:p w14:paraId="71C6DFB7" w14:textId="77777777" w:rsidR="00E01837" w:rsidRDefault="00E01837" w:rsidP="00E01837">
            <w:pPr>
              <w:pStyle w:val="Tablebullet"/>
              <w:tabs>
                <w:tab w:val="num" w:pos="397"/>
              </w:tabs>
              <w:spacing w:before="0" w:after="0" w:line="240" w:lineRule="auto"/>
              <w:ind w:left="399" w:hanging="286"/>
              <w:contextualSpacing w:val="0"/>
            </w:pPr>
            <w:r w:rsidRPr="00A33264">
              <w:t>Minister for Community Services</w:t>
            </w:r>
            <w:r>
              <w:t xml:space="preserve"> (</w:t>
            </w:r>
            <w:r w:rsidRPr="00A33264">
              <w:t>inc disability services</w:t>
            </w:r>
            <w:r>
              <w:t>), 1996–1999</w:t>
            </w:r>
            <w:r w:rsidRPr="00A33264">
              <w:t xml:space="preserve"> </w:t>
            </w:r>
          </w:p>
          <w:p w14:paraId="75815934" w14:textId="77777777" w:rsidR="00E01837" w:rsidRDefault="00E01837" w:rsidP="00E01837">
            <w:pPr>
              <w:pStyle w:val="Tablebullet"/>
              <w:tabs>
                <w:tab w:val="num" w:pos="397"/>
              </w:tabs>
              <w:spacing w:before="0" w:after="0" w:line="240" w:lineRule="auto"/>
              <w:ind w:left="399" w:hanging="286"/>
              <w:contextualSpacing w:val="0"/>
            </w:pPr>
            <w:r w:rsidRPr="00A33264">
              <w:t>Director</w:t>
            </w:r>
            <w:r>
              <w:t>,</w:t>
            </w:r>
            <w:r w:rsidRPr="00A33264">
              <w:t xml:space="preserve"> GMHBA Limited</w:t>
            </w:r>
          </w:p>
          <w:p w14:paraId="7E48051E" w14:textId="77777777" w:rsidR="00E01837" w:rsidRDefault="00E01837" w:rsidP="00E01837">
            <w:pPr>
              <w:pStyle w:val="Tablebullet"/>
              <w:tabs>
                <w:tab w:val="num" w:pos="397"/>
              </w:tabs>
              <w:spacing w:before="0" w:after="0" w:line="240" w:lineRule="auto"/>
              <w:ind w:left="399" w:hanging="286"/>
              <w:contextualSpacing w:val="0"/>
            </w:pPr>
            <w:r>
              <w:t>V</w:t>
            </w:r>
            <w:r w:rsidRPr="00A33264">
              <w:t>arious senior government positions</w:t>
            </w:r>
          </w:p>
          <w:p w14:paraId="2BF93906" w14:textId="77777777" w:rsidR="00E01837" w:rsidRPr="00A33264" w:rsidRDefault="00E01837" w:rsidP="00E01837">
            <w:pPr>
              <w:pStyle w:val="Tablebullet"/>
              <w:tabs>
                <w:tab w:val="num" w:pos="397"/>
              </w:tabs>
              <w:spacing w:before="0" w:after="0" w:line="240" w:lineRule="auto"/>
              <w:ind w:left="399" w:hanging="286"/>
              <w:contextualSpacing w:val="0"/>
            </w:pPr>
            <w:r>
              <w:t>E</w:t>
            </w:r>
            <w:r w:rsidRPr="00A33264">
              <w:t>xperience in disability services, financial management</w:t>
            </w:r>
            <w:r>
              <w:t xml:space="preserve"> and</w:t>
            </w:r>
            <w:r w:rsidRPr="00A33264">
              <w:t xml:space="preserve"> corporate governance </w:t>
            </w:r>
          </w:p>
        </w:tc>
        <w:tc>
          <w:tcPr>
            <w:tcW w:w="1559" w:type="dxa"/>
            <w:tcBorders>
              <w:top w:val="single" w:sz="4" w:space="0" w:color="656565"/>
              <w:left w:val="single" w:sz="4" w:space="0" w:color="656565"/>
              <w:bottom w:val="single" w:sz="4" w:space="0" w:color="656565"/>
              <w:right w:val="single" w:sz="4" w:space="0" w:color="656565"/>
            </w:tcBorders>
            <w:shd w:val="clear" w:color="auto" w:fill="auto"/>
          </w:tcPr>
          <w:p w14:paraId="130D6F07" w14:textId="77777777" w:rsidR="00E01837" w:rsidRPr="00A33264" w:rsidRDefault="00E01837">
            <w:pPr>
              <w:spacing w:after="0" w:line="264" w:lineRule="auto"/>
              <w:rPr>
                <w:lang w:val="en-GB"/>
              </w:rPr>
            </w:pPr>
            <w:r w:rsidRPr="00A33264">
              <w:rPr>
                <w:lang w:val="en-GB"/>
              </w:rPr>
              <w:t xml:space="preserve">Board </w:t>
            </w:r>
            <w:r>
              <w:rPr>
                <w:lang w:val="en-GB"/>
              </w:rPr>
              <w:t>m</w:t>
            </w:r>
            <w:r w:rsidRPr="00A33264">
              <w:rPr>
                <w:lang w:val="en-GB"/>
              </w:rPr>
              <w:t xml:space="preserve">ember / </w:t>
            </w:r>
            <w:r>
              <w:rPr>
                <w:lang w:val="en-GB"/>
              </w:rPr>
              <w:t>n</w:t>
            </w:r>
            <w:r w:rsidRPr="00A33264">
              <w:rPr>
                <w:lang w:val="en-GB"/>
              </w:rPr>
              <w:t>on-</w:t>
            </w:r>
            <w:r>
              <w:rPr>
                <w:lang w:val="en-GB"/>
              </w:rPr>
              <w:t>e</w:t>
            </w:r>
            <w:r w:rsidRPr="00A33264">
              <w:rPr>
                <w:lang w:val="en-GB"/>
              </w:rPr>
              <w:t>xecutive</w:t>
            </w:r>
          </w:p>
        </w:tc>
        <w:tc>
          <w:tcPr>
            <w:tcW w:w="1532" w:type="dxa"/>
            <w:tcBorders>
              <w:top w:val="single" w:sz="4" w:space="0" w:color="656565"/>
              <w:left w:val="single" w:sz="4" w:space="0" w:color="656565"/>
              <w:bottom w:val="single" w:sz="4" w:space="0" w:color="656565"/>
              <w:right w:val="single" w:sz="4" w:space="0" w:color="000000"/>
            </w:tcBorders>
            <w:shd w:val="clear" w:color="auto" w:fill="auto"/>
          </w:tcPr>
          <w:p w14:paraId="05691CD7" w14:textId="77777777" w:rsidR="00E01837" w:rsidRPr="00A33264" w:rsidRDefault="00E01837">
            <w:pPr>
              <w:spacing w:after="0" w:line="264" w:lineRule="auto"/>
              <w:rPr>
                <w:lang w:val="en-GB"/>
              </w:rPr>
            </w:pPr>
            <w:r w:rsidRPr="00A33264">
              <w:rPr>
                <w:lang w:val="en-GB"/>
              </w:rPr>
              <w:t>1 July 2023</w:t>
            </w:r>
          </w:p>
        </w:tc>
        <w:tc>
          <w:tcPr>
            <w:tcW w:w="1532" w:type="dxa"/>
            <w:tcBorders>
              <w:top w:val="single" w:sz="4" w:space="0" w:color="656565"/>
              <w:left w:val="single" w:sz="4" w:space="0" w:color="000000"/>
              <w:bottom w:val="single" w:sz="4" w:space="0" w:color="656565"/>
              <w:right w:val="single" w:sz="4" w:space="0" w:color="000000"/>
            </w:tcBorders>
            <w:shd w:val="clear" w:color="auto" w:fill="auto"/>
          </w:tcPr>
          <w:p w14:paraId="2C84078C" w14:textId="77777777" w:rsidR="00E01837" w:rsidRPr="00A33264" w:rsidRDefault="00E01837">
            <w:pPr>
              <w:spacing w:after="0" w:line="264" w:lineRule="auto"/>
              <w:rPr>
                <w:lang w:val="en-GB"/>
              </w:rPr>
            </w:pPr>
            <w:r w:rsidRPr="00A33264">
              <w:rPr>
                <w:lang w:val="en-GB"/>
              </w:rPr>
              <w:t>30 June 2024</w:t>
            </w:r>
          </w:p>
        </w:tc>
        <w:tc>
          <w:tcPr>
            <w:tcW w:w="1475" w:type="dxa"/>
            <w:tcBorders>
              <w:top w:val="single" w:sz="4" w:space="0" w:color="656565"/>
              <w:left w:val="single" w:sz="4" w:space="0" w:color="000000"/>
              <w:bottom w:val="single" w:sz="4" w:space="0" w:color="656565"/>
              <w:right w:val="single" w:sz="4" w:space="0" w:color="auto"/>
            </w:tcBorders>
            <w:shd w:val="clear" w:color="auto" w:fill="auto"/>
          </w:tcPr>
          <w:p w14:paraId="60225C7A" w14:textId="77777777" w:rsidR="00E01837" w:rsidRPr="00A33264" w:rsidRDefault="00E01837">
            <w:pPr>
              <w:spacing w:after="0" w:line="264" w:lineRule="auto"/>
              <w:jc w:val="right"/>
              <w:rPr>
                <w:lang w:val="en-GB"/>
              </w:rPr>
            </w:pPr>
            <w:r w:rsidRPr="00A33264">
              <w:rPr>
                <w:lang w:val="en-GB"/>
              </w:rPr>
              <w:t>11</w:t>
            </w:r>
          </w:p>
        </w:tc>
      </w:tr>
      <w:tr w:rsidR="00E01837" w:rsidRPr="00A33264" w14:paraId="5DD772DA" w14:textId="77777777" w:rsidTr="006418CC">
        <w:trPr>
          <w:cantSplit/>
          <w:trHeight w:val="520"/>
        </w:trPr>
        <w:tc>
          <w:tcPr>
            <w:tcW w:w="1984" w:type="dxa"/>
            <w:tcBorders>
              <w:top w:val="single" w:sz="4" w:space="0" w:color="656565"/>
              <w:left w:val="single" w:sz="4" w:space="0" w:color="000000"/>
              <w:bottom w:val="single" w:sz="4" w:space="0" w:color="656565"/>
              <w:right w:val="single" w:sz="4" w:space="0" w:color="000000"/>
            </w:tcBorders>
            <w:shd w:val="clear" w:color="auto" w:fill="F7EEF7"/>
          </w:tcPr>
          <w:p w14:paraId="11320E1F" w14:textId="77777777" w:rsidR="00E01837" w:rsidRPr="002A6373" w:rsidRDefault="00E01837">
            <w:pPr>
              <w:spacing w:after="0" w:line="264" w:lineRule="auto"/>
              <w:rPr>
                <w:rFonts w:cs="Arial"/>
                <w:lang w:val="en-GB"/>
              </w:rPr>
            </w:pPr>
            <w:r w:rsidRPr="002A6373">
              <w:rPr>
                <w:rFonts w:cs="Arial"/>
                <w:lang w:val="en-GB"/>
              </w:rPr>
              <w:t>Ms Estelle Pearson</w:t>
            </w:r>
          </w:p>
        </w:tc>
        <w:tc>
          <w:tcPr>
            <w:tcW w:w="1976" w:type="dxa"/>
            <w:tcBorders>
              <w:top w:val="single" w:sz="4" w:space="0" w:color="656565"/>
              <w:left w:val="single" w:sz="4" w:space="0" w:color="000000"/>
              <w:bottom w:val="single" w:sz="4" w:space="0" w:color="656565"/>
              <w:right w:val="single" w:sz="4" w:space="0" w:color="000000"/>
            </w:tcBorders>
            <w:shd w:val="clear" w:color="auto" w:fill="F7EEF7"/>
          </w:tcPr>
          <w:p w14:paraId="48547961" w14:textId="77777777" w:rsidR="00E01837" w:rsidRPr="002A6373" w:rsidRDefault="00E01837">
            <w:pPr>
              <w:spacing w:after="0" w:line="264" w:lineRule="auto"/>
              <w:rPr>
                <w:rFonts w:cs="Arial"/>
                <w:lang w:val="en-GB"/>
              </w:rPr>
            </w:pPr>
            <w:r>
              <w:rPr>
                <w:rFonts w:cs="Arial"/>
                <w:lang w:val="en-GB"/>
              </w:rPr>
              <w:t>BA</w:t>
            </w:r>
            <w:r w:rsidRPr="00333916">
              <w:rPr>
                <w:rFonts w:cs="Arial"/>
                <w:lang w:val="en-GB"/>
              </w:rPr>
              <w:t xml:space="preserve"> (Hons) (Mathematics), University of Oxford; Fellow of the Institute of Actuaries of Australia</w:t>
            </w:r>
          </w:p>
        </w:tc>
        <w:tc>
          <w:tcPr>
            <w:tcW w:w="3827" w:type="dxa"/>
            <w:tcBorders>
              <w:top w:val="single" w:sz="4" w:space="0" w:color="656565"/>
              <w:left w:val="single" w:sz="4" w:space="0" w:color="000000"/>
              <w:bottom w:val="single" w:sz="4" w:space="0" w:color="656565"/>
              <w:right w:val="single" w:sz="4" w:space="0" w:color="656565"/>
            </w:tcBorders>
            <w:shd w:val="clear" w:color="auto" w:fill="F7EEF7"/>
          </w:tcPr>
          <w:p w14:paraId="6BC147F7" w14:textId="77777777" w:rsidR="00E01837" w:rsidRDefault="00E01837" w:rsidP="00E01837">
            <w:pPr>
              <w:pStyle w:val="Tablebullet"/>
              <w:tabs>
                <w:tab w:val="num" w:pos="397"/>
              </w:tabs>
              <w:spacing w:before="0" w:after="0" w:line="240" w:lineRule="auto"/>
              <w:ind w:left="399" w:hanging="286"/>
              <w:contextualSpacing w:val="0"/>
              <w:rPr>
                <w:rFonts w:cs="Arial"/>
              </w:rPr>
            </w:pPr>
            <w:r w:rsidRPr="0048732D">
              <w:rPr>
                <w:rFonts w:cs="Arial"/>
              </w:rPr>
              <w:t>Director</w:t>
            </w:r>
            <w:r>
              <w:rPr>
                <w:rFonts w:cs="Arial"/>
              </w:rPr>
              <w:t>,</w:t>
            </w:r>
            <w:r w:rsidRPr="0048732D">
              <w:rPr>
                <w:rFonts w:cs="Arial"/>
              </w:rPr>
              <w:t xml:space="preserve"> </w:t>
            </w:r>
            <w:r w:rsidRPr="00020F70">
              <w:t>Finity</w:t>
            </w:r>
            <w:r w:rsidRPr="0048732D">
              <w:rPr>
                <w:rFonts w:cs="Arial"/>
              </w:rPr>
              <w:t xml:space="preserve"> Consulting Pty Limited </w:t>
            </w:r>
          </w:p>
          <w:p w14:paraId="70F2C4BD" w14:textId="77777777" w:rsidR="00E01837" w:rsidRDefault="00E01837" w:rsidP="00E01837">
            <w:pPr>
              <w:pStyle w:val="Tablebullet"/>
              <w:tabs>
                <w:tab w:val="num" w:pos="397"/>
              </w:tabs>
              <w:spacing w:before="0" w:after="0" w:line="240" w:lineRule="auto"/>
              <w:ind w:left="399" w:hanging="286"/>
              <w:contextualSpacing w:val="0"/>
              <w:rPr>
                <w:rFonts w:cs="Arial"/>
              </w:rPr>
            </w:pPr>
            <w:r w:rsidRPr="0048732D">
              <w:rPr>
                <w:rFonts w:cs="Arial"/>
              </w:rPr>
              <w:t>President</w:t>
            </w:r>
            <w:r>
              <w:rPr>
                <w:rFonts w:cs="Arial"/>
              </w:rPr>
              <w:t>,</w:t>
            </w:r>
            <w:r w:rsidRPr="0048732D">
              <w:rPr>
                <w:rFonts w:cs="Arial"/>
              </w:rPr>
              <w:t xml:space="preserve"> Council of the Actuaries Institute, 2015</w:t>
            </w:r>
          </w:p>
          <w:p w14:paraId="2C728A29" w14:textId="77777777" w:rsidR="00E01837" w:rsidRPr="002A6373" w:rsidRDefault="00E01837" w:rsidP="00E01837">
            <w:pPr>
              <w:pStyle w:val="Tablebullet"/>
              <w:tabs>
                <w:tab w:val="num" w:pos="397"/>
              </w:tabs>
              <w:spacing w:before="0" w:after="0" w:line="240" w:lineRule="auto"/>
              <w:ind w:left="399" w:hanging="286"/>
              <w:contextualSpacing w:val="0"/>
              <w:rPr>
                <w:rFonts w:cs="Arial"/>
              </w:rPr>
            </w:pPr>
            <w:r>
              <w:rPr>
                <w:rFonts w:cs="Arial"/>
              </w:rPr>
              <w:t>A</w:t>
            </w:r>
            <w:r w:rsidRPr="0048732D">
              <w:rPr>
                <w:rFonts w:cs="Arial"/>
              </w:rPr>
              <w:t>ctuary and consultant since 1989</w:t>
            </w:r>
            <w:r>
              <w:rPr>
                <w:rFonts w:cs="Arial"/>
              </w:rPr>
              <w:t xml:space="preserve"> (inc e</w:t>
            </w:r>
            <w:r w:rsidRPr="0048732D">
              <w:rPr>
                <w:rFonts w:cs="Arial"/>
              </w:rPr>
              <w:t>xperience in insurance and injury compensation</w:t>
            </w:r>
            <w:r>
              <w:rPr>
                <w:rFonts w:cs="Arial"/>
              </w:rPr>
              <w:t>)</w:t>
            </w:r>
          </w:p>
        </w:tc>
        <w:tc>
          <w:tcPr>
            <w:tcW w:w="1559" w:type="dxa"/>
            <w:tcBorders>
              <w:top w:val="single" w:sz="4" w:space="0" w:color="656565"/>
              <w:left w:val="single" w:sz="4" w:space="0" w:color="656565"/>
              <w:bottom w:val="single" w:sz="4" w:space="0" w:color="656565"/>
              <w:right w:val="single" w:sz="4" w:space="0" w:color="656565"/>
            </w:tcBorders>
            <w:shd w:val="clear" w:color="auto" w:fill="F7EEF7"/>
          </w:tcPr>
          <w:p w14:paraId="412B1858" w14:textId="77777777" w:rsidR="00E01837" w:rsidRPr="002A6373" w:rsidRDefault="00E01837">
            <w:pPr>
              <w:spacing w:after="0" w:line="264" w:lineRule="auto"/>
              <w:rPr>
                <w:rFonts w:cs="Arial"/>
                <w:lang w:val="en-GB"/>
              </w:rPr>
            </w:pPr>
            <w:r w:rsidRPr="002A6373">
              <w:rPr>
                <w:rFonts w:cs="Arial"/>
                <w:lang w:val="en-GB"/>
              </w:rPr>
              <w:t xml:space="preserve">Board </w:t>
            </w:r>
            <w:r>
              <w:rPr>
                <w:rFonts w:cs="Arial"/>
                <w:lang w:val="en-GB"/>
              </w:rPr>
              <w:t>m</w:t>
            </w:r>
            <w:r w:rsidRPr="002A6373">
              <w:rPr>
                <w:rFonts w:cs="Arial"/>
                <w:lang w:val="en-GB"/>
              </w:rPr>
              <w:t xml:space="preserve">ember / </w:t>
            </w:r>
            <w:r>
              <w:rPr>
                <w:rFonts w:cs="Arial"/>
                <w:lang w:val="en-GB"/>
              </w:rPr>
              <w:t>n</w:t>
            </w:r>
            <w:r w:rsidRPr="002A6373">
              <w:rPr>
                <w:rFonts w:cs="Arial"/>
                <w:lang w:val="en-GB"/>
              </w:rPr>
              <w:t>on-</w:t>
            </w:r>
            <w:r>
              <w:rPr>
                <w:rFonts w:cs="Arial"/>
                <w:lang w:val="en-GB"/>
              </w:rPr>
              <w:t>e</w:t>
            </w:r>
            <w:r w:rsidRPr="002A6373">
              <w:rPr>
                <w:rFonts w:cs="Arial"/>
                <w:lang w:val="en-GB"/>
              </w:rPr>
              <w:t>xecutive</w:t>
            </w:r>
          </w:p>
        </w:tc>
        <w:tc>
          <w:tcPr>
            <w:tcW w:w="1532" w:type="dxa"/>
            <w:tcBorders>
              <w:top w:val="single" w:sz="4" w:space="0" w:color="656565"/>
              <w:left w:val="single" w:sz="4" w:space="0" w:color="656565"/>
              <w:bottom w:val="single" w:sz="4" w:space="0" w:color="656565"/>
              <w:right w:val="single" w:sz="4" w:space="0" w:color="000000"/>
            </w:tcBorders>
            <w:shd w:val="clear" w:color="auto" w:fill="F7EEF7"/>
          </w:tcPr>
          <w:p w14:paraId="2D51AC74" w14:textId="77777777" w:rsidR="00E01837" w:rsidRPr="002A6373" w:rsidRDefault="00E01837">
            <w:pPr>
              <w:spacing w:after="0" w:line="264" w:lineRule="auto"/>
              <w:rPr>
                <w:rFonts w:cs="Arial"/>
                <w:lang w:val="en-GB"/>
              </w:rPr>
            </w:pPr>
            <w:r w:rsidRPr="002A6373">
              <w:rPr>
                <w:rFonts w:cs="Arial"/>
                <w:lang w:val="en-GB"/>
              </w:rPr>
              <w:t>1 July 2023</w:t>
            </w:r>
          </w:p>
        </w:tc>
        <w:tc>
          <w:tcPr>
            <w:tcW w:w="1532" w:type="dxa"/>
            <w:tcBorders>
              <w:top w:val="single" w:sz="4" w:space="0" w:color="656565"/>
              <w:left w:val="single" w:sz="4" w:space="0" w:color="000000"/>
              <w:bottom w:val="single" w:sz="4" w:space="0" w:color="656565"/>
              <w:right w:val="single" w:sz="4" w:space="0" w:color="000000"/>
            </w:tcBorders>
            <w:shd w:val="clear" w:color="auto" w:fill="F7EEF7"/>
          </w:tcPr>
          <w:p w14:paraId="3151B8BB" w14:textId="77777777" w:rsidR="00E01837" w:rsidRPr="002A6373" w:rsidRDefault="00E01837">
            <w:pPr>
              <w:spacing w:after="0" w:line="264" w:lineRule="auto"/>
              <w:rPr>
                <w:rFonts w:cs="Arial"/>
                <w:lang w:val="en-GB"/>
              </w:rPr>
            </w:pPr>
            <w:r w:rsidRPr="002A6373">
              <w:rPr>
                <w:rFonts w:cs="Arial"/>
                <w:lang w:val="en-GB"/>
              </w:rPr>
              <w:t>30 June 2024</w:t>
            </w:r>
          </w:p>
        </w:tc>
        <w:tc>
          <w:tcPr>
            <w:tcW w:w="1475" w:type="dxa"/>
            <w:tcBorders>
              <w:top w:val="single" w:sz="4" w:space="0" w:color="656565"/>
              <w:left w:val="single" w:sz="4" w:space="0" w:color="000000"/>
              <w:bottom w:val="single" w:sz="4" w:space="0" w:color="656565"/>
              <w:right w:val="single" w:sz="4" w:space="0" w:color="auto"/>
            </w:tcBorders>
            <w:shd w:val="clear" w:color="auto" w:fill="F7EEF7"/>
          </w:tcPr>
          <w:p w14:paraId="2728A890" w14:textId="77777777" w:rsidR="00E01837" w:rsidRPr="002A6373" w:rsidRDefault="00E01837">
            <w:pPr>
              <w:spacing w:after="0" w:line="264" w:lineRule="auto"/>
              <w:jc w:val="right"/>
              <w:rPr>
                <w:rFonts w:cs="Arial"/>
                <w:lang w:val="en-GB"/>
              </w:rPr>
            </w:pPr>
            <w:r w:rsidRPr="002A6373">
              <w:rPr>
                <w:rFonts w:cs="Arial"/>
                <w:lang w:val="en-GB"/>
              </w:rPr>
              <w:t>9</w:t>
            </w:r>
          </w:p>
        </w:tc>
      </w:tr>
      <w:tr w:rsidR="00E01837" w:rsidRPr="00A33264" w14:paraId="4B6CA3A4" w14:textId="77777777" w:rsidTr="006418CC">
        <w:trPr>
          <w:cantSplit/>
          <w:trHeight w:val="519"/>
        </w:trPr>
        <w:tc>
          <w:tcPr>
            <w:tcW w:w="1984" w:type="dxa"/>
            <w:tcBorders>
              <w:top w:val="single" w:sz="4" w:space="0" w:color="656565"/>
              <w:left w:val="single" w:sz="4" w:space="0" w:color="000000"/>
              <w:bottom w:val="single" w:sz="4" w:space="0" w:color="656565"/>
              <w:right w:val="single" w:sz="4" w:space="0" w:color="000000"/>
            </w:tcBorders>
            <w:shd w:val="clear" w:color="auto" w:fill="auto"/>
          </w:tcPr>
          <w:p w14:paraId="2D5E0D88" w14:textId="77777777" w:rsidR="00E01837" w:rsidRPr="00A33264" w:rsidRDefault="00E01837">
            <w:pPr>
              <w:spacing w:after="0" w:line="264" w:lineRule="auto"/>
              <w:rPr>
                <w:rFonts w:cs="Arial"/>
                <w:lang w:val="en-GB"/>
              </w:rPr>
            </w:pPr>
            <w:r w:rsidRPr="00A33264">
              <w:rPr>
                <w:rFonts w:cs="Arial"/>
                <w:lang w:val="en-GB"/>
              </w:rPr>
              <w:lastRenderedPageBreak/>
              <w:t>Dr Peta Seaton AM</w:t>
            </w:r>
          </w:p>
        </w:tc>
        <w:tc>
          <w:tcPr>
            <w:tcW w:w="1976" w:type="dxa"/>
            <w:tcBorders>
              <w:top w:val="single" w:sz="4" w:space="0" w:color="656565"/>
              <w:left w:val="single" w:sz="4" w:space="0" w:color="000000"/>
              <w:bottom w:val="single" w:sz="4" w:space="0" w:color="656565"/>
              <w:right w:val="single" w:sz="4" w:space="0" w:color="000000"/>
            </w:tcBorders>
            <w:shd w:val="clear" w:color="auto" w:fill="auto"/>
          </w:tcPr>
          <w:p w14:paraId="0C39E94F" w14:textId="77777777" w:rsidR="00E01837" w:rsidRPr="00A33264" w:rsidRDefault="00E01837">
            <w:pPr>
              <w:spacing w:after="0" w:line="264" w:lineRule="auto"/>
              <w:rPr>
                <w:rFonts w:cs="Arial"/>
                <w:lang w:val="en-GB"/>
              </w:rPr>
            </w:pPr>
            <w:r>
              <w:rPr>
                <w:rFonts w:cs="Arial"/>
                <w:lang w:val="en-GB"/>
              </w:rPr>
              <w:t>BA</w:t>
            </w:r>
            <w:r w:rsidRPr="00333916">
              <w:rPr>
                <w:rFonts w:cs="Arial"/>
                <w:lang w:val="en-GB"/>
              </w:rPr>
              <w:t xml:space="preserve"> (Hons), </w:t>
            </w:r>
            <w:r>
              <w:rPr>
                <w:rFonts w:cs="Arial"/>
                <w:lang w:val="en-GB"/>
              </w:rPr>
              <w:t>PhD</w:t>
            </w:r>
            <w:r w:rsidRPr="00333916">
              <w:rPr>
                <w:rFonts w:cs="Arial"/>
                <w:lang w:val="en-GB"/>
              </w:rPr>
              <w:t xml:space="preserve">, University of Sydney; Graduate of the </w:t>
            </w:r>
            <w:r>
              <w:rPr>
                <w:rFonts w:cs="Arial"/>
                <w:lang w:val="en-GB"/>
              </w:rPr>
              <w:t>AICD</w:t>
            </w:r>
          </w:p>
        </w:tc>
        <w:tc>
          <w:tcPr>
            <w:tcW w:w="3827" w:type="dxa"/>
            <w:tcBorders>
              <w:top w:val="single" w:sz="4" w:space="0" w:color="656565"/>
              <w:left w:val="single" w:sz="4" w:space="0" w:color="000000"/>
              <w:bottom w:val="single" w:sz="4" w:space="0" w:color="656565"/>
              <w:right w:val="single" w:sz="4" w:space="0" w:color="656565"/>
            </w:tcBorders>
            <w:shd w:val="clear" w:color="auto" w:fill="auto"/>
          </w:tcPr>
          <w:p w14:paraId="24B83971" w14:textId="77777777" w:rsidR="00E01837" w:rsidRDefault="00E01837" w:rsidP="00E01837">
            <w:pPr>
              <w:pStyle w:val="TableParagraph"/>
              <w:numPr>
                <w:ilvl w:val="0"/>
                <w:numId w:val="16"/>
              </w:numPr>
              <w:spacing w:line="264" w:lineRule="auto"/>
              <w:rPr>
                <w:rFonts w:ascii="Arial" w:hAnsi="Arial" w:cs="Arial"/>
                <w:sz w:val="24"/>
                <w:szCs w:val="24"/>
                <w:lang w:val="en-GB"/>
              </w:rPr>
            </w:pPr>
            <w:r w:rsidRPr="00A33264">
              <w:rPr>
                <w:rFonts w:ascii="Arial" w:hAnsi="Arial" w:cs="Arial"/>
                <w:sz w:val="24"/>
                <w:szCs w:val="24"/>
                <w:lang w:val="en-GB"/>
              </w:rPr>
              <w:t>Chair</w:t>
            </w:r>
            <w:r>
              <w:rPr>
                <w:rFonts w:ascii="Arial" w:hAnsi="Arial" w:cs="Arial"/>
                <w:sz w:val="24"/>
                <w:szCs w:val="24"/>
                <w:lang w:val="en-GB"/>
              </w:rPr>
              <w:t>:</w:t>
            </w:r>
          </w:p>
          <w:p w14:paraId="4A80714D" w14:textId="77777777" w:rsidR="00E01837" w:rsidRPr="006602DA" w:rsidRDefault="00E01837" w:rsidP="00E01837">
            <w:pPr>
              <w:pStyle w:val="ListParagraph"/>
              <w:widowControl w:val="0"/>
              <w:numPr>
                <w:ilvl w:val="0"/>
                <w:numId w:val="24"/>
              </w:numPr>
              <w:autoSpaceDE w:val="0"/>
              <w:autoSpaceDN w:val="0"/>
              <w:spacing w:after="0" w:line="264" w:lineRule="auto"/>
              <w:ind w:left="824"/>
              <w:contextualSpacing w:val="0"/>
              <w:rPr>
                <w:rFonts w:eastAsia="Calibri" w:cs="Arial"/>
                <w:lang w:val="en-GB"/>
              </w:rPr>
            </w:pPr>
            <w:r w:rsidRPr="006602DA">
              <w:rPr>
                <w:rFonts w:eastAsia="Calibri" w:cs="Arial"/>
                <w:lang w:val="en-GB"/>
              </w:rPr>
              <w:t>Hearing Australia</w:t>
            </w:r>
          </w:p>
          <w:p w14:paraId="3C877B3A" w14:textId="77777777" w:rsidR="00E01837" w:rsidRPr="006602DA" w:rsidRDefault="00E01837" w:rsidP="00E01837">
            <w:pPr>
              <w:pStyle w:val="ListParagraph"/>
              <w:widowControl w:val="0"/>
              <w:numPr>
                <w:ilvl w:val="0"/>
                <w:numId w:val="24"/>
              </w:numPr>
              <w:autoSpaceDE w:val="0"/>
              <w:autoSpaceDN w:val="0"/>
              <w:spacing w:after="0" w:line="264" w:lineRule="auto"/>
              <w:ind w:left="824"/>
              <w:contextualSpacing w:val="0"/>
              <w:rPr>
                <w:rFonts w:eastAsia="Calibri" w:cs="Arial"/>
                <w:lang w:val="en-GB"/>
              </w:rPr>
            </w:pPr>
            <w:r w:rsidRPr="006602DA">
              <w:rPr>
                <w:rFonts w:eastAsia="Calibri" w:cs="Arial"/>
                <w:lang w:val="en-GB"/>
              </w:rPr>
              <w:t>Near Eastern Archaeology Foundation (University of Sydney)</w:t>
            </w:r>
          </w:p>
          <w:p w14:paraId="348F3B42" w14:textId="77777777" w:rsidR="00E01837" w:rsidRPr="00A33264" w:rsidRDefault="00E01837" w:rsidP="00E01837">
            <w:pPr>
              <w:pStyle w:val="TableParagraph"/>
              <w:numPr>
                <w:ilvl w:val="0"/>
                <w:numId w:val="16"/>
              </w:numPr>
              <w:spacing w:line="264" w:lineRule="auto"/>
              <w:rPr>
                <w:rFonts w:ascii="Arial" w:hAnsi="Arial" w:cs="Arial"/>
                <w:sz w:val="24"/>
                <w:szCs w:val="24"/>
                <w:lang w:val="en-GB"/>
              </w:rPr>
            </w:pPr>
            <w:r w:rsidRPr="00A33264">
              <w:rPr>
                <w:rFonts w:ascii="Arial" w:hAnsi="Arial" w:cs="Arial"/>
                <w:sz w:val="24"/>
                <w:szCs w:val="24"/>
                <w:lang w:val="en-GB"/>
              </w:rPr>
              <w:t xml:space="preserve">Deputy </w:t>
            </w:r>
            <w:r>
              <w:rPr>
                <w:rFonts w:ascii="Arial" w:hAnsi="Arial" w:cs="Arial"/>
                <w:sz w:val="24"/>
                <w:szCs w:val="24"/>
                <w:lang w:val="en-GB"/>
              </w:rPr>
              <w:t>c</w:t>
            </w:r>
            <w:r w:rsidRPr="00A33264">
              <w:rPr>
                <w:rFonts w:ascii="Arial" w:hAnsi="Arial" w:cs="Arial"/>
                <w:sz w:val="24"/>
                <w:szCs w:val="24"/>
                <w:lang w:val="en-GB"/>
              </w:rPr>
              <w:t>hair</w:t>
            </w:r>
            <w:r>
              <w:rPr>
                <w:rFonts w:ascii="Arial" w:hAnsi="Arial" w:cs="Arial"/>
                <w:sz w:val="24"/>
                <w:szCs w:val="24"/>
                <w:lang w:val="en-GB"/>
              </w:rPr>
              <w:t>,</w:t>
            </w:r>
            <w:r w:rsidRPr="00A33264">
              <w:rPr>
                <w:rFonts w:ascii="Arial" w:hAnsi="Arial" w:cs="Arial"/>
                <w:sz w:val="24"/>
                <w:szCs w:val="24"/>
                <w:lang w:val="en-GB"/>
              </w:rPr>
              <w:t xml:space="preserve"> Bradman Foundation</w:t>
            </w:r>
          </w:p>
          <w:p w14:paraId="75E12EFC" w14:textId="77777777" w:rsidR="00E01837" w:rsidRDefault="00E01837" w:rsidP="00E01837">
            <w:pPr>
              <w:pStyle w:val="TableParagraph"/>
              <w:numPr>
                <w:ilvl w:val="0"/>
                <w:numId w:val="16"/>
              </w:numPr>
              <w:spacing w:line="264" w:lineRule="auto"/>
              <w:rPr>
                <w:rFonts w:ascii="Arial" w:hAnsi="Arial" w:cs="Arial"/>
                <w:sz w:val="24"/>
                <w:szCs w:val="24"/>
                <w:lang w:val="en-GB"/>
              </w:rPr>
            </w:pPr>
            <w:r>
              <w:rPr>
                <w:rFonts w:ascii="Arial" w:hAnsi="Arial" w:cs="Arial"/>
                <w:sz w:val="24"/>
                <w:szCs w:val="24"/>
                <w:lang w:val="en-GB"/>
              </w:rPr>
              <w:t>Board member:</w:t>
            </w:r>
          </w:p>
          <w:p w14:paraId="5AD47BD9" w14:textId="77777777" w:rsidR="00E01837" w:rsidRPr="006602DA" w:rsidRDefault="00E01837" w:rsidP="00E01837">
            <w:pPr>
              <w:pStyle w:val="ListParagraph"/>
              <w:widowControl w:val="0"/>
              <w:numPr>
                <w:ilvl w:val="0"/>
                <w:numId w:val="24"/>
              </w:numPr>
              <w:autoSpaceDE w:val="0"/>
              <w:autoSpaceDN w:val="0"/>
              <w:spacing w:after="0" w:line="264" w:lineRule="auto"/>
              <w:ind w:left="824"/>
              <w:contextualSpacing w:val="0"/>
              <w:rPr>
                <w:rFonts w:eastAsia="Calibri" w:cs="Arial"/>
                <w:lang w:val="en-GB"/>
              </w:rPr>
            </w:pPr>
            <w:r w:rsidRPr="006602DA">
              <w:rPr>
                <w:rFonts w:eastAsia="Calibri" w:cs="Arial"/>
                <w:lang w:val="en-GB"/>
              </w:rPr>
              <w:t>Nepean Blue Mountains Local Health District</w:t>
            </w:r>
          </w:p>
          <w:p w14:paraId="24A008E1" w14:textId="77777777" w:rsidR="00E01837" w:rsidRPr="006602DA" w:rsidRDefault="00E01837" w:rsidP="00E01837">
            <w:pPr>
              <w:pStyle w:val="ListParagraph"/>
              <w:widowControl w:val="0"/>
              <w:numPr>
                <w:ilvl w:val="0"/>
                <w:numId w:val="24"/>
              </w:numPr>
              <w:autoSpaceDE w:val="0"/>
              <w:autoSpaceDN w:val="0"/>
              <w:spacing w:after="0" w:line="264" w:lineRule="auto"/>
              <w:ind w:left="824"/>
              <w:contextualSpacing w:val="0"/>
              <w:rPr>
                <w:rFonts w:eastAsia="Calibri" w:cs="Arial"/>
                <w:lang w:val="en-GB"/>
              </w:rPr>
            </w:pPr>
            <w:r w:rsidRPr="006602DA">
              <w:rPr>
                <w:rFonts w:eastAsia="Calibri" w:cs="Arial"/>
                <w:lang w:val="en-GB"/>
              </w:rPr>
              <w:t>Menzies Research Centre</w:t>
            </w:r>
          </w:p>
          <w:p w14:paraId="2A81596F" w14:textId="77777777" w:rsidR="00E01837" w:rsidRPr="006602DA" w:rsidRDefault="00E01837" w:rsidP="00E01837">
            <w:pPr>
              <w:pStyle w:val="ListParagraph"/>
              <w:widowControl w:val="0"/>
              <w:numPr>
                <w:ilvl w:val="0"/>
                <w:numId w:val="24"/>
              </w:numPr>
              <w:autoSpaceDE w:val="0"/>
              <w:autoSpaceDN w:val="0"/>
              <w:spacing w:after="0" w:line="264" w:lineRule="auto"/>
              <w:ind w:left="824"/>
              <w:contextualSpacing w:val="0"/>
              <w:rPr>
                <w:rFonts w:eastAsia="Calibri" w:cs="Arial"/>
                <w:lang w:val="en-GB"/>
              </w:rPr>
            </w:pPr>
            <w:r w:rsidRPr="006602DA">
              <w:rPr>
                <w:rFonts w:eastAsia="Calibri" w:cs="Arial"/>
                <w:lang w:val="en-GB"/>
              </w:rPr>
              <w:t>BDCU Alliance Bank</w:t>
            </w:r>
          </w:p>
          <w:p w14:paraId="3F50CBEB" w14:textId="77777777" w:rsidR="00E01837" w:rsidRPr="00A33264" w:rsidRDefault="00E01837" w:rsidP="00E01837">
            <w:pPr>
              <w:pStyle w:val="ListParagraph"/>
              <w:widowControl w:val="0"/>
              <w:numPr>
                <w:ilvl w:val="0"/>
                <w:numId w:val="24"/>
              </w:numPr>
              <w:autoSpaceDE w:val="0"/>
              <w:autoSpaceDN w:val="0"/>
              <w:spacing w:after="0" w:line="264" w:lineRule="auto"/>
              <w:ind w:left="824"/>
              <w:contextualSpacing w:val="0"/>
              <w:rPr>
                <w:rFonts w:cs="Arial"/>
                <w:lang w:val="en-GB"/>
              </w:rPr>
            </w:pPr>
            <w:r w:rsidRPr="006602DA">
              <w:rPr>
                <w:rFonts w:eastAsia="Calibri" w:cs="Arial"/>
                <w:lang w:val="en-GB"/>
              </w:rPr>
              <w:t>CARE Australia</w:t>
            </w:r>
          </w:p>
          <w:p w14:paraId="19ABD2FC" w14:textId="77777777" w:rsidR="00E01837" w:rsidRDefault="00E01837" w:rsidP="00E01837">
            <w:pPr>
              <w:pStyle w:val="TableParagraph"/>
              <w:numPr>
                <w:ilvl w:val="0"/>
                <w:numId w:val="16"/>
              </w:numPr>
              <w:spacing w:line="264" w:lineRule="auto"/>
              <w:rPr>
                <w:rFonts w:ascii="Arial" w:hAnsi="Arial" w:cs="Arial"/>
                <w:sz w:val="24"/>
                <w:szCs w:val="24"/>
                <w:lang w:val="en-GB"/>
              </w:rPr>
            </w:pPr>
            <w:r w:rsidRPr="00020F70">
              <w:rPr>
                <w:rFonts w:ascii="Arial" w:hAnsi="Arial" w:cs="Arial"/>
                <w:sz w:val="24"/>
                <w:szCs w:val="24"/>
                <w:lang w:val="en-GB"/>
              </w:rPr>
              <w:t>Director of Transition and Director of Strategic Priorities (NSW Premier’s Office), 2011–2014</w:t>
            </w:r>
          </w:p>
          <w:p w14:paraId="6FC9D480" w14:textId="77777777" w:rsidR="00E01837" w:rsidRPr="00A33264" w:rsidRDefault="00E01837" w:rsidP="00E01837">
            <w:pPr>
              <w:pStyle w:val="TableParagraph"/>
              <w:numPr>
                <w:ilvl w:val="0"/>
                <w:numId w:val="16"/>
              </w:numPr>
              <w:spacing w:line="264" w:lineRule="auto"/>
              <w:rPr>
                <w:rFonts w:cs="Arial"/>
                <w:lang w:val="en-GB"/>
              </w:rPr>
            </w:pPr>
            <w:r w:rsidRPr="00020F70">
              <w:rPr>
                <w:rFonts w:ascii="Arial" w:hAnsi="Arial" w:cs="Arial"/>
                <w:sz w:val="24"/>
                <w:szCs w:val="24"/>
                <w:lang w:val="en-GB"/>
              </w:rPr>
              <w:t>NSW parliament</w:t>
            </w:r>
            <w:r>
              <w:rPr>
                <w:rFonts w:ascii="Arial" w:hAnsi="Arial" w:cs="Arial"/>
                <w:sz w:val="24"/>
                <w:szCs w:val="24"/>
                <w:lang w:val="en-GB"/>
              </w:rPr>
              <w:t>, 1996–2007</w:t>
            </w:r>
            <w:r w:rsidRPr="00020F70">
              <w:rPr>
                <w:rFonts w:ascii="Arial" w:hAnsi="Arial" w:cs="Arial"/>
                <w:sz w:val="24"/>
                <w:szCs w:val="24"/>
                <w:lang w:val="en-GB"/>
              </w:rPr>
              <w:t xml:space="preserve"> </w:t>
            </w:r>
          </w:p>
        </w:tc>
        <w:tc>
          <w:tcPr>
            <w:tcW w:w="1559" w:type="dxa"/>
            <w:tcBorders>
              <w:top w:val="single" w:sz="4" w:space="0" w:color="656565"/>
              <w:left w:val="single" w:sz="4" w:space="0" w:color="656565"/>
              <w:bottom w:val="single" w:sz="4" w:space="0" w:color="656565"/>
              <w:right w:val="single" w:sz="4" w:space="0" w:color="656565"/>
            </w:tcBorders>
            <w:shd w:val="clear" w:color="auto" w:fill="auto"/>
          </w:tcPr>
          <w:p w14:paraId="2CEA333A" w14:textId="77777777" w:rsidR="00E01837" w:rsidRPr="00A33264" w:rsidRDefault="00E01837">
            <w:pPr>
              <w:spacing w:after="0" w:line="264" w:lineRule="auto"/>
              <w:rPr>
                <w:rFonts w:cs="Arial"/>
                <w:lang w:val="en-GB"/>
              </w:rPr>
            </w:pPr>
            <w:r w:rsidRPr="00A33264">
              <w:rPr>
                <w:rFonts w:cs="Arial"/>
                <w:lang w:val="en-GB"/>
              </w:rPr>
              <w:t xml:space="preserve">Board </w:t>
            </w:r>
            <w:r>
              <w:rPr>
                <w:rFonts w:cs="Arial"/>
                <w:lang w:val="en-GB"/>
              </w:rPr>
              <w:t>m</w:t>
            </w:r>
            <w:r w:rsidRPr="00A33264">
              <w:rPr>
                <w:rFonts w:cs="Arial"/>
                <w:lang w:val="en-GB"/>
              </w:rPr>
              <w:t xml:space="preserve">ember / </w:t>
            </w:r>
            <w:r>
              <w:rPr>
                <w:rFonts w:cs="Arial"/>
                <w:lang w:val="en-GB"/>
              </w:rPr>
              <w:t>n</w:t>
            </w:r>
            <w:r w:rsidRPr="00A33264">
              <w:rPr>
                <w:rFonts w:cs="Arial"/>
                <w:lang w:val="en-GB"/>
              </w:rPr>
              <w:t>on-</w:t>
            </w:r>
            <w:r>
              <w:rPr>
                <w:rFonts w:cs="Arial"/>
                <w:lang w:val="en-GB"/>
              </w:rPr>
              <w:t>e</w:t>
            </w:r>
            <w:r w:rsidRPr="00A33264">
              <w:rPr>
                <w:rFonts w:cs="Arial"/>
                <w:lang w:val="en-GB"/>
              </w:rPr>
              <w:t>xecutive</w:t>
            </w:r>
          </w:p>
        </w:tc>
        <w:tc>
          <w:tcPr>
            <w:tcW w:w="1532" w:type="dxa"/>
            <w:tcBorders>
              <w:top w:val="single" w:sz="4" w:space="0" w:color="656565"/>
              <w:left w:val="single" w:sz="4" w:space="0" w:color="656565"/>
              <w:bottom w:val="single" w:sz="4" w:space="0" w:color="656565"/>
              <w:right w:val="single" w:sz="4" w:space="0" w:color="000000"/>
            </w:tcBorders>
            <w:shd w:val="clear" w:color="auto" w:fill="auto"/>
          </w:tcPr>
          <w:p w14:paraId="2FBC144F" w14:textId="77777777" w:rsidR="00E01837" w:rsidRPr="00A33264" w:rsidRDefault="00E01837">
            <w:pPr>
              <w:spacing w:after="0" w:line="264" w:lineRule="auto"/>
              <w:rPr>
                <w:rFonts w:cs="Arial"/>
                <w:lang w:val="en-GB"/>
              </w:rPr>
            </w:pPr>
            <w:r w:rsidRPr="00A33264">
              <w:rPr>
                <w:rFonts w:cs="Arial"/>
                <w:lang w:val="en-GB"/>
              </w:rPr>
              <w:t>1 July 2023</w:t>
            </w:r>
          </w:p>
        </w:tc>
        <w:tc>
          <w:tcPr>
            <w:tcW w:w="1532" w:type="dxa"/>
            <w:tcBorders>
              <w:top w:val="single" w:sz="4" w:space="0" w:color="656565"/>
              <w:left w:val="single" w:sz="4" w:space="0" w:color="000000"/>
              <w:bottom w:val="single" w:sz="4" w:space="0" w:color="656565"/>
              <w:right w:val="single" w:sz="4" w:space="0" w:color="000000"/>
            </w:tcBorders>
            <w:shd w:val="clear" w:color="auto" w:fill="auto"/>
          </w:tcPr>
          <w:p w14:paraId="5D63E52D" w14:textId="77777777" w:rsidR="00E01837" w:rsidRPr="00A33264" w:rsidRDefault="00E01837">
            <w:pPr>
              <w:spacing w:after="0" w:line="264" w:lineRule="auto"/>
              <w:rPr>
                <w:rFonts w:cs="Arial"/>
                <w:lang w:val="en-GB"/>
              </w:rPr>
            </w:pPr>
            <w:r w:rsidRPr="00A33264">
              <w:rPr>
                <w:rFonts w:cs="Arial"/>
                <w:lang w:val="en-GB"/>
              </w:rPr>
              <w:t>30 June 2024</w:t>
            </w:r>
          </w:p>
        </w:tc>
        <w:tc>
          <w:tcPr>
            <w:tcW w:w="1475" w:type="dxa"/>
            <w:tcBorders>
              <w:top w:val="single" w:sz="4" w:space="0" w:color="656565"/>
              <w:left w:val="single" w:sz="4" w:space="0" w:color="000000"/>
              <w:bottom w:val="single" w:sz="4" w:space="0" w:color="656565"/>
              <w:right w:val="single" w:sz="4" w:space="0" w:color="auto"/>
            </w:tcBorders>
            <w:shd w:val="clear" w:color="auto" w:fill="auto"/>
          </w:tcPr>
          <w:p w14:paraId="5C5BDE51" w14:textId="77777777" w:rsidR="00E01837" w:rsidRPr="00A33264" w:rsidRDefault="00E01837">
            <w:pPr>
              <w:spacing w:after="0" w:line="264" w:lineRule="auto"/>
              <w:jc w:val="right"/>
              <w:rPr>
                <w:rFonts w:cs="Arial"/>
                <w:lang w:val="en-GB"/>
              </w:rPr>
            </w:pPr>
            <w:r w:rsidRPr="00A33264">
              <w:rPr>
                <w:rFonts w:cs="Arial"/>
                <w:lang w:val="en-GB"/>
              </w:rPr>
              <w:t>10</w:t>
            </w:r>
          </w:p>
        </w:tc>
      </w:tr>
      <w:tr w:rsidR="00E01837" w:rsidRPr="00A33264" w14:paraId="22A92414" w14:textId="77777777" w:rsidTr="006418CC">
        <w:trPr>
          <w:cantSplit/>
          <w:trHeight w:val="520"/>
        </w:trPr>
        <w:tc>
          <w:tcPr>
            <w:tcW w:w="1984" w:type="dxa"/>
            <w:tcBorders>
              <w:top w:val="single" w:sz="4" w:space="0" w:color="656565"/>
              <w:left w:val="single" w:sz="4" w:space="0" w:color="000000"/>
              <w:bottom w:val="single" w:sz="4" w:space="0" w:color="656565"/>
              <w:right w:val="single" w:sz="4" w:space="0" w:color="000000"/>
            </w:tcBorders>
            <w:shd w:val="clear" w:color="auto" w:fill="F7EEF7"/>
          </w:tcPr>
          <w:p w14:paraId="21CE98BB" w14:textId="77777777" w:rsidR="00E01837" w:rsidRPr="002A6373" w:rsidRDefault="00E01837">
            <w:pPr>
              <w:spacing w:after="0" w:line="264" w:lineRule="auto"/>
              <w:rPr>
                <w:rFonts w:cs="Arial"/>
                <w:lang w:val="en-GB"/>
              </w:rPr>
            </w:pPr>
            <w:r w:rsidRPr="002A6373">
              <w:rPr>
                <w:rFonts w:cs="Arial"/>
                <w:lang w:val="en-GB"/>
              </w:rPr>
              <w:t>Ms Meredith Allan</w:t>
            </w:r>
          </w:p>
        </w:tc>
        <w:tc>
          <w:tcPr>
            <w:tcW w:w="1976" w:type="dxa"/>
            <w:tcBorders>
              <w:top w:val="single" w:sz="4" w:space="0" w:color="656565"/>
              <w:left w:val="single" w:sz="4" w:space="0" w:color="000000"/>
              <w:bottom w:val="single" w:sz="4" w:space="0" w:color="656565"/>
              <w:right w:val="single" w:sz="4" w:space="0" w:color="000000"/>
            </w:tcBorders>
            <w:shd w:val="clear" w:color="auto" w:fill="F7EEF7"/>
          </w:tcPr>
          <w:p w14:paraId="0DC602B9" w14:textId="77777777" w:rsidR="00E01837" w:rsidRPr="002A6373" w:rsidRDefault="00E01837">
            <w:pPr>
              <w:spacing w:after="0" w:line="264" w:lineRule="auto"/>
              <w:rPr>
                <w:rFonts w:cs="Arial"/>
                <w:lang w:val="en-GB"/>
              </w:rPr>
            </w:pPr>
            <w:r w:rsidRPr="00333916">
              <w:rPr>
                <w:rFonts w:cs="Arial"/>
                <w:lang w:val="en-GB"/>
              </w:rPr>
              <w:t>B</w:t>
            </w:r>
            <w:r>
              <w:rPr>
                <w:rFonts w:cs="Arial"/>
                <w:lang w:val="en-GB"/>
              </w:rPr>
              <w:t>E</w:t>
            </w:r>
            <w:r w:rsidRPr="00333916">
              <w:rPr>
                <w:rFonts w:cs="Arial"/>
                <w:lang w:val="en-GB"/>
              </w:rPr>
              <w:t>c</w:t>
            </w:r>
            <w:r>
              <w:rPr>
                <w:rFonts w:cs="Arial"/>
                <w:lang w:val="en-GB"/>
              </w:rPr>
              <w:t>,</w:t>
            </w:r>
            <w:r w:rsidRPr="00333916">
              <w:rPr>
                <w:rFonts w:cs="Arial"/>
                <w:lang w:val="en-GB"/>
              </w:rPr>
              <w:t xml:space="preserve"> </w:t>
            </w:r>
            <w:r>
              <w:rPr>
                <w:rFonts w:cs="Arial"/>
                <w:lang w:val="en-GB"/>
              </w:rPr>
              <w:t>BA</w:t>
            </w:r>
            <w:r w:rsidRPr="00333916">
              <w:rPr>
                <w:rFonts w:cs="Arial"/>
                <w:lang w:val="en-GB"/>
              </w:rPr>
              <w:t>, Monash University</w:t>
            </w:r>
          </w:p>
        </w:tc>
        <w:tc>
          <w:tcPr>
            <w:tcW w:w="3827" w:type="dxa"/>
            <w:tcBorders>
              <w:top w:val="single" w:sz="4" w:space="0" w:color="656565"/>
              <w:left w:val="single" w:sz="4" w:space="0" w:color="000000"/>
              <w:bottom w:val="single" w:sz="4" w:space="0" w:color="656565"/>
              <w:right w:val="single" w:sz="4" w:space="0" w:color="656565"/>
            </w:tcBorders>
            <w:shd w:val="clear" w:color="auto" w:fill="F7EEF7"/>
          </w:tcPr>
          <w:p w14:paraId="00631CF2" w14:textId="4254C328" w:rsidR="00E01837" w:rsidRPr="00091469" w:rsidRDefault="00E01837" w:rsidP="00E01837">
            <w:pPr>
              <w:pStyle w:val="TableParagraph"/>
              <w:numPr>
                <w:ilvl w:val="0"/>
                <w:numId w:val="16"/>
              </w:numPr>
              <w:spacing w:line="264" w:lineRule="auto"/>
              <w:rPr>
                <w:rFonts w:ascii="Arial" w:hAnsi="Arial" w:cs="Arial"/>
                <w:sz w:val="24"/>
                <w:szCs w:val="24"/>
                <w:lang w:val="en-GB"/>
              </w:rPr>
            </w:pPr>
            <w:r w:rsidRPr="00091469">
              <w:rPr>
                <w:rFonts w:ascii="Arial" w:hAnsi="Arial" w:cs="Arial"/>
                <w:sz w:val="24"/>
                <w:szCs w:val="24"/>
                <w:lang w:val="en-GB"/>
              </w:rPr>
              <w:t xml:space="preserve">President, International Society of Alternative and </w:t>
            </w:r>
            <w:r w:rsidRPr="00020F70">
              <w:rPr>
                <w:rFonts w:ascii="Arial" w:hAnsi="Arial" w:cs="Arial"/>
                <w:sz w:val="24"/>
                <w:szCs w:val="24"/>
                <w:lang w:val="en-GB"/>
              </w:rPr>
              <w:t>Augmentative</w:t>
            </w:r>
            <w:r w:rsidRPr="00091469">
              <w:rPr>
                <w:rFonts w:ascii="Arial" w:hAnsi="Arial" w:cs="Arial"/>
                <w:sz w:val="24"/>
                <w:szCs w:val="24"/>
                <w:lang w:val="en-GB"/>
              </w:rPr>
              <w:t xml:space="preserve"> Communication</w:t>
            </w:r>
            <w:r>
              <w:rPr>
                <w:rFonts w:ascii="Arial" w:hAnsi="Arial" w:cs="Arial"/>
                <w:sz w:val="24"/>
                <w:szCs w:val="24"/>
                <w:lang w:val="en-GB"/>
              </w:rPr>
              <w:t>, 2018–2020</w:t>
            </w:r>
            <w:r w:rsidRPr="00091469">
              <w:rPr>
                <w:rFonts w:ascii="Arial" w:hAnsi="Arial" w:cs="Arial"/>
                <w:sz w:val="24"/>
                <w:szCs w:val="24"/>
                <w:lang w:val="en-GB"/>
              </w:rPr>
              <w:t xml:space="preserve"> </w:t>
            </w:r>
          </w:p>
        </w:tc>
        <w:tc>
          <w:tcPr>
            <w:tcW w:w="1559" w:type="dxa"/>
            <w:tcBorders>
              <w:top w:val="single" w:sz="4" w:space="0" w:color="656565"/>
              <w:left w:val="single" w:sz="4" w:space="0" w:color="656565"/>
              <w:bottom w:val="single" w:sz="4" w:space="0" w:color="656565"/>
              <w:right w:val="single" w:sz="4" w:space="0" w:color="656565"/>
            </w:tcBorders>
            <w:shd w:val="clear" w:color="auto" w:fill="F7EEF7"/>
          </w:tcPr>
          <w:p w14:paraId="755A2A0E" w14:textId="77777777" w:rsidR="00E01837" w:rsidRPr="002A6373" w:rsidRDefault="00E01837">
            <w:pPr>
              <w:spacing w:after="0" w:line="264" w:lineRule="auto"/>
              <w:rPr>
                <w:rFonts w:cs="Arial"/>
                <w:lang w:val="en-GB"/>
              </w:rPr>
            </w:pPr>
            <w:r>
              <w:rPr>
                <w:rFonts w:cs="Arial"/>
                <w:lang w:val="en-GB"/>
              </w:rPr>
              <w:t>B</w:t>
            </w:r>
            <w:r w:rsidRPr="002A6373">
              <w:rPr>
                <w:rFonts w:cs="Arial"/>
                <w:lang w:val="en-GB"/>
              </w:rPr>
              <w:t xml:space="preserve">oard </w:t>
            </w:r>
            <w:r>
              <w:rPr>
                <w:rFonts w:cs="Arial"/>
                <w:lang w:val="en-GB"/>
              </w:rPr>
              <w:t>m</w:t>
            </w:r>
            <w:r w:rsidRPr="002A6373">
              <w:rPr>
                <w:rFonts w:cs="Arial"/>
                <w:lang w:val="en-GB"/>
              </w:rPr>
              <w:t xml:space="preserve">ember / </w:t>
            </w:r>
            <w:r>
              <w:rPr>
                <w:rFonts w:cs="Arial"/>
                <w:lang w:val="en-GB"/>
              </w:rPr>
              <w:t>n</w:t>
            </w:r>
            <w:r w:rsidRPr="002A6373">
              <w:rPr>
                <w:rFonts w:cs="Arial"/>
                <w:lang w:val="en-GB"/>
              </w:rPr>
              <w:t>on-</w:t>
            </w:r>
            <w:r>
              <w:rPr>
                <w:rFonts w:cs="Arial"/>
                <w:lang w:val="en-GB"/>
              </w:rPr>
              <w:t>e</w:t>
            </w:r>
            <w:r w:rsidRPr="002A6373">
              <w:rPr>
                <w:rFonts w:cs="Arial"/>
                <w:lang w:val="en-GB"/>
              </w:rPr>
              <w:t>xecutive</w:t>
            </w:r>
          </w:p>
        </w:tc>
        <w:tc>
          <w:tcPr>
            <w:tcW w:w="1532" w:type="dxa"/>
            <w:tcBorders>
              <w:top w:val="single" w:sz="4" w:space="0" w:color="656565"/>
              <w:left w:val="single" w:sz="4" w:space="0" w:color="656565"/>
              <w:bottom w:val="single" w:sz="4" w:space="0" w:color="656565"/>
              <w:right w:val="single" w:sz="4" w:space="0" w:color="000000"/>
            </w:tcBorders>
            <w:shd w:val="clear" w:color="auto" w:fill="F7EEF7"/>
          </w:tcPr>
          <w:p w14:paraId="1F0C597E" w14:textId="77777777" w:rsidR="00E01837" w:rsidRPr="002A6373" w:rsidRDefault="00E01837">
            <w:pPr>
              <w:spacing w:after="0" w:line="264" w:lineRule="auto"/>
              <w:rPr>
                <w:rFonts w:cs="Arial"/>
                <w:lang w:val="en-GB"/>
              </w:rPr>
            </w:pPr>
            <w:r w:rsidRPr="002A6373">
              <w:rPr>
                <w:rFonts w:cs="Arial"/>
                <w:lang w:val="en-GB"/>
              </w:rPr>
              <w:t>1 July 2023</w:t>
            </w:r>
          </w:p>
        </w:tc>
        <w:tc>
          <w:tcPr>
            <w:tcW w:w="1532" w:type="dxa"/>
            <w:tcBorders>
              <w:top w:val="single" w:sz="4" w:space="0" w:color="656565"/>
              <w:left w:val="single" w:sz="4" w:space="0" w:color="000000"/>
              <w:bottom w:val="single" w:sz="4" w:space="0" w:color="656565"/>
              <w:right w:val="single" w:sz="4" w:space="0" w:color="000000"/>
            </w:tcBorders>
            <w:shd w:val="clear" w:color="auto" w:fill="F7EEF7"/>
          </w:tcPr>
          <w:p w14:paraId="37D2091F" w14:textId="77777777" w:rsidR="00E01837" w:rsidRPr="002A6373" w:rsidRDefault="00E01837">
            <w:pPr>
              <w:spacing w:after="0" w:line="264" w:lineRule="auto"/>
              <w:rPr>
                <w:rFonts w:cs="Arial"/>
                <w:lang w:val="en-GB"/>
              </w:rPr>
            </w:pPr>
            <w:r w:rsidRPr="002A6373">
              <w:rPr>
                <w:rFonts w:cs="Arial"/>
                <w:lang w:val="en-GB"/>
              </w:rPr>
              <w:t>30 June 2024</w:t>
            </w:r>
          </w:p>
        </w:tc>
        <w:tc>
          <w:tcPr>
            <w:tcW w:w="1475" w:type="dxa"/>
            <w:tcBorders>
              <w:top w:val="single" w:sz="4" w:space="0" w:color="656565"/>
              <w:left w:val="single" w:sz="4" w:space="0" w:color="000000"/>
              <w:bottom w:val="single" w:sz="4" w:space="0" w:color="656565"/>
              <w:right w:val="single" w:sz="4" w:space="0" w:color="auto"/>
            </w:tcBorders>
            <w:shd w:val="clear" w:color="auto" w:fill="F7EEF7"/>
          </w:tcPr>
          <w:p w14:paraId="0FB4B5A5" w14:textId="77777777" w:rsidR="00E01837" w:rsidRPr="002A6373" w:rsidRDefault="00E01837">
            <w:pPr>
              <w:spacing w:after="0" w:line="264" w:lineRule="auto"/>
              <w:jc w:val="right"/>
              <w:rPr>
                <w:rFonts w:cs="Arial"/>
                <w:lang w:val="en-GB"/>
              </w:rPr>
            </w:pPr>
            <w:r w:rsidRPr="002A6373">
              <w:rPr>
                <w:rFonts w:cs="Arial"/>
                <w:lang w:val="en-GB"/>
              </w:rPr>
              <w:t>11</w:t>
            </w:r>
          </w:p>
        </w:tc>
      </w:tr>
      <w:tr w:rsidR="00E01837" w:rsidRPr="00A33264" w14:paraId="39038C1C" w14:textId="77777777" w:rsidTr="006418CC">
        <w:trPr>
          <w:cantSplit/>
          <w:trHeight w:val="520"/>
        </w:trPr>
        <w:tc>
          <w:tcPr>
            <w:tcW w:w="1984" w:type="dxa"/>
            <w:tcBorders>
              <w:top w:val="single" w:sz="4" w:space="0" w:color="656565"/>
              <w:left w:val="single" w:sz="4" w:space="0" w:color="000000"/>
              <w:bottom w:val="single" w:sz="4" w:space="0" w:color="656565"/>
              <w:right w:val="single" w:sz="4" w:space="0" w:color="000000"/>
            </w:tcBorders>
            <w:shd w:val="clear" w:color="auto" w:fill="auto"/>
          </w:tcPr>
          <w:p w14:paraId="4DD9E264" w14:textId="77777777" w:rsidR="00E01837" w:rsidRPr="002A6373" w:rsidRDefault="00E01837">
            <w:pPr>
              <w:spacing w:after="0" w:line="264" w:lineRule="auto"/>
              <w:rPr>
                <w:rFonts w:cs="Arial"/>
                <w:lang w:val="en-GB"/>
              </w:rPr>
            </w:pPr>
            <w:r w:rsidRPr="002A6373">
              <w:rPr>
                <w:rFonts w:cs="Arial"/>
                <w:lang w:val="en-GB"/>
              </w:rPr>
              <w:lastRenderedPageBreak/>
              <w:t>Ms Leah van Poppel</w:t>
            </w:r>
          </w:p>
        </w:tc>
        <w:tc>
          <w:tcPr>
            <w:tcW w:w="1976" w:type="dxa"/>
            <w:tcBorders>
              <w:top w:val="single" w:sz="4" w:space="0" w:color="656565"/>
              <w:left w:val="single" w:sz="4" w:space="0" w:color="000000"/>
              <w:bottom w:val="single" w:sz="4" w:space="0" w:color="656565"/>
              <w:right w:val="single" w:sz="4" w:space="0" w:color="000000"/>
            </w:tcBorders>
            <w:shd w:val="clear" w:color="auto" w:fill="auto"/>
          </w:tcPr>
          <w:p w14:paraId="3ACEE8FA" w14:textId="77777777" w:rsidR="00E01837" w:rsidRPr="002A6373" w:rsidRDefault="00E01837">
            <w:pPr>
              <w:spacing w:after="0" w:line="264" w:lineRule="auto"/>
              <w:rPr>
                <w:rFonts w:cs="Arial"/>
                <w:lang w:val="en-GB"/>
              </w:rPr>
            </w:pPr>
            <w:r>
              <w:rPr>
                <w:rFonts w:cs="Arial"/>
                <w:lang w:val="en-GB"/>
              </w:rPr>
              <w:t>BA</w:t>
            </w:r>
            <w:r w:rsidRPr="002A6373">
              <w:rPr>
                <w:rFonts w:cs="Arial"/>
                <w:lang w:val="en-GB"/>
              </w:rPr>
              <w:t>, Macquarie University</w:t>
            </w:r>
          </w:p>
        </w:tc>
        <w:tc>
          <w:tcPr>
            <w:tcW w:w="3827" w:type="dxa"/>
            <w:tcBorders>
              <w:top w:val="single" w:sz="4" w:space="0" w:color="656565"/>
              <w:left w:val="single" w:sz="4" w:space="0" w:color="000000"/>
              <w:bottom w:val="single" w:sz="4" w:space="0" w:color="656565"/>
              <w:right w:val="single" w:sz="4" w:space="0" w:color="656565"/>
            </w:tcBorders>
            <w:shd w:val="clear" w:color="auto" w:fill="auto"/>
          </w:tcPr>
          <w:p w14:paraId="2ECC7FB6" w14:textId="77777777" w:rsidR="00E01837" w:rsidRPr="00091469" w:rsidRDefault="00E01837" w:rsidP="00E01837">
            <w:pPr>
              <w:pStyle w:val="TableParagraph"/>
              <w:numPr>
                <w:ilvl w:val="0"/>
                <w:numId w:val="16"/>
              </w:numPr>
              <w:spacing w:line="264" w:lineRule="auto"/>
              <w:rPr>
                <w:rFonts w:ascii="Arial" w:hAnsi="Arial" w:cs="Arial"/>
                <w:sz w:val="24"/>
                <w:szCs w:val="24"/>
                <w:lang w:val="en-GB"/>
              </w:rPr>
            </w:pPr>
            <w:r w:rsidRPr="00091469">
              <w:rPr>
                <w:rFonts w:ascii="Arial" w:hAnsi="Arial" w:cs="Arial"/>
                <w:sz w:val="24"/>
                <w:szCs w:val="24"/>
                <w:lang w:val="en-GB"/>
              </w:rPr>
              <w:t>Chair, Victorian NDIS Community Advisory Council</w:t>
            </w:r>
          </w:p>
          <w:p w14:paraId="764C2821" w14:textId="77777777" w:rsidR="00E01837" w:rsidRPr="00091469" w:rsidRDefault="00E01837" w:rsidP="00E01837">
            <w:pPr>
              <w:pStyle w:val="TableParagraph"/>
              <w:numPr>
                <w:ilvl w:val="0"/>
                <w:numId w:val="16"/>
              </w:numPr>
              <w:spacing w:line="264" w:lineRule="auto"/>
              <w:rPr>
                <w:rFonts w:ascii="Arial" w:hAnsi="Arial" w:cs="Arial"/>
                <w:sz w:val="24"/>
                <w:szCs w:val="24"/>
                <w:lang w:val="en-GB"/>
              </w:rPr>
            </w:pPr>
            <w:r w:rsidRPr="00091469">
              <w:rPr>
                <w:rFonts w:ascii="Arial" w:hAnsi="Arial" w:cs="Arial"/>
                <w:sz w:val="24"/>
                <w:szCs w:val="24"/>
                <w:lang w:val="en-GB"/>
              </w:rPr>
              <w:t>Principal Member, NDIS Independent Advisory Council</w:t>
            </w:r>
          </w:p>
          <w:p w14:paraId="62AC70F9" w14:textId="77777777" w:rsidR="00E01837" w:rsidRPr="00091469" w:rsidRDefault="00E01837" w:rsidP="00E01837">
            <w:pPr>
              <w:pStyle w:val="TableParagraph"/>
              <w:numPr>
                <w:ilvl w:val="0"/>
                <w:numId w:val="16"/>
              </w:numPr>
              <w:spacing w:line="264" w:lineRule="auto"/>
              <w:rPr>
                <w:rFonts w:ascii="Arial" w:hAnsi="Arial" w:cs="Arial"/>
                <w:sz w:val="24"/>
                <w:szCs w:val="24"/>
                <w:lang w:val="en-GB"/>
              </w:rPr>
            </w:pPr>
            <w:r w:rsidRPr="00091469">
              <w:rPr>
                <w:rFonts w:ascii="Arial" w:hAnsi="Arial" w:cs="Arial"/>
                <w:sz w:val="24"/>
                <w:szCs w:val="24"/>
                <w:lang w:val="en-GB"/>
              </w:rPr>
              <w:t>CEO, Women with Disabilities Victoria, 2018–2021</w:t>
            </w:r>
          </w:p>
          <w:p w14:paraId="0C76EB62" w14:textId="77777777" w:rsidR="00E01837" w:rsidRPr="00091469" w:rsidRDefault="00E01837" w:rsidP="00E01837">
            <w:pPr>
              <w:pStyle w:val="TableParagraph"/>
              <w:numPr>
                <w:ilvl w:val="0"/>
                <w:numId w:val="16"/>
              </w:numPr>
              <w:spacing w:line="264" w:lineRule="auto"/>
              <w:rPr>
                <w:rFonts w:ascii="Arial" w:hAnsi="Arial" w:cs="Arial"/>
                <w:sz w:val="24"/>
                <w:szCs w:val="24"/>
                <w:lang w:val="en-GB"/>
              </w:rPr>
            </w:pPr>
            <w:r w:rsidRPr="00091469">
              <w:rPr>
                <w:rFonts w:ascii="Arial" w:hAnsi="Arial" w:cs="Arial"/>
                <w:sz w:val="24"/>
                <w:szCs w:val="24"/>
                <w:lang w:val="en-GB"/>
              </w:rPr>
              <w:t>CEO, Blind Citizens Australia</w:t>
            </w:r>
          </w:p>
          <w:p w14:paraId="4930C9CB" w14:textId="77777777" w:rsidR="00E01837" w:rsidRPr="00091469" w:rsidRDefault="00E01837" w:rsidP="00E01837">
            <w:pPr>
              <w:pStyle w:val="TableParagraph"/>
              <w:numPr>
                <w:ilvl w:val="0"/>
                <w:numId w:val="16"/>
              </w:numPr>
              <w:spacing w:line="264" w:lineRule="auto"/>
              <w:rPr>
                <w:rFonts w:ascii="Arial" w:hAnsi="Arial" w:cs="Arial"/>
                <w:sz w:val="24"/>
                <w:szCs w:val="24"/>
                <w:lang w:val="en-GB"/>
              </w:rPr>
            </w:pPr>
            <w:r w:rsidRPr="00091469">
              <w:rPr>
                <w:rFonts w:ascii="Arial" w:hAnsi="Arial" w:cs="Arial"/>
                <w:sz w:val="24"/>
                <w:szCs w:val="24"/>
                <w:lang w:val="en-GB"/>
              </w:rPr>
              <w:t>Manager, Youth Disability Advocacy Service</w:t>
            </w:r>
          </w:p>
          <w:p w14:paraId="6FBA5D9D" w14:textId="77777777" w:rsidR="00E01837" w:rsidRPr="00091469" w:rsidRDefault="00E01837" w:rsidP="00E01837">
            <w:pPr>
              <w:pStyle w:val="TableParagraph"/>
              <w:numPr>
                <w:ilvl w:val="0"/>
                <w:numId w:val="16"/>
              </w:numPr>
              <w:spacing w:line="264" w:lineRule="auto"/>
              <w:rPr>
                <w:rFonts w:ascii="Arial" w:hAnsi="Arial" w:cs="Arial"/>
                <w:sz w:val="24"/>
                <w:szCs w:val="24"/>
                <w:lang w:val="en-GB"/>
              </w:rPr>
            </w:pPr>
            <w:r w:rsidRPr="00091469">
              <w:rPr>
                <w:rFonts w:ascii="Arial" w:hAnsi="Arial" w:cs="Arial"/>
                <w:sz w:val="24"/>
                <w:szCs w:val="24"/>
                <w:lang w:val="en-GB"/>
              </w:rPr>
              <w:t>NDIS Readiness Project Officer, Australian Federation of Disability Organisations</w:t>
            </w:r>
          </w:p>
        </w:tc>
        <w:tc>
          <w:tcPr>
            <w:tcW w:w="1559" w:type="dxa"/>
            <w:tcBorders>
              <w:top w:val="single" w:sz="4" w:space="0" w:color="656565"/>
              <w:left w:val="single" w:sz="4" w:space="0" w:color="656565"/>
              <w:bottom w:val="single" w:sz="4" w:space="0" w:color="656565"/>
              <w:right w:val="single" w:sz="4" w:space="0" w:color="656565"/>
            </w:tcBorders>
            <w:shd w:val="clear" w:color="auto" w:fill="auto"/>
          </w:tcPr>
          <w:p w14:paraId="5BA64D50" w14:textId="77777777" w:rsidR="00E01837" w:rsidRPr="002A6373" w:rsidRDefault="00E01837">
            <w:pPr>
              <w:spacing w:after="0" w:line="264" w:lineRule="auto"/>
              <w:rPr>
                <w:rFonts w:cs="Arial"/>
                <w:lang w:val="en-GB"/>
              </w:rPr>
            </w:pPr>
            <w:r w:rsidRPr="002A6373">
              <w:rPr>
                <w:rFonts w:cs="Arial"/>
                <w:lang w:val="en-GB"/>
              </w:rPr>
              <w:t xml:space="preserve">Board </w:t>
            </w:r>
            <w:r>
              <w:rPr>
                <w:rFonts w:cs="Arial"/>
                <w:lang w:val="en-GB"/>
              </w:rPr>
              <w:t>m</w:t>
            </w:r>
            <w:r w:rsidRPr="002A6373">
              <w:rPr>
                <w:rFonts w:cs="Arial"/>
                <w:lang w:val="en-GB"/>
              </w:rPr>
              <w:t xml:space="preserve">ember / </w:t>
            </w:r>
            <w:r>
              <w:rPr>
                <w:rFonts w:cs="Arial"/>
                <w:lang w:val="en-GB"/>
              </w:rPr>
              <w:t>n</w:t>
            </w:r>
            <w:r w:rsidRPr="002A6373">
              <w:rPr>
                <w:rFonts w:cs="Arial"/>
                <w:lang w:val="en-GB"/>
              </w:rPr>
              <w:t>on-</w:t>
            </w:r>
            <w:r>
              <w:rPr>
                <w:rFonts w:cs="Arial"/>
                <w:lang w:val="en-GB"/>
              </w:rPr>
              <w:t>e</w:t>
            </w:r>
            <w:r w:rsidRPr="002A6373">
              <w:rPr>
                <w:rFonts w:cs="Arial"/>
                <w:lang w:val="en-GB"/>
              </w:rPr>
              <w:t>xecutive</w:t>
            </w:r>
          </w:p>
        </w:tc>
        <w:tc>
          <w:tcPr>
            <w:tcW w:w="1532" w:type="dxa"/>
            <w:tcBorders>
              <w:top w:val="single" w:sz="4" w:space="0" w:color="656565"/>
              <w:left w:val="single" w:sz="4" w:space="0" w:color="656565"/>
              <w:bottom w:val="single" w:sz="4" w:space="0" w:color="656565"/>
              <w:right w:val="single" w:sz="4" w:space="0" w:color="000000"/>
            </w:tcBorders>
            <w:shd w:val="clear" w:color="auto" w:fill="auto"/>
          </w:tcPr>
          <w:p w14:paraId="15F0EAE1" w14:textId="77777777" w:rsidR="00E01837" w:rsidRPr="002A6373" w:rsidRDefault="00E01837">
            <w:pPr>
              <w:spacing w:after="0" w:line="264" w:lineRule="auto"/>
              <w:rPr>
                <w:rFonts w:cs="Arial"/>
                <w:lang w:val="en-GB"/>
              </w:rPr>
            </w:pPr>
            <w:r w:rsidRPr="002A6373">
              <w:rPr>
                <w:rFonts w:cs="Arial"/>
                <w:lang w:val="en-GB"/>
              </w:rPr>
              <w:t>1 July 2023</w:t>
            </w:r>
          </w:p>
        </w:tc>
        <w:tc>
          <w:tcPr>
            <w:tcW w:w="1532" w:type="dxa"/>
            <w:tcBorders>
              <w:top w:val="single" w:sz="4" w:space="0" w:color="656565"/>
              <w:left w:val="single" w:sz="4" w:space="0" w:color="000000"/>
              <w:bottom w:val="single" w:sz="4" w:space="0" w:color="656565"/>
              <w:right w:val="single" w:sz="4" w:space="0" w:color="000000"/>
            </w:tcBorders>
            <w:shd w:val="clear" w:color="auto" w:fill="auto"/>
          </w:tcPr>
          <w:p w14:paraId="566F7408" w14:textId="77777777" w:rsidR="00E01837" w:rsidRPr="002A6373" w:rsidRDefault="00E01837">
            <w:pPr>
              <w:spacing w:after="0" w:line="264" w:lineRule="auto"/>
              <w:rPr>
                <w:rFonts w:cs="Arial"/>
                <w:lang w:val="en-GB"/>
              </w:rPr>
            </w:pPr>
            <w:r w:rsidRPr="002A6373">
              <w:rPr>
                <w:rFonts w:cs="Arial"/>
                <w:lang w:val="en-GB"/>
              </w:rPr>
              <w:t>30 June 2024</w:t>
            </w:r>
          </w:p>
        </w:tc>
        <w:tc>
          <w:tcPr>
            <w:tcW w:w="1475" w:type="dxa"/>
            <w:tcBorders>
              <w:top w:val="single" w:sz="4" w:space="0" w:color="656565"/>
              <w:left w:val="single" w:sz="4" w:space="0" w:color="000000"/>
              <w:bottom w:val="single" w:sz="4" w:space="0" w:color="656565"/>
              <w:right w:val="single" w:sz="4" w:space="0" w:color="auto"/>
            </w:tcBorders>
            <w:shd w:val="clear" w:color="auto" w:fill="auto"/>
          </w:tcPr>
          <w:p w14:paraId="0CC33CE3" w14:textId="77777777" w:rsidR="00E01837" w:rsidRPr="002A6373" w:rsidRDefault="00E01837">
            <w:pPr>
              <w:spacing w:after="0" w:line="264" w:lineRule="auto"/>
              <w:jc w:val="right"/>
              <w:rPr>
                <w:rFonts w:cs="Arial"/>
                <w:lang w:val="en-GB"/>
              </w:rPr>
            </w:pPr>
            <w:r w:rsidRPr="002A6373">
              <w:rPr>
                <w:rFonts w:cs="Arial"/>
                <w:lang w:val="en-GB"/>
              </w:rPr>
              <w:t>10</w:t>
            </w:r>
          </w:p>
        </w:tc>
      </w:tr>
      <w:tr w:rsidR="00E01837" w:rsidRPr="00A33264" w14:paraId="7BE1CA65" w14:textId="77777777" w:rsidTr="006418CC">
        <w:trPr>
          <w:cantSplit/>
          <w:trHeight w:val="520"/>
        </w:trPr>
        <w:tc>
          <w:tcPr>
            <w:tcW w:w="1984" w:type="dxa"/>
            <w:tcBorders>
              <w:top w:val="single" w:sz="4" w:space="0" w:color="656565"/>
              <w:left w:val="single" w:sz="4" w:space="0" w:color="000000"/>
              <w:bottom w:val="single" w:sz="4" w:space="0" w:color="656565"/>
              <w:right w:val="single" w:sz="4" w:space="0" w:color="000000"/>
            </w:tcBorders>
            <w:shd w:val="clear" w:color="auto" w:fill="F7EEF7"/>
          </w:tcPr>
          <w:p w14:paraId="5822D820" w14:textId="77777777" w:rsidR="00E01837" w:rsidRPr="00A33264" w:rsidRDefault="00E01837">
            <w:pPr>
              <w:spacing w:after="0" w:line="264" w:lineRule="auto"/>
              <w:rPr>
                <w:rFonts w:cs="Arial"/>
                <w:lang w:val="en-GB"/>
              </w:rPr>
            </w:pPr>
            <w:r w:rsidRPr="00A33264">
              <w:rPr>
                <w:rFonts w:cs="Arial"/>
                <w:lang w:val="en-GB"/>
              </w:rPr>
              <w:t>Mrs Joan McKenna Kerr</w:t>
            </w:r>
          </w:p>
        </w:tc>
        <w:tc>
          <w:tcPr>
            <w:tcW w:w="1976" w:type="dxa"/>
            <w:tcBorders>
              <w:top w:val="single" w:sz="4" w:space="0" w:color="656565"/>
              <w:left w:val="single" w:sz="4" w:space="0" w:color="000000"/>
              <w:bottom w:val="single" w:sz="4" w:space="0" w:color="656565"/>
              <w:right w:val="single" w:sz="4" w:space="0" w:color="000000"/>
            </w:tcBorders>
            <w:shd w:val="clear" w:color="auto" w:fill="F7EEF7"/>
          </w:tcPr>
          <w:p w14:paraId="4BCA282E" w14:textId="77777777" w:rsidR="00E01837" w:rsidRPr="00A33264" w:rsidRDefault="00E01837">
            <w:pPr>
              <w:spacing w:after="0" w:line="264" w:lineRule="auto"/>
              <w:rPr>
                <w:rFonts w:cs="Arial"/>
                <w:lang w:val="en-GB"/>
              </w:rPr>
            </w:pPr>
            <w:r>
              <w:rPr>
                <w:rFonts w:cs="Arial"/>
                <w:lang w:val="en-GB"/>
              </w:rPr>
              <w:t>BA</w:t>
            </w:r>
            <w:r w:rsidRPr="00A33264">
              <w:rPr>
                <w:rFonts w:cs="Arial"/>
                <w:lang w:val="en-GB"/>
              </w:rPr>
              <w:t>, Moderatorship in Sociology, Trinity College, Dublin</w:t>
            </w:r>
          </w:p>
        </w:tc>
        <w:tc>
          <w:tcPr>
            <w:tcW w:w="3827" w:type="dxa"/>
            <w:tcBorders>
              <w:top w:val="single" w:sz="4" w:space="0" w:color="656565"/>
              <w:left w:val="single" w:sz="4" w:space="0" w:color="000000"/>
              <w:bottom w:val="single" w:sz="4" w:space="0" w:color="656565"/>
              <w:right w:val="single" w:sz="4" w:space="0" w:color="656565"/>
            </w:tcBorders>
            <w:shd w:val="clear" w:color="auto" w:fill="F7EEF7"/>
          </w:tcPr>
          <w:p w14:paraId="25743D69" w14:textId="77777777" w:rsidR="00E01837" w:rsidRPr="00C669F2" w:rsidRDefault="00E01837" w:rsidP="00E01837">
            <w:pPr>
              <w:pStyle w:val="TableParagraph"/>
              <w:numPr>
                <w:ilvl w:val="0"/>
                <w:numId w:val="12"/>
              </w:numPr>
              <w:spacing w:line="264" w:lineRule="auto"/>
              <w:ind w:left="360"/>
              <w:rPr>
                <w:rFonts w:ascii="Arial" w:hAnsi="Arial" w:cs="Arial"/>
                <w:sz w:val="24"/>
                <w:szCs w:val="24"/>
                <w:lang w:val="en-GB"/>
              </w:rPr>
            </w:pPr>
            <w:r w:rsidRPr="00C669F2">
              <w:rPr>
                <w:rFonts w:ascii="Arial" w:hAnsi="Arial" w:cs="Arial"/>
                <w:sz w:val="24"/>
                <w:szCs w:val="24"/>
                <w:lang w:val="en-GB"/>
              </w:rPr>
              <w:t>Convenor, Asia Pacific Autism Conference 2025</w:t>
            </w:r>
          </w:p>
          <w:p w14:paraId="7764B0AB" w14:textId="77777777" w:rsidR="00E01837" w:rsidRDefault="00E01837" w:rsidP="00E01837">
            <w:pPr>
              <w:pStyle w:val="TableParagraph"/>
              <w:numPr>
                <w:ilvl w:val="0"/>
                <w:numId w:val="12"/>
              </w:numPr>
              <w:spacing w:line="264" w:lineRule="auto"/>
              <w:ind w:left="360"/>
              <w:rPr>
                <w:rFonts w:ascii="Arial" w:hAnsi="Arial" w:cs="Arial"/>
                <w:sz w:val="24"/>
                <w:szCs w:val="24"/>
                <w:lang w:val="en-GB"/>
              </w:rPr>
            </w:pPr>
            <w:r>
              <w:rPr>
                <w:rFonts w:ascii="Arial" w:hAnsi="Arial" w:cs="Arial"/>
                <w:sz w:val="24"/>
                <w:szCs w:val="24"/>
                <w:lang w:val="en-GB"/>
              </w:rPr>
              <w:t>M</w:t>
            </w:r>
            <w:r w:rsidRPr="00407238">
              <w:rPr>
                <w:rFonts w:ascii="Arial" w:hAnsi="Arial" w:cs="Arial"/>
                <w:sz w:val="24"/>
                <w:szCs w:val="24"/>
                <w:lang w:val="en-GB"/>
              </w:rPr>
              <w:t>ember</w:t>
            </w:r>
            <w:r>
              <w:rPr>
                <w:rFonts w:ascii="Arial" w:hAnsi="Arial" w:cs="Arial"/>
                <w:sz w:val="24"/>
                <w:szCs w:val="24"/>
                <w:lang w:val="en-GB"/>
              </w:rPr>
              <w:t>:</w:t>
            </w:r>
          </w:p>
          <w:p w14:paraId="6CDA93EB" w14:textId="77777777" w:rsidR="00E01837" w:rsidRPr="002741FD" w:rsidRDefault="00E01837" w:rsidP="00E01837">
            <w:pPr>
              <w:pStyle w:val="ListParagraph"/>
              <w:widowControl w:val="0"/>
              <w:numPr>
                <w:ilvl w:val="0"/>
                <w:numId w:val="24"/>
              </w:numPr>
              <w:autoSpaceDE w:val="0"/>
              <w:autoSpaceDN w:val="0"/>
              <w:spacing w:after="0" w:line="264" w:lineRule="auto"/>
              <w:ind w:left="824"/>
              <w:contextualSpacing w:val="0"/>
              <w:rPr>
                <w:rFonts w:eastAsia="Calibri" w:cs="Arial"/>
                <w:lang w:val="en-GB"/>
              </w:rPr>
            </w:pPr>
            <w:r w:rsidRPr="002741FD">
              <w:rPr>
                <w:rFonts w:eastAsia="Calibri" w:cs="Arial"/>
                <w:lang w:val="en-GB"/>
              </w:rPr>
              <w:t>expert advisory group on the development and establishment of the NDIS</w:t>
            </w:r>
          </w:p>
          <w:p w14:paraId="18698BB2" w14:textId="77777777" w:rsidR="00E01837" w:rsidRPr="002741FD" w:rsidRDefault="00E01837" w:rsidP="00E01837">
            <w:pPr>
              <w:pStyle w:val="ListParagraph"/>
              <w:widowControl w:val="0"/>
              <w:numPr>
                <w:ilvl w:val="0"/>
                <w:numId w:val="24"/>
              </w:numPr>
              <w:autoSpaceDE w:val="0"/>
              <w:autoSpaceDN w:val="0"/>
              <w:spacing w:after="0" w:line="264" w:lineRule="auto"/>
              <w:ind w:left="824"/>
              <w:contextualSpacing w:val="0"/>
              <w:rPr>
                <w:rFonts w:eastAsia="Calibri" w:cs="Arial"/>
                <w:lang w:val="en-GB"/>
              </w:rPr>
            </w:pPr>
            <w:r w:rsidRPr="002741FD">
              <w:rPr>
                <w:rFonts w:eastAsia="Calibri" w:cs="Arial"/>
                <w:lang w:val="en-GB"/>
              </w:rPr>
              <w:t xml:space="preserve">NDIS Independent Advisory Council </w:t>
            </w:r>
          </w:p>
          <w:p w14:paraId="2420DFBE" w14:textId="77777777" w:rsidR="00E01837" w:rsidRDefault="00E01837" w:rsidP="00E01837">
            <w:pPr>
              <w:pStyle w:val="TableParagraph"/>
              <w:numPr>
                <w:ilvl w:val="0"/>
                <w:numId w:val="12"/>
              </w:numPr>
              <w:spacing w:line="264" w:lineRule="auto"/>
              <w:ind w:left="360"/>
              <w:rPr>
                <w:rFonts w:ascii="Arial" w:hAnsi="Arial" w:cs="Arial"/>
                <w:sz w:val="24"/>
                <w:szCs w:val="24"/>
                <w:lang w:val="en-GB"/>
              </w:rPr>
            </w:pPr>
            <w:r>
              <w:rPr>
                <w:rFonts w:ascii="Arial" w:hAnsi="Arial" w:cs="Arial"/>
                <w:sz w:val="24"/>
                <w:szCs w:val="24"/>
                <w:lang w:val="en-GB"/>
              </w:rPr>
              <w:t>C</w:t>
            </w:r>
            <w:r w:rsidRPr="002741FD">
              <w:rPr>
                <w:rFonts w:ascii="Arial" w:hAnsi="Arial" w:cs="Arial"/>
                <w:sz w:val="24"/>
                <w:szCs w:val="24"/>
                <w:lang w:val="en-GB"/>
              </w:rPr>
              <w:t>o-chair</w:t>
            </w:r>
            <w:r>
              <w:rPr>
                <w:rFonts w:ascii="Arial" w:hAnsi="Arial" w:cs="Arial"/>
                <w:sz w:val="24"/>
                <w:szCs w:val="24"/>
                <w:lang w:val="en-GB"/>
              </w:rPr>
              <w:t>,</w:t>
            </w:r>
            <w:r w:rsidRPr="002741FD">
              <w:rPr>
                <w:rFonts w:ascii="Arial" w:hAnsi="Arial" w:cs="Arial"/>
                <w:sz w:val="24"/>
                <w:szCs w:val="24"/>
                <w:lang w:val="en-GB"/>
              </w:rPr>
              <w:t xml:space="preserve"> NDIS Working Party on Eligibility and Assessment </w:t>
            </w:r>
          </w:p>
          <w:p w14:paraId="1C3438B8" w14:textId="77777777" w:rsidR="00E01837" w:rsidRDefault="00E01837" w:rsidP="00E01837">
            <w:pPr>
              <w:pStyle w:val="TableParagraph"/>
              <w:numPr>
                <w:ilvl w:val="0"/>
                <w:numId w:val="12"/>
              </w:numPr>
              <w:spacing w:line="264" w:lineRule="auto"/>
              <w:ind w:left="360"/>
              <w:rPr>
                <w:rFonts w:ascii="Arial" w:hAnsi="Arial" w:cs="Arial"/>
                <w:sz w:val="24"/>
                <w:szCs w:val="24"/>
                <w:lang w:val="en-GB"/>
              </w:rPr>
            </w:pPr>
            <w:r>
              <w:rPr>
                <w:rFonts w:ascii="Arial" w:hAnsi="Arial" w:cs="Arial"/>
                <w:sz w:val="24"/>
                <w:szCs w:val="24"/>
                <w:lang w:val="en-GB"/>
              </w:rPr>
              <w:t>P</w:t>
            </w:r>
            <w:r w:rsidRPr="002A349C">
              <w:rPr>
                <w:rFonts w:ascii="Arial" w:hAnsi="Arial" w:cs="Arial"/>
                <w:sz w:val="24"/>
                <w:szCs w:val="24"/>
                <w:lang w:val="en-GB"/>
              </w:rPr>
              <w:t>resident</w:t>
            </w:r>
            <w:r>
              <w:rPr>
                <w:rFonts w:ascii="Arial" w:hAnsi="Arial" w:cs="Arial"/>
                <w:sz w:val="24"/>
                <w:szCs w:val="24"/>
                <w:lang w:val="en-GB"/>
              </w:rPr>
              <w:t>,</w:t>
            </w:r>
            <w:r w:rsidRPr="002A349C">
              <w:rPr>
                <w:rFonts w:ascii="Arial" w:hAnsi="Arial" w:cs="Arial"/>
                <w:sz w:val="24"/>
                <w:szCs w:val="24"/>
                <w:lang w:val="en-GB"/>
              </w:rPr>
              <w:t xml:space="preserve"> National Disability Services </w:t>
            </w:r>
          </w:p>
          <w:p w14:paraId="5EB2F3DE" w14:textId="7A6ADEE5" w:rsidR="00E01837" w:rsidRPr="00BC2330" w:rsidRDefault="00E01837" w:rsidP="00BC2330">
            <w:pPr>
              <w:pStyle w:val="TableParagraph"/>
              <w:numPr>
                <w:ilvl w:val="0"/>
                <w:numId w:val="12"/>
              </w:numPr>
              <w:spacing w:line="264" w:lineRule="auto"/>
              <w:ind w:left="360"/>
              <w:rPr>
                <w:rFonts w:ascii="Arial" w:hAnsi="Arial" w:cs="Arial"/>
                <w:sz w:val="24"/>
                <w:szCs w:val="24"/>
                <w:lang w:val="en-GB"/>
              </w:rPr>
            </w:pPr>
            <w:r>
              <w:rPr>
                <w:rFonts w:ascii="Arial" w:hAnsi="Arial" w:cs="Arial"/>
                <w:sz w:val="24"/>
                <w:szCs w:val="24"/>
                <w:lang w:val="en-GB"/>
              </w:rPr>
              <w:t>C</w:t>
            </w:r>
            <w:r w:rsidRPr="002A349C">
              <w:rPr>
                <w:rFonts w:ascii="Arial" w:hAnsi="Arial" w:cs="Arial"/>
                <w:sz w:val="24"/>
                <w:szCs w:val="24"/>
                <w:lang w:val="en-GB"/>
              </w:rPr>
              <w:t>hair</w:t>
            </w:r>
            <w:r>
              <w:rPr>
                <w:rFonts w:ascii="Arial" w:hAnsi="Arial" w:cs="Arial"/>
                <w:sz w:val="24"/>
                <w:szCs w:val="24"/>
                <w:lang w:val="en-GB"/>
              </w:rPr>
              <w:t>,</w:t>
            </w:r>
            <w:r w:rsidRPr="002A349C">
              <w:rPr>
                <w:rFonts w:ascii="Arial" w:hAnsi="Arial" w:cs="Arial"/>
                <w:sz w:val="24"/>
                <w:szCs w:val="24"/>
                <w:lang w:val="en-GB"/>
              </w:rPr>
              <w:t xml:space="preserve"> Australian Advisory Board on Autism</w:t>
            </w:r>
          </w:p>
        </w:tc>
        <w:tc>
          <w:tcPr>
            <w:tcW w:w="1559" w:type="dxa"/>
            <w:tcBorders>
              <w:top w:val="single" w:sz="4" w:space="0" w:color="656565"/>
              <w:left w:val="single" w:sz="4" w:space="0" w:color="656565"/>
              <w:bottom w:val="single" w:sz="4" w:space="0" w:color="656565"/>
              <w:right w:val="single" w:sz="4" w:space="0" w:color="656565"/>
            </w:tcBorders>
            <w:shd w:val="clear" w:color="auto" w:fill="F7EEF7"/>
          </w:tcPr>
          <w:p w14:paraId="124268A3" w14:textId="77777777" w:rsidR="00E01837" w:rsidRPr="00A33264" w:rsidRDefault="00E01837">
            <w:pPr>
              <w:spacing w:after="0" w:line="264" w:lineRule="auto"/>
              <w:rPr>
                <w:rFonts w:cs="Arial"/>
                <w:lang w:val="en-GB"/>
              </w:rPr>
            </w:pPr>
            <w:r w:rsidRPr="00A33264">
              <w:rPr>
                <w:rFonts w:cs="Arial"/>
                <w:lang w:val="en-GB"/>
              </w:rPr>
              <w:t xml:space="preserve">Board </w:t>
            </w:r>
            <w:r>
              <w:rPr>
                <w:rFonts w:cs="Arial"/>
                <w:lang w:val="en-GB"/>
              </w:rPr>
              <w:t>m</w:t>
            </w:r>
            <w:r w:rsidRPr="00A33264">
              <w:rPr>
                <w:rFonts w:cs="Arial"/>
                <w:lang w:val="en-GB"/>
              </w:rPr>
              <w:t xml:space="preserve">ember / </w:t>
            </w:r>
            <w:r>
              <w:rPr>
                <w:rFonts w:cs="Arial"/>
                <w:lang w:val="en-GB"/>
              </w:rPr>
              <w:t>n</w:t>
            </w:r>
            <w:r w:rsidRPr="00A33264">
              <w:rPr>
                <w:rFonts w:cs="Arial"/>
                <w:lang w:val="en-GB"/>
              </w:rPr>
              <w:t>on-</w:t>
            </w:r>
            <w:r>
              <w:rPr>
                <w:rFonts w:cs="Arial"/>
                <w:lang w:val="en-GB"/>
              </w:rPr>
              <w:t>e</w:t>
            </w:r>
            <w:r w:rsidRPr="00A33264">
              <w:rPr>
                <w:rFonts w:cs="Arial"/>
                <w:lang w:val="en-GB"/>
              </w:rPr>
              <w:t>xecutive</w:t>
            </w:r>
          </w:p>
        </w:tc>
        <w:tc>
          <w:tcPr>
            <w:tcW w:w="1532" w:type="dxa"/>
            <w:tcBorders>
              <w:top w:val="single" w:sz="4" w:space="0" w:color="656565"/>
              <w:left w:val="single" w:sz="4" w:space="0" w:color="656565"/>
              <w:bottom w:val="single" w:sz="4" w:space="0" w:color="656565"/>
              <w:right w:val="single" w:sz="4" w:space="0" w:color="000000"/>
            </w:tcBorders>
            <w:shd w:val="clear" w:color="auto" w:fill="F7EEF7"/>
          </w:tcPr>
          <w:p w14:paraId="18B4F8A7" w14:textId="77777777" w:rsidR="00E01837" w:rsidRPr="00A33264" w:rsidRDefault="00E01837">
            <w:pPr>
              <w:spacing w:after="0" w:line="264" w:lineRule="auto"/>
              <w:rPr>
                <w:rFonts w:cs="Arial"/>
                <w:b/>
                <w:bCs/>
                <w:lang w:val="en-GB"/>
              </w:rPr>
            </w:pPr>
            <w:r w:rsidRPr="00A33264">
              <w:rPr>
                <w:rFonts w:cs="Arial"/>
                <w:lang w:val="en-GB"/>
              </w:rPr>
              <w:t>1 July 2023</w:t>
            </w:r>
          </w:p>
        </w:tc>
        <w:tc>
          <w:tcPr>
            <w:tcW w:w="1532" w:type="dxa"/>
            <w:tcBorders>
              <w:top w:val="single" w:sz="4" w:space="0" w:color="656565"/>
              <w:left w:val="single" w:sz="4" w:space="0" w:color="000000"/>
              <w:bottom w:val="single" w:sz="4" w:space="0" w:color="656565"/>
              <w:right w:val="single" w:sz="4" w:space="0" w:color="000000"/>
            </w:tcBorders>
            <w:shd w:val="clear" w:color="auto" w:fill="F7EEF7"/>
          </w:tcPr>
          <w:p w14:paraId="71B3E46C" w14:textId="77777777" w:rsidR="00E01837" w:rsidRPr="00A33264" w:rsidRDefault="00E01837">
            <w:pPr>
              <w:spacing w:after="0" w:line="264" w:lineRule="auto"/>
              <w:rPr>
                <w:rFonts w:cs="Arial"/>
                <w:b/>
                <w:bCs/>
                <w:lang w:val="en-GB"/>
              </w:rPr>
            </w:pPr>
            <w:r w:rsidRPr="00A33264">
              <w:rPr>
                <w:rFonts w:cs="Arial"/>
                <w:lang w:val="en-GB"/>
              </w:rPr>
              <w:t>30 June 2024</w:t>
            </w:r>
          </w:p>
        </w:tc>
        <w:tc>
          <w:tcPr>
            <w:tcW w:w="1475" w:type="dxa"/>
            <w:tcBorders>
              <w:top w:val="single" w:sz="4" w:space="0" w:color="656565"/>
              <w:left w:val="single" w:sz="4" w:space="0" w:color="000000"/>
              <w:bottom w:val="single" w:sz="4" w:space="0" w:color="656565"/>
              <w:right w:val="single" w:sz="4" w:space="0" w:color="auto"/>
            </w:tcBorders>
            <w:shd w:val="clear" w:color="auto" w:fill="F7EEF7"/>
          </w:tcPr>
          <w:p w14:paraId="1D4F078F" w14:textId="77777777" w:rsidR="00E01837" w:rsidRPr="00A33264" w:rsidRDefault="00E01837">
            <w:pPr>
              <w:spacing w:after="0" w:line="264" w:lineRule="auto"/>
              <w:jc w:val="right"/>
              <w:rPr>
                <w:rFonts w:cs="Arial"/>
                <w:lang w:val="en-GB"/>
              </w:rPr>
            </w:pPr>
            <w:r w:rsidRPr="00A33264">
              <w:rPr>
                <w:rFonts w:cs="Arial"/>
                <w:lang w:val="en-GB"/>
              </w:rPr>
              <w:t>10</w:t>
            </w:r>
          </w:p>
        </w:tc>
      </w:tr>
      <w:tr w:rsidR="00E01837" w:rsidRPr="00A33264" w14:paraId="3C9894D5" w14:textId="77777777" w:rsidTr="006418CC">
        <w:trPr>
          <w:cantSplit/>
          <w:trHeight w:val="520"/>
        </w:trPr>
        <w:tc>
          <w:tcPr>
            <w:tcW w:w="1984" w:type="dxa"/>
            <w:tcBorders>
              <w:top w:val="single" w:sz="4" w:space="0" w:color="656565"/>
              <w:left w:val="single" w:sz="4" w:space="0" w:color="000000"/>
              <w:bottom w:val="single" w:sz="4" w:space="0" w:color="656565"/>
              <w:right w:val="single" w:sz="4" w:space="0" w:color="000000"/>
            </w:tcBorders>
            <w:shd w:val="clear" w:color="auto" w:fill="auto"/>
          </w:tcPr>
          <w:p w14:paraId="201E6F8B" w14:textId="77777777" w:rsidR="00E01837" w:rsidRPr="00A33264" w:rsidRDefault="00E01837">
            <w:pPr>
              <w:spacing w:after="0" w:line="264" w:lineRule="auto"/>
              <w:rPr>
                <w:rFonts w:cs="Arial"/>
                <w:lang w:val="en-GB"/>
              </w:rPr>
            </w:pPr>
            <w:r w:rsidRPr="00A33264">
              <w:rPr>
                <w:rFonts w:cs="Arial"/>
                <w:lang w:val="en-GB"/>
              </w:rPr>
              <w:lastRenderedPageBreak/>
              <w:t>Dr Richard Fejo</w:t>
            </w:r>
          </w:p>
        </w:tc>
        <w:tc>
          <w:tcPr>
            <w:tcW w:w="1976" w:type="dxa"/>
            <w:tcBorders>
              <w:top w:val="single" w:sz="4" w:space="0" w:color="656565"/>
              <w:left w:val="single" w:sz="4" w:space="0" w:color="000000"/>
              <w:bottom w:val="single" w:sz="4" w:space="0" w:color="656565"/>
              <w:right w:val="single" w:sz="4" w:space="0" w:color="000000"/>
            </w:tcBorders>
            <w:shd w:val="clear" w:color="auto" w:fill="auto"/>
          </w:tcPr>
          <w:p w14:paraId="4AA9DBDF" w14:textId="77777777" w:rsidR="00E01837" w:rsidRPr="00A33264" w:rsidRDefault="00E01837">
            <w:pPr>
              <w:spacing w:after="0" w:line="264" w:lineRule="auto"/>
              <w:rPr>
                <w:rFonts w:cs="Arial"/>
                <w:lang w:val="en-GB"/>
              </w:rPr>
            </w:pPr>
            <w:r w:rsidRPr="00A33264">
              <w:rPr>
                <w:rFonts w:cs="Arial"/>
                <w:lang w:val="en-GB"/>
              </w:rPr>
              <w:t>Honorary doctorate, Flinders University</w:t>
            </w:r>
          </w:p>
        </w:tc>
        <w:tc>
          <w:tcPr>
            <w:tcW w:w="3827" w:type="dxa"/>
            <w:tcBorders>
              <w:top w:val="single" w:sz="4" w:space="0" w:color="656565"/>
              <w:left w:val="single" w:sz="4" w:space="0" w:color="000000"/>
              <w:bottom w:val="single" w:sz="4" w:space="0" w:color="656565"/>
              <w:right w:val="single" w:sz="4" w:space="0" w:color="656565"/>
            </w:tcBorders>
            <w:shd w:val="clear" w:color="auto" w:fill="auto"/>
          </w:tcPr>
          <w:p w14:paraId="7164D293" w14:textId="77777777" w:rsidR="00E01837" w:rsidRPr="00A33264" w:rsidRDefault="00E01837" w:rsidP="00E01837">
            <w:pPr>
              <w:pStyle w:val="ListParagraph"/>
              <w:widowControl w:val="0"/>
              <w:numPr>
                <w:ilvl w:val="0"/>
                <w:numId w:val="17"/>
              </w:numPr>
              <w:autoSpaceDE w:val="0"/>
              <w:autoSpaceDN w:val="0"/>
              <w:spacing w:after="0" w:line="264" w:lineRule="auto"/>
              <w:contextualSpacing w:val="0"/>
              <w:rPr>
                <w:rFonts w:cs="Arial"/>
                <w:lang w:val="en-GB"/>
              </w:rPr>
            </w:pPr>
            <w:r w:rsidRPr="00A33264">
              <w:rPr>
                <w:rFonts w:cs="Arial"/>
                <w:lang w:val="en-GB"/>
              </w:rPr>
              <w:t>Chair</w:t>
            </w:r>
            <w:r>
              <w:rPr>
                <w:rFonts w:cs="Arial"/>
                <w:lang w:val="en-GB"/>
              </w:rPr>
              <w:t>,</w:t>
            </w:r>
            <w:r w:rsidRPr="00A33264">
              <w:rPr>
                <w:rFonts w:cs="Arial"/>
                <w:lang w:val="en-GB"/>
              </w:rPr>
              <w:t xml:space="preserve"> Larrakia Nation Aboriginal Corporation</w:t>
            </w:r>
            <w:r>
              <w:rPr>
                <w:rFonts w:cs="Arial"/>
                <w:lang w:val="en-GB"/>
              </w:rPr>
              <w:t>, 2017–2022</w:t>
            </w:r>
          </w:p>
          <w:p w14:paraId="43EF4611" w14:textId="77777777" w:rsidR="00E01837" w:rsidRPr="00A33264" w:rsidRDefault="00E01837" w:rsidP="00E01837">
            <w:pPr>
              <w:pStyle w:val="ListParagraph"/>
              <w:widowControl w:val="0"/>
              <w:numPr>
                <w:ilvl w:val="0"/>
                <w:numId w:val="17"/>
              </w:numPr>
              <w:autoSpaceDE w:val="0"/>
              <w:autoSpaceDN w:val="0"/>
              <w:spacing w:after="0" w:line="264" w:lineRule="auto"/>
              <w:contextualSpacing w:val="0"/>
              <w:rPr>
                <w:rFonts w:cs="Arial"/>
                <w:lang w:val="en-GB"/>
              </w:rPr>
            </w:pPr>
            <w:r w:rsidRPr="00A33264">
              <w:rPr>
                <w:rFonts w:cs="Arial"/>
                <w:lang w:val="en-GB"/>
              </w:rPr>
              <w:t>Vice-President</w:t>
            </w:r>
            <w:r>
              <w:rPr>
                <w:rFonts w:cs="Arial"/>
                <w:lang w:val="en-GB"/>
              </w:rPr>
              <w:t>,</w:t>
            </w:r>
            <w:r w:rsidRPr="00A33264">
              <w:rPr>
                <w:rFonts w:cs="Arial"/>
                <w:lang w:val="en-GB"/>
              </w:rPr>
              <w:t xml:space="preserve"> Darwin Buffaloes Football Club</w:t>
            </w:r>
          </w:p>
          <w:p w14:paraId="4D5FCCF9" w14:textId="77777777" w:rsidR="00E01837" w:rsidRPr="00A33264" w:rsidRDefault="00E01837" w:rsidP="00E01837">
            <w:pPr>
              <w:pStyle w:val="ListParagraph"/>
              <w:widowControl w:val="0"/>
              <w:numPr>
                <w:ilvl w:val="0"/>
                <w:numId w:val="17"/>
              </w:numPr>
              <w:autoSpaceDE w:val="0"/>
              <w:autoSpaceDN w:val="0"/>
              <w:spacing w:after="0" w:line="264" w:lineRule="auto"/>
              <w:contextualSpacing w:val="0"/>
              <w:rPr>
                <w:rFonts w:cs="Arial"/>
                <w:lang w:val="en-GB"/>
              </w:rPr>
            </w:pPr>
            <w:r>
              <w:rPr>
                <w:rFonts w:cs="Arial"/>
                <w:lang w:val="en-GB"/>
              </w:rPr>
              <w:t xml:space="preserve">Member, </w:t>
            </w:r>
            <w:r w:rsidRPr="00A33264">
              <w:rPr>
                <w:rFonts w:cs="Arial"/>
                <w:lang w:val="en-GB"/>
              </w:rPr>
              <w:t>City of Darwin’s International Relations Committee</w:t>
            </w:r>
          </w:p>
          <w:p w14:paraId="6F473B47" w14:textId="77777777" w:rsidR="00E01837" w:rsidRDefault="00E01837" w:rsidP="00E01837">
            <w:pPr>
              <w:pStyle w:val="ListParagraph"/>
              <w:numPr>
                <w:ilvl w:val="0"/>
                <w:numId w:val="17"/>
              </w:numPr>
              <w:spacing w:after="0" w:line="264" w:lineRule="auto"/>
              <w:rPr>
                <w:rFonts w:cs="Arial"/>
                <w:lang w:val="en-GB"/>
              </w:rPr>
            </w:pPr>
            <w:r>
              <w:rPr>
                <w:rFonts w:cs="Arial"/>
                <w:lang w:val="en-GB"/>
              </w:rPr>
              <w:t xml:space="preserve">Chair, </w:t>
            </w:r>
            <w:r w:rsidRPr="004D0D5D">
              <w:rPr>
                <w:rFonts w:cs="Arial"/>
                <w:lang w:val="en-GB"/>
              </w:rPr>
              <w:t xml:space="preserve">National Cultural Educators and </w:t>
            </w:r>
            <w:r>
              <w:rPr>
                <w:rFonts w:cs="Arial"/>
                <w:lang w:val="en-GB"/>
              </w:rPr>
              <w:t xml:space="preserve">Cultural </w:t>
            </w:r>
            <w:r w:rsidRPr="004D0D5D">
              <w:rPr>
                <w:rFonts w:cs="Arial"/>
                <w:lang w:val="en-GB"/>
              </w:rPr>
              <w:t>Mentors Network</w:t>
            </w:r>
          </w:p>
          <w:p w14:paraId="1ABA164B" w14:textId="77777777" w:rsidR="00E01837" w:rsidRDefault="00E01837" w:rsidP="00E01837">
            <w:pPr>
              <w:pStyle w:val="ListParagraph"/>
              <w:widowControl w:val="0"/>
              <w:numPr>
                <w:ilvl w:val="0"/>
                <w:numId w:val="17"/>
              </w:numPr>
              <w:autoSpaceDE w:val="0"/>
              <w:autoSpaceDN w:val="0"/>
              <w:spacing w:after="0" w:line="264" w:lineRule="auto"/>
              <w:contextualSpacing w:val="0"/>
              <w:rPr>
                <w:rFonts w:cs="Arial"/>
                <w:lang w:val="en-GB"/>
              </w:rPr>
            </w:pPr>
            <w:r w:rsidRPr="004D0D5D">
              <w:rPr>
                <w:rFonts w:cs="Arial"/>
                <w:lang w:val="en-GB"/>
              </w:rPr>
              <w:t>Senior Elder on campus</w:t>
            </w:r>
            <w:r>
              <w:rPr>
                <w:rFonts w:cs="Arial"/>
                <w:lang w:val="en-GB"/>
              </w:rPr>
              <w:t>,</w:t>
            </w:r>
            <w:r w:rsidRPr="004D0D5D">
              <w:rPr>
                <w:rFonts w:cs="Arial"/>
                <w:lang w:val="en-GB"/>
              </w:rPr>
              <w:t xml:space="preserve"> Flinders University</w:t>
            </w:r>
          </w:p>
          <w:p w14:paraId="6FF60CB1" w14:textId="77777777" w:rsidR="00E01837" w:rsidRDefault="00E01837" w:rsidP="00E01837">
            <w:pPr>
              <w:pStyle w:val="ListParagraph"/>
              <w:widowControl w:val="0"/>
              <w:numPr>
                <w:ilvl w:val="0"/>
                <w:numId w:val="17"/>
              </w:numPr>
              <w:autoSpaceDE w:val="0"/>
              <w:autoSpaceDN w:val="0"/>
              <w:spacing w:after="0" w:line="264" w:lineRule="auto"/>
              <w:contextualSpacing w:val="0"/>
              <w:rPr>
                <w:rFonts w:cs="Arial"/>
                <w:lang w:val="en-GB"/>
              </w:rPr>
            </w:pPr>
            <w:r w:rsidRPr="004D0D5D">
              <w:rPr>
                <w:rFonts w:cs="Arial"/>
                <w:lang w:val="en-GB"/>
              </w:rPr>
              <w:t>Chair</w:t>
            </w:r>
            <w:r>
              <w:rPr>
                <w:rFonts w:cs="Arial"/>
                <w:lang w:val="en-GB"/>
              </w:rPr>
              <w:t>,</w:t>
            </w:r>
            <w:r w:rsidRPr="004D0D5D">
              <w:rPr>
                <w:rFonts w:cs="Arial"/>
                <w:lang w:val="en-GB"/>
              </w:rPr>
              <w:t xml:space="preserve"> Darwin Waterfront Corporation </w:t>
            </w:r>
          </w:p>
          <w:p w14:paraId="4D51CD26" w14:textId="77777777" w:rsidR="00E01837" w:rsidRPr="004D0D5D" w:rsidRDefault="00E01837" w:rsidP="00E01837">
            <w:pPr>
              <w:pStyle w:val="ListParagraph"/>
              <w:widowControl w:val="0"/>
              <w:numPr>
                <w:ilvl w:val="0"/>
                <w:numId w:val="17"/>
              </w:numPr>
              <w:autoSpaceDE w:val="0"/>
              <w:autoSpaceDN w:val="0"/>
              <w:spacing w:after="0" w:line="264" w:lineRule="auto"/>
              <w:contextualSpacing w:val="0"/>
              <w:rPr>
                <w:rFonts w:cs="Arial"/>
                <w:lang w:val="en-GB"/>
              </w:rPr>
            </w:pPr>
            <w:r w:rsidRPr="004D0D5D">
              <w:rPr>
                <w:rFonts w:cs="Arial"/>
                <w:lang w:val="en-GB"/>
              </w:rPr>
              <w:t>Chair</w:t>
            </w:r>
            <w:r>
              <w:rPr>
                <w:rFonts w:cs="Arial"/>
                <w:lang w:val="en-GB"/>
              </w:rPr>
              <w:t>,</w:t>
            </w:r>
            <w:r w:rsidRPr="004D0D5D">
              <w:rPr>
                <w:rFonts w:cs="Arial"/>
                <w:lang w:val="en-GB"/>
              </w:rPr>
              <w:t xml:space="preserve"> Australia Day Council (NT) </w:t>
            </w:r>
          </w:p>
        </w:tc>
        <w:tc>
          <w:tcPr>
            <w:tcW w:w="1559" w:type="dxa"/>
            <w:tcBorders>
              <w:top w:val="single" w:sz="4" w:space="0" w:color="656565"/>
              <w:left w:val="single" w:sz="4" w:space="0" w:color="656565"/>
              <w:bottom w:val="single" w:sz="4" w:space="0" w:color="656565"/>
              <w:right w:val="single" w:sz="4" w:space="0" w:color="656565"/>
            </w:tcBorders>
            <w:shd w:val="clear" w:color="auto" w:fill="auto"/>
          </w:tcPr>
          <w:p w14:paraId="5638058B" w14:textId="77777777" w:rsidR="00E01837" w:rsidRPr="00A33264" w:rsidRDefault="00E01837">
            <w:pPr>
              <w:spacing w:after="0" w:line="264" w:lineRule="auto"/>
              <w:rPr>
                <w:rFonts w:cs="Arial"/>
                <w:lang w:val="en-GB"/>
              </w:rPr>
            </w:pPr>
            <w:r w:rsidRPr="00A33264">
              <w:rPr>
                <w:rFonts w:cs="Arial"/>
                <w:lang w:val="en-GB"/>
              </w:rPr>
              <w:t xml:space="preserve">Board </w:t>
            </w:r>
            <w:r>
              <w:rPr>
                <w:rFonts w:cs="Arial"/>
                <w:lang w:val="en-GB"/>
              </w:rPr>
              <w:t>m</w:t>
            </w:r>
            <w:r w:rsidRPr="00A33264">
              <w:rPr>
                <w:rFonts w:cs="Arial"/>
                <w:lang w:val="en-GB"/>
              </w:rPr>
              <w:t xml:space="preserve">ember / </w:t>
            </w:r>
            <w:r>
              <w:rPr>
                <w:rFonts w:cs="Arial"/>
                <w:lang w:val="en-GB"/>
              </w:rPr>
              <w:t>n</w:t>
            </w:r>
            <w:r w:rsidRPr="00A33264">
              <w:rPr>
                <w:rFonts w:cs="Arial"/>
                <w:lang w:val="en-GB"/>
              </w:rPr>
              <w:t>on-</w:t>
            </w:r>
            <w:r>
              <w:rPr>
                <w:rFonts w:cs="Arial"/>
                <w:lang w:val="en-GB"/>
              </w:rPr>
              <w:t>e</w:t>
            </w:r>
            <w:r w:rsidRPr="00A33264">
              <w:rPr>
                <w:rFonts w:cs="Arial"/>
                <w:lang w:val="en-GB"/>
              </w:rPr>
              <w:t>xecutive</w:t>
            </w:r>
          </w:p>
        </w:tc>
        <w:tc>
          <w:tcPr>
            <w:tcW w:w="1532" w:type="dxa"/>
            <w:tcBorders>
              <w:top w:val="single" w:sz="4" w:space="0" w:color="656565"/>
              <w:left w:val="single" w:sz="4" w:space="0" w:color="656565"/>
              <w:bottom w:val="single" w:sz="4" w:space="0" w:color="656565"/>
              <w:right w:val="single" w:sz="4" w:space="0" w:color="000000"/>
            </w:tcBorders>
            <w:shd w:val="clear" w:color="auto" w:fill="auto"/>
          </w:tcPr>
          <w:p w14:paraId="3E397E10" w14:textId="77777777" w:rsidR="00E01837" w:rsidRPr="00A33264" w:rsidRDefault="00E01837">
            <w:pPr>
              <w:spacing w:after="0" w:line="264" w:lineRule="auto"/>
              <w:rPr>
                <w:rFonts w:cs="Arial"/>
                <w:lang w:val="en-GB"/>
              </w:rPr>
            </w:pPr>
            <w:r w:rsidRPr="00A33264">
              <w:rPr>
                <w:rFonts w:cs="Arial"/>
                <w:lang w:val="en-GB"/>
              </w:rPr>
              <w:t>1 July 2023</w:t>
            </w:r>
          </w:p>
        </w:tc>
        <w:tc>
          <w:tcPr>
            <w:tcW w:w="1532" w:type="dxa"/>
            <w:tcBorders>
              <w:top w:val="single" w:sz="4" w:space="0" w:color="656565"/>
              <w:left w:val="single" w:sz="4" w:space="0" w:color="000000"/>
              <w:bottom w:val="single" w:sz="4" w:space="0" w:color="656565"/>
              <w:right w:val="single" w:sz="4" w:space="0" w:color="000000"/>
            </w:tcBorders>
            <w:shd w:val="clear" w:color="auto" w:fill="auto"/>
          </w:tcPr>
          <w:p w14:paraId="3EA5FA1D" w14:textId="77777777" w:rsidR="00E01837" w:rsidRPr="00A33264" w:rsidRDefault="00E01837">
            <w:pPr>
              <w:spacing w:after="0" w:line="264" w:lineRule="auto"/>
              <w:rPr>
                <w:rFonts w:cs="Arial"/>
                <w:lang w:val="en-GB"/>
              </w:rPr>
            </w:pPr>
            <w:r w:rsidRPr="00A33264">
              <w:rPr>
                <w:rFonts w:cs="Arial"/>
                <w:lang w:val="en-GB"/>
              </w:rPr>
              <w:t>30 June 2024</w:t>
            </w:r>
          </w:p>
        </w:tc>
        <w:tc>
          <w:tcPr>
            <w:tcW w:w="1475" w:type="dxa"/>
            <w:tcBorders>
              <w:top w:val="single" w:sz="4" w:space="0" w:color="656565"/>
              <w:left w:val="single" w:sz="4" w:space="0" w:color="000000"/>
              <w:bottom w:val="single" w:sz="4" w:space="0" w:color="656565"/>
              <w:right w:val="single" w:sz="4" w:space="0" w:color="auto"/>
            </w:tcBorders>
            <w:shd w:val="clear" w:color="auto" w:fill="auto"/>
          </w:tcPr>
          <w:p w14:paraId="0078FD43" w14:textId="77777777" w:rsidR="00E01837" w:rsidRPr="00A33264" w:rsidRDefault="00E01837">
            <w:pPr>
              <w:spacing w:after="0" w:line="264" w:lineRule="auto"/>
              <w:jc w:val="right"/>
              <w:rPr>
                <w:rFonts w:cs="Arial"/>
                <w:lang w:val="en-GB"/>
              </w:rPr>
            </w:pPr>
            <w:r w:rsidRPr="00A33264">
              <w:rPr>
                <w:rFonts w:cs="Arial"/>
                <w:lang w:val="en-GB"/>
              </w:rPr>
              <w:t>9</w:t>
            </w:r>
          </w:p>
        </w:tc>
      </w:tr>
      <w:tr w:rsidR="00E01837" w:rsidRPr="00A33264" w14:paraId="664C026A" w14:textId="77777777" w:rsidTr="006418CC">
        <w:trPr>
          <w:cantSplit/>
          <w:trHeight w:val="520"/>
        </w:trPr>
        <w:tc>
          <w:tcPr>
            <w:tcW w:w="1984" w:type="dxa"/>
            <w:tcBorders>
              <w:top w:val="single" w:sz="4" w:space="0" w:color="656565"/>
              <w:left w:val="single" w:sz="4" w:space="0" w:color="000000"/>
              <w:bottom w:val="single" w:sz="4" w:space="0" w:color="656565"/>
              <w:right w:val="single" w:sz="4" w:space="0" w:color="000000"/>
            </w:tcBorders>
            <w:shd w:val="clear" w:color="auto" w:fill="F7EEF7"/>
          </w:tcPr>
          <w:p w14:paraId="449290A3" w14:textId="77777777" w:rsidR="00E01837" w:rsidRPr="00A33264" w:rsidRDefault="00E01837">
            <w:pPr>
              <w:spacing w:after="0" w:line="264" w:lineRule="auto"/>
              <w:rPr>
                <w:rFonts w:cs="Arial"/>
                <w:lang w:val="en-GB"/>
              </w:rPr>
            </w:pPr>
            <w:r w:rsidRPr="00A33264">
              <w:rPr>
                <w:rFonts w:cs="Arial"/>
                <w:lang w:val="en-GB"/>
              </w:rPr>
              <w:lastRenderedPageBreak/>
              <w:t>Mr Mark Darras</w:t>
            </w:r>
          </w:p>
        </w:tc>
        <w:tc>
          <w:tcPr>
            <w:tcW w:w="1976" w:type="dxa"/>
            <w:tcBorders>
              <w:top w:val="single" w:sz="4" w:space="0" w:color="656565"/>
              <w:left w:val="single" w:sz="4" w:space="0" w:color="000000"/>
              <w:bottom w:val="single" w:sz="4" w:space="0" w:color="656565"/>
              <w:right w:val="single" w:sz="4" w:space="0" w:color="000000"/>
            </w:tcBorders>
            <w:shd w:val="clear" w:color="auto" w:fill="F7EEF7"/>
          </w:tcPr>
          <w:p w14:paraId="45C399AD" w14:textId="77777777" w:rsidR="00E01837" w:rsidRPr="00A33264" w:rsidRDefault="00E01837">
            <w:pPr>
              <w:spacing w:after="0" w:line="264" w:lineRule="auto"/>
              <w:rPr>
                <w:rFonts w:cs="Arial"/>
                <w:lang w:val="en-GB"/>
              </w:rPr>
            </w:pPr>
            <w:r>
              <w:rPr>
                <w:rFonts w:cs="Arial"/>
                <w:lang w:val="en-GB"/>
              </w:rPr>
              <w:t>BA,</w:t>
            </w:r>
            <w:r w:rsidRPr="008B2E88">
              <w:rPr>
                <w:rFonts w:cs="Arial"/>
                <w:lang w:val="en-GB"/>
              </w:rPr>
              <w:t xml:space="preserve"> </w:t>
            </w:r>
            <w:r>
              <w:rPr>
                <w:rFonts w:cs="Arial"/>
                <w:lang w:val="en-GB"/>
              </w:rPr>
              <w:t>LLB</w:t>
            </w:r>
            <w:r w:rsidRPr="008B2E88">
              <w:rPr>
                <w:rFonts w:cs="Arial"/>
                <w:lang w:val="en-GB"/>
              </w:rPr>
              <w:t xml:space="preserve">, University of Tasmania; </w:t>
            </w:r>
            <w:r>
              <w:rPr>
                <w:rFonts w:cs="Arial"/>
                <w:lang w:val="en-GB"/>
              </w:rPr>
              <w:t>LLM</w:t>
            </w:r>
            <w:r w:rsidRPr="008B2E88">
              <w:rPr>
                <w:rFonts w:cs="Arial"/>
                <w:lang w:val="en-GB"/>
              </w:rPr>
              <w:t xml:space="preserve">, Australian National University; </w:t>
            </w:r>
            <w:r>
              <w:rPr>
                <w:rFonts w:cs="Arial"/>
                <w:lang w:val="en-GB"/>
              </w:rPr>
              <w:t>BEd</w:t>
            </w:r>
            <w:r w:rsidRPr="008B2E88">
              <w:rPr>
                <w:rFonts w:cs="Arial"/>
                <w:lang w:val="en-GB"/>
              </w:rPr>
              <w:t>, University of South Australia</w:t>
            </w:r>
          </w:p>
        </w:tc>
        <w:tc>
          <w:tcPr>
            <w:tcW w:w="3827" w:type="dxa"/>
            <w:tcBorders>
              <w:top w:val="single" w:sz="4" w:space="0" w:color="656565"/>
              <w:left w:val="single" w:sz="4" w:space="0" w:color="000000"/>
              <w:bottom w:val="single" w:sz="4" w:space="0" w:color="656565"/>
              <w:right w:val="single" w:sz="4" w:space="0" w:color="656565"/>
            </w:tcBorders>
            <w:shd w:val="clear" w:color="auto" w:fill="F7EEF7"/>
          </w:tcPr>
          <w:p w14:paraId="7BEB613A" w14:textId="77777777" w:rsidR="00E01837" w:rsidRDefault="00E01837" w:rsidP="00E01837">
            <w:pPr>
              <w:pStyle w:val="ListParagraph"/>
              <w:widowControl w:val="0"/>
              <w:numPr>
                <w:ilvl w:val="0"/>
                <w:numId w:val="18"/>
              </w:numPr>
              <w:autoSpaceDE w:val="0"/>
              <w:autoSpaceDN w:val="0"/>
              <w:spacing w:after="0" w:line="264" w:lineRule="auto"/>
              <w:ind w:left="340" w:hanging="340"/>
              <w:contextualSpacing w:val="0"/>
              <w:rPr>
                <w:rFonts w:eastAsia="Calibri" w:cs="Arial"/>
                <w:lang w:val="en-GB"/>
              </w:rPr>
            </w:pPr>
            <w:r>
              <w:rPr>
                <w:rFonts w:eastAsia="Calibri" w:cs="Arial"/>
                <w:lang w:val="en-GB"/>
              </w:rPr>
              <w:t>C</w:t>
            </w:r>
            <w:r w:rsidRPr="00A33264">
              <w:rPr>
                <w:rFonts w:eastAsia="Calibri" w:cs="Arial"/>
                <w:lang w:val="en-GB"/>
              </w:rPr>
              <w:t xml:space="preserve">orporate lawyer and adviser </w:t>
            </w:r>
          </w:p>
          <w:p w14:paraId="0FFDF70B" w14:textId="77777777" w:rsidR="00E01837" w:rsidRDefault="00E01837" w:rsidP="00E01837">
            <w:pPr>
              <w:pStyle w:val="ListParagraph"/>
              <w:widowControl w:val="0"/>
              <w:numPr>
                <w:ilvl w:val="0"/>
                <w:numId w:val="18"/>
              </w:numPr>
              <w:autoSpaceDE w:val="0"/>
              <w:autoSpaceDN w:val="0"/>
              <w:spacing w:after="0" w:line="264" w:lineRule="auto"/>
              <w:ind w:left="340" w:hanging="340"/>
              <w:contextualSpacing w:val="0"/>
              <w:rPr>
                <w:rFonts w:eastAsia="Calibri" w:cs="Arial"/>
                <w:lang w:val="en-GB"/>
              </w:rPr>
            </w:pPr>
            <w:r>
              <w:rPr>
                <w:rFonts w:eastAsia="Calibri" w:cs="Arial"/>
                <w:lang w:val="en-GB"/>
              </w:rPr>
              <w:t>Board member:</w:t>
            </w:r>
          </w:p>
          <w:p w14:paraId="1CFB15F9" w14:textId="77777777" w:rsidR="00E01837" w:rsidRPr="00A33264" w:rsidRDefault="00E01837" w:rsidP="00E01837">
            <w:pPr>
              <w:pStyle w:val="ListParagraph"/>
              <w:widowControl w:val="0"/>
              <w:numPr>
                <w:ilvl w:val="0"/>
                <w:numId w:val="24"/>
              </w:numPr>
              <w:autoSpaceDE w:val="0"/>
              <w:autoSpaceDN w:val="0"/>
              <w:spacing w:after="0" w:line="264" w:lineRule="auto"/>
              <w:ind w:left="824"/>
              <w:contextualSpacing w:val="0"/>
              <w:rPr>
                <w:rFonts w:eastAsia="Calibri" w:cs="Arial"/>
                <w:lang w:val="en-GB"/>
              </w:rPr>
            </w:pPr>
            <w:r w:rsidRPr="00A33264">
              <w:rPr>
                <w:rFonts w:eastAsia="Calibri" w:cs="Arial"/>
                <w:lang w:val="en-GB"/>
              </w:rPr>
              <w:t>Australia Post</w:t>
            </w:r>
          </w:p>
          <w:p w14:paraId="6786B50A" w14:textId="77777777" w:rsidR="00E01837" w:rsidRPr="00A33264" w:rsidRDefault="00E01837" w:rsidP="00E01837">
            <w:pPr>
              <w:pStyle w:val="ListParagraph"/>
              <w:widowControl w:val="0"/>
              <w:numPr>
                <w:ilvl w:val="0"/>
                <w:numId w:val="24"/>
              </w:numPr>
              <w:autoSpaceDE w:val="0"/>
              <w:autoSpaceDN w:val="0"/>
              <w:spacing w:after="0" w:line="264" w:lineRule="auto"/>
              <w:ind w:left="824"/>
              <w:contextualSpacing w:val="0"/>
              <w:rPr>
                <w:rFonts w:eastAsia="Calibri" w:cs="Arial"/>
                <w:lang w:val="en-GB"/>
              </w:rPr>
            </w:pPr>
            <w:r w:rsidRPr="00A33264">
              <w:rPr>
                <w:rFonts w:eastAsia="Calibri" w:cs="Arial"/>
                <w:lang w:val="en-GB"/>
              </w:rPr>
              <w:t>Australia Post Superannuation</w:t>
            </w:r>
          </w:p>
          <w:p w14:paraId="35DC3AB1" w14:textId="77777777" w:rsidR="00E01837" w:rsidRPr="00A33264" w:rsidRDefault="00E01837" w:rsidP="00E01837">
            <w:pPr>
              <w:pStyle w:val="ListParagraph"/>
              <w:widowControl w:val="0"/>
              <w:numPr>
                <w:ilvl w:val="0"/>
                <w:numId w:val="24"/>
              </w:numPr>
              <w:autoSpaceDE w:val="0"/>
              <w:autoSpaceDN w:val="0"/>
              <w:spacing w:after="0" w:line="264" w:lineRule="auto"/>
              <w:ind w:left="824"/>
              <w:contextualSpacing w:val="0"/>
              <w:rPr>
                <w:rFonts w:eastAsia="Calibri" w:cs="Arial"/>
                <w:lang w:val="en-GB"/>
              </w:rPr>
            </w:pPr>
            <w:r w:rsidRPr="00A33264">
              <w:rPr>
                <w:rFonts w:eastAsia="Calibri" w:cs="Arial"/>
                <w:lang w:val="en-GB"/>
              </w:rPr>
              <w:t>Southern Rural Water Board</w:t>
            </w:r>
          </w:p>
          <w:p w14:paraId="5CC46E04" w14:textId="77777777" w:rsidR="00E01837" w:rsidRPr="00A33264" w:rsidRDefault="00E01837" w:rsidP="00E01837">
            <w:pPr>
              <w:pStyle w:val="ListParagraph"/>
              <w:widowControl w:val="0"/>
              <w:numPr>
                <w:ilvl w:val="0"/>
                <w:numId w:val="24"/>
              </w:numPr>
              <w:autoSpaceDE w:val="0"/>
              <w:autoSpaceDN w:val="0"/>
              <w:spacing w:after="0" w:line="264" w:lineRule="auto"/>
              <w:ind w:left="824"/>
              <w:contextualSpacing w:val="0"/>
              <w:rPr>
                <w:rFonts w:eastAsia="Calibri" w:cs="Arial"/>
                <w:lang w:val="en-GB"/>
              </w:rPr>
            </w:pPr>
            <w:r w:rsidRPr="00A33264">
              <w:rPr>
                <w:rFonts w:eastAsia="Calibri" w:cs="Arial"/>
                <w:lang w:val="en-GB"/>
              </w:rPr>
              <w:t>John Holland Engineering</w:t>
            </w:r>
          </w:p>
          <w:p w14:paraId="76BD87DC" w14:textId="77777777" w:rsidR="00E01837" w:rsidRPr="00A33264" w:rsidRDefault="00E01837" w:rsidP="00E01837">
            <w:pPr>
              <w:pStyle w:val="ListParagraph"/>
              <w:widowControl w:val="0"/>
              <w:numPr>
                <w:ilvl w:val="0"/>
                <w:numId w:val="24"/>
              </w:numPr>
              <w:autoSpaceDE w:val="0"/>
              <w:autoSpaceDN w:val="0"/>
              <w:spacing w:after="0" w:line="264" w:lineRule="auto"/>
              <w:ind w:left="824"/>
              <w:contextualSpacing w:val="0"/>
              <w:rPr>
                <w:rFonts w:eastAsia="Calibri" w:cs="Arial"/>
                <w:lang w:val="en-GB"/>
              </w:rPr>
            </w:pPr>
            <w:r w:rsidRPr="00A33264">
              <w:rPr>
                <w:rFonts w:eastAsia="Calibri" w:cs="Arial"/>
                <w:lang w:val="en-GB"/>
              </w:rPr>
              <w:t>John Holland Queensland</w:t>
            </w:r>
          </w:p>
          <w:p w14:paraId="6011FF27" w14:textId="77777777" w:rsidR="00E01837" w:rsidRPr="00A33264" w:rsidRDefault="00E01837" w:rsidP="00E01837">
            <w:pPr>
              <w:pStyle w:val="ListParagraph"/>
              <w:widowControl w:val="0"/>
              <w:numPr>
                <w:ilvl w:val="0"/>
                <w:numId w:val="24"/>
              </w:numPr>
              <w:autoSpaceDE w:val="0"/>
              <w:autoSpaceDN w:val="0"/>
              <w:spacing w:after="0" w:line="264" w:lineRule="auto"/>
              <w:ind w:left="824"/>
              <w:contextualSpacing w:val="0"/>
              <w:rPr>
                <w:rFonts w:eastAsia="Calibri" w:cs="Arial"/>
                <w:lang w:val="en-GB"/>
              </w:rPr>
            </w:pPr>
            <w:r w:rsidRPr="00A33264">
              <w:rPr>
                <w:rFonts w:eastAsia="Calibri" w:cs="Arial"/>
                <w:lang w:val="en-GB"/>
              </w:rPr>
              <w:t>South Australian Forestry Corporation</w:t>
            </w:r>
          </w:p>
          <w:p w14:paraId="2D765B4D" w14:textId="77777777" w:rsidR="00E01837" w:rsidRPr="00754EDE" w:rsidRDefault="00E01837" w:rsidP="00E01837">
            <w:pPr>
              <w:pStyle w:val="ListParagraph"/>
              <w:widowControl w:val="0"/>
              <w:numPr>
                <w:ilvl w:val="0"/>
                <w:numId w:val="18"/>
              </w:numPr>
              <w:autoSpaceDE w:val="0"/>
              <w:autoSpaceDN w:val="0"/>
              <w:spacing w:after="0" w:line="264" w:lineRule="auto"/>
              <w:ind w:left="340" w:hanging="340"/>
              <w:contextualSpacing w:val="0"/>
              <w:rPr>
                <w:rFonts w:eastAsia="Calibri" w:cs="Arial"/>
                <w:lang w:val="en-GB"/>
              </w:rPr>
            </w:pPr>
            <w:r>
              <w:rPr>
                <w:rFonts w:eastAsia="Calibri" w:cs="Arial"/>
                <w:lang w:val="en-GB"/>
              </w:rPr>
              <w:t>C</w:t>
            </w:r>
            <w:r w:rsidRPr="00D24A04">
              <w:rPr>
                <w:rFonts w:eastAsia="Calibri" w:cs="Arial"/>
                <w:lang w:val="en-GB"/>
              </w:rPr>
              <w:t>hair</w:t>
            </w:r>
            <w:r>
              <w:rPr>
                <w:rFonts w:eastAsia="Calibri" w:cs="Arial"/>
                <w:lang w:val="en-GB"/>
              </w:rPr>
              <w:t>,</w:t>
            </w:r>
            <w:r w:rsidRPr="00D24A04">
              <w:rPr>
                <w:rFonts w:eastAsia="Calibri" w:cs="Arial"/>
                <w:lang w:val="en-GB"/>
              </w:rPr>
              <w:t xml:space="preserve"> Universal Services Management Agency</w:t>
            </w:r>
            <w:r w:rsidRPr="00754EDE">
              <w:rPr>
                <w:rFonts w:eastAsia="Calibri" w:cs="Arial"/>
                <w:lang w:val="en-GB"/>
              </w:rPr>
              <w:t xml:space="preserve"> </w:t>
            </w:r>
          </w:p>
          <w:p w14:paraId="30997489" w14:textId="77777777" w:rsidR="00E01837" w:rsidRPr="00A33264" w:rsidRDefault="00E01837" w:rsidP="00E01837">
            <w:pPr>
              <w:pStyle w:val="ListParagraph"/>
              <w:widowControl w:val="0"/>
              <w:numPr>
                <w:ilvl w:val="0"/>
                <w:numId w:val="18"/>
              </w:numPr>
              <w:autoSpaceDE w:val="0"/>
              <w:autoSpaceDN w:val="0"/>
              <w:spacing w:after="0" w:line="264" w:lineRule="auto"/>
              <w:ind w:left="340" w:hanging="340"/>
              <w:contextualSpacing w:val="0"/>
              <w:rPr>
                <w:lang w:val="en-GB"/>
              </w:rPr>
            </w:pPr>
            <w:r w:rsidRPr="00754EDE">
              <w:rPr>
                <w:rFonts w:eastAsia="Calibri" w:cs="Arial"/>
                <w:lang w:val="en-GB"/>
              </w:rPr>
              <w:t>Member, Australian Takeovers Panel</w:t>
            </w:r>
          </w:p>
        </w:tc>
        <w:tc>
          <w:tcPr>
            <w:tcW w:w="1559" w:type="dxa"/>
            <w:tcBorders>
              <w:top w:val="single" w:sz="4" w:space="0" w:color="656565"/>
              <w:left w:val="single" w:sz="4" w:space="0" w:color="656565"/>
              <w:bottom w:val="single" w:sz="4" w:space="0" w:color="656565"/>
              <w:right w:val="single" w:sz="4" w:space="0" w:color="656565"/>
            </w:tcBorders>
            <w:shd w:val="clear" w:color="auto" w:fill="F7EEF7"/>
          </w:tcPr>
          <w:p w14:paraId="0A188443" w14:textId="77777777" w:rsidR="00E01837" w:rsidRPr="00A33264" w:rsidRDefault="00E01837">
            <w:pPr>
              <w:spacing w:after="0" w:line="264" w:lineRule="auto"/>
              <w:rPr>
                <w:rFonts w:cs="Arial"/>
                <w:lang w:val="en-GB"/>
              </w:rPr>
            </w:pPr>
            <w:r w:rsidRPr="00A33264">
              <w:rPr>
                <w:rFonts w:cs="Arial"/>
                <w:lang w:val="en-GB"/>
              </w:rPr>
              <w:t xml:space="preserve">Board </w:t>
            </w:r>
            <w:r>
              <w:rPr>
                <w:rFonts w:cs="Arial"/>
                <w:lang w:val="en-GB"/>
              </w:rPr>
              <w:t>m</w:t>
            </w:r>
            <w:r w:rsidRPr="00A33264">
              <w:rPr>
                <w:rFonts w:cs="Arial"/>
                <w:lang w:val="en-GB"/>
              </w:rPr>
              <w:t xml:space="preserve">ember / </w:t>
            </w:r>
            <w:r>
              <w:rPr>
                <w:rFonts w:cs="Arial"/>
                <w:lang w:val="en-GB"/>
              </w:rPr>
              <w:t>n</w:t>
            </w:r>
            <w:r w:rsidRPr="00A33264">
              <w:rPr>
                <w:rFonts w:cs="Arial"/>
                <w:lang w:val="en-GB"/>
              </w:rPr>
              <w:t>on-</w:t>
            </w:r>
            <w:r>
              <w:rPr>
                <w:rFonts w:cs="Arial"/>
                <w:lang w:val="en-GB"/>
              </w:rPr>
              <w:t>e</w:t>
            </w:r>
            <w:r w:rsidRPr="00A33264">
              <w:rPr>
                <w:rFonts w:cs="Arial"/>
                <w:lang w:val="en-GB"/>
              </w:rPr>
              <w:t>xecutive</w:t>
            </w:r>
          </w:p>
        </w:tc>
        <w:tc>
          <w:tcPr>
            <w:tcW w:w="1532" w:type="dxa"/>
            <w:tcBorders>
              <w:top w:val="single" w:sz="4" w:space="0" w:color="656565"/>
              <w:left w:val="single" w:sz="4" w:space="0" w:color="656565"/>
              <w:bottom w:val="single" w:sz="4" w:space="0" w:color="656565"/>
              <w:right w:val="single" w:sz="4" w:space="0" w:color="000000"/>
            </w:tcBorders>
            <w:shd w:val="clear" w:color="auto" w:fill="F7EEF7"/>
          </w:tcPr>
          <w:p w14:paraId="6996C5AB" w14:textId="77777777" w:rsidR="00E01837" w:rsidRPr="00A33264" w:rsidRDefault="00E01837">
            <w:pPr>
              <w:spacing w:after="0" w:line="264" w:lineRule="auto"/>
              <w:rPr>
                <w:rFonts w:cs="Arial"/>
                <w:lang w:val="en-GB"/>
              </w:rPr>
            </w:pPr>
            <w:r w:rsidRPr="00A33264">
              <w:rPr>
                <w:rFonts w:cs="Arial"/>
                <w:lang w:val="en-GB"/>
              </w:rPr>
              <w:t>24 November 2023</w:t>
            </w:r>
          </w:p>
        </w:tc>
        <w:tc>
          <w:tcPr>
            <w:tcW w:w="1532" w:type="dxa"/>
            <w:tcBorders>
              <w:top w:val="single" w:sz="4" w:space="0" w:color="656565"/>
              <w:left w:val="single" w:sz="4" w:space="0" w:color="000000"/>
              <w:bottom w:val="single" w:sz="4" w:space="0" w:color="656565"/>
              <w:right w:val="single" w:sz="4" w:space="0" w:color="000000"/>
            </w:tcBorders>
            <w:shd w:val="clear" w:color="auto" w:fill="F7EEF7"/>
          </w:tcPr>
          <w:p w14:paraId="582A2E53" w14:textId="77777777" w:rsidR="00E01837" w:rsidRPr="00A33264" w:rsidRDefault="00E01837">
            <w:pPr>
              <w:spacing w:after="0" w:line="264" w:lineRule="auto"/>
              <w:rPr>
                <w:rFonts w:cs="Arial"/>
                <w:lang w:val="en-GB"/>
              </w:rPr>
            </w:pPr>
            <w:r w:rsidRPr="00A33264">
              <w:rPr>
                <w:rFonts w:cs="Arial"/>
                <w:lang w:val="en-GB"/>
              </w:rPr>
              <w:t>30 June 2024</w:t>
            </w:r>
          </w:p>
        </w:tc>
        <w:tc>
          <w:tcPr>
            <w:tcW w:w="1475" w:type="dxa"/>
            <w:tcBorders>
              <w:top w:val="single" w:sz="4" w:space="0" w:color="656565"/>
              <w:left w:val="single" w:sz="4" w:space="0" w:color="000000"/>
              <w:bottom w:val="single" w:sz="4" w:space="0" w:color="656565"/>
              <w:right w:val="single" w:sz="4" w:space="0" w:color="auto"/>
            </w:tcBorders>
            <w:shd w:val="clear" w:color="auto" w:fill="F7EEF7"/>
          </w:tcPr>
          <w:p w14:paraId="654013FF" w14:textId="77777777" w:rsidR="00E01837" w:rsidRPr="00A33264" w:rsidRDefault="00E01837">
            <w:pPr>
              <w:spacing w:after="0" w:line="264" w:lineRule="auto"/>
              <w:jc w:val="right"/>
              <w:rPr>
                <w:rFonts w:cs="Arial"/>
                <w:lang w:val="en-GB"/>
              </w:rPr>
            </w:pPr>
            <w:r w:rsidRPr="00A33264">
              <w:rPr>
                <w:rFonts w:cs="Arial"/>
                <w:lang w:val="en-GB"/>
              </w:rPr>
              <w:t>4</w:t>
            </w:r>
          </w:p>
        </w:tc>
      </w:tr>
    </w:tbl>
    <w:p w14:paraId="4C47A2FF" w14:textId="77777777" w:rsidR="00392276" w:rsidRPr="00A33264" w:rsidRDefault="00392276" w:rsidP="00D7463A">
      <w:pPr>
        <w:pStyle w:val="Heading4"/>
        <w:rPr>
          <w:highlight w:val="yellow"/>
          <w:lang w:val="en-GB"/>
        </w:rPr>
        <w:sectPr w:rsidR="00392276" w:rsidRPr="00A33264" w:rsidSect="00BC1253">
          <w:footerReference w:type="default" r:id="rId79"/>
          <w:footerReference w:type="first" r:id="rId80"/>
          <w:pgSz w:w="16838" w:h="11906" w:orient="landscape" w:code="9"/>
          <w:pgMar w:top="1361" w:right="1361" w:bottom="1361" w:left="1361" w:header="561" w:footer="374" w:gutter="0"/>
          <w:cols w:space="708"/>
          <w:titlePg/>
          <w:docGrid w:linePitch="360"/>
        </w:sectPr>
      </w:pPr>
    </w:p>
    <w:p w14:paraId="5529B60A" w14:textId="087A0787" w:rsidR="00D7463A" w:rsidRPr="00A33264" w:rsidRDefault="00D7463A" w:rsidP="00D7463A">
      <w:pPr>
        <w:pStyle w:val="Heading4"/>
        <w:rPr>
          <w:lang w:val="en-GB"/>
        </w:rPr>
      </w:pPr>
      <w:r w:rsidRPr="00A33264">
        <w:rPr>
          <w:lang w:val="en-GB"/>
        </w:rPr>
        <w:lastRenderedPageBreak/>
        <w:t>Board committees</w:t>
      </w:r>
      <w:bookmarkEnd w:id="292"/>
    </w:p>
    <w:p w14:paraId="3A3594B4" w14:textId="439D0A36" w:rsidR="00D7463A" w:rsidRPr="00A33264" w:rsidRDefault="0047222D" w:rsidP="00D7463A">
      <w:pPr>
        <w:rPr>
          <w:lang w:val="en-GB"/>
        </w:rPr>
      </w:pPr>
      <w:r w:rsidRPr="00A33264">
        <w:rPr>
          <w:lang w:val="en-GB"/>
        </w:rPr>
        <w:t xml:space="preserve">A number of committees, councils and groups are in place to support the Board in ensuring the NDIA meets its statutory requirements and manages risk. Table </w:t>
      </w:r>
      <w:r w:rsidR="00A27A9C">
        <w:rPr>
          <w:lang w:val="en-GB"/>
        </w:rPr>
        <w:t>4</w:t>
      </w:r>
      <w:r w:rsidRPr="00A33264">
        <w:rPr>
          <w:lang w:val="en-GB"/>
        </w:rPr>
        <w:t xml:space="preserve"> provides the title and role of each committee and its members as at 30 June 2024.</w:t>
      </w:r>
    </w:p>
    <w:p w14:paraId="4B8E57D8" w14:textId="7A9D8212" w:rsidR="0047222D" w:rsidRPr="00A33264" w:rsidRDefault="0047222D" w:rsidP="00D7463A">
      <w:pPr>
        <w:rPr>
          <w:u w:val="single"/>
          <w:lang w:val="en-GB"/>
        </w:rPr>
      </w:pPr>
      <w:r w:rsidRPr="00A33264">
        <w:rPr>
          <w:u w:val="single"/>
          <w:lang w:val="en-GB"/>
        </w:rPr>
        <w:t xml:space="preserve">Table </w:t>
      </w:r>
      <w:r w:rsidR="00A27A9C">
        <w:rPr>
          <w:u w:val="single"/>
          <w:lang w:val="en-GB"/>
        </w:rPr>
        <w:t>4</w:t>
      </w:r>
      <w:r w:rsidRPr="00A33264">
        <w:rPr>
          <w:u w:val="single"/>
          <w:lang w:val="en-GB"/>
        </w:rPr>
        <w:t>: Board committees and members as at 30 June 2024</w:t>
      </w:r>
    </w:p>
    <w:tbl>
      <w:tblPr>
        <w:tblStyle w:val="GridTable4"/>
        <w:tblW w:w="9015" w:type="dxa"/>
        <w:tblCellMar>
          <w:top w:w="28" w:type="dxa"/>
          <w:left w:w="28" w:type="dxa"/>
          <w:bottom w:w="28" w:type="dxa"/>
          <w:right w:w="28" w:type="dxa"/>
        </w:tblCellMar>
        <w:tblLook w:val="0420" w:firstRow="1" w:lastRow="0" w:firstColumn="0" w:lastColumn="0" w:noHBand="0" w:noVBand="1"/>
      </w:tblPr>
      <w:tblGrid>
        <w:gridCol w:w="1838"/>
        <w:gridCol w:w="4678"/>
        <w:gridCol w:w="2499"/>
      </w:tblGrid>
      <w:tr w:rsidR="0047222D" w:rsidRPr="00A33264" w14:paraId="1080A7B0" w14:textId="77777777" w:rsidTr="003752D4">
        <w:trPr>
          <w:cnfStyle w:val="100000000000" w:firstRow="1" w:lastRow="0" w:firstColumn="0" w:lastColumn="0" w:oddVBand="0" w:evenVBand="0" w:oddHBand="0" w:evenHBand="0" w:firstRowFirstColumn="0" w:firstRowLastColumn="0" w:lastRowFirstColumn="0" w:lastRowLastColumn="0"/>
          <w:cantSplit/>
        </w:trPr>
        <w:tc>
          <w:tcPr>
            <w:tcW w:w="1838" w:type="dxa"/>
            <w:tcBorders>
              <w:top w:val="single" w:sz="4" w:space="0" w:color="6B2876" w:themeColor="text1"/>
              <w:bottom w:val="single" w:sz="4" w:space="0" w:color="6B2876" w:themeColor="text1"/>
            </w:tcBorders>
            <w:vAlign w:val="center"/>
          </w:tcPr>
          <w:p w14:paraId="50B89C3B" w14:textId="7725EE16" w:rsidR="0047222D" w:rsidRPr="00A33264" w:rsidRDefault="0047222D">
            <w:pPr>
              <w:pStyle w:val="TableBody"/>
              <w:rPr>
                <w:lang w:val="en-GB"/>
              </w:rPr>
            </w:pPr>
            <w:bookmarkStart w:id="293" w:name="ColumnTitle_Table4"/>
            <w:bookmarkEnd w:id="293"/>
            <w:r w:rsidRPr="00A33264">
              <w:rPr>
                <w:lang w:val="en-GB"/>
              </w:rPr>
              <w:t>Committee</w:t>
            </w:r>
          </w:p>
        </w:tc>
        <w:tc>
          <w:tcPr>
            <w:tcW w:w="4678" w:type="dxa"/>
            <w:tcBorders>
              <w:top w:val="single" w:sz="4" w:space="0" w:color="6B2876" w:themeColor="text1"/>
              <w:bottom w:val="single" w:sz="4" w:space="0" w:color="6B2876" w:themeColor="text1"/>
            </w:tcBorders>
            <w:vAlign w:val="center"/>
          </w:tcPr>
          <w:p w14:paraId="554E64EA" w14:textId="5AD8FEFE" w:rsidR="0047222D" w:rsidRPr="00A33264" w:rsidRDefault="0047222D">
            <w:pPr>
              <w:pStyle w:val="TableBody"/>
              <w:rPr>
                <w:lang w:val="en-GB"/>
              </w:rPr>
            </w:pPr>
            <w:r w:rsidRPr="00A33264">
              <w:rPr>
                <w:lang w:val="en-GB"/>
              </w:rPr>
              <w:t>Role</w:t>
            </w:r>
          </w:p>
        </w:tc>
        <w:tc>
          <w:tcPr>
            <w:tcW w:w="2499" w:type="dxa"/>
            <w:tcBorders>
              <w:top w:val="single" w:sz="4" w:space="0" w:color="6B2876" w:themeColor="text1"/>
              <w:bottom w:val="single" w:sz="4" w:space="0" w:color="6B2876" w:themeColor="text1"/>
            </w:tcBorders>
          </w:tcPr>
          <w:p w14:paraId="3B824AE9" w14:textId="7F422F81" w:rsidR="0047222D" w:rsidRPr="00A33264" w:rsidRDefault="0047222D" w:rsidP="0047222D">
            <w:pPr>
              <w:pStyle w:val="TableBody"/>
              <w:rPr>
                <w:lang w:val="en-GB"/>
              </w:rPr>
            </w:pPr>
            <w:r w:rsidRPr="00A33264">
              <w:rPr>
                <w:lang w:val="en-GB"/>
              </w:rPr>
              <w:t>Members</w:t>
            </w:r>
          </w:p>
        </w:tc>
      </w:tr>
      <w:tr w:rsidR="0047222D" w:rsidRPr="00A33264" w14:paraId="22E348F5" w14:textId="77777777" w:rsidTr="0047222D">
        <w:trPr>
          <w:cnfStyle w:val="000000100000" w:firstRow="0" w:lastRow="0" w:firstColumn="0" w:lastColumn="0" w:oddVBand="0" w:evenVBand="0" w:oddHBand="1" w:evenHBand="0" w:firstRowFirstColumn="0" w:firstRowLastColumn="0" w:lastRowFirstColumn="0" w:lastRowLastColumn="0"/>
          <w:cantSplit/>
        </w:trPr>
        <w:tc>
          <w:tcPr>
            <w:tcW w:w="1838" w:type="dxa"/>
          </w:tcPr>
          <w:p w14:paraId="4965544E" w14:textId="4C118EF6" w:rsidR="0047222D" w:rsidRPr="00A33264" w:rsidRDefault="0047222D" w:rsidP="0047222D">
            <w:pPr>
              <w:pStyle w:val="TableBody"/>
              <w:rPr>
                <w:lang w:val="en-GB"/>
              </w:rPr>
            </w:pPr>
            <w:r w:rsidRPr="00A33264">
              <w:rPr>
                <w:lang w:val="en-GB"/>
              </w:rPr>
              <w:t>Audit and Risk Committee</w:t>
            </w:r>
          </w:p>
        </w:tc>
        <w:tc>
          <w:tcPr>
            <w:tcW w:w="4678" w:type="dxa"/>
          </w:tcPr>
          <w:p w14:paraId="58A64F9A" w14:textId="528D63D7" w:rsidR="0047222D" w:rsidRPr="00A33264" w:rsidRDefault="00E74040" w:rsidP="0047222D">
            <w:pPr>
              <w:spacing w:after="120"/>
              <w:rPr>
                <w:lang w:val="en-GB"/>
              </w:rPr>
            </w:pPr>
            <w:r w:rsidRPr="00A33264">
              <w:rPr>
                <w:lang w:val="en-GB"/>
              </w:rPr>
              <w:t>P</w:t>
            </w:r>
            <w:r w:rsidR="0047222D" w:rsidRPr="00A33264">
              <w:rPr>
                <w:lang w:val="en-GB"/>
              </w:rPr>
              <w:t xml:space="preserve">rovides independent advice and assurance to the Board, as the </w:t>
            </w:r>
            <w:r w:rsidR="00BF7483">
              <w:rPr>
                <w:lang w:val="en-GB"/>
              </w:rPr>
              <w:t>NDIA</w:t>
            </w:r>
            <w:r w:rsidR="00BF7483" w:rsidRPr="00A33264">
              <w:rPr>
                <w:lang w:val="en-GB"/>
              </w:rPr>
              <w:t xml:space="preserve">’s </w:t>
            </w:r>
            <w:r w:rsidR="0047222D" w:rsidRPr="00A33264">
              <w:rPr>
                <w:lang w:val="en-GB"/>
              </w:rPr>
              <w:t>accountable authority, in accordance with</w:t>
            </w:r>
            <w:r w:rsidR="00BF7483">
              <w:rPr>
                <w:lang w:val="en-GB"/>
              </w:rPr>
              <w:t xml:space="preserve"> the</w:t>
            </w:r>
            <w:r w:rsidR="0047222D" w:rsidRPr="00A33264">
              <w:rPr>
                <w:lang w:val="en-GB"/>
              </w:rPr>
              <w:t xml:space="preserve">: </w:t>
            </w:r>
          </w:p>
          <w:p w14:paraId="7F48B7C9" w14:textId="64BDB1CF" w:rsidR="0047222D" w:rsidRPr="00A33264" w:rsidRDefault="0047222D" w:rsidP="005A19CA">
            <w:pPr>
              <w:pStyle w:val="Tablebullet"/>
            </w:pPr>
            <w:r w:rsidRPr="00A33264">
              <w:t>PGPA Act</w:t>
            </w:r>
          </w:p>
          <w:p w14:paraId="23BF88FE" w14:textId="6992EB1D" w:rsidR="0047222D" w:rsidRPr="00A33264" w:rsidRDefault="0047222D" w:rsidP="005A19CA">
            <w:pPr>
              <w:pStyle w:val="Tablebullet"/>
            </w:pPr>
            <w:r w:rsidRPr="00A33264">
              <w:t>PGPA Rule</w:t>
            </w:r>
          </w:p>
          <w:p w14:paraId="05F72C34" w14:textId="5D8C0882" w:rsidR="0047222D" w:rsidRPr="00A33264" w:rsidRDefault="0047222D" w:rsidP="005A19CA">
            <w:pPr>
              <w:pStyle w:val="Tablebullet"/>
            </w:pPr>
            <w:r w:rsidRPr="00A33264">
              <w:t>NDIS Act</w:t>
            </w:r>
          </w:p>
          <w:p w14:paraId="766775A5" w14:textId="76644C74" w:rsidR="0047222D" w:rsidRPr="00A33264" w:rsidRDefault="0047222D" w:rsidP="005A19CA">
            <w:pPr>
              <w:pStyle w:val="Tablebullet"/>
            </w:pPr>
            <w:r w:rsidRPr="00A33264">
              <w:rPr>
                <w:i/>
                <w:iCs/>
              </w:rPr>
              <w:t>National Disability Insurance Scheme</w:t>
            </w:r>
            <w:r w:rsidR="00E74040" w:rsidRPr="00A33264">
              <w:rPr>
                <w:i/>
                <w:iCs/>
              </w:rPr>
              <w:t xml:space="preserve"> – </w:t>
            </w:r>
            <w:r w:rsidRPr="00A33264">
              <w:rPr>
                <w:i/>
                <w:iCs/>
              </w:rPr>
              <w:t>Risk</w:t>
            </w:r>
            <w:r w:rsidR="00E74040" w:rsidRPr="00A33264">
              <w:rPr>
                <w:i/>
                <w:iCs/>
              </w:rPr>
              <w:t xml:space="preserve"> </w:t>
            </w:r>
            <w:r w:rsidRPr="00A33264">
              <w:rPr>
                <w:i/>
                <w:iCs/>
              </w:rPr>
              <w:t>Management Rules 2013</w:t>
            </w:r>
            <w:r w:rsidRPr="00A33264">
              <w:t>.</w:t>
            </w:r>
          </w:p>
          <w:p w14:paraId="7A1921F7" w14:textId="602F5B7C" w:rsidR="0047222D" w:rsidRPr="00A33264" w:rsidRDefault="0047222D" w:rsidP="0047222D">
            <w:pPr>
              <w:spacing w:after="120"/>
              <w:rPr>
                <w:lang w:val="en-GB"/>
              </w:rPr>
            </w:pPr>
            <w:r w:rsidRPr="00A33264">
              <w:rPr>
                <w:lang w:val="en-GB"/>
              </w:rPr>
              <w:t xml:space="preserve">The </w:t>
            </w:r>
            <w:r w:rsidR="00E74040" w:rsidRPr="00A33264">
              <w:rPr>
                <w:lang w:val="en-GB"/>
              </w:rPr>
              <w:t>c</w:t>
            </w:r>
            <w:r w:rsidRPr="00A33264">
              <w:rPr>
                <w:lang w:val="en-GB"/>
              </w:rPr>
              <w:t>ommittee</w:t>
            </w:r>
            <w:r w:rsidR="00E74040" w:rsidRPr="00A33264">
              <w:rPr>
                <w:lang w:val="en-GB"/>
              </w:rPr>
              <w:t xml:space="preserve"> also</w:t>
            </w:r>
            <w:r w:rsidRPr="00A33264">
              <w:rPr>
                <w:lang w:val="en-GB"/>
              </w:rPr>
              <w:t xml:space="preserve"> review</w:t>
            </w:r>
            <w:r w:rsidR="00E74040" w:rsidRPr="00A33264">
              <w:rPr>
                <w:lang w:val="en-GB"/>
              </w:rPr>
              <w:t>s</w:t>
            </w:r>
            <w:r w:rsidRPr="00A33264">
              <w:rPr>
                <w:lang w:val="en-GB"/>
              </w:rPr>
              <w:t xml:space="preserve"> and provide</w:t>
            </w:r>
            <w:r w:rsidR="00E74040" w:rsidRPr="00A33264">
              <w:rPr>
                <w:lang w:val="en-GB"/>
              </w:rPr>
              <w:t>s</w:t>
            </w:r>
            <w:r w:rsidRPr="00A33264">
              <w:rPr>
                <w:lang w:val="en-GB"/>
              </w:rPr>
              <w:t xml:space="preserve"> advice to the Board on the appropriateness of the </w:t>
            </w:r>
            <w:r w:rsidR="00207674">
              <w:rPr>
                <w:lang w:val="en-GB"/>
              </w:rPr>
              <w:t>NDIA</w:t>
            </w:r>
            <w:r w:rsidR="00207674" w:rsidRPr="00A33264">
              <w:rPr>
                <w:lang w:val="en-GB"/>
              </w:rPr>
              <w:t>’s</w:t>
            </w:r>
            <w:r w:rsidRPr="00A33264">
              <w:rPr>
                <w:lang w:val="en-GB"/>
              </w:rPr>
              <w:t>:</w:t>
            </w:r>
          </w:p>
          <w:p w14:paraId="3138F7A5" w14:textId="77777777" w:rsidR="0047222D" w:rsidRPr="00A33264" w:rsidRDefault="0047222D" w:rsidP="005A19CA">
            <w:pPr>
              <w:pStyle w:val="Tablebullet"/>
            </w:pPr>
            <w:r w:rsidRPr="00A33264">
              <w:t xml:space="preserve">financial reporting </w:t>
            </w:r>
          </w:p>
          <w:p w14:paraId="7181329B" w14:textId="77777777" w:rsidR="0047222D" w:rsidRPr="00A33264" w:rsidRDefault="0047222D" w:rsidP="005A19CA">
            <w:pPr>
              <w:pStyle w:val="Tablebullet"/>
            </w:pPr>
            <w:r w:rsidRPr="00A33264">
              <w:t xml:space="preserve">performance reporting </w:t>
            </w:r>
          </w:p>
          <w:p w14:paraId="047F50F5" w14:textId="4F00E8A8" w:rsidR="0047222D" w:rsidRPr="00A33264" w:rsidRDefault="0047222D" w:rsidP="005A19CA">
            <w:pPr>
              <w:pStyle w:val="Tablebullet"/>
            </w:pPr>
            <w:r w:rsidRPr="00A33264">
              <w:t>systems of risk oversight and management</w:t>
            </w:r>
            <w:r w:rsidR="00207674">
              <w:t>,</w:t>
            </w:r>
            <w:r w:rsidRPr="00A33264">
              <w:t xml:space="preserve"> including </w:t>
            </w:r>
            <w:r w:rsidR="00207674">
              <w:t xml:space="preserve">for </w:t>
            </w:r>
            <w:r w:rsidRPr="00A33264">
              <w:t>fraud, legal, safety and security risk</w:t>
            </w:r>
          </w:p>
          <w:p w14:paraId="2351892B" w14:textId="77777777" w:rsidR="0047222D" w:rsidRPr="00A33264" w:rsidRDefault="0047222D" w:rsidP="005A19CA">
            <w:pPr>
              <w:pStyle w:val="Tablebullet"/>
            </w:pPr>
            <w:r w:rsidRPr="00A33264">
              <w:t>systems of internal control.</w:t>
            </w:r>
          </w:p>
          <w:p w14:paraId="4F600CFA" w14:textId="3FCF8265" w:rsidR="000A7DDD" w:rsidRPr="000A7DDD" w:rsidRDefault="0047222D" w:rsidP="00C54B3A">
            <w:pPr>
              <w:pStyle w:val="TableBody"/>
              <w:spacing w:before="120" w:after="120"/>
              <w:rPr>
                <w:lang w:val="en-GB"/>
              </w:rPr>
            </w:pPr>
            <w:r w:rsidRPr="00A33264">
              <w:rPr>
                <w:lang w:val="en-GB"/>
              </w:rPr>
              <w:t>The Australian National Audit Office attends Audit and Risk Committee meetings as the NDIA’s external auditor.</w:t>
            </w:r>
          </w:p>
        </w:tc>
        <w:tc>
          <w:tcPr>
            <w:tcW w:w="2499" w:type="dxa"/>
          </w:tcPr>
          <w:p w14:paraId="6EE89904" w14:textId="77777777" w:rsidR="0047222D" w:rsidRPr="00A33264" w:rsidRDefault="0047222D" w:rsidP="0047222D">
            <w:pPr>
              <w:spacing w:after="120"/>
              <w:rPr>
                <w:lang w:val="en-GB"/>
              </w:rPr>
            </w:pPr>
            <w:r w:rsidRPr="00A33264">
              <w:rPr>
                <w:lang w:val="en-GB"/>
              </w:rPr>
              <w:t>Dr Graeme Innes AM</w:t>
            </w:r>
            <w:r w:rsidRPr="00A33264" w:rsidDel="0002436D">
              <w:rPr>
                <w:lang w:val="en-GB"/>
              </w:rPr>
              <w:t xml:space="preserve"> </w:t>
            </w:r>
            <w:r w:rsidRPr="00A33264">
              <w:rPr>
                <w:lang w:val="en-GB"/>
              </w:rPr>
              <w:t>(Chair)</w:t>
            </w:r>
          </w:p>
          <w:p w14:paraId="6C431FBE" w14:textId="77777777" w:rsidR="0047222D" w:rsidRPr="00A33264" w:rsidRDefault="0047222D" w:rsidP="0047222D">
            <w:pPr>
              <w:spacing w:after="120"/>
              <w:rPr>
                <w:lang w:val="en-GB"/>
              </w:rPr>
            </w:pPr>
            <w:r w:rsidRPr="00A33264">
              <w:rPr>
                <w:lang w:val="en-GB"/>
              </w:rPr>
              <w:t xml:space="preserve">Ms Maryanne Diamond AO (Deputy Chair) </w:t>
            </w:r>
          </w:p>
          <w:p w14:paraId="6625AE70" w14:textId="77777777" w:rsidR="0047222D" w:rsidRPr="00A33264" w:rsidRDefault="0047222D" w:rsidP="0047222D">
            <w:pPr>
              <w:spacing w:after="120"/>
              <w:rPr>
                <w:lang w:val="en-GB"/>
              </w:rPr>
            </w:pPr>
            <w:r w:rsidRPr="00A33264">
              <w:rPr>
                <w:lang w:val="en-GB"/>
              </w:rPr>
              <w:t>Ms Meredith Allan</w:t>
            </w:r>
          </w:p>
          <w:p w14:paraId="5E71984B" w14:textId="77777777" w:rsidR="00D24A04" w:rsidRDefault="0047222D" w:rsidP="0047222D">
            <w:pPr>
              <w:spacing w:after="120"/>
              <w:rPr>
                <w:lang w:val="en-GB"/>
              </w:rPr>
            </w:pPr>
            <w:r w:rsidRPr="00A33264">
              <w:rPr>
                <w:lang w:val="en-GB"/>
              </w:rPr>
              <w:t>Mr Mark Darras</w:t>
            </w:r>
            <w:r w:rsidRPr="00A33264" w:rsidDel="004A5482">
              <w:rPr>
                <w:lang w:val="en-GB"/>
              </w:rPr>
              <w:t xml:space="preserve"> </w:t>
            </w:r>
          </w:p>
          <w:p w14:paraId="4EA1E69D" w14:textId="4EA65758" w:rsidR="0047222D" w:rsidRPr="00A33264" w:rsidRDefault="0047222D" w:rsidP="0047222D">
            <w:pPr>
              <w:spacing w:after="120"/>
              <w:rPr>
                <w:lang w:val="en-GB"/>
              </w:rPr>
            </w:pPr>
            <w:r w:rsidRPr="00A33264">
              <w:rPr>
                <w:lang w:val="en-GB"/>
              </w:rPr>
              <w:t>Dr Denis Napthine AO</w:t>
            </w:r>
          </w:p>
          <w:p w14:paraId="32DEA817" w14:textId="3418EC67" w:rsidR="0047222D" w:rsidRPr="00A33264" w:rsidRDefault="0047222D" w:rsidP="0047222D">
            <w:pPr>
              <w:pStyle w:val="TableBody"/>
              <w:spacing w:before="120" w:after="120"/>
              <w:rPr>
                <w:lang w:val="en-GB"/>
              </w:rPr>
            </w:pPr>
            <w:r w:rsidRPr="00A33264">
              <w:rPr>
                <w:lang w:val="en-GB"/>
              </w:rPr>
              <w:t>Dr Ian Watt AC (Specialist Advisor)</w:t>
            </w:r>
            <w:r w:rsidRPr="00A33264" w:rsidDel="00C574F7">
              <w:rPr>
                <w:lang w:val="en-GB"/>
              </w:rPr>
              <w:t xml:space="preserve"> </w:t>
            </w:r>
          </w:p>
        </w:tc>
      </w:tr>
      <w:tr w:rsidR="0047222D" w:rsidRPr="00A33264" w14:paraId="74AD9B51" w14:textId="77777777" w:rsidTr="0047222D">
        <w:trPr>
          <w:cantSplit/>
        </w:trPr>
        <w:tc>
          <w:tcPr>
            <w:tcW w:w="1838" w:type="dxa"/>
            <w:shd w:val="clear" w:color="auto" w:fill="auto"/>
          </w:tcPr>
          <w:p w14:paraId="220FB066" w14:textId="219BDBD8" w:rsidR="0047222D" w:rsidRPr="00A33264" w:rsidRDefault="0047222D" w:rsidP="0047222D">
            <w:pPr>
              <w:pStyle w:val="TableBody"/>
              <w:spacing w:before="120" w:after="120"/>
              <w:rPr>
                <w:lang w:val="en-GB"/>
              </w:rPr>
            </w:pPr>
            <w:r w:rsidRPr="00A33264">
              <w:rPr>
                <w:lang w:val="en-GB"/>
              </w:rPr>
              <w:t>Sustainability Committee</w:t>
            </w:r>
          </w:p>
        </w:tc>
        <w:tc>
          <w:tcPr>
            <w:tcW w:w="4678" w:type="dxa"/>
          </w:tcPr>
          <w:p w14:paraId="4EEEFA77" w14:textId="13D59258" w:rsidR="0047222D" w:rsidRPr="00A33264" w:rsidRDefault="00E74040" w:rsidP="0047222D">
            <w:pPr>
              <w:pStyle w:val="TableBody"/>
              <w:spacing w:before="120" w:after="120"/>
              <w:rPr>
                <w:lang w:val="en-GB"/>
              </w:rPr>
            </w:pPr>
            <w:r w:rsidRPr="00A33264">
              <w:rPr>
                <w:lang w:val="en-GB"/>
              </w:rPr>
              <w:t>P</w:t>
            </w:r>
            <w:r w:rsidR="0047222D" w:rsidRPr="00A33264">
              <w:rPr>
                <w:lang w:val="en-GB"/>
              </w:rPr>
              <w:t xml:space="preserve">rovides advice on assessing, monitoring, reporting on and managing the financial sustainability of the </w:t>
            </w:r>
            <w:r w:rsidR="00880C4D">
              <w:rPr>
                <w:lang w:val="en-GB"/>
              </w:rPr>
              <w:t>NDIS</w:t>
            </w:r>
            <w:r w:rsidR="0047222D" w:rsidRPr="00A33264">
              <w:rPr>
                <w:lang w:val="en-GB"/>
              </w:rPr>
              <w:t>.</w:t>
            </w:r>
          </w:p>
        </w:tc>
        <w:tc>
          <w:tcPr>
            <w:tcW w:w="2499" w:type="dxa"/>
          </w:tcPr>
          <w:p w14:paraId="070CB418" w14:textId="77777777" w:rsidR="0047222D" w:rsidRPr="00A33264" w:rsidRDefault="0047222D" w:rsidP="0047222D">
            <w:pPr>
              <w:spacing w:after="120"/>
              <w:rPr>
                <w:lang w:val="en-GB"/>
              </w:rPr>
            </w:pPr>
            <w:r w:rsidRPr="00A33264">
              <w:rPr>
                <w:lang w:val="en-GB"/>
              </w:rPr>
              <w:t>Ms Estelle Pearson (Chair)</w:t>
            </w:r>
          </w:p>
          <w:p w14:paraId="0D65B6A4" w14:textId="77777777" w:rsidR="0047222D" w:rsidRPr="00A33264" w:rsidRDefault="0047222D" w:rsidP="0047222D">
            <w:pPr>
              <w:spacing w:after="120"/>
              <w:rPr>
                <w:lang w:val="en-GB"/>
              </w:rPr>
            </w:pPr>
            <w:r w:rsidRPr="00A33264">
              <w:rPr>
                <w:lang w:val="en-GB"/>
              </w:rPr>
              <w:t>Mr Kurt Fearnley AO</w:t>
            </w:r>
          </w:p>
          <w:p w14:paraId="3339CE98" w14:textId="77777777" w:rsidR="00207674" w:rsidRDefault="0047222D" w:rsidP="0047222D">
            <w:pPr>
              <w:spacing w:after="120"/>
              <w:rPr>
                <w:lang w:val="en-GB"/>
              </w:rPr>
            </w:pPr>
            <w:r w:rsidRPr="00A33264">
              <w:rPr>
                <w:lang w:val="en-GB"/>
              </w:rPr>
              <w:t xml:space="preserve">Ms Leah van Poppel </w:t>
            </w:r>
          </w:p>
          <w:p w14:paraId="121C74B8" w14:textId="59E7F89F" w:rsidR="0047222D" w:rsidRPr="00A33264" w:rsidRDefault="0047222D" w:rsidP="0047222D">
            <w:pPr>
              <w:spacing w:after="120"/>
              <w:rPr>
                <w:lang w:val="en-GB"/>
              </w:rPr>
            </w:pPr>
            <w:r w:rsidRPr="00A33264">
              <w:rPr>
                <w:lang w:val="en-GB"/>
              </w:rPr>
              <w:t>Dr Peta Seaton AM</w:t>
            </w:r>
          </w:p>
          <w:p w14:paraId="410B9706" w14:textId="68B660BA" w:rsidR="0047222D" w:rsidRPr="00A33264" w:rsidRDefault="0047222D" w:rsidP="0047222D">
            <w:pPr>
              <w:pStyle w:val="TableBody"/>
              <w:spacing w:before="120" w:after="120"/>
              <w:rPr>
                <w:lang w:val="en-GB"/>
              </w:rPr>
            </w:pPr>
            <w:r w:rsidRPr="00A33264">
              <w:rPr>
                <w:lang w:val="en-GB"/>
              </w:rPr>
              <w:t>Ms Maryanne Diamond AO</w:t>
            </w:r>
          </w:p>
        </w:tc>
      </w:tr>
      <w:tr w:rsidR="0047222D" w:rsidRPr="00A33264" w14:paraId="4170B1F0" w14:textId="77777777" w:rsidTr="0047222D">
        <w:trPr>
          <w:cnfStyle w:val="000000100000" w:firstRow="0" w:lastRow="0" w:firstColumn="0" w:lastColumn="0" w:oddVBand="0" w:evenVBand="0" w:oddHBand="1" w:evenHBand="0" w:firstRowFirstColumn="0" w:firstRowLastColumn="0" w:lastRowFirstColumn="0" w:lastRowLastColumn="0"/>
          <w:cantSplit/>
        </w:trPr>
        <w:tc>
          <w:tcPr>
            <w:tcW w:w="1838" w:type="dxa"/>
          </w:tcPr>
          <w:p w14:paraId="263FF67C" w14:textId="531D9DB4" w:rsidR="0047222D" w:rsidRPr="00A33264" w:rsidRDefault="0047222D" w:rsidP="0047222D">
            <w:pPr>
              <w:pStyle w:val="TableBody"/>
              <w:spacing w:before="120" w:after="120"/>
              <w:rPr>
                <w:lang w:val="en-GB"/>
              </w:rPr>
            </w:pPr>
            <w:r w:rsidRPr="00A33264">
              <w:rPr>
                <w:lang w:val="en-GB"/>
              </w:rPr>
              <w:lastRenderedPageBreak/>
              <w:t>Strategic Direction and Participant Outcomes Committee</w:t>
            </w:r>
          </w:p>
        </w:tc>
        <w:tc>
          <w:tcPr>
            <w:tcW w:w="4678" w:type="dxa"/>
          </w:tcPr>
          <w:p w14:paraId="7EDFBDF9" w14:textId="035BFBD6" w:rsidR="0047222D" w:rsidRPr="00A33264" w:rsidRDefault="00E74040" w:rsidP="0047222D">
            <w:pPr>
              <w:pStyle w:val="TableBody"/>
              <w:spacing w:before="120" w:after="120"/>
              <w:rPr>
                <w:lang w:val="en-GB"/>
              </w:rPr>
            </w:pPr>
            <w:r w:rsidRPr="00A33264">
              <w:rPr>
                <w:lang w:val="en-GB"/>
              </w:rPr>
              <w:t>P</w:t>
            </w:r>
            <w:r w:rsidR="0047222D" w:rsidRPr="00A33264">
              <w:rPr>
                <w:lang w:val="en-GB"/>
              </w:rPr>
              <w:t xml:space="preserve">rovides advice on the objectives, strategies and policies to be followed by the </w:t>
            </w:r>
            <w:r w:rsidR="00207674">
              <w:rPr>
                <w:lang w:val="en-GB"/>
              </w:rPr>
              <w:t>NDIA</w:t>
            </w:r>
            <w:r w:rsidR="0047222D" w:rsidRPr="00A33264">
              <w:rPr>
                <w:lang w:val="en-GB"/>
              </w:rPr>
              <w:t>, with a dedicated focus on participant outcomes.</w:t>
            </w:r>
          </w:p>
        </w:tc>
        <w:tc>
          <w:tcPr>
            <w:tcW w:w="2499" w:type="dxa"/>
          </w:tcPr>
          <w:p w14:paraId="259DE2DF" w14:textId="77777777" w:rsidR="0047222D" w:rsidRPr="00A33264" w:rsidRDefault="0047222D" w:rsidP="0047222D">
            <w:pPr>
              <w:spacing w:after="120"/>
              <w:rPr>
                <w:bCs/>
                <w:iCs/>
                <w:lang w:val="en-GB"/>
              </w:rPr>
            </w:pPr>
            <w:r w:rsidRPr="00A33264">
              <w:rPr>
                <w:bCs/>
                <w:iCs/>
                <w:lang w:val="en-GB"/>
              </w:rPr>
              <w:t>Dr Peta Seaton AM (Chair)</w:t>
            </w:r>
          </w:p>
          <w:p w14:paraId="351558C8" w14:textId="77777777" w:rsidR="0047222D" w:rsidRPr="00A33264" w:rsidRDefault="0047222D" w:rsidP="0047222D">
            <w:pPr>
              <w:spacing w:after="120"/>
              <w:rPr>
                <w:lang w:val="en-GB"/>
              </w:rPr>
            </w:pPr>
            <w:r w:rsidRPr="00A33264">
              <w:rPr>
                <w:lang w:val="en-GB"/>
              </w:rPr>
              <w:t>Mr Kurt Fearnley AO</w:t>
            </w:r>
          </w:p>
          <w:p w14:paraId="0EFBCD59" w14:textId="77777777" w:rsidR="0047222D" w:rsidRPr="00A33264" w:rsidRDefault="0047222D" w:rsidP="0047222D">
            <w:pPr>
              <w:spacing w:after="120"/>
              <w:rPr>
                <w:lang w:val="en-GB"/>
              </w:rPr>
            </w:pPr>
            <w:r w:rsidRPr="00A33264">
              <w:rPr>
                <w:lang w:val="en-GB"/>
              </w:rPr>
              <w:t>Dr Richard Fejo</w:t>
            </w:r>
          </w:p>
          <w:p w14:paraId="6D0176E4" w14:textId="77777777" w:rsidR="0047222D" w:rsidRPr="00A33264" w:rsidRDefault="0047222D" w:rsidP="0047222D">
            <w:pPr>
              <w:spacing w:after="120"/>
              <w:rPr>
                <w:lang w:val="en-GB"/>
              </w:rPr>
            </w:pPr>
            <w:r w:rsidRPr="00A33264">
              <w:rPr>
                <w:lang w:val="en-GB"/>
              </w:rPr>
              <w:t>Mrs Joan McKenna Kerr</w:t>
            </w:r>
          </w:p>
          <w:p w14:paraId="6887EBDF" w14:textId="6C3B056E" w:rsidR="0047222D" w:rsidRPr="00A33264" w:rsidRDefault="0047222D" w:rsidP="0047222D">
            <w:pPr>
              <w:spacing w:after="120"/>
              <w:rPr>
                <w:lang w:val="en-GB"/>
              </w:rPr>
            </w:pPr>
            <w:r w:rsidRPr="00A33264">
              <w:rPr>
                <w:lang w:val="en-GB"/>
              </w:rPr>
              <w:t>Ms Leah van Poppel</w:t>
            </w:r>
          </w:p>
        </w:tc>
      </w:tr>
    </w:tbl>
    <w:p w14:paraId="506E801C" w14:textId="2BC0555A" w:rsidR="00D7463A" w:rsidRPr="00A33264" w:rsidRDefault="00D7463A" w:rsidP="00D7463A">
      <w:pPr>
        <w:pStyle w:val="Heading4"/>
        <w:rPr>
          <w:lang w:val="en-GB"/>
        </w:rPr>
      </w:pPr>
      <w:bookmarkStart w:id="294" w:name="_Toc169592978"/>
      <w:r w:rsidRPr="00A33264">
        <w:rPr>
          <w:lang w:val="en-GB"/>
        </w:rPr>
        <w:t>Board and committee attendance</w:t>
      </w:r>
      <w:bookmarkEnd w:id="294"/>
    </w:p>
    <w:p w14:paraId="498C7084" w14:textId="0793DF2F" w:rsidR="00D7463A" w:rsidRPr="00A33264" w:rsidRDefault="0047222D" w:rsidP="00D7463A">
      <w:pPr>
        <w:rPr>
          <w:u w:val="single"/>
          <w:lang w:val="en-GB"/>
        </w:rPr>
      </w:pPr>
      <w:r w:rsidRPr="00A33264">
        <w:rPr>
          <w:u w:val="single"/>
          <w:lang w:val="en-GB"/>
        </w:rPr>
        <w:t xml:space="preserve">Table </w:t>
      </w:r>
      <w:r w:rsidR="00A27A9C">
        <w:rPr>
          <w:u w:val="single"/>
          <w:lang w:val="en-GB"/>
        </w:rPr>
        <w:t>5</w:t>
      </w:r>
      <w:r w:rsidRPr="00A33264">
        <w:rPr>
          <w:u w:val="single"/>
          <w:lang w:val="en-GB"/>
        </w:rPr>
        <w:t>: Number of meetings attended by Board members in 2023–24</w:t>
      </w:r>
    </w:p>
    <w:tbl>
      <w:tblPr>
        <w:tblStyle w:val="GridTable2-Accent312"/>
        <w:tblW w:w="9695" w:type="dxa"/>
        <w:tblInd w:w="-113" w:type="dxa"/>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Layout w:type="fixed"/>
        <w:tblLook w:val="04A0" w:firstRow="1" w:lastRow="0" w:firstColumn="1" w:lastColumn="0" w:noHBand="0" w:noVBand="1"/>
      </w:tblPr>
      <w:tblGrid>
        <w:gridCol w:w="2891"/>
        <w:gridCol w:w="567"/>
        <w:gridCol w:w="567"/>
        <w:gridCol w:w="567"/>
        <w:gridCol w:w="567"/>
        <w:gridCol w:w="567"/>
        <w:gridCol w:w="567"/>
        <w:gridCol w:w="567"/>
        <w:gridCol w:w="567"/>
        <w:gridCol w:w="567"/>
        <w:gridCol w:w="567"/>
        <w:gridCol w:w="567"/>
        <w:gridCol w:w="567"/>
      </w:tblGrid>
      <w:tr w:rsidR="00AE51C6" w:rsidRPr="00A33264" w14:paraId="46AC9699" w14:textId="77777777" w:rsidTr="005A19CA">
        <w:trPr>
          <w:cnfStyle w:val="100000000000" w:firstRow="1" w:lastRow="0" w:firstColumn="0" w:lastColumn="0" w:oddVBand="0" w:evenVBand="0" w:oddHBand="0" w:evenHBand="0" w:firstRowFirstColumn="0" w:firstRowLastColumn="0" w:lastRowFirstColumn="0" w:lastRowLastColumn="0"/>
          <w:cantSplit/>
          <w:trHeight w:val="3676"/>
          <w:tblHeader/>
        </w:trPr>
        <w:tc>
          <w:tcPr>
            <w:cnfStyle w:val="001000000000" w:firstRow="0" w:lastRow="0" w:firstColumn="1" w:lastColumn="0" w:oddVBand="0" w:evenVBand="0" w:oddHBand="0" w:evenHBand="0" w:firstRowFirstColumn="0" w:firstRowLastColumn="0" w:lastRowFirstColumn="0" w:lastRowLastColumn="0"/>
            <w:tcW w:w="2891" w:type="dxa"/>
            <w:tcBorders>
              <w:right w:val="single" w:sz="4" w:space="0" w:color="F9F9F9" w:themeColor="background1"/>
            </w:tcBorders>
            <w:shd w:val="clear" w:color="auto" w:fill="6B2876"/>
            <w:textDirection w:val="btLr"/>
            <w:vAlign w:val="center"/>
          </w:tcPr>
          <w:p w14:paraId="486AF96D" w14:textId="77777777" w:rsidR="009F6E27" w:rsidRPr="00A33264" w:rsidRDefault="009F6E27" w:rsidP="005A19CA">
            <w:pPr>
              <w:keepNext/>
              <w:spacing w:after="0" w:line="276" w:lineRule="auto"/>
              <w:ind w:left="113" w:right="113"/>
              <w:rPr>
                <w:rFonts w:eastAsia="DengXian" w:cs="Arial"/>
                <w:color w:val="F9F9F9"/>
                <w:sz w:val="20"/>
                <w:szCs w:val="20"/>
                <w:lang w:val="en-GB"/>
              </w:rPr>
            </w:pPr>
            <w:bookmarkStart w:id="295" w:name="ColumnTitle_Table5"/>
            <w:bookmarkEnd w:id="295"/>
            <w:r w:rsidRPr="00A33264">
              <w:rPr>
                <w:rFonts w:eastAsia="DengXian" w:cs="Arial"/>
                <w:color w:val="F9FAF9"/>
                <w:sz w:val="22"/>
                <w:szCs w:val="22"/>
                <w:lang w:val="en-GB"/>
              </w:rPr>
              <w:t>Board memb</w:t>
            </w:r>
            <w:r w:rsidRPr="00A33264">
              <w:rPr>
                <w:rFonts w:eastAsia="DengXian" w:cs="Arial"/>
                <w:color w:val="F9F9F9"/>
                <w:sz w:val="22"/>
                <w:szCs w:val="22"/>
                <w:lang w:val="en-GB"/>
              </w:rPr>
              <w:t>er</w:t>
            </w:r>
          </w:p>
        </w:tc>
        <w:tc>
          <w:tcPr>
            <w:tcW w:w="567" w:type="dxa"/>
            <w:tcBorders>
              <w:left w:val="single" w:sz="4" w:space="0" w:color="F9F9F9" w:themeColor="background1"/>
              <w:right w:val="single" w:sz="4" w:space="0" w:color="F9F9F9" w:themeColor="background1"/>
            </w:tcBorders>
            <w:textDirection w:val="btLr"/>
            <w:vAlign w:val="center"/>
          </w:tcPr>
          <w:p w14:paraId="4AEF96F3" w14:textId="7AD8E741" w:rsidR="009F6E27" w:rsidRPr="00A33264" w:rsidRDefault="009F6E27" w:rsidP="005A19CA">
            <w:pPr>
              <w:keepNext/>
              <w:spacing w:after="0" w:line="276" w:lineRule="auto"/>
              <w:ind w:left="113" w:right="113"/>
              <w:cnfStyle w:val="100000000000" w:firstRow="1" w:lastRow="0" w:firstColumn="0" w:lastColumn="0" w:oddVBand="0" w:evenVBand="0" w:oddHBand="0" w:evenHBand="0" w:firstRowFirstColumn="0" w:firstRowLastColumn="0" w:lastRowFirstColumn="0" w:lastRowLastColumn="0"/>
              <w:rPr>
                <w:rFonts w:eastAsia="DengXian" w:cs="Arial"/>
                <w:color w:val="F9F9F9"/>
                <w:sz w:val="20"/>
                <w:szCs w:val="20"/>
                <w:lang w:val="en-GB"/>
              </w:rPr>
            </w:pPr>
            <w:r w:rsidRPr="00A33264">
              <w:rPr>
                <w:rFonts w:eastAsia="DengXian" w:cs="Arial"/>
                <w:color w:val="F9F9F9"/>
                <w:sz w:val="20"/>
                <w:szCs w:val="20"/>
                <w:lang w:val="en-GB"/>
              </w:rPr>
              <w:t xml:space="preserve">NDIA Board </w:t>
            </w:r>
            <w:r w:rsidR="00293639">
              <w:rPr>
                <w:rFonts w:eastAsia="DengXian" w:cs="Arial"/>
                <w:color w:val="F9F9F9"/>
                <w:sz w:val="20"/>
                <w:szCs w:val="20"/>
                <w:lang w:val="en-GB"/>
              </w:rPr>
              <w:t>e</w:t>
            </w:r>
            <w:r w:rsidRPr="00A33264">
              <w:rPr>
                <w:rFonts w:eastAsia="DengXian" w:cs="Arial"/>
                <w:color w:val="F9F9F9"/>
                <w:sz w:val="20"/>
                <w:szCs w:val="20"/>
                <w:lang w:val="en-GB"/>
              </w:rPr>
              <w:t>ligible</w:t>
            </w:r>
          </w:p>
        </w:tc>
        <w:tc>
          <w:tcPr>
            <w:tcW w:w="567" w:type="dxa"/>
            <w:tcBorders>
              <w:left w:val="single" w:sz="4" w:space="0" w:color="F9F9F9" w:themeColor="background1"/>
              <w:right w:val="single" w:sz="4" w:space="0" w:color="F9F9F9" w:themeColor="background1"/>
            </w:tcBorders>
            <w:textDirection w:val="btLr"/>
            <w:vAlign w:val="center"/>
          </w:tcPr>
          <w:p w14:paraId="647EC5A3" w14:textId="6E2C9063" w:rsidR="009F6E27" w:rsidRPr="00A33264" w:rsidRDefault="009F6E27" w:rsidP="005A19CA">
            <w:pPr>
              <w:keepNext/>
              <w:spacing w:after="0" w:line="276" w:lineRule="auto"/>
              <w:ind w:left="113" w:right="113"/>
              <w:cnfStyle w:val="100000000000" w:firstRow="1" w:lastRow="0" w:firstColumn="0" w:lastColumn="0" w:oddVBand="0" w:evenVBand="0" w:oddHBand="0" w:evenHBand="0" w:firstRowFirstColumn="0" w:firstRowLastColumn="0" w:lastRowFirstColumn="0" w:lastRowLastColumn="0"/>
              <w:rPr>
                <w:rFonts w:eastAsia="DengXian" w:cs="Arial"/>
                <w:color w:val="F9F9F9"/>
                <w:sz w:val="20"/>
                <w:szCs w:val="20"/>
                <w:lang w:val="en-GB"/>
              </w:rPr>
            </w:pPr>
            <w:r w:rsidRPr="00A33264">
              <w:rPr>
                <w:rFonts w:eastAsia="DengXian" w:cs="Arial"/>
                <w:color w:val="F9F9F9"/>
                <w:sz w:val="20"/>
                <w:szCs w:val="20"/>
                <w:lang w:val="en-GB"/>
              </w:rPr>
              <w:t xml:space="preserve">NDIA Board </w:t>
            </w:r>
            <w:r w:rsidR="00293639">
              <w:rPr>
                <w:rFonts w:eastAsia="DengXian" w:cs="Arial"/>
                <w:color w:val="F9F9F9"/>
                <w:sz w:val="20"/>
                <w:szCs w:val="20"/>
                <w:lang w:val="en-GB"/>
              </w:rPr>
              <w:t>a</w:t>
            </w:r>
            <w:r w:rsidRPr="00A33264">
              <w:rPr>
                <w:rFonts w:eastAsia="DengXian" w:cs="Arial"/>
                <w:color w:val="F9F9F9"/>
                <w:sz w:val="20"/>
                <w:szCs w:val="20"/>
                <w:lang w:val="en-GB"/>
              </w:rPr>
              <w:t>ttended</w:t>
            </w:r>
          </w:p>
        </w:tc>
        <w:tc>
          <w:tcPr>
            <w:tcW w:w="567" w:type="dxa"/>
            <w:tcBorders>
              <w:left w:val="single" w:sz="4" w:space="0" w:color="F9F9F9" w:themeColor="background1"/>
              <w:right w:val="single" w:sz="4" w:space="0" w:color="F9F9F9" w:themeColor="background1"/>
            </w:tcBorders>
            <w:textDirection w:val="btLr"/>
            <w:vAlign w:val="center"/>
          </w:tcPr>
          <w:p w14:paraId="6E70E47D" w14:textId="4166BA48" w:rsidR="009F6E27" w:rsidRPr="00A33264" w:rsidRDefault="009F6E27" w:rsidP="005A19CA">
            <w:pPr>
              <w:keepNext/>
              <w:spacing w:after="0" w:line="276" w:lineRule="auto"/>
              <w:ind w:left="113" w:right="113"/>
              <w:cnfStyle w:val="100000000000" w:firstRow="1" w:lastRow="0" w:firstColumn="0" w:lastColumn="0" w:oddVBand="0" w:evenVBand="0" w:oddHBand="0" w:evenHBand="0" w:firstRowFirstColumn="0" w:firstRowLastColumn="0" w:lastRowFirstColumn="0" w:lastRowLastColumn="0"/>
              <w:rPr>
                <w:rFonts w:eastAsia="DengXian" w:cs="Arial"/>
                <w:color w:val="F9F9F9"/>
                <w:sz w:val="20"/>
                <w:szCs w:val="20"/>
                <w:lang w:val="en-GB"/>
              </w:rPr>
            </w:pPr>
            <w:r w:rsidRPr="00A33264">
              <w:rPr>
                <w:rFonts w:eastAsia="DengXian" w:cs="Arial"/>
                <w:color w:val="F9F9F9"/>
                <w:sz w:val="20"/>
                <w:szCs w:val="20"/>
                <w:lang w:val="en-GB"/>
              </w:rPr>
              <w:t xml:space="preserve">Audit Committee </w:t>
            </w:r>
            <w:r w:rsidR="00293639">
              <w:rPr>
                <w:rFonts w:eastAsia="DengXian" w:cs="Arial"/>
                <w:color w:val="F9F9F9"/>
                <w:sz w:val="20"/>
                <w:szCs w:val="20"/>
                <w:lang w:val="en-GB"/>
              </w:rPr>
              <w:t>e</w:t>
            </w:r>
            <w:r w:rsidRPr="00A33264">
              <w:rPr>
                <w:rFonts w:eastAsia="DengXian" w:cs="Arial"/>
                <w:color w:val="F9F9F9"/>
                <w:sz w:val="20"/>
                <w:szCs w:val="20"/>
                <w:lang w:val="en-GB"/>
              </w:rPr>
              <w:t>ligible</w:t>
            </w:r>
          </w:p>
        </w:tc>
        <w:tc>
          <w:tcPr>
            <w:tcW w:w="567" w:type="dxa"/>
            <w:tcBorders>
              <w:left w:val="single" w:sz="4" w:space="0" w:color="F9F9F9" w:themeColor="background1"/>
              <w:right w:val="single" w:sz="4" w:space="0" w:color="F9F9F9" w:themeColor="background1"/>
            </w:tcBorders>
            <w:textDirection w:val="btLr"/>
            <w:vAlign w:val="center"/>
          </w:tcPr>
          <w:p w14:paraId="7BFA8D49" w14:textId="6ACE6D8F" w:rsidR="009F6E27" w:rsidRPr="00A33264" w:rsidRDefault="009F6E27" w:rsidP="005A19CA">
            <w:pPr>
              <w:keepNext/>
              <w:spacing w:after="0" w:line="276" w:lineRule="auto"/>
              <w:ind w:left="113" w:right="113"/>
              <w:cnfStyle w:val="100000000000" w:firstRow="1" w:lastRow="0" w:firstColumn="0" w:lastColumn="0" w:oddVBand="0" w:evenVBand="0" w:oddHBand="0" w:evenHBand="0" w:firstRowFirstColumn="0" w:firstRowLastColumn="0" w:lastRowFirstColumn="0" w:lastRowLastColumn="0"/>
              <w:rPr>
                <w:rFonts w:eastAsia="DengXian" w:cs="Arial"/>
                <w:color w:val="F9F9F9"/>
                <w:sz w:val="20"/>
                <w:szCs w:val="20"/>
                <w:lang w:val="en-GB"/>
              </w:rPr>
            </w:pPr>
            <w:r w:rsidRPr="00A33264">
              <w:rPr>
                <w:rFonts w:eastAsia="DengXian" w:cs="Arial"/>
                <w:color w:val="F9F9F9"/>
                <w:sz w:val="20"/>
                <w:szCs w:val="20"/>
                <w:lang w:val="en-GB"/>
              </w:rPr>
              <w:t xml:space="preserve">Audit Committee </w:t>
            </w:r>
            <w:r w:rsidR="00293639">
              <w:rPr>
                <w:rFonts w:eastAsia="DengXian" w:cs="Arial"/>
                <w:color w:val="F9F9F9"/>
                <w:sz w:val="20"/>
                <w:szCs w:val="20"/>
                <w:lang w:val="en-GB"/>
              </w:rPr>
              <w:t>a</w:t>
            </w:r>
            <w:r w:rsidRPr="00A33264">
              <w:rPr>
                <w:rFonts w:eastAsia="DengXian" w:cs="Arial"/>
                <w:color w:val="F9F9F9"/>
                <w:sz w:val="20"/>
                <w:szCs w:val="20"/>
                <w:lang w:val="en-GB"/>
              </w:rPr>
              <w:t>ttended</w:t>
            </w:r>
          </w:p>
        </w:tc>
        <w:tc>
          <w:tcPr>
            <w:tcW w:w="567" w:type="dxa"/>
            <w:tcBorders>
              <w:left w:val="single" w:sz="4" w:space="0" w:color="F9F9F9" w:themeColor="background1"/>
              <w:right w:val="single" w:sz="4" w:space="0" w:color="F9F9F9" w:themeColor="background1"/>
            </w:tcBorders>
            <w:textDirection w:val="btLr"/>
            <w:vAlign w:val="center"/>
          </w:tcPr>
          <w:p w14:paraId="560B2FB7" w14:textId="1D053DB7" w:rsidR="009F6E27" w:rsidRPr="00A33264" w:rsidRDefault="009F6E27" w:rsidP="005A19CA">
            <w:pPr>
              <w:keepNext/>
              <w:spacing w:after="0" w:line="276" w:lineRule="auto"/>
              <w:ind w:left="113" w:right="113"/>
              <w:cnfStyle w:val="100000000000" w:firstRow="1" w:lastRow="0" w:firstColumn="0" w:lastColumn="0" w:oddVBand="0" w:evenVBand="0" w:oddHBand="0" w:evenHBand="0" w:firstRowFirstColumn="0" w:firstRowLastColumn="0" w:lastRowFirstColumn="0" w:lastRowLastColumn="0"/>
              <w:rPr>
                <w:rFonts w:eastAsia="DengXian" w:cs="Arial"/>
                <w:color w:val="F9F9F9"/>
                <w:sz w:val="20"/>
                <w:szCs w:val="20"/>
                <w:lang w:val="en-GB"/>
              </w:rPr>
            </w:pPr>
            <w:r w:rsidRPr="00A33264">
              <w:rPr>
                <w:rFonts w:eastAsia="DengXian" w:cs="Arial"/>
                <w:color w:val="F9F9F9"/>
                <w:sz w:val="20"/>
                <w:szCs w:val="20"/>
                <w:lang w:val="en-GB"/>
              </w:rPr>
              <w:t xml:space="preserve">Risk Committee </w:t>
            </w:r>
            <w:r w:rsidR="00293639">
              <w:rPr>
                <w:rFonts w:eastAsia="DengXian" w:cs="Arial"/>
                <w:color w:val="F9F9F9"/>
                <w:sz w:val="20"/>
                <w:szCs w:val="20"/>
                <w:lang w:val="en-GB"/>
              </w:rPr>
              <w:t>e</w:t>
            </w:r>
            <w:r w:rsidRPr="00A33264">
              <w:rPr>
                <w:rFonts w:eastAsia="DengXian" w:cs="Arial"/>
                <w:color w:val="F9F9F9"/>
                <w:sz w:val="20"/>
                <w:szCs w:val="20"/>
                <w:lang w:val="en-GB"/>
              </w:rPr>
              <w:t>ligible</w:t>
            </w:r>
          </w:p>
        </w:tc>
        <w:tc>
          <w:tcPr>
            <w:tcW w:w="567" w:type="dxa"/>
            <w:tcBorders>
              <w:left w:val="single" w:sz="4" w:space="0" w:color="F9F9F9" w:themeColor="background1"/>
              <w:right w:val="single" w:sz="4" w:space="0" w:color="F9F9F9" w:themeColor="background1"/>
            </w:tcBorders>
            <w:textDirection w:val="btLr"/>
            <w:vAlign w:val="center"/>
          </w:tcPr>
          <w:p w14:paraId="0632659D" w14:textId="2616B021" w:rsidR="009F6E27" w:rsidRPr="00A33264" w:rsidRDefault="009F6E27" w:rsidP="005A19CA">
            <w:pPr>
              <w:keepNext/>
              <w:spacing w:after="0" w:line="276" w:lineRule="auto"/>
              <w:ind w:left="113" w:right="113"/>
              <w:cnfStyle w:val="100000000000" w:firstRow="1" w:lastRow="0" w:firstColumn="0" w:lastColumn="0" w:oddVBand="0" w:evenVBand="0" w:oddHBand="0" w:evenHBand="0" w:firstRowFirstColumn="0" w:firstRowLastColumn="0" w:lastRowFirstColumn="0" w:lastRowLastColumn="0"/>
              <w:rPr>
                <w:rFonts w:eastAsia="DengXian" w:cs="Arial"/>
                <w:color w:val="F9F9F9"/>
                <w:sz w:val="20"/>
                <w:szCs w:val="20"/>
                <w:lang w:val="en-GB"/>
              </w:rPr>
            </w:pPr>
            <w:r w:rsidRPr="00A33264">
              <w:rPr>
                <w:rFonts w:eastAsia="DengXian" w:cs="Arial"/>
                <w:color w:val="F9F9F9"/>
                <w:sz w:val="20"/>
                <w:szCs w:val="20"/>
                <w:lang w:val="en-GB"/>
              </w:rPr>
              <w:t xml:space="preserve">Risk Committee </w:t>
            </w:r>
            <w:r w:rsidR="00293639">
              <w:rPr>
                <w:rFonts w:eastAsia="DengXian" w:cs="Arial"/>
                <w:color w:val="F9F9F9"/>
                <w:sz w:val="20"/>
                <w:szCs w:val="20"/>
                <w:lang w:val="en-GB"/>
              </w:rPr>
              <w:t>a</w:t>
            </w:r>
            <w:r w:rsidRPr="00A33264">
              <w:rPr>
                <w:rFonts w:eastAsia="DengXian" w:cs="Arial"/>
                <w:color w:val="F9F9F9"/>
                <w:sz w:val="20"/>
                <w:szCs w:val="20"/>
                <w:lang w:val="en-GB"/>
              </w:rPr>
              <w:t>ttended</w:t>
            </w:r>
          </w:p>
        </w:tc>
        <w:tc>
          <w:tcPr>
            <w:tcW w:w="567" w:type="dxa"/>
            <w:tcBorders>
              <w:left w:val="single" w:sz="4" w:space="0" w:color="F9F9F9" w:themeColor="background1"/>
              <w:right w:val="single" w:sz="4" w:space="0" w:color="F9F9F9" w:themeColor="background1"/>
            </w:tcBorders>
            <w:textDirection w:val="btLr"/>
            <w:vAlign w:val="center"/>
          </w:tcPr>
          <w:p w14:paraId="5670DB40" w14:textId="4F6FAE90" w:rsidR="009F6E27" w:rsidRPr="00A33264" w:rsidRDefault="009F6E27" w:rsidP="005A19CA">
            <w:pPr>
              <w:keepNext/>
              <w:spacing w:after="0" w:line="276" w:lineRule="auto"/>
              <w:ind w:left="113" w:right="113"/>
              <w:cnfStyle w:val="100000000000" w:firstRow="1" w:lastRow="0" w:firstColumn="0" w:lastColumn="0" w:oddVBand="0" w:evenVBand="0" w:oddHBand="0" w:evenHBand="0" w:firstRowFirstColumn="0" w:firstRowLastColumn="0" w:lastRowFirstColumn="0" w:lastRowLastColumn="0"/>
              <w:rPr>
                <w:rFonts w:eastAsia="DengXian" w:cs="Arial"/>
                <w:color w:val="F9F9F9"/>
                <w:sz w:val="20"/>
                <w:szCs w:val="20"/>
                <w:lang w:val="en-GB"/>
              </w:rPr>
            </w:pPr>
            <w:r w:rsidRPr="00A33264">
              <w:rPr>
                <w:rFonts w:eastAsia="DengXian" w:cs="Arial"/>
                <w:color w:val="F9F9F9"/>
                <w:sz w:val="20"/>
                <w:szCs w:val="20"/>
                <w:lang w:val="en-GB"/>
              </w:rPr>
              <w:t xml:space="preserve">Sustainability Committee </w:t>
            </w:r>
            <w:r w:rsidR="00293639">
              <w:rPr>
                <w:rFonts w:eastAsia="DengXian" w:cs="Arial"/>
                <w:color w:val="F9F9F9"/>
                <w:sz w:val="20"/>
                <w:szCs w:val="20"/>
                <w:lang w:val="en-GB"/>
              </w:rPr>
              <w:t>e</w:t>
            </w:r>
            <w:r w:rsidRPr="00A33264">
              <w:rPr>
                <w:rFonts w:eastAsia="DengXian" w:cs="Arial"/>
                <w:color w:val="F9F9F9"/>
                <w:sz w:val="20"/>
                <w:szCs w:val="20"/>
                <w:lang w:val="en-GB"/>
              </w:rPr>
              <w:t>ligible</w:t>
            </w:r>
          </w:p>
        </w:tc>
        <w:tc>
          <w:tcPr>
            <w:tcW w:w="567" w:type="dxa"/>
            <w:tcBorders>
              <w:left w:val="single" w:sz="4" w:space="0" w:color="F9F9F9" w:themeColor="background1"/>
              <w:right w:val="single" w:sz="4" w:space="0" w:color="F9F9F9" w:themeColor="background1"/>
            </w:tcBorders>
            <w:textDirection w:val="btLr"/>
            <w:vAlign w:val="center"/>
          </w:tcPr>
          <w:p w14:paraId="42980E53" w14:textId="0A88BC95" w:rsidR="009F6E27" w:rsidRPr="00A33264" w:rsidRDefault="009F6E27" w:rsidP="005A19CA">
            <w:pPr>
              <w:keepNext/>
              <w:spacing w:after="0" w:line="276" w:lineRule="auto"/>
              <w:ind w:left="113" w:right="113"/>
              <w:cnfStyle w:val="100000000000" w:firstRow="1" w:lastRow="0" w:firstColumn="0" w:lastColumn="0" w:oddVBand="0" w:evenVBand="0" w:oddHBand="0" w:evenHBand="0" w:firstRowFirstColumn="0" w:firstRowLastColumn="0" w:lastRowFirstColumn="0" w:lastRowLastColumn="0"/>
              <w:rPr>
                <w:rFonts w:eastAsia="DengXian" w:cs="Arial"/>
                <w:color w:val="F9F9F9"/>
                <w:sz w:val="20"/>
                <w:szCs w:val="20"/>
                <w:lang w:val="en-GB"/>
              </w:rPr>
            </w:pPr>
            <w:r w:rsidRPr="00A33264">
              <w:rPr>
                <w:rFonts w:eastAsia="DengXian" w:cs="Arial"/>
                <w:color w:val="F9F9F9"/>
                <w:sz w:val="20"/>
                <w:szCs w:val="20"/>
                <w:lang w:val="en-GB"/>
              </w:rPr>
              <w:t xml:space="preserve">Sustainability Committee </w:t>
            </w:r>
            <w:r w:rsidR="00293639">
              <w:rPr>
                <w:rFonts w:eastAsia="DengXian" w:cs="Arial"/>
                <w:color w:val="F9F9F9"/>
                <w:sz w:val="20"/>
                <w:szCs w:val="20"/>
                <w:lang w:val="en-GB"/>
              </w:rPr>
              <w:t>a</w:t>
            </w:r>
            <w:r w:rsidRPr="00A33264">
              <w:rPr>
                <w:rFonts w:eastAsia="DengXian" w:cs="Arial"/>
                <w:color w:val="F9F9F9"/>
                <w:sz w:val="20"/>
                <w:szCs w:val="20"/>
                <w:lang w:val="en-GB"/>
              </w:rPr>
              <w:t>ttended</w:t>
            </w:r>
          </w:p>
        </w:tc>
        <w:tc>
          <w:tcPr>
            <w:tcW w:w="567" w:type="dxa"/>
            <w:tcBorders>
              <w:left w:val="single" w:sz="4" w:space="0" w:color="F9F9F9" w:themeColor="background1"/>
              <w:right w:val="single" w:sz="4" w:space="0" w:color="F9F9F9" w:themeColor="background1"/>
            </w:tcBorders>
            <w:textDirection w:val="btLr"/>
            <w:vAlign w:val="center"/>
          </w:tcPr>
          <w:p w14:paraId="5E6A6B74" w14:textId="3AB753AE" w:rsidR="009F6E27" w:rsidRPr="00A33264" w:rsidRDefault="009F6E27" w:rsidP="005A19CA">
            <w:pPr>
              <w:keepNext/>
              <w:spacing w:after="0" w:line="276" w:lineRule="auto"/>
              <w:ind w:left="113" w:right="113"/>
              <w:cnfStyle w:val="100000000000" w:firstRow="1" w:lastRow="0" w:firstColumn="0" w:lastColumn="0" w:oddVBand="0" w:evenVBand="0" w:oddHBand="0" w:evenHBand="0" w:firstRowFirstColumn="0" w:firstRowLastColumn="0" w:lastRowFirstColumn="0" w:lastRowLastColumn="0"/>
              <w:rPr>
                <w:rFonts w:eastAsia="DengXian" w:cs="Arial"/>
                <w:color w:val="F9F9F9"/>
                <w:sz w:val="20"/>
                <w:szCs w:val="20"/>
                <w:lang w:val="en-GB"/>
              </w:rPr>
            </w:pPr>
            <w:r w:rsidRPr="00A33264">
              <w:rPr>
                <w:rFonts w:eastAsia="DengXian" w:cs="Arial"/>
                <w:color w:val="F9F9F9"/>
                <w:sz w:val="20"/>
                <w:szCs w:val="20"/>
                <w:lang w:val="en-GB"/>
              </w:rPr>
              <w:t xml:space="preserve">SDPO Committee </w:t>
            </w:r>
            <w:r w:rsidR="00293639">
              <w:rPr>
                <w:rFonts w:eastAsia="DengXian" w:cs="Arial"/>
                <w:color w:val="F9F9F9"/>
                <w:sz w:val="20"/>
                <w:szCs w:val="20"/>
                <w:lang w:val="en-GB"/>
              </w:rPr>
              <w:t>e</w:t>
            </w:r>
            <w:r w:rsidRPr="00A33264">
              <w:rPr>
                <w:rFonts w:eastAsia="DengXian" w:cs="Arial"/>
                <w:color w:val="F9F9F9"/>
                <w:sz w:val="20"/>
                <w:szCs w:val="20"/>
                <w:lang w:val="en-GB"/>
              </w:rPr>
              <w:t>ligible</w:t>
            </w:r>
          </w:p>
        </w:tc>
        <w:tc>
          <w:tcPr>
            <w:tcW w:w="567" w:type="dxa"/>
            <w:tcBorders>
              <w:left w:val="single" w:sz="4" w:space="0" w:color="F9F9F9" w:themeColor="background1"/>
              <w:right w:val="single" w:sz="4" w:space="0" w:color="F9F9F9" w:themeColor="background1"/>
            </w:tcBorders>
            <w:textDirection w:val="btLr"/>
            <w:vAlign w:val="center"/>
          </w:tcPr>
          <w:p w14:paraId="33A93129" w14:textId="261212DA" w:rsidR="009F6E27" w:rsidRPr="00A33264" w:rsidRDefault="009F6E27" w:rsidP="005A19CA">
            <w:pPr>
              <w:keepNext/>
              <w:spacing w:after="0" w:line="276" w:lineRule="auto"/>
              <w:ind w:left="113" w:right="113"/>
              <w:cnfStyle w:val="100000000000" w:firstRow="1" w:lastRow="0" w:firstColumn="0" w:lastColumn="0" w:oddVBand="0" w:evenVBand="0" w:oddHBand="0" w:evenHBand="0" w:firstRowFirstColumn="0" w:firstRowLastColumn="0" w:lastRowFirstColumn="0" w:lastRowLastColumn="0"/>
              <w:rPr>
                <w:rFonts w:eastAsia="DengXian" w:cs="Arial"/>
                <w:color w:val="F9F9F9"/>
                <w:sz w:val="20"/>
                <w:szCs w:val="20"/>
                <w:lang w:val="en-GB"/>
              </w:rPr>
            </w:pPr>
            <w:r w:rsidRPr="00A33264">
              <w:rPr>
                <w:rFonts w:eastAsia="DengXian" w:cs="Arial"/>
                <w:color w:val="F9F9F9"/>
                <w:sz w:val="20"/>
                <w:szCs w:val="20"/>
                <w:lang w:val="en-GB"/>
              </w:rPr>
              <w:t xml:space="preserve">SDPO Committee </w:t>
            </w:r>
            <w:r w:rsidR="00293639">
              <w:rPr>
                <w:rFonts w:eastAsia="DengXian" w:cs="Arial"/>
                <w:color w:val="F9F9F9"/>
                <w:sz w:val="20"/>
                <w:szCs w:val="20"/>
                <w:lang w:val="en-GB"/>
              </w:rPr>
              <w:t>a</w:t>
            </w:r>
            <w:r w:rsidRPr="00A33264">
              <w:rPr>
                <w:rFonts w:eastAsia="DengXian" w:cs="Arial"/>
                <w:color w:val="F9F9F9"/>
                <w:sz w:val="20"/>
                <w:szCs w:val="20"/>
                <w:lang w:val="en-GB"/>
              </w:rPr>
              <w:t>ttended</w:t>
            </w:r>
          </w:p>
        </w:tc>
        <w:tc>
          <w:tcPr>
            <w:tcW w:w="567" w:type="dxa"/>
            <w:tcBorders>
              <w:left w:val="single" w:sz="4" w:space="0" w:color="F9F9F9" w:themeColor="background1"/>
              <w:right w:val="single" w:sz="4" w:space="0" w:color="F9F9F9" w:themeColor="background1"/>
            </w:tcBorders>
            <w:textDirection w:val="btLr"/>
            <w:vAlign w:val="center"/>
          </w:tcPr>
          <w:p w14:paraId="7CCFBA92" w14:textId="4EE5BE41" w:rsidR="009F6E27" w:rsidRPr="00A33264" w:rsidRDefault="009F6E27" w:rsidP="005A19CA">
            <w:pPr>
              <w:keepNext/>
              <w:spacing w:after="0" w:line="276" w:lineRule="auto"/>
              <w:ind w:left="113" w:right="113"/>
              <w:cnfStyle w:val="100000000000" w:firstRow="1" w:lastRow="0" w:firstColumn="0" w:lastColumn="0" w:oddVBand="0" w:evenVBand="0" w:oddHBand="0" w:evenHBand="0" w:firstRowFirstColumn="0" w:firstRowLastColumn="0" w:lastRowFirstColumn="0" w:lastRowLastColumn="0"/>
              <w:rPr>
                <w:rFonts w:eastAsia="DengXian" w:cs="Arial"/>
                <w:color w:val="F9F9F9"/>
                <w:sz w:val="20"/>
                <w:szCs w:val="20"/>
                <w:lang w:val="en-GB"/>
              </w:rPr>
            </w:pPr>
            <w:r w:rsidRPr="00A33264">
              <w:rPr>
                <w:rFonts w:eastAsia="DengXian" w:cs="Arial"/>
                <w:color w:val="F9F9F9"/>
                <w:sz w:val="20"/>
                <w:szCs w:val="20"/>
                <w:lang w:val="en-GB"/>
              </w:rPr>
              <w:t xml:space="preserve">Audit </w:t>
            </w:r>
            <w:r w:rsidR="004E5CA0">
              <w:rPr>
                <w:rFonts w:eastAsia="DengXian" w:cs="Arial"/>
                <w:color w:val="F9F9F9"/>
                <w:sz w:val="20"/>
                <w:szCs w:val="20"/>
                <w:lang w:val="en-GB"/>
              </w:rPr>
              <w:t>and</w:t>
            </w:r>
            <w:r w:rsidRPr="00A33264">
              <w:rPr>
                <w:rFonts w:eastAsia="DengXian" w:cs="Arial"/>
                <w:color w:val="F9F9F9"/>
                <w:sz w:val="20"/>
                <w:szCs w:val="20"/>
                <w:lang w:val="en-GB"/>
              </w:rPr>
              <w:t xml:space="preserve"> Risk Committee </w:t>
            </w:r>
            <w:r w:rsidR="00DE4F5B">
              <w:rPr>
                <w:rFonts w:eastAsia="DengXian" w:cs="Arial"/>
                <w:color w:val="F9F9F9"/>
                <w:sz w:val="20"/>
                <w:szCs w:val="20"/>
                <w:lang w:val="en-GB"/>
              </w:rPr>
              <w:t>e</w:t>
            </w:r>
            <w:r w:rsidRPr="00A33264">
              <w:rPr>
                <w:rFonts w:eastAsia="DengXian" w:cs="Arial"/>
                <w:color w:val="F9F9F9"/>
                <w:sz w:val="20"/>
                <w:szCs w:val="20"/>
                <w:lang w:val="en-GB"/>
              </w:rPr>
              <w:t>ligible</w:t>
            </w:r>
          </w:p>
        </w:tc>
        <w:tc>
          <w:tcPr>
            <w:tcW w:w="567" w:type="dxa"/>
            <w:tcBorders>
              <w:left w:val="single" w:sz="4" w:space="0" w:color="F9F9F9" w:themeColor="background1"/>
            </w:tcBorders>
            <w:textDirection w:val="btLr"/>
            <w:vAlign w:val="center"/>
          </w:tcPr>
          <w:p w14:paraId="48357A96" w14:textId="5EC09595" w:rsidR="009F6E27" w:rsidRPr="00A33264" w:rsidRDefault="009F6E27" w:rsidP="005A19CA">
            <w:pPr>
              <w:keepNext/>
              <w:spacing w:after="0" w:line="276" w:lineRule="auto"/>
              <w:ind w:left="113" w:right="113"/>
              <w:cnfStyle w:val="100000000000" w:firstRow="1" w:lastRow="0" w:firstColumn="0" w:lastColumn="0" w:oddVBand="0" w:evenVBand="0" w:oddHBand="0" w:evenHBand="0" w:firstRowFirstColumn="0" w:firstRowLastColumn="0" w:lastRowFirstColumn="0" w:lastRowLastColumn="0"/>
              <w:rPr>
                <w:rFonts w:eastAsia="DengXian" w:cs="Arial"/>
                <w:color w:val="F9F9F9"/>
                <w:sz w:val="20"/>
                <w:szCs w:val="20"/>
                <w:lang w:val="en-GB"/>
              </w:rPr>
            </w:pPr>
            <w:r w:rsidRPr="00A33264">
              <w:rPr>
                <w:rFonts w:eastAsia="DengXian" w:cs="Arial"/>
                <w:color w:val="F9F9F9"/>
                <w:sz w:val="20"/>
                <w:szCs w:val="20"/>
                <w:lang w:val="en-GB"/>
              </w:rPr>
              <w:t xml:space="preserve">Audit </w:t>
            </w:r>
            <w:r w:rsidR="004E5CA0">
              <w:rPr>
                <w:rFonts w:eastAsia="DengXian" w:cs="Arial"/>
                <w:color w:val="F9F9F9"/>
                <w:sz w:val="20"/>
                <w:szCs w:val="20"/>
                <w:lang w:val="en-GB"/>
              </w:rPr>
              <w:t>and</w:t>
            </w:r>
            <w:r w:rsidR="00A426EA">
              <w:rPr>
                <w:rFonts w:eastAsia="DengXian" w:cs="Arial"/>
                <w:color w:val="F9F9F9"/>
                <w:sz w:val="20"/>
                <w:szCs w:val="20"/>
                <w:lang w:val="en-GB"/>
              </w:rPr>
              <w:t xml:space="preserve"> </w:t>
            </w:r>
            <w:r w:rsidRPr="00A33264">
              <w:rPr>
                <w:rFonts w:eastAsia="DengXian" w:cs="Arial"/>
                <w:color w:val="F9F9F9"/>
                <w:sz w:val="20"/>
                <w:szCs w:val="20"/>
                <w:lang w:val="en-GB"/>
              </w:rPr>
              <w:t xml:space="preserve">Risk Committee </w:t>
            </w:r>
            <w:r w:rsidR="00DE4F5B">
              <w:rPr>
                <w:rFonts w:eastAsia="DengXian" w:cs="Arial"/>
                <w:color w:val="F9F9F9"/>
                <w:sz w:val="20"/>
                <w:szCs w:val="20"/>
                <w:lang w:val="en-GB"/>
              </w:rPr>
              <w:t>a</w:t>
            </w:r>
            <w:r w:rsidRPr="00A33264">
              <w:rPr>
                <w:rFonts w:eastAsia="DengXian" w:cs="Arial"/>
                <w:color w:val="F9F9F9"/>
                <w:sz w:val="20"/>
                <w:szCs w:val="20"/>
                <w:lang w:val="en-GB"/>
              </w:rPr>
              <w:t>ttended</w:t>
            </w:r>
          </w:p>
        </w:tc>
      </w:tr>
      <w:tr w:rsidR="00AE51C6" w:rsidRPr="00A33264" w14:paraId="1D87225D" w14:textId="77777777" w:rsidTr="005A19CA">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891" w:type="dxa"/>
            <w:shd w:val="clear" w:color="auto" w:fill="F7EEF7"/>
          </w:tcPr>
          <w:p w14:paraId="661A37B5" w14:textId="77777777" w:rsidR="009F6E27" w:rsidRPr="00A33264" w:rsidRDefault="009F6E27" w:rsidP="00E74040">
            <w:pPr>
              <w:spacing w:after="0"/>
              <w:rPr>
                <w:rFonts w:eastAsia="DengXian"/>
                <w:lang w:val="en-GB"/>
              </w:rPr>
            </w:pPr>
            <w:r w:rsidRPr="00A33264">
              <w:rPr>
                <w:rFonts w:eastAsia="DengXian"/>
                <w:lang w:val="en-GB"/>
              </w:rPr>
              <w:t>Mr Kurt Fearnley AO (Chair)</w:t>
            </w:r>
          </w:p>
        </w:tc>
        <w:tc>
          <w:tcPr>
            <w:tcW w:w="567" w:type="dxa"/>
            <w:shd w:val="clear" w:color="auto" w:fill="F7EEF7"/>
          </w:tcPr>
          <w:p w14:paraId="16D80993"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11</w:t>
            </w:r>
          </w:p>
        </w:tc>
        <w:tc>
          <w:tcPr>
            <w:tcW w:w="567" w:type="dxa"/>
            <w:shd w:val="clear" w:color="auto" w:fill="F7EEF7"/>
          </w:tcPr>
          <w:p w14:paraId="78F418AD"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11</w:t>
            </w:r>
          </w:p>
        </w:tc>
        <w:tc>
          <w:tcPr>
            <w:tcW w:w="567" w:type="dxa"/>
            <w:shd w:val="clear" w:color="auto" w:fill="F7EEF7"/>
          </w:tcPr>
          <w:p w14:paraId="4763A19A"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0</w:t>
            </w:r>
          </w:p>
        </w:tc>
        <w:tc>
          <w:tcPr>
            <w:tcW w:w="567" w:type="dxa"/>
            <w:shd w:val="clear" w:color="auto" w:fill="F7EEF7"/>
          </w:tcPr>
          <w:p w14:paraId="543B7B6B"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3</w:t>
            </w:r>
          </w:p>
        </w:tc>
        <w:tc>
          <w:tcPr>
            <w:tcW w:w="567" w:type="dxa"/>
            <w:shd w:val="clear" w:color="auto" w:fill="F7EEF7"/>
          </w:tcPr>
          <w:p w14:paraId="08FA95FC"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3</w:t>
            </w:r>
          </w:p>
        </w:tc>
        <w:tc>
          <w:tcPr>
            <w:tcW w:w="567" w:type="dxa"/>
            <w:shd w:val="clear" w:color="auto" w:fill="F7EEF7"/>
          </w:tcPr>
          <w:p w14:paraId="10589D6C"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3</w:t>
            </w:r>
          </w:p>
        </w:tc>
        <w:tc>
          <w:tcPr>
            <w:tcW w:w="567" w:type="dxa"/>
            <w:shd w:val="clear" w:color="auto" w:fill="F7EEF7"/>
          </w:tcPr>
          <w:p w14:paraId="329BE68B"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4</w:t>
            </w:r>
          </w:p>
        </w:tc>
        <w:tc>
          <w:tcPr>
            <w:tcW w:w="567" w:type="dxa"/>
            <w:shd w:val="clear" w:color="auto" w:fill="F7EEF7"/>
          </w:tcPr>
          <w:p w14:paraId="21E81FB7"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4</w:t>
            </w:r>
          </w:p>
        </w:tc>
        <w:tc>
          <w:tcPr>
            <w:tcW w:w="567" w:type="dxa"/>
            <w:shd w:val="clear" w:color="auto" w:fill="F7EEF7"/>
          </w:tcPr>
          <w:p w14:paraId="61157251"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6</w:t>
            </w:r>
          </w:p>
        </w:tc>
        <w:tc>
          <w:tcPr>
            <w:tcW w:w="567" w:type="dxa"/>
            <w:shd w:val="clear" w:color="auto" w:fill="F7EEF7"/>
          </w:tcPr>
          <w:p w14:paraId="0ECF682B"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6</w:t>
            </w:r>
          </w:p>
        </w:tc>
        <w:tc>
          <w:tcPr>
            <w:tcW w:w="567" w:type="dxa"/>
            <w:shd w:val="clear" w:color="auto" w:fill="F7EEF7"/>
          </w:tcPr>
          <w:p w14:paraId="45DBEBD3"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0</w:t>
            </w:r>
          </w:p>
        </w:tc>
        <w:tc>
          <w:tcPr>
            <w:tcW w:w="567" w:type="dxa"/>
            <w:shd w:val="clear" w:color="auto" w:fill="F7EEF7"/>
          </w:tcPr>
          <w:p w14:paraId="20F2CBF4"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2</w:t>
            </w:r>
          </w:p>
        </w:tc>
      </w:tr>
      <w:tr w:rsidR="009F6E27" w:rsidRPr="00A33264" w14:paraId="7BA4B472" w14:textId="77777777" w:rsidTr="005A19CA">
        <w:trPr>
          <w:trHeight w:val="425"/>
        </w:trPr>
        <w:tc>
          <w:tcPr>
            <w:cnfStyle w:val="001000000000" w:firstRow="0" w:lastRow="0" w:firstColumn="1" w:lastColumn="0" w:oddVBand="0" w:evenVBand="0" w:oddHBand="0" w:evenHBand="0" w:firstRowFirstColumn="0" w:firstRowLastColumn="0" w:lastRowFirstColumn="0" w:lastRowLastColumn="0"/>
            <w:tcW w:w="2891" w:type="dxa"/>
          </w:tcPr>
          <w:p w14:paraId="643E11A4" w14:textId="77777777" w:rsidR="009F6E27" w:rsidRPr="00A33264" w:rsidRDefault="009F6E27" w:rsidP="00E74040">
            <w:pPr>
              <w:spacing w:after="0"/>
              <w:rPr>
                <w:rFonts w:eastAsia="DengXian"/>
                <w:lang w:val="en-GB"/>
              </w:rPr>
            </w:pPr>
            <w:r w:rsidRPr="00A33264">
              <w:rPr>
                <w:rFonts w:eastAsia="DengXian"/>
                <w:lang w:val="en-GB"/>
              </w:rPr>
              <w:t>Ms Meredith Allan</w:t>
            </w:r>
          </w:p>
        </w:tc>
        <w:tc>
          <w:tcPr>
            <w:tcW w:w="567" w:type="dxa"/>
          </w:tcPr>
          <w:p w14:paraId="3C37A1D6"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11</w:t>
            </w:r>
          </w:p>
        </w:tc>
        <w:tc>
          <w:tcPr>
            <w:tcW w:w="567" w:type="dxa"/>
          </w:tcPr>
          <w:p w14:paraId="3D485FBD"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11</w:t>
            </w:r>
          </w:p>
        </w:tc>
        <w:tc>
          <w:tcPr>
            <w:tcW w:w="567" w:type="dxa"/>
          </w:tcPr>
          <w:p w14:paraId="1C8DBD10"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3</w:t>
            </w:r>
          </w:p>
        </w:tc>
        <w:tc>
          <w:tcPr>
            <w:tcW w:w="567" w:type="dxa"/>
          </w:tcPr>
          <w:p w14:paraId="049ADBC5"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3</w:t>
            </w:r>
          </w:p>
        </w:tc>
        <w:tc>
          <w:tcPr>
            <w:tcW w:w="567" w:type="dxa"/>
          </w:tcPr>
          <w:p w14:paraId="43EDB695"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3</w:t>
            </w:r>
          </w:p>
        </w:tc>
        <w:tc>
          <w:tcPr>
            <w:tcW w:w="567" w:type="dxa"/>
          </w:tcPr>
          <w:p w14:paraId="11825DCE"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3</w:t>
            </w:r>
          </w:p>
        </w:tc>
        <w:tc>
          <w:tcPr>
            <w:tcW w:w="567" w:type="dxa"/>
          </w:tcPr>
          <w:p w14:paraId="51555BFC"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0</w:t>
            </w:r>
          </w:p>
        </w:tc>
        <w:tc>
          <w:tcPr>
            <w:tcW w:w="567" w:type="dxa"/>
          </w:tcPr>
          <w:p w14:paraId="52B6BC92"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3</w:t>
            </w:r>
          </w:p>
        </w:tc>
        <w:tc>
          <w:tcPr>
            <w:tcW w:w="567" w:type="dxa"/>
          </w:tcPr>
          <w:p w14:paraId="476D07B4"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0</w:t>
            </w:r>
          </w:p>
        </w:tc>
        <w:tc>
          <w:tcPr>
            <w:tcW w:w="567" w:type="dxa"/>
          </w:tcPr>
          <w:p w14:paraId="3CCD55FD"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4</w:t>
            </w:r>
          </w:p>
        </w:tc>
        <w:tc>
          <w:tcPr>
            <w:tcW w:w="567" w:type="dxa"/>
          </w:tcPr>
          <w:p w14:paraId="2C689D55"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2</w:t>
            </w:r>
          </w:p>
        </w:tc>
        <w:tc>
          <w:tcPr>
            <w:tcW w:w="567" w:type="dxa"/>
          </w:tcPr>
          <w:p w14:paraId="4468983A"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2</w:t>
            </w:r>
          </w:p>
        </w:tc>
      </w:tr>
      <w:tr w:rsidR="00AE51C6" w:rsidRPr="00A33264" w14:paraId="193DE6F5" w14:textId="77777777" w:rsidTr="005A19CA">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891" w:type="dxa"/>
            <w:shd w:val="clear" w:color="auto" w:fill="F7EEF7"/>
          </w:tcPr>
          <w:p w14:paraId="78AB6F46" w14:textId="2223C49D" w:rsidR="009F6E27" w:rsidRPr="00A33264" w:rsidRDefault="009F6E27" w:rsidP="00E74040">
            <w:pPr>
              <w:spacing w:after="0"/>
              <w:rPr>
                <w:rFonts w:eastAsia="DengXian"/>
                <w:lang w:val="en-GB"/>
              </w:rPr>
            </w:pPr>
            <w:r w:rsidRPr="00A33264">
              <w:rPr>
                <w:rFonts w:eastAsia="DengXian"/>
                <w:lang w:val="en-GB"/>
              </w:rPr>
              <w:t>Mr Mark Darras</w:t>
            </w:r>
          </w:p>
        </w:tc>
        <w:tc>
          <w:tcPr>
            <w:tcW w:w="567" w:type="dxa"/>
            <w:shd w:val="clear" w:color="auto" w:fill="F7EEF7"/>
          </w:tcPr>
          <w:p w14:paraId="63D8C5FE"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5</w:t>
            </w:r>
          </w:p>
        </w:tc>
        <w:tc>
          <w:tcPr>
            <w:tcW w:w="567" w:type="dxa"/>
            <w:shd w:val="clear" w:color="auto" w:fill="F7EEF7"/>
          </w:tcPr>
          <w:p w14:paraId="0E307AF7"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4</w:t>
            </w:r>
          </w:p>
        </w:tc>
        <w:tc>
          <w:tcPr>
            <w:tcW w:w="567" w:type="dxa"/>
            <w:shd w:val="clear" w:color="auto" w:fill="F7EEF7"/>
          </w:tcPr>
          <w:p w14:paraId="74EA1976"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0</w:t>
            </w:r>
          </w:p>
        </w:tc>
        <w:tc>
          <w:tcPr>
            <w:tcW w:w="567" w:type="dxa"/>
            <w:shd w:val="clear" w:color="auto" w:fill="F7EEF7"/>
          </w:tcPr>
          <w:p w14:paraId="53DFCBDC"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1</w:t>
            </w:r>
          </w:p>
        </w:tc>
        <w:tc>
          <w:tcPr>
            <w:tcW w:w="567" w:type="dxa"/>
            <w:shd w:val="clear" w:color="auto" w:fill="F7EEF7"/>
          </w:tcPr>
          <w:p w14:paraId="4B9CAAD6"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0</w:t>
            </w:r>
          </w:p>
        </w:tc>
        <w:tc>
          <w:tcPr>
            <w:tcW w:w="567" w:type="dxa"/>
            <w:shd w:val="clear" w:color="auto" w:fill="F7EEF7"/>
          </w:tcPr>
          <w:p w14:paraId="5452AD81"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1</w:t>
            </w:r>
          </w:p>
        </w:tc>
        <w:tc>
          <w:tcPr>
            <w:tcW w:w="567" w:type="dxa"/>
            <w:shd w:val="clear" w:color="auto" w:fill="F7EEF7"/>
          </w:tcPr>
          <w:p w14:paraId="02D71EEF"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0</w:t>
            </w:r>
          </w:p>
        </w:tc>
        <w:tc>
          <w:tcPr>
            <w:tcW w:w="567" w:type="dxa"/>
            <w:shd w:val="clear" w:color="auto" w:fill="F7EEF7"/>
          </w:tcPr>
          <w:p w14:paraId="11CA6DF9"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0</w:t>
            </w:r>
          </w:p>
        </w:tc>
        <w:tc>
          <w:tcPr>
            <w:tcW w:w="567" w:type="dxa"/>
            <w:shd w:val="clear" w:color="auto" w:fill="F7EEF7"/>
          </w:tcPr>
          <w:p w14:paraId="1DE9B750"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0</w:t>
            </w:r>
          </w:p>
        </w:tc>
        <w:tc>
          <w:tcPr>
            <w:tcW w:w="567" w:type="dxa"/>
            <w:shd w:val="clear" w:color="auto" w:fill="F7EEF7"/>
          </w:tcPr>
          <w:p w14:paraId="2A2A37FA"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0</w:t>
            </w:r>
          </w:p>
        </w:tc>
        <w:tc>
          <w:tcPr>
            <w:tcW w:w="567" w:type="dxa"/>
            <w:shd w:val="clear" w:color="auto" w:fill="F7EEF7"/>
          </w:tcPr>
          <w:p w14:paraId="30B24956"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2</w:t>
            </w:r>
          </w:p>
        </w:tc>
        <w:tc>
          <w:tcPr>
            <w:tcW w:w="567" w:type="dxa"/>
            <w:shd w:val="clear" w:color="auto" w:fill="F7EEF7"/>
          </w:tcPr>
          <w:p w14:paraId="42B44813"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2</w:t>
            </w:r>
          </w:p>
        </w:tc>
      </w:tr>
      <w:tr w:rsidR="009F6E27" w:rsidRPr="00A33264" w14:paraId="658A8AE7" w14:textId="77777777" w:rsidTr="005A19CA">
        <w:trPr>
          <w:trHeight w:val="425"/>
        </w:trPr>
        <w:tc>
          <w:tcPr>
            <w:cnfStyle w:val="001000000000" w:firstRow="0" w:lastRow="0" w:firstColumn="1" w:lastColumn="0" w:oddVBand="0" w:evenVBand="0" w:oddHBand="0" w:evenHBand="0" w:firstRowFirstColumn="0" w:firstRowLastColumn="0" w:lastRowFirstColumn="0" w:lastRowLastColumn="0"/>
            <w:tcW w:w="2891" w:type="dxa"/>
          </w:tcPr>
          <w:p w14:paraId="76D2079D" w14:textId="513A7268" w:rsidR="009F6E27" w:rsidRPr="00A33264" w:rsidRDefault="009F6E27" w:rsidP="00E74040">
            <w:pPr>
              <w:spacing w:after="0"/>
              <w:rPr>
                <w:rFonts w:eastAsia="DengXian"/>
                <w:lang w:val="en-GB"/>
              </w:rPr>
            </w:pPr>
            <w:r w:rsidRPr="00A33264">
              <w:rPr>
                <w:rFonts w:eastAsia="DengXian"/>
                <w:lang w:val="en-GB"/>
              </w:rPr>
              <w:t>Ms Maryanne Diamond AO</w:t>
            </w:r>
          </w:p>
        </w:tc>
        <w:tc>
          <w:tcPr>
            <w:tcW w:w="567" w:type="dxa"/>
          </w:tcPr>
          <w:p w14:paraId="727AFE3B"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11</w:t>
            </w:r>
          </w:p>
        </w:tc>
        <w:tc>
          <w:tcPr>
            <w:tcW w:w="567" w:type="dxa"/>
          </w:tcPr>
          <w:p w14:paraId="7378025C"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11</w:t>
            </w:r>
          </w:p>
        </w:tc>
        <w:tc>
          <w:tcPr>
            <w:tcW w:w="567" w:type="dxa"/>
          </w:tcPr>
          <w:p w14:paraId="5DFF7709"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3</w:t>
            </w:r>
          </w:p>
        </w:tc>
        <w:tc>
          <w:tcPr>
            <w:tcW w:w="567" w:type="dxa"/>
          </w:tcPr>
          <w:p w14:paraId="2C86789A"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3</w:t>
            </w:r>
          </w:p>
        </w:tc>
        <w:tc>
          <w:tcPr>
            <w:tcW w:w="567" w:type="dxa"/>
          </w:tcPr>
          <w:p w14:paraId="3DCD67BD"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3</w:t>
            </w:r>
          </w:p>
        </w:tc>
        <w:tc>
          <w:tcPr>
            <w:tcW w:w="567" w:type="dxa"/>
          </w:tcPr>
          <w:p w14:paraId="0C11958E"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3</w:t>
            </w:r>
          </w:p>
        </w:tc>
        <w:tc>
          <w:tcPr>
            <w:tcW w:w="567" w:type="dxa"/>
          </w:tcPr>
          <w:p w14:paraId="19A31E89"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0</w:t>
            </w:r>
          </w:p>
        </w:tc>
        <w:tc>
          <w:tcPr>
            <w:tcW w:w="567" w:type="dxa"/>
          </w:tcPr>
          <w:p w14:paraId="21D73F38"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3</w:t>
            </w:r>
          </w:p>
        </w:tc>
        <w:tc>
          <w:tcPr>
            <w:tcW w:w="567" w:type="dxa"/>
          </w:tcPr>
          <w:p w14:paraId="59A10BD4"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0</w:t>
            </w:r>
          </w:p>
        </w:tc>
        <w:tc>
          <w:tcPr>
            <w:tcW w:w="567" w:type="dxa"/>
          </w:tcPr>
          <w:p w14:paraId="124F9E9B"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3</w:t>
            </w:r>
          </w:p>
        </w:tc>
        <w:tc>
          <w:tcPr>
            <w:tcW w:w="567" w:type="dxa"/>
          </w:tcPr>
          <w:p w14:paraId="13846AF1"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2</w:t>
            </w:r>
          </w:p>
        </w:tc>
        <w:tc>
          <w:tcPr>
            <w:tcW w:w="567" w:type="dxa"/>
          </w:tcPr>
          <w:p w14:paraId="5A074FBA"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2</w:t>
            </w:r>
          </w:p>
        </w:tc>
      </w:tr>
      <w:tr w:rsidR="00AE51C6" w:rsidRPr="00A33264" w14:paraId="70E416B0" w14:textId="77777777" w:rsidTr="005A19CA">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891" w:type="dxa"/>
            <w:shd w:val="clear" w:color="auto" w:fill="F7EEF7"/>
          </w:tcPr>
          <w:p w14:paraId="0EFFB52F" w14:textId="77777777" w:rsidR="009F6E27" w:rsidRPr="00A33264" w:rsidRDefault="009F6E27" w:rsidP="00E74040">
            <w:pPr>
              <w:spacing w:after="0"/>
              <w:rPr>
                <w:rFonts w:eastAsia="DengXian"/>
                <w:lang w:val="en-GB"/>
              </w:rPr>
            </w:pPr>
            <w:r w:rsidRPr="00A33264">
              <w:rPr>
                <w:rFonts w:eastAsia="DengXian"/>
                <w:lang w:val="en-GB"/>
              </w:rPr>
              <w:t>Dr Richard Fejo</w:t>
            </w:r>
          </w:p>
        </w:tc>
        <w:tc>
          <w:tcPr>
            <w:tcW w:w="567" w:type="dxa"/>
            <w:shd w:val="clear" w:color="auto" w:fill="F7EEF7"/>
          </w:tcPr>
          <w:p w14:paraId="02D689D2"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11</w:t>
            </w:r>
          </w:p>
        </w:tc>
        <w:tc>
          <w:tcPr>
            <w:tcW w:w="567" w:type="dxa"/>
            <w:shd w:val="clear" w:color="auto" w:fill="F7EEF7"/>
          </w:tcPr>
          <w:p w14:paraId="7B71E42C"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9</w:t>
            </w:r>
          </w:p>
        </w:tc>
        <w:tc>
          <w:tcPr>
            <w:tcW w:w="567" w:type="dxa"/>
            <w:shd w:val="clear" w:color="auto" w:fill="F7EEF7"/>
          </w:tcPr>
          <w:p w14:paraId="5B4B769A"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0</w:t>
            </w:r>
          </w:p>
        </w:tc>
        <w:tc>
          <w:tcPr>
            <w:tcW w:w="567" w:type="dxa"/>
            <w:shd w:val="clear" w:color="auto" w:fill="F7EEF7"/>
          </w:tcPr>
          <w:p w14:paraId="7911E435"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3</w:t>
            </w:r>
          </w:p>
        </w:tc>
        <w:tc>
          <w:tcPr>
            <w:tcW w:w="567" w:type="dxa"/>
            <w:shd w:val="clear" w:color="auto" w:fill="F7EEF7"/>
          </w:tcPr>
          <w:p w14:paraId="3E6CC588"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0</w:t>
            </w:r>
          </w:p>
        </w:tc>
        <w:tc>
          <w:tcPr>
            <w:tcW w:w="567" w:type="dxa"/>
            <w:shd w:val="clear" w:color="auto" w:fill="F7EEF7"/>
          </w:tcPr>
          <w:p w14:paraId="6DE2CB0B"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3</w:t>
            </w:r>
          </w:p>
        </w:tc>
        <w:tc>
          <w:tcPr>
            <w:tcW w:w="567" w:type="dxa"/>
            <w:shd w:val="clear" w:color="auto" w:fill="F7EEF7"/>
          </w:tcPr>
          <w:p w14:paraId="309460A1"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0</w:t>
            </w:r>
          </w:p>
        </w:tc>
        <w:tc>
          <w:tcPr>
            <w:tcW w:w="567" w:type="dxa"/>
            <w:shd w:val="clear" w:color="auto" w:fill="F7EEF7"/>
          </w:tcPr>
          <w:p w14:paraId="474BCF3D"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4</w:t>
            </w:r>
          </w:p>
        </w:tc>
        <w:tc>
          <w:tcPr>
            <w:tcW w:w="567" w:type="dxa"/>
            <w:shd w:val="clear" w:color="auto" w:fill="F7EEF7"/>
          </w:tcPr>
          <w:p w14:paraId="425A2D54"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6</w:t>
            </w:r>
          </w:p>
        </w:tc>
        <w:tc>
          <w:tcPr>
            <w:tcW w:w="567" w:type="dxa"/>
            <w:shd w:val="clear" w:color="auto" w:fill="F7EEF7"/>
          </w:tcPr>
          <w:p w14:paraId="1889C503"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6</w:t>
            </w:r>
          </w:p>
        </w:tc>
        <w:tc>
          <w:tcPr>
            <w:tcW w:w="567" w:type="dxa"/>
            <w:shd w:val="clear" w:color="auto" w:fill="F7EEF7"/>
          </w:tcPr>
          <w:p w14:paraId="7857C13A"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0</w:t>
            </w:r>
          </w:p>
        </w:tc>
        <w:tc>
          <w:tcPr>
            <w:tcW w:w="567" w:type="dxa"/>
            <w:shd w:val="clear" w:color="auto" w:fill="F7EEF7"/>
          </w:tcPr>
          <w:p w14:paraId="599CD6AA"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2</w:t>
            </w:r>
          </w:p>
        </w:tc>
      </w:tr>
      <w:tr w:rsidR="009F6E27" w:rsidRPr="00A33264" w14:paraId="4B62E03A" w14:textId="77777777" w:rsidTr="005A19CA">
        <w:trPr>
          <w:trHeight w:val="425"/>
        </w:trPr>
        <w:tc>
          <w:tcPr>
            <w:cnfStyle w:val="001000000000" w:firstRow="0" w:lastRow="0" w:firstColumn="1" w:lastColumn="0" w:oddVBand="0" w:evenVBand="0" w:oddHBand="0" w:evenHBand="0" w:firstRowFirstColumn="0" w:firstRowLastColumn="0" w:lastRowFirstColumn="0" w:lastRowLastColumn="0"/>
            <w:tcW w:w="2891" w:type="dxa"/>
          </w:tcPr>
          <w:p w14:paraId="79476375" w14:textId="29568B0C" w:rsidR="009F6E27" w:rsidRPr="00057554" w:rsidRDefault="00B969E8" w:rsidP="00E74040">
            <w:pPr>
              <w:spacing w:after="0"/>
              <w:rPr>
                <w:rFonts w:eastAsia="DengXian"/>
                <w:lang w:val="en-GB"/>
              </w:rPr>
            </w:pPr>
            <w:r w:rsidRPr="00A33264">
              <w:rPr>
                <w:rFonts w:eastAsia="DengXian"/>
                <w:lang w:val="en-GB"/>
              </w:rPr>
              <w:t>D</w:t>
            </w:r>
            <w:r w:rsidR="009F6E27" w:rsidRPr="00A33264">
              <w:rPr>
                <w:rFonts w:eastAsia="DengXian"/>
                <w:lang w:val="en-GB"/>
              </w:rPr>
              <w:t>r Graeme Innes AM</w:t>
            </w:r>
          </w:p>
        </w:tc>
        <w:tc>
          <w:tcPr>
            <w:tcW w:w="567" w:type="dxa"/>
          </w:tcPr>
          <w:p w14:paraId="42BF73B8"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11</w:t>
            </w:r>
          </w:p>
        </w:tc>
        <w:tc>
          <w:tcPr>
            <w:tcW w:w="567" w:type="dxa"/>
          </w:tcPr>
          <w:p w14:paraId="45C72931"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9</w:t>
            </w:r>
          </w:p>
        </w:tc>
        <w:tc>
          <w:tcPr>
            <w:tcW w:w="567" w:type="dxa"/>
          </w:tcPr>
          <w:p w14:paraId="0484245B"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3</w:t>
            </w:r>
          </w:p>
        </w:tc>
        <w:tc>
          <w:tcPr>
            <w:tcW w:w="567" w:type="dxa"/>
          </w:tcPr>
          <w:p w14:paraId="5C736B95"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3</w:t>
            </w:r>
          </w:p>
        </w:tc>
        <w:tc>
          <w:tcPr>
            <w:tcW w:w="567" w:type="dxa"/>
          </w:tcPr>
          <w:p w14:paraId="52F319A1"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0</w:t>
            </w:r>
          </w:p>
        </w:tc>
        <w:tc>
          <w:tcPr>
            <w:tcW w:w="567" w:type="dxa"/>
          </w:tcPr>
          <w:p w14:paraId="532B21E9"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2</w:t>
            </w:r>
          </w:p>
        </w:tc>
        <w:tc>
          <w:tcPr>
            <w:tcW w:w="567" w:type="dxa"/>
          </w:tcPr>
          <w:p w14:paraId="38C0BB1E"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0</w:t>
            </w:r>
          </w:p>
        </w:tc>
        <w:tc>
          <w:tcPr>
            <w:tcW w:w="567" w:type="dxa"/>
          </w:tcPr>
          <w:p w14:paraId="54D72EB6"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2</w:t>
            </w:r>
          </w:p>
        </w:tc>
        <w:tc>
          <w:tcPr>
            <w:tcW w:w="567" w:type="dxa"/>
          </w:tcPr>
          <w:p w14:paraId="5E27DA86"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3</w:t>
            </w:r>
          </w:p>
        </w:tc>
        <w:tc>
          <w:tcPr>
            <w:tcW w:w="567" w:type="dxa"/>
          </w:tcPr>
          <w:p w14:paraId="39F741CA"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2</w:t>
            </w:r>
          </w:p>
        </w:tc>
        <w:tc>
          <w:tcPr>
            <w:tcW w:w="567" w:type="dxa"/>
          </w:tcPr>
          <w:p w14:paraId="5DA3A691"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2</w:t>
            </w:r>
          </w:p>
        </w:tc>
        <w:tc>
          <w:tcPr>
            <w:tcW w:w="567" w:type="dxa"/>
          </w:tcPr>
          <w:p w14:paraId="6A39EDC0"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2</w:t>
            </w:r>
          </w:p>
        </w:tc>
      </w:tr>
      <w:tr w:rsidR="00AE51C6" w:rsidRPr="00A33264" w14:paraId="6D68EA97" w14:textId="77777777" w:rsidTr="005A19CA">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891" w:type="dxa"/>
            <w:shd w:val="clear" w:color="auto" w:fill="F7EEF7"/>
          </w:tcPr>
          <w:p w14:paraId="2B40E61E" w14:textId="77777777" w:rsidR="009F6E27" w:rsidRPr="00A33264" w:rsidRDefault="009F6E27" w:rsidP="00E74040">
            <w:pPr>
              <w:spacing w:after="0"/>
              <w:rPr>
                <w:rFonts w:eastAsia="DengXian"/>
                <w:lang w:val="en-GB"/>
              </w:rPr>
            </w:pPr>
            <w:r w:rsidRPr="00A33264">
              <w:rPr>
                <w:rFonts w:eastAsia="DengXian"/>
                <w:lang w:val="en-GB"/>
              </w:rPr>
              <w:t>Mrs Joan McKenna Kerr</w:t>
            </w:r>
          </w:p>
        </w:tc>
        <w:tc>
          <w:tcPr>
            <w:tcW w:w="567" w:type="dxa"/>
            <w:shd w:val="clear" w:color="auto" w:fill="F7EEF7"/>
          </w:tcPr>
          <w:p w14:paraId="73C8C697"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11</w:t>
            </w:r>
          </w:p>
        </w:tc>
        <w:tc>
          <w:tcPr>
            <w:tcW w:w="567" w:type="dxa"/>
            <w:shd w:val="clear" w:color="auto" w:fill="F7EEF7"/>
          </w:tcPr>
          <w:p w14:paraId="787789CF"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10</w:t>
            </w:r>
          </w:p>
        </w:tc>
        <w:tc>
          <w:tcPr>
            <w:tcW w:w="567" w:type="dxa"/>
            <w:shd w:val="clear" w:color="auto" w:fill="F7EEF7"/>
          </w:tcPr>
          <w:p w14:paraId="1CEECD40"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0</w:t>
            </w:r>
          </w:p>
        </w:tc>
        <w:tc>
          <w:tcPr>
            <w:tcW w:w="567" w:type="dxa"/>
            <w:shd w:val="clear" w:color="auto" w:fill="F7EEF7"/>
          </w:tcPr>
          <w:p w14:paraId="1044DE41"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0</w:t>
            </w:r>
          </w:p>
        </w:tc>
        <w:tc>
          <w:tcPr>
            <w:tcW w:w="567" w:type="dxa"/>
            <w:shd w:val="clear" w:color="auto" w:fill="F7EEF7"/>
          </w:tcPr>
          <w:p w14:paraId="3D0F1A76"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0</w:t>
            </w:r>
          </w:p>
        </w:tc>
        <w:tc>
          <w:tcPr>
            <w:tcW w:w="567" w:type="dxa"/>
            <w:shd w:val="clear" w:color="auto" w:fill="F7EEF7"/>
          </w:tcPr>
          <w:p w14:paraId="0776F936"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0</w:t>
            </w:r>
          </w:p>
        </w:tc>
        <w:tc>
          <w:tcPr>
            <w:tcW w:w="567" w:type="dxa"/>
            <w:shd w:val="clear" w:color="auto" w:fill="F7EEF7"/>
          </w:tcPr>
          <w:p w14:paraId="7A434602"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0</w:t>
            </w:r>
          </w:p>
        </w:tc>
        <w:tc>
          <w:tcPr>
            <w:tcW w:w="567" w:type="dxa"/>
            <w:shd w:val="clear" w:color="auto" w:fill="F7EEF7"/>
          </w:tcPr>
          <w:p w14:paraId="01E1C02E"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0</w:t>
            </w:r>
          </w:p>
        </w:tc>
        <w:tc>
          <w:tcPr>
            <w:tcW w:w="567" w:type="dxa"/>
            <w:shd w:val="clear" w:color="auto" w:fill="F7EEF7"/>
          </w:tcPr>
          <w:p w14:paraId="4C964528"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5</w:t>
            </w:r>
          </w:p>
        </w:tc>
        <w:tc>
          <w:tcPr>
            <w:tcW w:w="567" w:type="dxa"/>
            <w:shd w:val="clear" w:color="auto" w:fill="F7EEF7"/>
          </w:tcPr>
          <w:p w14:paraId="3BE7DBF6"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5</w:t>
            </w:r>
          </w:p>
        </w:tc>
        <w:tc>
          <w:tcPr>
            <w:tcW w:w="567" w:type="dxa"/>
            <w:shd w:val="clear" w:color="auto" w:fill="F7EEF7"/>
          </w:tcPr>
          <w:p w14:paraId="48EE4156"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0</w:t>
            </w:r>
          </w:p>
        </w:tc>
        <w:tc>
          <w:tcPr>
            <w:tcW w:w="567" w:type="dxa"/>
            <w:shd w:val="clear" w:color="auto" w:fill="F7EEF7"/>
          </w:tcPr>
          <w:p w14:paraId="774D5954"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0</w:t>
            </w:r>
          </w:p>
        </w:tc>
      </w:tr>
      <w:tr w:rsidR="009F6E27" w:rsidRPr="00A33264" w14:paraId="13635032" w14:textId="77777777" w:rsidTr="005A19CA">
        <w:trPr>
          <w:trHeight w:val="425"/>
        </w:trPr>
        <w:tc>
          <w:tcPr>
            <w:cnfStyle w:val="001000000000" w:firstRow="0" w:lastRow="0" w:firstColumn="1" w:lastColumn="0" w:oddVBand="0" w:evenVBand="0" w:oddHBand="0" w:evenHBand="0" w:firstRowFirstColumn="0" w:firstRowLastColumn="0" w:lastRowFirstColumn="0" w:lastRowLastColumn="0"/>
            <w:tcW w:w="2891" w:type="dxa"/>
          </w:tcPr>
          <w:p w14:paraId="6CFCA574" w14:textId="77777777" w:rsidR="009F6E27" w:rsidRPr="00A33264" w:rsidRDefault="009F6E27" w:rsidP="00E74040">
            <w:pPr>
              <w:spacing w:after="0"/>
              <w:rPr>
                <w:rFonts w:eastAsia="DengXian"/>
                <w:lang w:val="en-GB"/>
              </w:rPr>
            </w:pPr>
            <w:r w:rsidRPr="00A33264">
              <w:rPr>
                <w:rFonts w:eastAsia="DengXian"/>
                <w:lang w:val="en-GB"/>
              </w:rPr>
              <w:t xml:space="preserve">Dr Denis Napthine AO </w:t>
            </w:r>
          </w:p>
        </w:tc>
        <w:tc>
          <w:tcPr>
            <w:tcW w:w="567" w:type="dxa"/>
          </w:tcPr>
          <w:p w14:paraId="3364440F"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11</w:t>
            </w:r>
          </w:p>
        </w:tc>
        <w:tc>
          <w:tcPr>
            <w:tcW w:w="567" w:type="dxa"/>
          </w:tcPr>
          <w:p w14:paraId="2893C31A"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11</w:t>
            </w:r>
          </w:p>
        </w:tc>
        <w:tc>
          <w:tcPr>
            <w:tcW w:w="567" w:type="dxa"/>
          </w:tcPr>
          <w:p w14:paraId="47B07325"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3</w:t>
            </w:r>
          </w:p>
        </w:tc>
        <w:tc>
          <w:tcPr>
            <w:tcW w:w="567" w:type="dxa"/>
          </w:tcPr>
          <w:p w14:paraId="573E1CD8"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3</w:t>
            </w:r>
          </w:p>
        </w:tc>
        <w:tc>
          <w:tcPr>
            <w:tcW w:w="567" w:type="dxa"/>
          </w:tcPr>
          <w:p w14:paraId="04E57279"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3</w:t>
            </w:r>
          </w:p>
        </w:tc>
        <w:tc>
          <w:tcPr>
            <w:tcW w:w="567" w:type="dxa"/>
          </w:tcPr>
          <w:p w14:paraId="716543ED"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3</w:t>
            </w:r>
          </w:p>
        </w:tc>
        <w:tc>
          <w:tcPr>
            <w:tcW w:w="567" w:type="dxa"/>
          </w:tcPr>
          <w:p w14:paraId="54EBCF3C"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0</w:t>
            </w:r>
          </w:p>
        </w:tc>
        <w:tc>
          <w:tcPr>
            <w:tcW w:w="567" w:type="dxa"/>
          </w:tcPr>
          <w:p w14:paraId="757A1F9D"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3</w:t>
            </w:r>
          </w:p>
        </w:tc>
        <w:tc>
          <w:tcPr>
            <w:tcW w:w="567" w:type="dxa"/>
          </w:tcPr>
          <w:p w14:paraId="691BBCAC"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0</w:t>
            </w:r>
          </w:p>
        </w:tc>
        <w:tc>
          <w:tcPr>
            <w:tcW w:w="567" w:type="dxa"/>
          </w:tcPr>
          <w:p w14:paraId="68220F63"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3</w:t>
            </w:r>
          </w:p>
        </w:tc>
        <w:tc>
          <w:tcPr>
            <w:tcW w:w="567" w:type="dxa"/>
          </w:tcPr>
          <w:p w14:paraId="7DB5414C"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2</w:t>
            </w:r>
          </w:p>
        </w:tc>
        <w:tc>
          <w:tcPr>
            <w:tcW w:w="567" w:type="dxa"/>
          </w:tcPr>
          <w:p w14:paraId="2D96F5E0"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2</w:t>
            </w:r>
          </w:p>
        </w:tc>
      </w:tr>
      <w:tr w:rsidR="00AE51C6" w:rsidRPr="00A33264" w14:paraId="3BE202A3" w14:textId="77777777" w:rsidTr="005A19CA">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891" w:type="dxa"/>
            <w:shd w:val="clear" w:color="auto" w:fill="F7EEF7"/>
          </w:tcPr>
          <w:p w14:paraId="64083C05" w14:textId="782106B3" w:rsidR="009F6E27" w:rsidRPr="00A33264" w:rsidRDefault="009F6E27" w:rsidP="00E74040">
            <w:pPr>
              <w:spacing w:after="0"/>
              <w:rPr>
                <w:rFonts w:eastAsia="DengXian"/>
                <w:lang w:val="en-GB"/>
              </w:rPr>
            </w:pPr>
            <w:r w:rsidRPr="00A33264">
              <w:rPr>
                <w:rFonts w:eastAsia="DengXian"/>
                <w:lang w:val="en-GB"/>
              </w:rPr>
              <w:t>Ms Estelle Pearson</w:t>
            </w:r>
          </w:p>
        </w:tc>
        <w:tc>
          <w:tcPr>
            <w:tcW w:w="567" w:type="dxa"/>
            <w:shd w:val="clear" w:color="auto" w:fill="F7EEF7"/>
          </w:tcPr>
          <w:p w14:paraId="2AF36BF3"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11</w:t>
            </w:r>
          </w:p>
        </w:tc>
        <w:tc>
          <w:tcPr>
            <w:tcW w:w="567" w:type="dxa"/>
            <w:shd w:val="clear" w:color="auto" w:fill="F7EEF7"/>
          </w:tcPr>
          <w:p w14:paraId="578124D7"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9</w:t>
            </w:r>
          </w:p>
        </w:tc>
        <w:tc>
          <w:tcPr>
            <w:tcW w:w="567" w:type="dxa"/>
            <w:shd w:val="clear" w:color="auto" w:fill="F7EEF7"/>
          </w:tcPr>
          <w:p w14:paraId="106F2499"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3</w:t>
            </w:r>
          </w:p>
        </w:tc>
        <w:tc>
          <w:tcPr>
            <w:tcW w:w="567" w:type="dxa"/>
            <w:shd w:val="clear" w:color="auto" w:fill="F7EEF7"/>
          </w:tcPr>
          <w:p w14:paraId="12DBC8EB"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3</w:t>
            </w:r>
          </w:p>
        </w:tc>
        <w:tc>
          <w:tcPr>
            <w:tcW w:w="567" w:type="dxa"/>
            <w:shd w:val="clear" w:color="auto" w:fill="F7EEF7"/>
          </w:tcPr>
          <w:p w14:paraId="14B78FDA"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0</w:t>
            </w:r>
          </w:p>
        </w:tc>
        <w:tc>
          <w:tcPr>
            <w:tcW w:w="567" w:type="dxa"/>
            <w:shd w:val="clear" w:color="auto" w:fill="F7EEF7"/>
          </w:tcPr>
          <w:p w14:paraId="611665AD"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3</w:t>
            </w:r>
          </w:p>
        </w:tc>
        <w:tc>
          <w:tcPr>
            <w:tcW w:w="567" w:type="dxa"/>
            <w:shd w:val="clear" w:color="auto" w:fill="F7EEF7"/>
          </w:tcPr>
          <w:p w14:paraId="334782A1"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4</w:t>
            </w:r>
          </w:p>
        </w:tc>
        <w:tc>
          <w:tcPr>
            <w:tcW w:w="567" w:type="dxa"/>
            <w:shd w:val="clear" w:color="auto" w:fill="F7EEF7"/>
          </w:tcPr>
          <w:p w14:paraId="596B19BA"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4</w:t>
            </w:r>
          </w:p>
        </w:tc>
        <w:tc>
          <w:tcPr>
            <w:tcW w:w="567" w:type="dxa"/>
            <w:shd w:val="clear" w:color="auto" w:fill="F7EEF7"/>
          </w:tcPr>
          <w:p w14:paraId="7CC6DA18"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0</w:t>
            </w:r>
          </w:p>
        </w:tc>
        <w:tc>
          <w:tcPr>
            <w:tcW w:w="567" w:type="dxa"/>
            <w:shd w:val="clear" w:color="auto" w:fill="F7EEF7"/>
          </w:tcPr>
          <w:p w14:paraId="73A9CFA4"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3</w:t>
            </w:r>
          </w:p>
        </w:tc>
        <w:tc>
          <w:tcPr>
            <w:tcW w:w="567" w:type="dxa"/>
            <w:shd w:val="clear" w:color="auto" w:fill="F7EEF7"/>
          </w:tcPr>
          <w:p w14:paraId="548FA968"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0</w:t>
            </w:r>
          </w:p>
        </w:tc>
        <w:tc>
          <w:tcPr>
            <w:tcW w:w="567" w:type="dxa"/>
            <w:shd w:val="clear" w:color="auto" w:fill="F7EEF7"/>
          </w:tcPr>
          <w:p w14:paraId="2662EB1A"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1</w:t>
            </w:r>
          </w:p>
        </w:tc>
      </w:tr>
      <w:tr w:rsidR="009F6E27" w:rsidRPr="00A33264" w14:paraId="3BD8A921" w14:textId="77777777" w:rsidTr="005A19CA">
        <w:trPr>
          <w:trHeight w:val="425"/>
        </w:trPr>
        <w:tc>
          <w:tcPr>
            <w:cnfStyle w:val="001000000000" w:firstRow="0" w:lastRow="0" w:firstColumn="1" w:lastColumn="0" w:oddVBand="0" w:evenVBand="0" w:oddHBand="0" w:evenHBand="0" w:firstRowFirstColumn="0" w:firstRowLastColumn="0" w:lastRowFirstColumn="0" w:lastRowLastColumn="0"/>
            <w:tcW w:w="2891" w:type="dxa"/>
          </w:tcPr>
          <w:p w14:paraId="688BF7E9" w14:textId="77777777" w:rsidR="009F6E27" w:rsidRPr="00A33264" w:rsidRDefault="009F6E27" w:rsidP="00E74040">
            <w:pPr>
              <w:spacing w:after="0"/>
              <w:rPr>
                <w:rFonts w:eastAsia="DengXian"/>
                <w:lang w:val="en-GB"/>
              </w:rPr>
            </w:pPr>
            <w:r w:rsidRPr="00A33264">
              <w:rPr>
                <w:rFonts w:eastAsia="DengXian"/>
                <w:lang w:val="en-GB"/>
              </w:rPr>
              <w:t>Ms Leah van Poppel</w:t>
            </w:r>
          </w:p>
        </w:tc>
        <w:tc>
          <w:tcPr>
            <w:tcW w:w="567" w:type="dxa"/>
          </w:tcPr>
          <w:p w14:paraId="5CB29789"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11</w:t>
            </w:r>
          </w:p>
        </w:tc>
        <w:tc>
          <w:tcPr>
            <w:tcW w:w="567" w:type="dxa"/>
          </w:tcPr>
          <w:p w14:paraId="4A6C4034"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10</w:t>
            </w:r>
          </w:p>
        </w:tc>
        <w:tc>
          <w:tcPr>
            <w:tcW w:w="567" w:type="dxa"/>
          </w:tcPr>
          <w:p w14:paraId="35E7F823"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0</w:t>
            </w:r>
          </w:p>
        </w:tc>
        <w:tc>
          <w:tcPr>
            <w:tcW w:w="567" w:type="dxa"/>
          </w:tcPr>
          <w:p w14:paraId="1F272A1D"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2</w:t>
            </w:r>
          </w:p>
        </w:tc>
        <w:tc>
          <w:tcPr>
            <w:tcW w:w="567" w:type="dxa"/>
          </w:tcPr>
          <w:p w14:paraId="3C875461"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0</w:t>
            </w:r>
          </w:p>
        </w:tc>
        <w:tc>
          <w:tcPr>
            <w:tcW w:w="567" w:type="dxa"/>
          </w:tcPr>
          <w:p w14:paraId="2EBCEFC5"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2</w:t>
            </w:r>
          </w:p>
        </w:tc>
        <w:tc>
          <w:tcPr>
            <w:tcW w:w="567" w:type="dxa"/>
          </w:tcPr>
          <w:p w14:paraId="21472CF0"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4</w:t>
            </w:r>
          </w:p>
        </w:tc>
        <w:tc>
          <w:tcPr>
            <w:tcW w:w="567" w:type="dxa"/>
          </w:tcPr>
          <w:p w14:paraId="4293BAE5"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4</w:t>
            </w:r>
          </w:p>
        </w:tc>
        <w:tc>
          <w:tcPr>
            <w:tcW w:w="567" w:type="dxa"/>
          </w:tcPr>
          <w:p w14:paraId="3875B683"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6</w:t>
            </w:r>
          </w:p>
        </w:tc>
        <w:tc>
          <w:tcPr>
            <w:tcW w:w="567" w:type="dxa"/>
          </w:tcPr>
          <w:p w14:paraId="16E798D5"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6</w:t>
            </w:r>
          </w:p>
        </w:tc>
        <w:tc>
          <w:tcPr>
            <w:tcW w:w="567" w:type="dxa"/>
          </w:tcPr>
          <w:p w14:paraId="4DDEE3AB"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0</w:t>
            </w:r>
          </w:p>
        </w:tc>
        <w:tc>
          <w:tcPr>
            <w:tcW w:w="567" w:type="dxa"/>
          </w:tcPr>
          <w:p w14:paraId="7AD0EB1D" w14:textId="77777777" w:rsidR="009F6E27" w:rsidRPr="00A33264" w:rsidRDefault="009F6E27" w:rsidP="00BB40DF">
            <w:pPr>
              <w:spacing w:after="0"/>
              <w:jc w:val="right"/>
              <w:cnfStyle w:val="000000000000" w:firstRow="0" w:lastRow="0" w:firstColumn="0" w:lastColumn="0" w:oddVBand="0" w:evenVBand="0" w:oddHBand="0" w:evenHBand="0" w:firstRowFirstColumn="0" w:firstRowLastColumn="0" w:lastRowFirstColumn="0" w:lastRowLastColumn="0"/>
              <w:rPr>
                <w:rFonts w:eastAsia="DengXian"/>
                <w:lang w:val="en-GB"/>
              </w:rPr>
            </w:pPr>
            <w:r w:rsidRPr="00A33264">
              <w:rPr>
                <w:rFonts w:eastAsia="DengXian"/>
                <w:lang w:val="en-GB"/>
              </w:rPr>
              <w:t>0</w:t>
            </w:r>
          </w:p>
        </w:tc>
      </w:tr>
      <w:tr w:rsidR="00AE51C6" w:rsidRPr="00A33264" w14:paraId="51A5E67B" w14:textId="77777777" w:rsidTr="005A19CA">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891" w:type="dxa"/>
            <w:shd w:val="clear" w:color="auto" w:fill="F7EEF7"/>
          </w:tcPr>
          <w:p w14:paraId="01DD188E" w14:textId="260AFBD6" w:rsidR="009F6E27" w:rsidRPr="00A33264" w:rsidRDefault="009F6E27" w:rsidP="00E74040">
            <w:pPr>
              <w:spacing w:after="0"/>
              <w:rPr>
                <w:rFonts w:eastAsia="DengXian"/>
                <w:lang w:val="en-GB"/>
              </w:rPr>
            </w:pPr>
            <w:r w:rsidRPr="00A33264">
              <w:rPr>
                <w:rFonts w:eastAsia="DengXian"/>
                <w:lang w:val="en-GB"/>
              </w:rPr>
              <w:t>Dr Peta Seaton AM</w:t>
            </w:r>
          </w:p>
        </w:tc>
        <w:tc>
          <w:tcPr>
            <w:tcW w:w="567" w:type="dxa"/>
            <w:shd w:val="clear" w:color="auto" w:fill="F7EEF7"/>
          </w:tcPr>
          <w:p w14:paraId="1A03B097"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11</w:t>
            </w:r>
          </w:p>
        </w:tc>
        <w:tc>
          <w:tcPr>
            <w:tcW w:w="567" w:type="dxa"/>
            <w:shd w:val="clear" w:color="auto" w:fill="F7EEF7"/>
          </w:tcPr>
          <w:p w14:paraId="1A9A62C2"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10</w:t>
            </w:r>
          </w:p>
        </w:tc>
        <w:tc>
          <w:tcPr>
            <w:tcW w:w="567" w:type="dxa"/>
            <w:shd w:val="clear" w:color="auto" w:fill="F7EEF7"/>
          </w:tcPr>
          <w:p w14:paraId="2FCB650C"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0</w:t>
            </w:r>
          </w:p>
        </w:tc>
        <w:tc>
          <w:tcPr>
            <w:tcW w:w="567" w:type="dxa"/>
            <w:shd w:val="clear" w:color="auto" w:fill="F7EEF7"/>
          </w:tcPr>
          <w:p w14:paraId="28F05C85"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3</w:t>
            </w:r>
          </w:p>
        </w:tc>
        <w:tc>
          <w:tcPr>
            <w:tcW w:w="567" w:type="dxa"/>
            <w:shd w:val="clear" w:color="auto" w:fill="F7EEF7"/>
          </w:tcPr>
          <w:p w14:paraId="281A2805"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0</w:t>
            </w:r>
          </w:p>
        </w:tc>
        <w:tc>
          <w:tcPr>
            <w:tcW w:w="567" w:type="dxa"/>
            <w:shd w:val="clear" w:color="auto" w:fill="F7EEF7"/>
          </w:tcPr>
          <w:p w14:paraId="0E7E0928"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3</w:t>
            </w:r>
          </w:p>
        </w:tc>
        <w:tc>
          <w:tcPr>
            <w:tcW w:w="567" w:type="dxa"/>
            <w:shd w:val="clear" w:color="auto" w:fill="F7EEF7"/>
          </w:tcPr>
          <w:p w14:paraId="143205FF"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4</w:t>
            </w:r>
          </w:p>
        </w:tc>
        <w:tc>
          <w:tcPr>
            <w:tcW w:w="567" w:type="dxa"/>
            <w:shd w:val="clear" w:color="auto" w:fill="F7EEF7"/>
          </w:tcPr>
          <w:p w14:paraId="5E1CBF88"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4</w:t>
            </w:r>
          </w:p>
        </w:tc>
        <w:tc>
          <w:tcPr>
            <w:tcW w:w="567" w:type="dxa"/>
            <w:shd w:val="clear" w:color="auto" w:fill="F7EEF7"/>
          </w:tcPr>
          <w:p w14:paraId="0FECB194"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6</w:t>
            </w:r>
          </w:p>
        </w:tc>
        <w:tc>
          <w:tcPr>
            <w:tcW w:w="567" w:type="dxa"/>
            <w:shd w:val="clear" w:color="auto" w:fill="F7EEF7"/>
          </w:tcPr>
          <w:p w14:paraId="06654732"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6</w:t>
            </w:r>
          </w:p>
        </w:tc>
        <w:tc>
          <w:tcPr>
            <w:tcW w:w="567" w:type="dxa"/>
            <w:shd w:val="clear" w:color="auto" w:fill="F7EEF7"/>
          </w:tcPr>
          <w:p w14:paraId="76690720"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0</w:t>
            </w:r>
          </w:p>
        </w:tc>
        <w:tc>
          <w:tcPr>
            <w:tcW w:w="567" w:type="dxa"/>
            <w:shd w:val="clear" w:color="auto" w:fill="F7EEF7"/>
          </w:tcPr>
          <w:p w14:paraId="36435F25" w14:textId="77777777" w:rsidR="009F6E27" w:rsidRPr="00A33264" w:rsidRDefault="009F6E27" w:rsidP="00BB40DF">
            <w:pPr>
              <w:spacing w:after="0"/>
              <w:jc w:val="right"/>
              <w:cnfStyle w:val="000000100000" w:firstRow="0" w:lastRow="0" w:firstColumn="0" w:lastColumn="0" w:oddVBand="0" w:evenVBand="0" w:oddHBand="1" w:evenHBand="0" w:firstRowFirstColumn="0" w:firstRowLastColumn="0" w:lastRowFirstColumn="0" w:lastRowLastColumn="0"/>
              <w:rPr>
                <w:rFonts w:eastAsia="DengXian"/>
                <w:lang w:val="en-GB"/>
              </w:rPr>
            </w:pPr>
            <w:r w:rsidRPr="00A33264">
              <w:rPr>
                <w:rFonts w:eastAsia="DengXian"/>
                <w:lang w:val="en-GB"/>
              </w:rPr>
              <w:t>1</w:t>
            </w:r>
          </w:p>
        </w:tc>
      </w:tr>
    </w:tbl>
    <w:p w14:paraId="743872F1" w14:textId="0B7630BC" w:rsidR="00293639" w:rsidRPr="00B27FA1" w:rsidRDefault="00D24A04" w:rsidP="00B27FA1">
      <w:pPr>
        <w:pStyle w:val="Tablenote"/>
      </w:pPr>
      <w:r>
        <w:lastRenderedPageBreak/>
        <w:t>N</w:t>
      </w:r>
      <w:r w:rsidR="009F6E27" w:rsidRPr="00B27FA1">
        <w:t>ote</w:t>
      </w:r>
      <w:r w:rsidR="00293639" w:rsidRPr="00B27FA1">
        <w:t>s</w:t>
      </w:r>
      <w:r w:rsidR="009F6E27" w:rsidRPr="00B27FA1">
        <w:t xml:space="preserve">: </w:t>
      </w:r>
      <w:r w:rsidR="00293639" w:rsidRPr="00B27FA1">
        <w:t>SPDO = Strategic Direction and Participant Outcomes Committee.</w:t>
      </w:r>
    </w:p>
    <w:p w14:paraId="349E74A6" w14:textId="77777777" w:rsidR="00293639" w:rsidRPr="00B27FA1" w:rsidRDefault="00293639" w:rsidP="00B27FA1">
      <w:pPr>
        <w:pStyle w:val="Tablenote"/>
      </w:pPr>
      <w:r w:rsidRPr="00B27FA1">
        <w:t>A joint Audit Committee and Risk Committee meeting was held on 14 March 2024. Attendance has been recorded individually for both Audit Committee and Risk Committee. On 27 March 2024 the Audit Committee and Risk Committee merged to form the Audit and Risk Committee.</w:t>
      </w:r>
    </w:p>
    <w:p w14:paraId="76467FA9" w14:textId="54FCA1B2" w:rsidR="0047222D" w:rsidRPr="00B27FA1" w:rsidRDefault="009F6E27" w:rsidP="00B27FA1">
      <w:pPr>
        <w:pStyle w:val="Tablenote"/>
      </w:pPr>
      <w:r w:rsidRPr="00B27FA1">
        <w:t>Board members may attend any Board committee meeting in their capacity as a director. ‘Eligible’ refers to the number of scheduled committee meetings available to be attended by a director as a formal member of the committee. ‘Attended’ refers to the actual number of meetings Board members attended.</w:t>
      </w:r>
    </w:p>
    <w:p w14:paraId="2003B6E7" w14:textId="6C2519AE" w:rsidR="00D7463A" w:rsidRPr="00A33264" w:rsidRDefault="00D7463A" w:rsidP="00D7463A">
      <w:pPr>
        <w:pStyle w:val="Heading4"/>
        <w:rPr>
          <w:lang w:val="en-GB"/>
        </w:rPr>
      </w:pPr>
      <w:bookmarkStart w:id="296" w:name="_Toc169592979"/>
      <w:r w:rsidRPr="00A33264">
        <w:rPr>
          <w:lang w:val="en-GB"/>
        </w:rPr>
        <w:t>Board membership</w:t>
      </w:r>
      <w:bookmarkEnd w:id="296"/>
    </w:p>
    <w:p w14:paraId="1A2B2E70" w14:textId="629B2AF0" w:rsidR="009F6E27" w:rsidRPr="00A33264" w:rsidRDefault="009F6E27" w:rsidP="009F6E27">
      <w:pPr>
        <w:rPr>
          <w:lang w:val="en-GB"/>
        </w:rPr>
      </w:pPr>
      <w:r w:rsidRPr="00A33264">
        <w:rPr>
          <w:lang w:val="en-GB"/>
        </w:rPr>
        <w:t xml:space="preserve">Ms Estelle Pearson completed her Board appointment on 30 June 2023. </w:t>
      </w:r>
      <w:r w:rsidR="00867E1D" w:rsidRPr="00A33264">
        <w:rPr>
          <w:lang w:val="en-GB"/>
        </w:rPr>
        <w:t>Ms</w:t>
      </w:r>
      <w:r w:rsidRPr="00A33264">
        <w:rPr>
          <w:lang w:val="en-GB"/>
        </w:rPr>
        <w:t xml:space="preserve"> Pearson was reappointed to the Board on 11 July 2023 for 3 months and subsequently reappointed on 11 October 2023 for 3 years.</w:t>
      </w:r>
    </w:p>
    <w:p w14:paraId="6344B3C1" w14:textId="11890C87" w:rsidR="006418CC" w:rsidRPr="00F23525" w:rsidRDefault="009F6E27" w:rsidP="006418CC">
      <w:r w:rsidRPr="00A33264">
        <w:rPr>
          <w:lang w:val="en-GB"/>
        </w:rPr>
        <w:t xml:space="preserve">Mr Asimakis (Mark) Darras was appointed to the Board for </w:t>
      </w:r>
      <w:r w:rsidR="00293639">
        <w:rPr>
          <w:lang w:val="en-GB"/>
        </w:rPr>
        <w:t>3</w:t>
      </w:r>
      <w:r w:rsidR="00293639" w:rsidRPr="00A33264">
        <w:rPr>
          <w:lang w:val="en-GB"/>
        </w:rPr>
        <w:t xml:space="preserve"> </w:t>
      </w:r>
      <w:r w:rsidRPr="00A33264">
        <w:rPr>
          <w:lang w:val="en-GB"/>
        </w:rPr>
        <w:t>years and commenced his term on 24 November 2023.</w:t>
      </w:r>
      <w:bookmarkStart w:id="297" w:name="_Toc169592980"/>
      <w:bookmarkStart w:id="298" w:name="_Toc174354199"/>
      <w:bookmarkStart w:id="299" w:name="_Toc175316903"/>
      <w:bookmarkStart w:id="300" w:name="_Toc176786394"/>
    </w:p>
    <w:p w14:paraId="38F57969" w14:textId="6FD541A8" w:rsidR="00D7463A" w:rsidRPr="00A33264" w:rsidRDefault="00D7463A" w:rsidP="00D7463A">
      <w:pPr>
        <w:pStyle w:val="Heading3"/>
        <w:rPr>
          <w:lang w:val="en-GB"/>
        </w:rPr>
      </w:pPr>
      <w:bookmarkStart w:id="301" w:name="_Toc180505676"/>
      <w:r w:rsidRPr="00A33264">
        <w:rPr>
          <w:lang w:val="en-GB"/>
        </w:rPr>
        <w:t>The Independent Advisory Council</w:t>
      </w:r>
      <w:bookmarkEnd w:id="297"/>
      <w:bookmarkEnd w:id="298"/>
      <w:bookmarkEnd w:id="299"/>
      <w:bookmarkEnd w:id="300"/>
      <w:bookmarkEnd w:id="301"/>
    </w:p>
    <w:p w14:paraId="655E1239" w14:textId="77777777" w:rsidR="00CC1405" w:rsidRPr="00A33264" w:rsidRDefault="00CC1405" w:rsidP="00CC1405">
      <w:pPr>
        <w:rPr>
          <w:lang w:val="en-GB"/>
        </w:rPr>
      </w:pPr>
      <w:r w:rsidRPr="00A33264">
        <w:rPr>
          <w:lang w:val="en-GB"/>
        </w:rPr>
        <w:t>The Independent Advisory Council (IAC) gives the NDIA Board independent advice. The Board must consider this advice when performing its duties, in line with section 144 of the NDIS Act.</w:t>
      </w:r>
    </w:p>
    <w:p w14:paraId="4A5EB35E" w14:textId="0FBECA81" w:rsidR="00D7463A" w:rsidRPr="00A33264" w:rsidRDefault="00CC1405" w:rsidP="00CC1405">
      <w:pPr>
        <w:rPr>
          <w:lang w:val="en-GB"/>
        </w:rPr>
      </w:pPr>
      <w:r w:rsidRPr="00A33264">
        <w:rPr>
          <w:lang w:val="en-GB"/>
        </w:rPr>
        <w:t xml:space="preserve">The IAC is led by a </w:t>
      </w:r>
      <w:r w:rsidR="00293639">
        <w:rPr>
          <w:lang w:val="en-GB"/>
        </w:rPr>
        <w:t>p</w:t>
      </w:r>
      <w:r w:rsidRPr="00A33264">
        <w:rPr>
          <w:lang w:val="en-GB"/>
        </w:rPr>
        <w:t xml:space="preserve">rincipal </w:t>
      </w:r>
      <w:r w:rsidR="00293639">
        <w:rPr>
          <w:lang w:val="en-GB"/>
        </w:rPr>
        <w:t>m</w:t>
      </w:r>
      <w:r w:rsidRPr="00A33264">
        <w:rPr>
          <w:lang w:val="en-GB"/>
        </w:rPr>
        <w:t xml:space="preserve">ember and up to 12 members from across Australia. They are people with disability </w:t>
      </w:r>
      <w:r w:rsidR="00293639">
        <w:rPr>
          <w:lang w:val="en-GB"/>
        </w:rPr>
        <w:t>and/</w:t>
      </w:r>
      <w:r w:rsidRPr="00A33264">
        <w:rPr>
          <w:lang w:val="en-GB"/>
        </w:rPr>
        <w:t>or experts in disability issues, appointed by the Minister for the NDIS.</w:t>
      </w:r>
    </w:p>
    <w:p w14:paraId="4C3A91CF" w14:textId="25FFB06F" w:rsidR="00CC1405" w:rsidRPr="00A33264" w:rsidRDefault="00CC1405" w:rsidP="00CC1405">
      <w:pPr>
        <w:pStyle w:val="Heading4"/>
        <w:rPr>
          <w:lang w:val="en-GB"/>
        </w:rPr>
      </w:pPr>
      <w:r w:rsidRPr="00A33264">
        <w:rPr>
          <w:lang w:val="en-GB"/>
        </w:rPr>
        <w:t>IAC advice</w:t>
      </w:r>
    </w:p>
    <w:p w14:paraId="0AD14E33" w14:textId="77777777" w:rsidR="00CC1405" w:rsidRPr="00A33264" w:rsidRDefault="00CC1405" w:rsidP="00CC1405">
      <w:pPr>
        <w:rPr>
          <w:lang w:val="en-GB"/>
        </w:rPr>
      </w:pPr>
      <w:r w:rsidRPr="00A33264">
        <w:rPr>
          <w:lang w:val="en-GB"/>
        </w:rPr>
        <w:t xml:space="preserve">The IAC brings the perspectives of NDIS participants, disability experts and the community into the NDIA boardroom. </w:t>
      </w:r>
    </w:p>
    <w:p w14:paraId="1AB1B666" w14:textId="50385817" w:rsidR="00CC1405" w:rsidRPr="00A33264" w:rsidRDefault="00CC1405" w:rsidP="00CC1405">
      <w:pPr>
        <w:rPr>
          <w:lang w:val="en-GB"/>
        </w:rPr>
      </w:pPr>
      <w:r w:rsidRPr="00A33264">
        <w:rPr>
          <w:lang w:val="en-GB"/>
        </w:rPr>
        <w:t xml:space="preserve">During 2023–24 the IAC continued to engage with the NDIA to provide advice. Key work highlights for </w:t>
      </w:r>
      <w:r w:rsidR="004E5CA0">
        <w:rPr>
          <w:lang w:val="en-GB"/>
        </w:rPr>
        <w:t>2023</w:t>
      </w:r>
      <w:r w:rsidR="00C24B45">
        <w:rPr>
          <w:rFonts w:ascii="Symbol" w:eastAsia="Symbol" w:hAnsi="Symbol" w:cs="Symbol"/>
          <w:lang w:val="en-GB"/>
        </w:rPr>
        <w:sym w:font="Symbol" w:char="F02D"/>
      </w:r>
      <w:r w:rsidR="004E5CA0">
        <w:rPr>
          <w:lang w:val="en-GB"/>
        </w:rPr>
        <w:t>24</w:t>
      </w:r>
      <w:r w:rsidRPr="00A33264">
        <w:rPr>
          <w:lang w:val="en-GB"/>
        </w:rPr>
        <w:t xml:space="preserve"> include:</w:t>
      </w:r>
    </w:p>
    <w:p w14:paraId="2EAF1F8D" w14:textId="6DA0DCB6" w:rsidR="00CC1405" w:rsidRPr="00A33264" w:rsidRDefault="00EC4BFC" w:rsidP="00CC1405">
      <w:pPr>
        <w:pStyle w:val="Bullet1"/>
        <w:rPr>
          <w:lang w:val="en-GB"/>
        </w:rPr>
      </w:pPr>
      <w:r>
        <w:rPr>
          <w:lang w:val="en-GB"/>
        </w:rPr>
        <w:t>p</w:t>
      </w:r>
      <w:r w:rsidR="00CC1405" w:rsidRPr="00A33264">
        <w:rPr>
          <w:lang w:val="en-GB"/>
        </w:rPr>
        <w:t xml:space="preserve">roviding the advice ‘Improving the NDIS for children and young people: the importance of being guided by their voice’ to the Board. This work included an </w:t>
      </w:r>
      <w:r>
        <w:rPr>
          <w:lang w:val="en-GB"/>
        </w:rPr>
        <w:t>NDIA</w:t>
      </w:r>
      <w:r w:rsidRPr="00A33264">
        <w:rPr>
          <w:lang w:val="en-GB"/>
        </w:rPr>
        <w:t xml:space="preserve"> </w:t>
      </w:r>
      <w:r w:rsidR="00CC1405" w:rsidRPr="00A33264">
        <w:rPr>
          <w:lang w:val="en-GB"/>
        </w:rPr>
        <w:t>response, which outlines what the NDIA will do about the advice, in line with section 145(b) of the NDIS Act</w:t>
      </w:r>
    </w:p>
    <w:p w14:paraId="0F5A3C6B" w14:textId="1C984240" w:rsidR="00CC1405" w:rsidRPr="00A33264" w:rsidRDefault="00EC4BFC" w:rsidP="00CC1405">
      <w:pPr>
        <w:pStyle w:val="Bullet1"/>
        <w:rPr>
          <w:lang w:val="en-GB"/>
        </w:rPr>
      </w:pPr>
      <w:r>
        <w:rPr>
          <w:lang w:val="en-GB"/>
        </w:rPr>
        <w:t>e</w:t>
      </w:r>
      <w:r w:rsidR="00CC1405" w:rsidRPr="00A33264">
        <w:rPr>
          <w:lang w:val="en-GB"/>
        </w:rPr>
        <w:t xml:space="preserve">ndorsing the </w:t>
      </w:r>
      <w:r>
        <w:rPr>
          <w:lang w:val="en-GB"/>
        </w:rPr>
        <w:t xml:space="preserve">advice </w:t>
      </w:r>
      <w:r w:rsidR="00CC1405" w:rsidRPr="00A33264">
        <w:rPr>
          <w:lang w:val="en-GB"/>
        </w:rPr>
        <w:t>‘Enhancing behaviour supports in the NDIA’ at the April 2024 meeting. The IAC will send the advice to the Board in 2024</w:t>
      </w:r>
      <w:r>
        <w:rPr>
          <w:lang w:val="en-GB"/>
        </w:rPr>
        <w:t>–</w:t>
      </w:r>
      <w:r w:rsidR="00CC1405" w:rsidRPr="00A33264">
        <w:rPr>
          <w:lang w:val="en-GB"/>
        </w:rPr>
        <w:t xml:space="preserve">25, once the </w:t>
      </w:r>
      <w:r>
        <w:rPr>
          <w:lang w:val="en-GB"/>
        </w:rPr>
        <w:t>NDIA</w:t>
      </w:r>
      <w:r w:rsidRPr="00A33264">
        <w:rPr>
          <w:lang w:val="en-GB"/>
        </w:rPr>
        <w:t xml:space="preserve"> </w:t>
      </w:r>
      <w:r w:rsidR="00CC1405" w:rsidRPr="00A33264">
        <w:rPr>
          <w:lang w:val="en-GB"/>
        </w:rPr>
        <w:t>response is ready</w:t>
      </w:r>
    </w:p>
    <w:p w14:paraId="13CC8055" w14:textId="0CA46336" w:rsidR="00CC1405" w:rsidRPr="00A33264" w:rsidRDefault="00EC4BFC" w:rsidP="00CC1405">
      <w:pPr>
        <w:pStyle w:val="Bullet1"/>
        <w:rPr>
          <w:lang w:val="en-GB"/>
        </w:rPr>
      </w:pPr>
      <w:r>
        <w:rPr>
          <w:lang w:val="en-GB"/>
        </w:rPr>
        <w:t>e</w:t>
      </w:r>
      <w:r w:rsidR="00CC1405" w:rsidRPr="00A33264">
        <w:rPr>
          <w:lang w:val="en-GB"/>
        </w:rPr>
        <w:t xml:space="preserve">ngaging with the </w:t>
      </w:r>
      <w:r w:rsidR="002A1C3B">
        <w:rPr>
          <w:lang w:val="en-GB"/>
        </w:rPr>
        <w:t>M</w:t>
      </w:r>
      <w:r w:rsidR="00CC1405" w:rsidRPr="00A33264">
        <w:rPr>
          <w:lang w:val="en-GB"/>
        </w:rPr>
        <w:t>inister</w:t>
      </w:r>
      <w:r w:rsidR="00880C4D">
        <w:rPr>
          <w:lang w:val="en-GB"/>
        </w:rPr>
        <w:t xml:space="preserve"> for the NDIS</w:t>
      </w:r>
      <w:r w:rsidR="00CC1405" w:rsidRPr="00A33264">
        <w:rPr>
          <w:lang w:val="en-GB"/>
        </w:rPr>
        <w:t xml:space="preserve"> and the NDIS Review to provide submissions on NDIS issues that impact participants and the broader disability community, including:</w:t>
      </w:r>
    </w:p>
    <w:p w14:paraId="2763FDD8" w14:textId="50C4398D" w:rsidR="00CC1405" w:rsidRPr="00A33264" w:rsidRDefault="00CC1405" w:rsidP="00A9438A">
      <w:pPr>
        <w:pStyle w:val="Bullet2"/>
        <w:rPr>
          <w:lang w:val="en-GB"/>
        </w:rPr>
      </w:pPr>
      <w:r w:rsidRPr="00A33264">
        <w:rPr>
          <w:lang w:val="en-GB"/>
        </w:rPr>
        <w:lastRenderedPageBreak/>
        <w:t>home and living supports</w:t>
      </w:r>
    </w:p>
    <w:p w14:paraId="420E0D74" w14:textId="4FBB33E6" w:rsidR="00CC1405" w:rsidRPr="00A33264" w:rsidRDefault="00CC1405" w:rsidP="00A9438A">
      <w:pPr>
        <w:pStyle w:val="Bullet2"/>
        <w:rPr>
          <w:lang w:val="en-GB"/>
        </w:rPr>
      </w:pPr>
      <w:r w:rsidRPr="00A33264">
        <w:rPr>
          <w:lang w:val="en-GB"/>
        </w:rPr>
        <w:t>the disability ecosystem</w:t>
      </w:r>
    </w:p>
    <w:p w14:paraId="3026E7A5" w14:textId="6FC11A1F" w:rsidR="00CC1405" w:rsidRPr="00A33264" w:rsidRDefault="00CC1405" w:rsidP="00A9438A">
      <w:pPr>
        <w:pStyle w:val="Bullet2"/>
        <w:rPr>
          <w:lang w:val="en-GB"/>
        </w:rPr>
      </w:pPr>
      <w:r w:rsidRPr="00A33264">
        <w:rPr>
          <w:lang w:val="en-GB"/>
        </w:rPr>
        <w:t>inclusion for people with disability</w:t>
      </w:r>
    </w:p>
    <w:p w14:paraId="5F9169E0" w14:textId="5E141690" w:rsidR="00CC1405" w:rsidRPr="00A33264" w:rsidRDefault="00CC1405" w:rsidP="00A9438A">
      <w:pPr>
        <w:pStyle w:val="Bullet2"/>
        <w:rPr>
          <w:lang w:val="en-GB"/>
        </w:rPr>
      </w:pPr>
      <w:r w:rsidRPr="00A33264">
        <w:rPr>
          <w:lang w:val="en-GB"/>
        </w:rPr>
        <w:t>the NDIS Quality and Safeguarding Framework</w:t>
      </w:r>
    </w:p>
    <w:p w14:paraId="68979468" w14:textId="43B28387" w:rsidR="00CC1405" w:rsidRPr="00A33264" w:rsidRDefault="00EC4BFC" w:rsidP="00CC1405">
      <w:pPr>
        <w:pStyle w:val="Bullet1"/>
        <w:rPr>
          <w:lang w:val="en-GB"/>
        </w:rPr>
      </w:pPr>
      <w:r>
        <w:rPr>
          <w:lang w:val="en-GB"/>
        </w:rPr>
        <w:t>p</w:t>
      </w:r>
      <w:r w:rsidR="00CC1405" w:rsidRPr="00A33264">
        <w:rPr>
          <w:lang w:val="en-GB"/>
        </w:rPr>
        <w:t>roviding a statement for the Board’s consideration on equal and fair access to the NDIS for those involved in the justice system.</w:t>
      </w:r>
    </w:p>
    <w:p w14:paraId="1A25586A" w14:textId="18324733" w:rsidR="00CC1405" w:rsidRPr="00A33264" w:rsidRDefault="00CC1405" w:rsidP="00CC1405">
      <w:pPr>
        <w:rPr>
          <w:lang w:val="en-GB"/>
        </w:rPr>
      </w:pPr>
      <w:r w:rsidRPr="00A33264">
        <w:rPr>
          <w:lang w:val="en-GB"/>
        </w:rPr>
        <w:t>Building on last year’s efforts</w:t>
      </w:r>
      <w:r w:rsidR="00941D65">
        <w:rPr>
          <w:lang w:val="en-GB"/>
        </w:rPr>
        <w:t>,</w:t>
      </w:r>
      <w:r w:rsidRPr="00A33264">
        <w:rPr>
          <w:lang w:val="en-GB"/>
        </w:rPr>
        <w:t xml:space="preserve"> the IAC took a lead role in the NDIA’s co-design</w:t>
      </w:r>
      <w:r w:rsidR="00EC4BFC">
        <w:rPr>
          <w:lang w:val="en-GB"/>
        </w:rPr>
        <w:t xml:space="preserve"> work</w:t>
      </w:r>
      <w:r w:rsidRPr="00A33264">
        <w:rPr>
          <w:lang w:val="en-GB"/>
        </w:rPr>
        <w:t xml:space="preserve"> as part of a steering committee and several working groups. IAC representatives provided strategic advice to the NDIA</w:t>
      </w:r>
      <w:r w:rsidR="00EC4BFC">
        <w:rPr>
          <w:lang w:val="en-GB"/>
        </w:rPr>
        <w:t xml:space="preserve"> on</w:t>
      </w:r>
      <w:r w:rsidRPr="00A33264">
        <w:rPr>
          <w:lang w:val="en-GB"/>
        </w:rPr>
        <w:t xml:space="preserve"> </w:t>
      </w:r>
      <w:r w:rsidR="00EC4BFC">
        <w:rPr>
          <w:lang w:val="en-GB"/>
        </w:rPr>
        <w:t>6 areas of</w:t>
      </w:r>
      <w:r w:rsidRPr="00A33264">
        <w:rPr>
          <w:lang w:val="en-GB"/>
        </w:rPr>
        <w:t xml:space="preserve"> reform:</w:t>
      </w:r>
    </w:p>
    <w:p w14:paraId="25BD8CF0" w14:textId="02E8C6AB" w:rsidR="00CC1405" w:rsidRPr="00A33264" w:rsidRDefault="00EB20FF" w:rsidP="00CC1405">
      <w:pPr>
        <w:pStyle w:val="Bullet1"/>
        <w:rPr>
          <w:lang w:val="en-GB"/>
        </w:rPr>
      </w:pPr>
      <w:r>
        <w:rPr>
          <w:lang w:val="en-GB"/>
        </w:rPr>
        <w:t>w</w:t>
      </w:r>
      <w:r w:rsidR="00CC1405" w:rsidRPr="00A33264">
        <w:rPr>
          <w:lang w:val="en-GB"/>
        </w:rPr>
        <w:t>orkforce capability</w:t>
      </w:r>
    </w:p>
    <w:p w14:paraId="73D49007" w14:textId="371A43EC" w:rsidR="00CC1405" w:rsidRPr="00A33264" w:rsidRDefault="00EB20FF" w:rsidP="00CC1405">
      <w:pPr>
        <w:pStyle w:val="Bullet1"/>
        <w:rPr>
          <w:lang w:val="en-GB"/>
        </w:rPr>
      </w:pPr>
      <w:r>
        <w:rPr>
          <w:lang w:val="en-GB"/>
        </w:rPr>
        <w:t>b</w:t>
      </w:r>
      <w:r w:rsidR="00CC1405" w:rsidRPr="00A33264">
        <w:rPr>
          <w:lang w:val="en-GB"/>
        </w:rPr>
        <w:t>etter planning</w:t>
      </w:r>
    </w:p>
    <w:p w14:paraId="3CA64944" w14:textId="05AC7840" w:rsidR="00CC1405" w:rsidRPr="00A33264" w:rsidRDefault="00EB20FF" w:rsidP="00CC1405">
      <w:pPr>
        <w:pStyle w:val="Bullet1"/>
        <w:rPr>
          <w:lang w:val="en-GB"/>
        </w:rPr>
      </w:pPr>
      <w:r>
        <w:rPr>
          <w:lang w:val="en-GB"/>
        </w:rPr>
        <w:t>p</w:t>
      </w:r>
      <w:r w:rsidR="00CC1405" w:rsidRPr="00A33264">
        <w:rPr>
          <w:lang w:val="en-GB"/>
        </w:rPr>
        <w:t>lan flexibility</w:t>
      </w:r>
    </w:p>
    <w:p w14:paraId="52557EC2" w14:textId="448DEC9E" w:rsidR="00CC1405" w:rsidRPr="00A33264" w:rsidRDefault="00EB20FF" w:rsidP="00CC1405">
      <w:pPr>
        <w:pStyle w:val="Bullet1"/>
        <w:rPr>
          <w:lang w:val="en-GB"/>
        </w:rPr>
      </w:pPr>
      <w:r>
        <w:rPr>
          <w:lang w:val="en-GB"/>
        </w:rPr>
        <w:t>h</w:t>
      </w:r>
      <w:r w:rsidR="00CC1405" w:rsidRPr="00A33264">
        <w:rPr>
          <w:lang w:val="en-GB"/>
        </w:rPr>
        <w:t>ome and living</w:t>
      </w:r>
    </w:p>
    <w:p w14:paraId="34ECB623" w14:textId="10B37C7C" w:rsidR="00CC1405" w:rsidRPr="00A33264" w:rsidRDefault="00EB20FF" w:rsidP="00CC1405">
      <w:pPr>
        <w:pStyle w:val="Bullet1"/>
        <w:rPr>
          <w:lang w:val="en-GB"/>
        </w:rPr>
      </w:pPr>
      <w:r>
        <w:rPr>
          <w:lang w:val="en-GB"/>
        </w:rPr>
        <w:t>i</w:t>
      </w:r>
      <w:r w:rsidR="00CC1405" w:rsidRPr="00A33264">
        <w:rPr>
          <w:lang w:val="en-GB"/>
        </w:rPr>
        <w:t>ntegrity</w:t>
      </w:r>
    </w:p>
    <w:p w14:paraId="3A5658D1" w14:textId="2EEB7408" w:rsidR="00CC1405" w:rsidRPr="00A33264" w:rsidRDefault="00EB20FF" w:rsidP="00CC1405">
      <w:pPr>
        <w:pStyle w:val="Bullet1"/>
        <w:rPr>
          <w:lang w:val="en-GB"/>
        </w:rPr>
      </w:pPr>
      <w:r>
        <w:rPr>
          <w:lang w:val="en-GB"/>
        </w:rPr>
        <w:t>e</w:t>
      </w:r>
      <w:r w:rsidR="00CC1405" w:rsidRPr="00A33264">
        <w:rPr>
          <w:lang w:val="en-GB"/>
        </w:rPr>
        <w:t>vidence</w:t>
      </w:r>
      <w:r w:rsidR="00941D65">
        <w:rPr>
          <w:lang w:val="en-GB"/>
        </w:rPr>
        <w:t>-</w:t>
      </w:r>
      <w:r w:rsidR="00CC1405" w:rsidRPr="00A33264">
        <w:rPr>
          <w:lang w:val="en-GB"/>
        </w:rPr>
        <w:t>based supports</w:t>
      </w:r>
      <w:r>
        <w:rPr>
          <w:lang w:val="en-GB"/>
        </w:rPr>
        <w:t>.</w:t>
      </w:r>
    </w:p>
    <w:p w14:paraId="621976B4" w14:textId="19358746" w:rsidR="00CC1405" w:rsidRPr="00A33264" w:rsidRDefault="00CC1405" w:rsidP="00CC1405">
      <w:pPr>
        <w:pStyle w:val="Heading4"/>
        <w:rPr>
          <w:lang w:val="en-GB"/>
        </w:rPr>
      </w:pPr>
      <w:r w:rsidRPr="00A33264">
        <w:rPr>
          <w:lang w:val="en-GB"/>
        </w:rPr>
        <w:t>IAC members</w:t>
      </w:r>
    </w:p>
    <w:p w14:paraId="2CB707F3" w14:textId="5BE240F9" w:rsidR="001C74C2" w:rsidRPr="00A33264" w:rsidRDefault="001C74C2" w:rsidP="001C74C2">
      <w:pPr>
        <w:rPr>
          <w:lang w:val="en-GB"/>
        </w:rPr>
      </w:pPr>
      <w:r w:rsidRPr="00A33264">
        <w:rPr>
          <w:lang w:val="en-GB"/>
        </w:rPr>
        <w:t xml:space="preserve">This year saw several changes to the IAC’s membership. In December 2023 </w:t>
      </w:r>
      <w:r w:rsidR="005524ED" w:rsidRPr="00A33264">
        <w:rPr>
          <w:lang w:val="en-GB"/>
        </w:rPr>
        <w:t>Mr</w:t>
      </w:r>
      <w:r w:rsidRPr="00A33264">
        <w:rPr>
          <w:lang w:val="en-GB"/>
        </w:rPr>
        <w:t xml:space="preserve"> Gavin Burner was appointed to the IAC to strengthen representation of people with intellectual disability. Dr Sharon Boyce, Dr Leighton Jay, </w:t>
      </w:r>
      <w:r w:rsidR="005524ED" w:rsidRPr="00A33264">
        <w:rPr>
          <w:lang w:val="en-GB"/>
        </w:rPr>
        <w:t>Ms</w:t>
      </w:r>
      <w:r w:rsidRPr="00A33264">
        <w:rPr>
          <w:lang w:val="en-GB"/>
        </w:rPr>
        <w:t xml:space="preserve"> Tricia Malowney OAM, </w:t>
      </w:r>
      <w:r w:rsidR="005524ED" w:rsidRPr="00A33264">
        <w:rPr>
          <w:lang w:val="en-GB"/>
        </w:rPr>
        <w:t>Ms</w:t>
      </w:r>
      <w:r w:rsidRPr="00A33264">
        <w:rPr>
          <w:lang w:val="en-GB"/>
        </w:rPr>
        <w:t xml:space="preserve"> Sam Paior and </w:t>
      </w:r>
      <w:r w:rsidR="005524ED" w:rsidRPr="00A33264">
        <w:rPr>
          <w:lang w:val="en-GB"/>
        </w:rPr>
        <w:t>Mr</w:t>
      </w:r>
      <w:r w:rsidRPr="00A33264">
        <w:rPr>
          <w:lang w:val="en-GB"/>
        </w:rPr>
        <w:t xml:space="preserve"> Mark Tonga were reappointed to the IAC.</w:t>
      </w:r>
    </w:p>
    <w:p w14:paraId="04B8C7ED" w14:textId="07F913BF" w:rsidR="001C74C2" w:rsidRPr="00A33264" w:rsidRDefault="001C74C2" w:rsidP="001C74C2">
      <w:pPr>
        <w:rPr>
          <w:lang w:val="en-GB"/>
        </w:rPr>
      </w:pPr>
      <w:r w:rsidRPr="00A33264">
        <w:rPr>
          <w:lang w:val="en-GB"/>
        </w:rPr>
        <w:t xml:space="preserve">The IAC farewelled longstanding </w:t>
      </w:r>
      <w:r w:rsidR="00EB20FF">
        <w:rPr>
          <w:lang w:val="en-GB"/>
        </w:rPr>
        <w:t>m</w:t>
      </w:r>
      <w:r w:rsidRPr="00A33264">
        <w:rPr>
          <w:lang w:val="en-GB"/>
        </w:rPr>
        <w:t xml:space="preserve">embers </w:t>
      </w:r>
      <w:r w:rsidR="005524ED" w:rsidRPr="00A33264">
        <w:rPr>
          <w:lang w:val="en-GB"/>
        </w:rPr>
        <w:t>Ms</w:t>
      </w:r>
      <w:r w:rsidRPr="00A33264">
        <w:rPr>
          <w:lang w:val="en-GB"/>
        </w:rPr>
        <w:t xml:space="preserve"> Kerry Allan and </w:t>
      </w:r>
      <w:r w:rsidR="005524ED" w:rsidRPr="00A33264">
        <w:rPr>
          <w:lang w:val="en-GB"/>
        </w:rPr>
        <w:t>Ms</w:t>
      </w:r>
      <w:r w:rsidRPr="00A33264">
        <w:rPr>
          <w:lang w:val="en-GB"/>
        </w:rPr>
        <w:t xml:space="preserve"> Liz Reid AM. Both ha</w:t>
      </w:r>
      <w:r w:rsidR="00941D65">
        <w:rPr>
          <w:lang w:val="en-GB"/>
        </w:rPr>
        <w:t>d</w:t>
      </w:r>
      <w:r w:rsidRPr="00A33264">
        <w:rPr>
          <w:lang w:val="en-GB"/>
        </w:rPr>
        <w:t xml:space="preserve"> served on the IAC since 2017 and played an important role in the IAC’s advice and </w:t>
      </w:r>
      <w:r w:rsidR="00EB20FF">
        <w:rPr>
          <w:lang w:val="en-GB"/>
        </w:rPr>
        <w:t xml:space="preserve">other </w:t>
      </w:r>
      <w:r w:rsidRPr="00A33264">
        <w:rPr>
          <w:lang w:val="en-GB"/>
        </w:rPr>
        <w:t xml:space="preserve">work. </w:t>
      </w:r>
      <w:r w:rsidR="005524ED" w:rsidRPr="00A33264">
        <w:rPr>
          <w:lang w:val="en-GB"/>
        </w:rPr>
        <w:t>Ms</w:t>
      </w:r>
      <w:r w:rsidRPr="00A33264">
        <w:rPr>
          <w:lang w:val="en-GB"/>
        </w:rPr>
        <w:t xml:space="preserve"> Reid left the IAC in December 2023 and </w:t>
      </w:r>
      <w:r w:rsidR="005524ED" w:rsidRPr="00A33264">
        <w:rPr>
          <w:lang w:val="en-GB"/>
        </w:rPr>
        <w:t>Ms</w:t>
      </w:r>
      <w:r w:rsidRPr="00A33264">
        <w:rPr>
          <w:lang w:val="en-GB"/>
        </w:rPr>
        <w:t xml:space="preserve"> Allan in </w:t>
      </w:r>
      <w:r w:rsidR="0094149A">
        <w:rPr>
          <w:lang w:val="en-GB"/>
        </w:rPr>
        <w:t>February</w:t>
      </w:r>
      <w:r w:rsidR="0094149A" w:rsidRPr="00A33264">
        <w:rPr>
          <w:lang w:val="en-GB"/>
        </w:rPr>
        <w:t xml:space="preserve"> </w:t>
      </w:r>
      <w:r w:rsidRPr="00A33264">
        <w:rPr>
          <w:lang w:val="en-GB"/>
        </w:rPr>
        <w:t>2024.</w:t>
      </w:r>
    </w:p>
    <w:p w14:paraId="3FDA8FFC" w14:textId="100A2060" w:rsidR="001C74C2" w:rsidRPr="00A33264" w:rsidRDefault="001C74C2" w:rsidP="001C74C2">
      <w:pPr>
        <w:rPr>
          <w:lang w:val="en-GB"/>
        </w:rPr>
      </w:pPr>
      <w:r w:rsidRPr="00A33264">
        <w:rPr>
          <w:lang w:val="en-GB"/>
        </w:rPr>
        <w:t xml:space="preserve">Current IAC </w:t>
      </w:r>
      <w:r w:rsidR="00EB20FF">
        <w:rPr>
          <w:lang w:val="en-GB"/>
        </w:rPr>
        <w:t>m</w:t>
      </w:r>
      <w:r w:rsidRPr="00A33264">
        <w:rPr>
          <w:lang w:val="en-GB"/>
        </w:rPr>
        <w:t>embers at 30 June 2024</w:t>
      </w:r>
      <w:r w:rsidR="00EB20FF">
        <w:rPr>
          <w:lang w:val="en-GB"/>
        </w:rPr>
        <w:t xml:space="preserve"> are</w:t>
      </w:r>
      <w:r w:rsidRPr="00A33264">
        <w:rPr>
          <w:lang w:val="en-GB"/>
        </w:rPr>
        <w:t>:</w:t>
      </w:r>
    </w:p>
    <w:p w14:paraId="3ED29BED" w14:textId="69DCB6F8" w:rsidR="001C74C2" w:rsidRPr="00A33264" w:rsidRDefault="005524ED" w:rsidP="001C74C2">
      <w:pPr>
        <w:pStyle w:val="Bullet1"/>
        <w:rPr>
          <w:lang w:val="en-GB"/>
        </w:rPr>
      </w:pPr>
      <w:r w:rsidRPr="00A33264">
        <w:rPr>
          <w:lang w:val="en-GB"/>
        </w:rPr>
        <w:t>Ms</w:t>
      </w:r>
      <w:r w:rsidR="001C74C2" w:rsidRPr="00A33264">
        <w:rPr>
          <w:lang w:val="en-GB"/>
        </w:rPr>
        <w:t xml:space="preserve"> Leah van Poppel, Principal Member and NDIA Board </w:t>
      </w:r>
      <w:r w:rsidR="00EB20FF">
        <w:rPr>
          <w:lang w:val="en-GB"/>
        </w:rPr>
        <w:t>m</w:t>
      </w:r>
      <w:r w:rsidR="001C74C2" w:rsidRPr="00A33264">
        <w:rPr>
          <w:lang w:val="en-GB"/>
        </w:rPr>
        <w:t>ember</w:t>
      </w:r>
    </w:p>
    <w:p w14:paraId="30B4A3B9" w14:textId="0580DF6E" w:rsidR="001C74C2" w:rsidRPr="00A33264" w:rsidRDefault="001C74C2" w:rsidP="001C74C2">
      <w:pPr>
        <w:pStyle w:val="Bullet1"/>
        <w:rPr>
          <w:lang w:val="en-GB"/>
        </w:rPr>
      </w:pPr>
      <w:r w:rsidRPr="00A33264">
        <w:rPr>
          <w:lang w:val="en-GB"/>
        </w:rPr>
        <w:t>Dr Sharon Boyce</w:t>
      </w:r>
    </w:p>
    <w:p w14:paraId="1CF9B4C5" w14:textId="53644081" w:rsidR="001C74C2" w:rsidRPr="00A33264" w:rsidRDefault="005524ED" w:rsidP="001C74C2">
      <w:pPr>
        <w:pStyle w:val="Bullet1"/>
        <w:rPr>
          <w:lang w:val="en-GB"/>
        </w:rPr>
      </w:pPr>
      <w:r w:rsidRPr="00A33264">
        <w:rPr>
          <w:lang w:val="en-GB"/>
        </w:rPr>
        <w:t>Mr</w:t>
      </w:r>
      <w:r w:rsidR="001C74C2" w:rsidRPr="00A33264">
        <w:rPr>
          <w:lang w:val="en-GB"/>
        </w:rPr>
        <w:t xml:space="preserve"> Gavin Burner</w:t>
      </w:r>
    </w:p>
    <w:p w14:paraId="3298A4C3" w14:textId="35001823" w:rsidR="001C74C2" w:rsidRPr="00A33264" w:rsidRDefault="001C74C2" w:rsidP="001C74C2">
      <w:pPr>
        <w:pStyle w:val="Bullet1"/>
        <w:rPr>
          <w:lang w:val="en-GB"/>
        </w:rPr>
      </w:pPr>
      <w:r w:rsidRPr="00A33264">
        <w:rPr>
          <w:lang w:val="en-GB"/>
        </w:rPr>
        <w:t>Adjunct Associate Professor Jennifer Cullen AM</w:t>
      </w:r>
    </w:p>
    <w:p w14:paraId="24F59359" w14:textId="383D7BAE" w:rsidR="001C74C2" w:rsidRPr="00A33264" w:rsidRDefault="001C74C2" w:rsidP="001C74C2">
      <w:pPr>
        <w:pStyle w:val="Bullet1"/>
        <w:rPr>
          <w:lang w:val="en-GB"/>
        </w:rPr>
      </w:pPr>
      <w:r w:rsidRPr="00A33264">
        <w:rPr>
          <w:lang w:val="en-GB"/>
        </w:rPr>
        <w:t>Dr Leighton Jay</w:t>
      </w:r>
    </w:p>
    <w:p w14:paraId="7C22943F" w14:textId="79772CF9" w:rsidR="001C74C2" w:rsidRPr="00A33264" w:rsidRDefault="005524ED" w:rsidP="001C74C2">
      <w:pPr>
        <w:pStyle w:val="Bullet1"/>
        <w:rPr>
          <w:lang w:val="en-GB"/>
        </w:rPr>
      </w:pPr>
      <w:r w:rsidRPr="00A33264">
        <w:rPr>
          <w:lang w:val="en-GB"/>
        </w:rPr>
        <w:t>Ms</w:t>
      </w:r>
      <w:r w:rsidR="001C74C2" w:rsidRPr="00A33264">
        <w:rPr>
          <w:lang w:val="en-GB"/>
        </w:rPr>
        <w:t xml:space="preserve"> Sylvana Mahmic</w:t>
      </w:r>
    </w:p>
    <w:p w14:paraId="559E29B3" w14:textId="480B6ABB" w:rsidR="001C74C2" w:rsidRPr="00A33264" w:rsidRDefault="005524ED" w:rsidP="001C74C2">
      <w:pPr>
        <w:pStyle w:val="Bullet1"/>
        <w:rPr>
          <w:lang w:val="en-GB"/>
        </w:rPr>
      </w:pPr>
      <w:r w:rsidRPr="00A33264">
        <w:rPr>
          <w:lang w:val="en-GB"/>
        </w:rPr>
        <w:t>Ms</w:t>
      </w:r>
      <w:r w:rsidR="001C74C2" w:rsidRPr="00A33264">
        <w:rPr>
          <w:lang w:val="en-GB"/>
        </w:rPr>
        <w:t xml:space="preserve"> Tricia Malowney OAM</w:t>
      </w:r>
    </w:p>
    <w:p w14:paraId="2FB298C3" w14:textId="790A67EA" w:rsidR="001C74C2" w:rsidRPr="00A33264" w:rsidRDefault="005524ED" w:rsidP="001C74C2">
      <w:pPr>
        <w:pStyle w:val="Bullet1"/>
        <w:rPr>
          <w:lang w:val="en-GB"/>
        </w:rPr>
      </w:pPr>
      <w:r w:rsidRPr="00A33264">
        <w:rPr>
          <w:lang w:val="en-GB"/>
        </w:rPr>
        <w:t>Mr</w:t>
      </w:r>
      <w:r w:rsidR="001C74C2" w:rsidRPr="00A33264">
        <w:rPr>
          <w:lang w:val="en-GB"/>
        </w:rPr>
        <w:t xml:space="preserve"> James Manders</w:t>
      </w:r>
    </w:p>
    <w:p w14:paraId="719B376B" w14:textId="1F417000" w:rsidR="001C74C2" w:rsidRPr="00A33264" w:rsidRDefault="005524ED" w:rsidP="001C74C2">
      <w:pPr>
        <w:pStyle w:val="Bullet1"/>
        <w:rPr>
          <w:lang w:val="en-GB"/>
        </w:rPr>
      </w:pPr>
      <w:r w:rsidRPr="00A33264">
        <w:rPr>
          <w:lang w:val="en-GB"/>
        </w:rPr>
        <w:t>Ms</w:t>
      </w:r>
      <w:r w:rsidR="001C74C2" w:rsidRPr="00A33264">
        <w:rPr>
          <w:lang w:val="en-GB"/>
        </w:rPr>
        <w:t xml:space="preserve"> Sam Paior</w:t>
      </w:r>
    </w:p>
    <w:p w14:paraId="6AAA081E" w14:textId="01393C31" w:rsidR="001C74C2" w:rsidRPr="00A33264" w:rsidRDefault="001C74C2" w:rsidP="001C74C2">
      <w:pPr>
        <w:pStyle w:val="Bullet1"/>
        <w:rPr>
          <w:lang w:val="en-GB"/>
        </w:rPr>
      </w:pPr>
      <w:r w:rsidRPr="00A33264">
        <w:rPr>
          <w:lang w:val="en-GB"/>
        </w:rPr>
        <w:t>Dr George Taleporos</w:t>
      </w:r>
    </w:p>
    <w:p w14:paraId="180657AB" w14:textId="2C726A5F" w:rsidR="001C74C2" w:rsidRPr="00A33264" w:rsidRDefault="005524ED" w:rsidP="001C74C2">
      <w:pPr>
        <w:pStyle w:val="Bullet1"/>
        <w:rPr>
          <w:lang w:val="en-GB"/>
        </w:rPr>
      </w:pPr>
      <w:r w:rsidRPr="00A33264">
        <w:rPr>
          <w:lang w:val="en-GB"/>
        </w:rPr>
        <w:t>Mr</w:t>
      </w:r>
      <w:r w:rsidR="001C74C2" w:rsidRPr="00A33264">
        <w:rPr>
          <w:lang w:val="en-GB"/>
        </w:rPr>
        <w:t xml:space="preserve"> Mark Tonga</w:t>
      </w:r>
      <w:r w:rsidR="00EB20FF">
        <w:rPr>
          <w:lang w:val="en-GB"/>
        </w:rPr>
        <w:t>.</w:t>
      </w:r>
    </w:p>
    <w:p w14:paraId="465DFCC2" w14:textId="15ABCD51" w:rsidR="001C74C2" w:rsidRPr="00A33264" w:rsidRDefault="001C74C2" w:rsidP="001C74C2">
      <w:pPr>
        <w:rPr>
          <w:lang w:val="en-GB"/>
        </w:rPr>
      </w:pPr>
      <w:r w:rsidRPr="00A33264">
        <w:rPr>
          <w:lang w:val="en-GB"/>
        </w:rPr>
        <w:lastRenderedPageBreak/>
        <w:t xml:space="preserve">In November 2023 the IAC welcomed </w:t>
      </w:r>
      <w:r w:rsidR="005524ED" w:rsidRPr="00A33264">
        <w:rPr>
          <w:lang w:val="en-GB"/>
        </w:rPr>
        <w:t>Ms</w:t>
      </w:r>
      <w:r w:rsidRPr="00A33264">
        <w:rPr>
          <w:lang w:val="en-GB"/>
        </w:rPr>
        <w:t xml:space="preserve"> Samantha Jenkinson as Senior Independent Advisor. She fills the role previously held by </w:t>
      </w:r>
      <w:r w:rsidR="005524ED" w:rsidRPr="00A33264">
        <w:rPr>
          <w:lang w:val="en-GB"/>
        </w:rPr>
        <w:t>Ms</w:t>
      </w:r>
      <w:r w:rsidRPr="00A33264">
        <w:rPr>
          <w:lang w:val="en-GB"/>
        </w:rPr>
        <w:t xml:space="preserve"> Belinda Epstein-Frisch AM and supports the </w:t>
      </w:r>
      <w:r w:rsidR="00EB20FF">
        <w:rPr>
          <w:lang w:val="en-GB"/>
        </w:rPr>
        <w:t xml:space="preserve">development of </w:t>
      </w:r>
      <w:r w:rsidRPr="00A33264">
        <w:rPr>
          <w:lang w:val="en-GB"/>
        </w:rPr>
        <w:t xml:space="preserve">IAC advice to the Board. </w:t>
      </w:r>
      <w:r w:rsidR="005524ED" w:rsidRPr="00A33264">
        <w:rPr>
          <w:lang w:val="en-GB"/>
        </w:rPr>
        <w:t>Ms</w:t>
      </w:r>
      <w:r w:rsidRPr="00A33264">
        <w:rPr>
          <w:lang w:val="en-GB"/>
        </w:rPr>
        <w:t xml:space="preserve"> Jenkinson is supported by </w:t>
      </w:r>
      <w:r w:rsidR="005524ED" w:rsidRPr="00A33264">
        <w:rPr>
          <w:lang w:val="en-GB"/>
        </w:rPr>
        <w:t>Ms</w:t>
      </w:r>
      <w:r w:rsidRPr="00A33264">
        <w:rPr>
          <w:lang w:val="en-GB"/>
        </w:rPr>
        <w:t xml:space="preserve"> Lucy Testa, Independent Advisor.</w:t>
      </w:r>
    </w:p>
    <w:p w14:paraId="6DA1971D" w14:textId="5EFE39EC" w:rsidR="00CC1405" w:rsidRPr="00A33264" w:rsidRDefault="001C74C2" w:rsidP="001C74C2">
      <w:pPr>
        <w:rPr>
          <w:lang w:val="en-GB"/>
        </w:rPr>
      </w:pPr>
      <w:r w:rsidRPr="00A33264">
        <w:rPr>
          <w:lang w:val="en-GB"/>
        </w:rPr>
        <w:t xml:space="preserve">Further information on the IAC is available </w:t>
      </w:r>
      <w:r w:rsidR="00D24A04">
        <w:rPr>
          <w:lang w:val="en-GB"/>
        </w:rPr>
        <w:t xml:space="preserve">on the </w:t>
      </w:r>
      <w:hyperlink r:id="rId81" w:history="1">
        <w:r w:rsidR="00D24A04" w:rsidRPr="00CA741B">
          <w:rPr>
            <w:rStyle w:val="Hyperlink"/>
            <w:lang w:val="en-GB"/>
          </w:rPr>
          <w:t>NDIS website</w:t>
        </w:r>
      </w:hyperlink>
      <w:r w:rsidRPr="00A33264">
        <w:rPr>
          <w:lang w:val="en-GB"/>
        </w:rPr>
        <w:t>.</w:t>
      </w:r>
    </w:p>
    <w:p w14:paraId="7427B966" w14:textId="2E44B148" w:rsidR="00D7463A" w:rsidRPr="00A33264" w:rsidRDefault="00D7463A" w:rsidP="00D7463A">
      <w:pPr>
        <w:pStyle w:val="Heading3"/>
        <w:rPr>
          <w:lang w:val="en-GB"/>
        </w:rPr>
      </w:pPr>
      <w:bookmarkStart w:id="302" w:name="_Toc169592981"/>
      <w:bookmarkStart w:id="303" w:name="_Toc174354200"/>
      <w:bookmarkStart w:id="304" w:name="_Toc175316904"/>
      <w:bookmarkStart w:id="305" w:name="_Toc176786395"/>
      <w:bookmarkStart w:id="306" w:name="_Toc180505677"/>
      <w:r w:rsidRPr="00A33264">
        <w:rPr>
          <w:lang w:val="en-GB"/>
        </w:rPr>
        <w:t>Chief Executive Officer and Strategic Leadership Team</w:t>
      </w:r>
      <w:bookmarkEnd w:id="302"/>
      <w:bookmarkEnd w:id="303"/>
      <w:bookmarkEnd w:id="304"/>
      <w:bookmarkEnd w:id="305"/>
      <w:bookmarkEnd w:id="306"/>
    </w:p>
    <w:p w14:paraId="7835A538" w14:textId="1B6627FF" w:rsidR="00D7463A" w:rsidRPr="00A33264" w:rsidRDefault="0017522D" w:rsidP="00D7463A">
      <w:pPr>
        <w:rPr>
          <w:lang w:val="en-GB"/>
        </w:rPr>
      </w:pPr>
      <w:r w:rsidRPr="00A33264">
        <w:rPr>
          <w:lang w:val="en-GB"/>
        </w:rPr>
        <w:t>The CEO is responsible for the day-to-day administration of the NDIA under the NDIS Act. Supported by the Strategic Leadership Team, the CEO executes the Board-approved strategic objectives and policies, in line with the agreed risk appetite.</w:t>
      </w:r>
    </w:p>
    <w:p w14:paraId="1E1F662F" w14:textId="634B8249" w:rsidR="00280054" w:rsidRPr="00A33264" w:rsidRDefault="00280054" w:rsidP="00280054">
      <w:pPr>
        <w:pStyle w:val="Heading4"/>
        <w:rPr>
          <w:lang w:val="en-GB"/>
        </w:rPr>
      </w:pPr>
      <w:bookmarkStart w:id="307" w:name="_Hlk174630168"/>
      <w:r w:rsidRPr="00A33264">
        <w:rPr>
          <w:lang w:val="en-GB"/>
        </w:rPr>
        <w:t>Organisation structure</w:t>
      </w:r>
    </w:p>
    <w:p w14:paraId="79FF752B" w14:textId="17E41969" w:rsidR="008A63BE" w:rsidRPr="008A63BE" w:rsidRDefault="008A63BE" w:rsidP="008A63BE">
      <w:pPr>
        <w:rPr>
          <w:lang w:val="en-GB"/>
        </w:rPr>
      </w:pPr>
      <w:r w:rsidRPr="008A63BE">
        <w:rPr>
          <w:lang w:val="en-GB"/>
        </w:rPr>
        <w:t xml:space="preserve">The </w:t>
      </w:r>
      <w:r w:rsidR="00EB20FF">
        <w:rPr>
          <w:lang w:val="en-GB"/>
        </w:rPr>
        <w:t>NDIA</w:t>
      </w:r>
      <w:r w:rsidR="00EB20FF" w:rsidRPr="008A63BE">
        <w:rPr>
          <w:lang w:val="en-GB"/>
        </w:rPr>
        <w:t xml:space="preserve"> </w:t>
      </w:r>
      <w:r w:rsidRPr="008A63BE">
        <w:rPr>
          <w:lang w:val="en-GB"/>
        </w:rPr>
        <w:t xml:space="preserve">implemented a new organisational structure on 15 January 2024. </w:t>
      </w:r>
      <w:r w:rsidR="00EB20FF">
        <w:rPr>
          <w:lang w:val="en-GB"/>
        </w:rPr>
        <w:t>The restructure is intended to</w:t>
      </w:r>
      <w:r>
        <w:rPr>
          <w:lang w:val="en-GB"/>
        </w:rPr>
        <w:t xml:space="preserve"> i</w:t>
      </w:r>
      <w:r w:rsidRPr="008A63BE">
        <w:rPr>
          <w:lang w:val="en-GB"/>
        </w:rPr>
        <w:t>mprov</w:t>
      </w:r>
      <w:r w:rsidR="00EB20FF">
        <w:rPr>
          <w:lang w:val="en-GB"/>
        </w:rPr>
        <w:t>e</w:t>
      </w:r>
      <w:r w:rsidRPr="008A63BE">
        <w:rPr>
          <w:lang w:val="en-GB"/>
        </w:rPr>
        <w:t xml:space="preserve"> inclusion and diversity </w:t>
      </w:r>
      <w:r w:rsidR="00EB20FF">
        <w:rPr>
          <w:lang w:val="en-GB"/>
        </w:rPr>
        <w:t>by establishing</w:t>
      </w:r>
      <w:r w:rsidRPr="008A63BE">
        <w:rPr>
          <w:lang w:val="en-GB"/>
        </w:rPr>
        <w:t>:</w:t>
      </w:r>
    </w:p>
    <w:p w14:paraId="583EF0BA" w14:textId="574E8016" w:rsidR="008A63BE" w:rsidRPr="008A63BE" w:rsidRDefault="008A63BE" w:rsidP="008A63BE">
      <w:pPr>
        <w:pStyle w:val="Bullet1"/>
        <w:rPr>
          <w:lang w:val="en-GB"/>
        </w:rPr>
      </w:pPr>
      <w:r w:rsidRPr="008A63BE">
        <w:rPr>
          <w:lang w:val="en-GB"/>
        </w:rPr>
        <w:t xml:space="preserve">the First Nations </w:t>
      </w:r>
      <w:r w:rsidR="00D24A04">
        <w:rPr>
          <w:lang w:val="en-GB"/>
        </w:rPr>
        <w:t>G</w:t>
      </w:r>
      <w:r w:rsidRPr="008A63BE">
        <w:rPr>
          <w:lang w:val="en-GB"/>
        </w:rPr>
        <w:t>roup</w:t>
      </w:r>
      <w:r w:rsidR="00D24A04">
        <w:rPr>
          <w:lang w:val="en-GB"/>
        </w:rPr>
        <w:t>,</w:t>
      </w:r>
      <w:r w:rsidRPr="008A63BE">
        <w:rPr>
          <w:lang w:val="en-GB"/>
        </w:rPr>
        <w:t xml:space="preserve"> led by Adjunct Professor Janine Mohamed, a proud Narrunga Kaurna woman from South Australia</w:t>
      </w:r>
      <w:r w:rsidR="00D24A04">
        <w:rPr>
          <w:lang w:val="en-GB"/>
        </w:rPr>
        <w:t>.</w:t>
      </w:r>
      <w:r w:rsidRPr="008A63BE">
        <w:rPr>
          <w:lang w:val="en-GB"/>
        </w:rPr>
        <w:t xml:space="preserve"> </w:t>
      </w:r>
      <w:r w:rsidR="00D24A04">
        <w:rPr>
          <w:lang w:val="en-GB"/>
        </w:rPr>
        <w:t>Profes</w:t>
      </w:r>
      <w:r w:rsidR="00C24B45">
        <w:rPr>
          <w:lang w:val="en-GB"/>
        </w:rPr>
        <w:t>s</w:t>
      </w:r>
      <w:r w:rsidR="00D24A04">
        <w:rPr>
          <w:lang w:val="en-GB"/>
        </w:rPr>
        <w:t xml:space="preserve">or Mohamed </w:t>
      </w:r>
      <w:r w:rsidRPr="008A63BE">
        <w:rPr>
          <w:lang w:val="en-GB"/>
        </w:rPr>
        <w:t xml:space="preserve">commenced with the </w:t>
      </w:r>
      <w:r w:rsidR="00EB20FF">
        <w:rPr>
          <w:lang w:val="en-GB"/>
        </w:rPr>
        <w:t>NIDA</w:t>
      </w:r>
      <w:r w:rsidR="00EB20FF" w:rsidRPr="008A63BE">
        <w:rPr>
          <w:lang w:val="en-GB"/>
        </w:rPr>
        <w:t xml:space="preserve"> </w:t>
      </w:r>
      <w:r w:rsidRPr="008A63BE">
        <w:rPr>
          <w:lang w:val="en-GB"/>
        </w:rPr>
        <w:t>on 8 April 2024 to lead this function as Deputy CEO, First Nations</w:t>
      </w:r>
    </w:p>
    <w:p w14:paraId="60A063AB" w14:textId="7994AC46" w:rsidR="00A9438A" w:rsidRDefault="008A63BE" w:rsidP="008A63BE">
      <w:pPr>
        <w:pStyle w:val="Bullet1"/>
        <w:rPr>
          <w:lang w:val="en-GB"/>
        </w:rPr>
      </w:pPr>
      <w:r w:rsidRPr="008A63BE">
        <w:rPr>
          <w:lang w:val="en-GB"/>
        </w:rPr>
        <w:t xml:space="preserve">the Office of Agency Accessibility and Inclusion, in the Enabling Services </w:t>
      </w:r>
      <w:r w:rsidR="00D24A04">
        <w:rPr>
          <w:lang w:val="en-GB"/>
        </w:rPr>
        <w:t>G</w:t>
      </w:r>
      <w:r w:rsidRPr="008A63BE">
        <w:rPr>
          <w:lang w:val="en-GB"/>
        </w:rPr>
        <w:t>roup.</w:t>
      </w:r>
    </w:p>
    <w:p w14:paraId="445DB857" w14:textId="2051AD80" w:rsidR="00D7560F" w:rsidRPr="00D7560F" w:rsidRDefault="00D7560F" w:rsidP="003131F3">
      <w:pPr>
        <w:rPr>
          <w:lang w:val="en-GB"/>
        </w:rPr>
      </w:pPr>
      <w:r w:rsidRPr="00D7560F">
        <w:rPr>
          <w:lang w:val="en-GB"/>
        </w:rPr>
        <w:t xml:space="preserve">The NDIA CEO, Rebecca Falkingham, is responsible for the day-to-day administration of the </w:t>
      </w:r>
      <w:r w:rsidR="00941D65">
        <w:rPr>
          <w:lang w:val="en-GB"/>
        </w:rPr>
        <w:t>NDIA</w:t>
      </w:r>
      <w:r w:rsidRPr="00D7560F">
        <w:rPr>
          <w:lang w:val="en-GB"/>
        </w:rPr>
        <w:t>. The CEO is supported by the Strategic Leadership Team consisting of:</w:t>
      </w:r>
    </w:p>
    <w:p w14:paraId="7273CCC6" w14:textId="3B90F3AD" w:rsidR="00D7560F" w:rsidRPr="003131F3" w:rsidRDefault="004E5CA0" w:rsidP="00D7560F">
      <w:pPr>
        <w:pStyle w:val="Bullet1"/>
      </w:pPr>
      <w:r>
        <w:t>Deputy CEO</w:t>
      </w:r>
      <w:r w:rsidR="00D7560F" w:rsidRPr="003131F3">
        <w:t xml:space="preserve"> First Nations </w:t>
      </w:r>
      <w:r w:rsidR="00941D65" w:rsidRPr="003131F3">
        <w:t>–</w:t>
      </w:r>
      <w:r w:rsidR="00D7560F" w:rsidRPr="003131F3">
        <w:t xml:space="preserve"> Janine Mohamed</w:t>
      </w:r>
    </w:p>
    <w:p w14:paraId="59578380" w14:textId="2E39F0C1" w:rsidR="00D7560F" w:rsidRPr="003131F3" w:rsidRDefault="004E5CA0" w:rsidP="00D7560F">
      <w:pPr>
        <w:pStyle w:val="Bullet1"/>
      </w:pPr>
      <w:r>
        <w:t>Deputy CEO</w:t>
      </w:r>
      <w:r w:rsidR="00D7560F" w:rsidRPr="003131F3">
        <w:t xml:space="preserve"> Partners, Providers and Home and Living – Penelope McKay</w:t>
      </w:r>
    </w:p>
    <w:p w14:paraId="04FB51B5" w14:textId="4E5D8268" w:rsidR="00D7560F" w:rsidRPr="003131F3" w:rsidRDefault="004E5CA0" w:rsidP="00D7560F">
      <w:pPr>
        <w:pStyle w:val="Bullet1"/>
      </w:pPr>
      <w:r>
        <w:t>Deputy CEO</w:t>
      </w:r>
      <w:r w:rsidR="00D7560F" w:rsidRPr="003131F3">
        <w:t xml:space="preserve"> Service Delivery – Scott McNaughton</w:t>
      </w:r>
    </w:p>
    <w:p w14:paraId="5732CDB9" w14:textId="3CB6BAA8" w:rsidR="00D7560F" w:rsidRPr="003131F3" w:rsidRDefault="004E5CA0" w:rsidP="00D7560F">
      <w:pPr>
        <w:pStyle w:val="Bullet1"/>
      </w:pPr>
      <w:r>
        <w:t>Deputy CEO</w:t>
      </w:r>
      <w:r w:rsidR="00D7560F" w:rsidRPr="003131F3">
        <w:t xml:space="preserve"> Service Design and Improvement – Corri McKenzie</w:t>
      </w:r>
    </w:p>
    <w:p w14:paraId="6815A2E9" w14:textId="74FFFC71" w:rsidR="00D7560F" w:rsidRPr="003131F3" w:rsidRDefault="004E5CA0" w:rsidP="00D7560F">
      <w:pPr>
        <w:pStyle w:val="Bullet1"/>
      </w:pPr>
      <w:r>
        <w:t>Deputy CEO</w:t>
      </w:r>
      <w:r w:rsidR="00D7560F" w:rsidRPr="003131F3">
        <w:t xml:space="preserve"> Governance, Risk and Legal – Matthew Swainson (Acting)</w:t>
      </w:r>
    </w:p>
    <w:p w14:paraId="0F1A7A3E" w14:textId="4137A3DD" w:rsidR="00D7560F" w:rsidRPr="003131F3" w:rsidRDefault="004E5CA0" w:rsidP="00D7560F">
      <w:pPr>
        <w:pStyle w:val="Bullet1"/>
      </w:pPr>
      <w:r>
        <w:t>Deputy CEO</w:t>
      </w:r>
      <w:r w:rsidR="00D7560F" w:rsidRPr="003131F3">
        <w:t xml:space="preserve"> Integrity Transformation and Fraud Fusion Taskforce – John Dardo</w:t>
      </w:r>
    </w:p>
    <w:p w14:paraId="400631D4" w14:textId="3474FAF6" w:rsidR="00D7560F" w:rsidRDefault="004E5CA0" w:rsidP="00D7560F">
      <w:pPr>
        <w:pStyle w:val="Bullet1"/>
      </w:pPr>
      <w:r>
        <w:t>Deputy CEO</w:t>
      </w:r>
      <w:r w:rsidR="00D7560F" w:rsidRPr="003131F3">
        <w:t xml:space="preserve"> Enabling Services / Chief Operating Officer – Samuel Porter</w:t>
      </w:r>
    </w:p>
    <w:p w14:paraId="07241A55" w14:textId="471797FF" w:rsidR="001708A8" w:rsidRPr="003131F3" w:rsidRDefault="001708A8" w:rsidP="00D7560F">
      <w:pPr>
        <w:pStyle w:val="Bullet1"/>
      </w:pPr>
      <w:r w:rsidRPr="001708A8">
        <w:t>Scheme Actuary – David Gifford</w:t>
      </w:r>
      <w:r w:rsidR="0007012A">
        <w:t>.</w:t>
      </w:r>
    </w:p>
    <w:p w14:paraId="0941AF76" w14:textId="2BD5A20F" w:rsidR="00D7560F" w:rsidRPr="00D7560F" w:rsidRDefault="00D7560F" w:rsidP="003131F3">
      <w:pPr>
        <w:rPr>
          <w:lang w:val="en-GB"/>
        </w:rPr>
      </w:pPr>
      <w:r w:rsidRPr="00D7560F">
        <w:rPr>
          <w:lang w:val="en-GB"/>
        </w:rPr>
        <w:t xml:space="preserve">Also reporting directly to the CEO </w:t>
      </w:r>
      <w:r w:rsidR="00FE5880">
        <w:rPr>
          <w:lang w:val="en-GB"/>
        </w:rPr>
        <w:t>are</w:t>
      </w:r>
      <w:r w:rsidRPr="00D7560F">
        <w:rPr>
          <w:lang w:val="en-GB"/>
        </w:rPr>
        <w:t>:</w:t>
      </w:r>
    </w:p>
    <w:p w14:paraId="4C217AE1" w14:textId="57A1E2ED" w:rsidR="00D7560F" w:rsidRDefault="00D7560F" w:rsidP="00D7560F">
      <w:pPr>
        <w:pStyle w:val="Bullet1"/>
      </w:pPr>
      <w:r w:rsidRPr="003131F3">
        <w:t>General Manager, Children</w:t>
      </w:r>
      <w:r w:rsidR="00D24A04">
        <w:t>’</w:t>
      </w:r>
      <w:r w:rsidRPr="003131F3">
        <w:t>s Taskforce – Samantha Taylor</w:t>
      </w:r>
    </w:p>
    <w:p w14:paraId="4D52A13C" w14:textId="285543BB" w:rsidR="00F23525" w:rsidRPr="00F23525" w:rsidRDefault="008F7372" w:rsidP="00F23525">
      <w:pPr>
        <w:pStyle w:val="Bullet1"/>
      </w:pPr>
      <w:r w:rsidRPr="00F23525">
        <w:t>Chief of Staff –</w:t>
      </w:r>
      <w:r w:rsidR="00A46305" w:rsidRPr="00F23525">
        <w:t xml:space="preserve"> David Stockman</w:t>
      </w:r>
      <w:r w:rsidR="00FE5880" w:rsidRPr="00F23525">
        <w:t>.</w:t>
      </w:r>
      <w:r w:rsidRPr="00F23525">
        <w:t xml:space="preserve"> </w:t>
      </w:r>
      <w:bookmarkStart w:id="308" w:name="_Toc175316905"/>
      <w:bookmarkStart w:id="309" w:name="_Toc169592982"/>
      <w:bookmarkStart w:id="310" w:name="_Toc174354201"/>
      <w:bookmarkStart w:id="311" w:name="_Toc176786396"/>
      <w:bookmarkStart w:id="312" w:name="_Toc180505678"/>
      <w:bookmarkEnd w:id="307"/>
      <w:r w:rsidR="00F23525" w:rsidRPr="00F23525">
        <w:br w:type="page"/>
      </w:r>
    </w:p>
    <w:p w14:paraId="0CA02EF2" w14:textId="2CEE4ED2" w:rsidR="00D7463A" w:rsidRPr="00A33264" w:rsidRDefault="00D7463A" w:rsidP="00D7463A">
      <w:pPr>
        <w:pStyle w:val="Heading3"/>
        <w:rPr>
          <w:lang w:val="en-GB"/>
        </w:rPr>
      </w:pPr>
      <w:r w:rsidRPr="00A33264">
        <w:rPr>
          <w:lang w:val="en-GB"/>
        </w:rPr>
        <w:lastRenderedPageBreak/>
        <w:t xml:space="preserve">Partners in the </w:t>
      </w:r>
      <w:bookmarkEnd w:id="308"/>
      <w:r w:rsidR="00EB20FF">
        <w:rPr>
          <w:lang w:val="en-GB"/>
        </w:rPr>
        <w:t>c</w:t>
      </w:r>
      <w:r w:rsidRPr="00A33264">
        <w:rPr>
          <w:lang w:val="en-GB"/>
        </w:rPr>
        <w:t>ommunity</w:t>
      </w:r>
      <w:bookmarkEnd w:id="309"/>
      <w:bookmarkEnd w:id="310"/>
      <w:bookmarkEnd w:id="311"/>
      <w:bookmarkEnd w:id="312"/>
    </w:p>
    <w:p w14:paraId="7B445445" w14:textId="67EA0477" w:rsidR="00EC5D56" w:rsidRPr="00A33264" w:rsidRDefault="00EC5D56" w:rsidP="00EC5D56">
      <w:pPr>
        <w:rPr>
          <w:lang w:val="en-GB"/>
        </w:rPr>
      </w:pPr>
      <w:r w:rsidRPr="00A33264">
        <w:rPr>
          <w:lang w:val="en-GB"/>
        </w:rPr>
        <w:t xml:space="preserve">Our </w:t>
      </w:r>
      <w:r w:rsidR="00EB20FF">
        <w:rPr>
          <w:lang w:val="en-GB"/>
        </w:rPr>
        <w:t>p</w:t>
      </w:r>
      <w:r w:rsidRPr="00A33264">
        <w:rPr>
          <w:lang w:val="en-GB"/>
        </w:rPr>
        <w:t xml:space="preserve">artners </w:t>
      </w:r>
      <w:r w:rsidR="005524ED" w:rsidRPr="00A33264">
        <w:rPr>
          <w:lang w:val="en-GB"/>
        </w:rPr>
        <w:t>in</w:t>
      </w:r>
      <w:r w:rsidRPr="00A33264">
        <w:rPr>
          <w:lang w:val="en-GB"/>
        </w:rPr>
        <w:t xml:space="preserve"> </w:t>
      </w:r>
      <w:r w:rsidR="00EB20FF">
        <w:rPr>
          <w:lang w:val="en-GB"/>
        </w:rPr>
        <w:t>t</w:t>
      </w:r>
      <w:r w:rsidRPr="00A33264">
        <w:rPr>
          <w:lang w:val="en-GB"/>
        </w:rPr>
        <w:t xml:space="preserve">he </w:t>
      </w:r>
      <w:r w:rsidR="00EB20FF">
        <w:rPr>
          <w:lang w:val="en-GB"/>
        </w:rPr>
        <w:t>c</w:t>
      </w:r>
      <w:r w:rsidRPr="00A33264">
        <w:rPr>
          <w:lang w:val="en-GB"/>
        </w:rPr>
        <w:t xml:space="preserve">ommunity are experienced and qualified organisations with strong local knowledge and understanding of the needs of people with disability. They work with the NDIA to deliver </w:t>
      </w:r>
      <w:r w:rsidR="00E74040" w:rsidRPr="00A33264">
        <w:rPr>
          <w:lang w:val="en-GB"/>
        </w:rPr>
        <w:t>e</w:t>
      </w:r>
      <w:r w:rsidRPr="00A33264">
        <w:rPr>
          <w:lang w:val="en-GB"/>
        </w:rPr>
        <w:t xml:space="preserve">arly </w:t>
      </w:r>
      <w:r w:rsidR="00E74040" w:rsidRPr="00A33264">
        <w:rPr>
          <w:lang w:val="en-GB"/>
        </w:rPr>
        <w:t>c</w:t>
      </w:r>
      <w:r w:rsidRPr="00A33264">
        <w:rPr>
          <w:lang w:val="en-GB"/>
        </w:rPr>
        <w:t xml:space="preserve">hildhood and </w:t>
      </w:r>
      <w:r w:rsidR="00E74040" w:rsidRPr="00A33264">
        <w:rPr>
          <w:lang w:val="en-GB"/>
        </w:rPr>
        <w:t>l</w:t>
      </w:r>
      <w:r w:rsidRPr="00A33264">
        <w:rPr>
          <w:lang w:val="en-GB"/>
        </w:rPr>
        <w:t xml:space="preserve">ocal </w:t>
      </w:r>
      <w:r w:rsidR="00E74040" w:rsidRPr="00A33264">
        <w:rPr>
          <w:lang w:val="en-GB"/>
        </w:rPr>
        <w:t>a</w:t>
      </w:r>
      <w:r w:rsidRPr="00A33264">
        <w:rPr>
          <w:lang w:val="en-GB"/>
        </w:rPr>
        <w:t xml:space="preserve">rea </w:t>
      </w:r>
      <w:r w:rsidR="00E74040" w:rsidRPr="00A33264">
        <w:rPr>
          <w:lang w:val="en-GB"/>
        </w:rPr>
        <w:t>c</w:t>
      </w:r>
      <w:r w:rsidRPr="00A33264">
        <w:rPr>
          <w:lang w:val="en-GB"/>
        </w:rPr>
        <w:t xml:space="preserve">oordination services to Australians with disability and children younger than 6 with delays in their development. </w:t>
      </w:r>
    </w:p>
    <w:p w14:paraId="0761CE4F" w14:textId="29146E7B" w:rsidR="00EC5D56" w:rsidRPr="00A33264" w:rsidRDefault="00EC5D56" w:rsidP="00EC5D56">
      <w:pPr>
        <w:rPr>
          <w:lang w:val="en-GB"/>
        </w:rPr>
      </w:pPr>
      <w:r w:rsidRPr="00A33264">
        <w:rPr>
          <w:lang w:val="en-GB"/>
        </w:rPr>
        <w:t xml:space="preserve">Partners are often the first point of contact for participants, making them the face of the </w:t>
      </w:r>
      <w:r w:rsidR="00880C4D">
        <w:rPr>
          <w:lang w:val="en-GB"/>
        </w:rPr>
        <w:t>NDIS</w:t>
      </w:r>
      <w:r w:rsidR="00880C4D" w:rsidRPr="00A33264">
        <w:rPr>
          <w:lang w:val="en-GB"/>
        </w:rPr>
        <w:t xml:space="preserve"> </w:t>
      </w:r>
      <w:r w:rsidRPr="00A33264">
        <w:rPr>
          <w:lang w:val="en-GB"/>
        </w:rPr>
        <w:t xml:space="preserve">in many communities. </w:t>
      </w:r>
    </w:p>
    <w:p w14:paraId="56091CC4" w14:textId="17BA2FCF" w:rsidR="00D7463A" w:rsidRPr="00A33264" w:rsidRDefault="00EC5D56" w:rsidP="00EC5D56">
      <w:pPr>
        <w:rPr>
          <w:lang w:val="en-GB"/>
        </w:rPr>
      </w:pPr>
      <w:r w:rsidRPr="00A33264">
        <w:rPr>
          <w:lang w:val="en-GB"/>
        </w:rPr>
        <w:t xml:space="preserve">As at 30 June 2024 the </w:t>
      </w:r>
      <w:r w:rsidR="00B95D8A">
        <w:rPr>
          <w:lang w:val="en-GB"/>
        </w:rPr>
        <w:t>p</w:t>
      </w:r>
      <w:r w:rsidR="00D24A04">
        <w:rPr>
          <w:lang w:val="en-GB"/>
        </w:rPr>
        <w:t>artners in the community</w:t>
      </w:r>
      <w:r w:rsidR="00D24A04" w:rsidRPr="00A33264">
        <w:rPr>
          <w:lang w:val="en-GB"/>
        </w:rPr>
        <w:t xml:space="preserve"> </w:t>
      </w:r>
      <w:r w:rsidRPr="00A33264">
        <w:rPr>
          <w:lang w:val="en-GB"/>
        </w:rPr>
        <w:t>program had 24 partner organisations operating in all Australian states and territories, with the exception of remote areas, where the local NDIA team provides support.</w:t>
      </w:r>
    </w:p>
    <w:p w14:paraId="2AFF67C1" w14:textId="78FF57A6" w:rsidR="00280054" w:rsidRPr="00A33264" w:rsidRDefault="00280054" w:rsidP="00280054">
      <w:pPr>
        <w:pStyle w:val="Heading4"/>
        <w:rPr>
          <w:lang w:val="en-GB"/>
        </w:rPr>
      </w:pPr>
      <w:r w:rsidRPr="00A33264">
        <w:rPr>
          <w:lang w:val="en-GB"/>
        </w:rPr>
        <w:t>Local area coordination partners</w:t>
      </w:r>
    </w:p>
    <w:p w14:paraId="04847CD0" w14:textId="5CC8E539" w:rsidR="00EC5D56" w:rsidRPr="00A33264" w:rsidRDefault="00EC5D56" w:rsidP="00EC5D56">
      <w:pPr>
        <w:rPr>
          <w:lang w:val="en-GB"/>
        </w:rPr>
      </w:pPr>
      <w:r w:rsidRPr="00A33264">
        <w:rPr>
          <w:lang w:val="en-GB"/>
        </w:rPr>
        <w:t xml:space="preserve">Partners delivering </w:t>
      </w:r>
      <w:r w:rsidR="00EC7EA2">
        <w:rPr>
          <w:lang w:val="en-GB"/>
        </w:rPr>
        <w:t>local area coordination</w:t>
      </w:r>
      <w:r w:rsidR="00EC7EA2" w:rsidRPr="00A33264">
        <w:rPr>
          <w:lang w:val="en-GB"/>
        </w:rPr>
        <w:t xml:space="preserve"> </w:t>
      </w:r>
      <w:r w:rsidRPr="00A33264">
        <w:rPr>
          <w:lang w:val="en-GB"/>
        </w:rPr>
        <w:t xml:space="preserve">services assist people aged 9 years and above to link to the NDIS and </w:t>
      </w:r>
      <w:r w:rsidR="00E74040" w:rsidRPr="00A33264">
        <w:rPr>
          <w:lang w:val="en-GB"/>
        </w:rPr>
        <w:t xml:space="preserve">to </w:t>
      </w:r>
      <w:r w:rsidRPr="00A33264">
        <w:rPr>
          <w:lang w:val="en-GB"/>
        </w:rPr>
        <w:t xml:space="preserve">mainstream and community supports in their local area. </w:t>
      </w:r>
    </w:p>
    <w:p w14:paraId="69B4E32B" w14:textId="465F6CD2" w:rsidR="00EC5D56" w:rsidRPr="00A33264" w:rsidRDefault="00EC5D56" w:rsidP="00EC5D56">
      <w:pPr>
        <w:rPr>
          <w:lang w:val="en-GB"/>
        </w:rPr>
      </w:pPr>
      <w:r w:rsidRPr="00A33264">
        <w:rPr>
          <w:lang w:val="en-GB"/>
        </w:rPr>
        <w:t>L</w:t>
      </w:r>
      <w:r w:rsidR="00EC7EA2">
        <w:rPr>
          <w:lang w:val="en-GB"/>
        </w:rPr>
        <w:t>ocal area coordination</w:t>
      </w:r>
      <w:r w:rsidRPr="00A33264">
        <w:rPr>
          <w:lang w:val="en-GB"/>
        </w:rPr>
        <w:t xml:space="preserve"> </w:t>
      </w:r>
      <w:r w:rsidR="00E74040" w:rsidRPr="00A33264">
        <w:rPr>
          <w:lang w:val="en-GB"/>
        </w:rPr>
        <w:t>p</w:t>
      </w:r>
      <w:r w:rsidRPr="00A33264">
        <w:rPr>
          <w:lang w:val="en-GB"/>
        </w:rPr>
        <w:t xml:space="preserve">artners play an important role in working directly with communities to improve accessibility and inclusion. They can identify supports available </w:t>
      </w:r>
      <w:r w:rsidR="00941D65">
        <w:rPr>
          <w:lang w:val="en-GB"/>
        </w:rPr>
        <w:t xml:space="preserve">in the community </w:t>
      </w:r>
      <w:r w:rsidRPr="00A33264">
        <w:rPr>
          <w:lang w:val="en-GB"/>
        </w:rPr>
        <w:t xml:space="preserve">for people with disability, even </w:t>
      </w:r>
      <w:r w:rsidR="00EC7EA2">
        <w:rPr>
          <w:lang w:val="en-GB"/>
        </w:rPr>
        <w:t>people who are</w:t>
      </w:r>
      <w:r w:rsidRPr="00A33264">
        <w:rPr>
          <w:lang w:val="en-GB"/>
        </w:rPr>
        <w:t xml:space="preserve"> not eligible for a</w:t>
      </w:r>
      <w:r w:rsidR="00E74040" w:rsidRPr="00A33264">
        <w:rPr>
          <w:lang w:val="en-GB"/>
        </w:rPr>
        <w:t>n</w:t>
      </w:r>
      <w:r w:rsidRPr="00A33264">
        <w:rPr>
          <w:lang w:val="en-GB"/>
        </w:rPr>
        <w:t xml:space="preserve"> NDIS plan. </w:t>
      </w:r>
    </w:p>
    <w:p w14:paraId="461CF1CE" w14:textId="0AAEC5F1" w:rsidR="00280054" w:rsidRPr="00A33264" w:rsidRDefault="00EC5D56" w:rsidP="00EC5D56">
      <w:pPr>
        <w:rPr>
          <w:lang w:val="en-GB"/>
        </w:rPr>
      </w:pPr>
      <w:r w:rsidRPr="00A33264">
        <w:rPr>
          <w:lang w:val="en-GB"/>
        </w:rPr>
        <w:t>L</w:t>
      </w:r>
      <w:r w:rsidR="00EC7EA2">
        <w:rPr>
          <w:lang w:val="en-GB"/>
        </w:rPr>
        <w:t>ocal area coordination</w:t>
      </w:r>
      <w:r w:rsidRPr="00A33264">
        <w:rPr>
          <w:lang w:val="en-GB"/>
        </w:rPr>
        <w:t xml:space="preserve"> </w:t>
      </w:r>
      <w:r w:rsidR="00E74040" w:rsidRPr="00A33264">
        <w:rPr>
          <w:lang w:val="en-GB"/>
        </w:rPr>
        <w:t>p</w:t>
      </w:r>
      <w:r w:rsidRPr="00A33264">
        <w:rPr>
          <w:lang w:val="en-GB"/>
        </w:rPr>
        <w:t>artners help people to understand and access the NDIS, discuss goals and supports, gather and document information to support the planning process, and assist people to use their NDIS plan. They also undertake regular check-ins with participants to ensure that their plans are working for them and assist in preparing for plan reassessment.</w:t>
      </w:r>
    </w:p>
    <w:p w14:paraId="036EA0D6" w14:textId="5710132F" w:rsidR="00280054" w:rsidRPr="00A33264" w:rsidRDefault="00280054" w:rsidP="00280054">
      <w:pPr>
        <w:pStyle w:val="Heading4"/>
        <w:rPr>
          <w:lang w:val="en-GB"/>
        </w:rPr>
      </w:pPr>
      <w:r w:rsidRPr="00A33264">
        <w:rPr>
          <w:lang w:val="en-GB"/>
        </w:rPr>
        <w:t>Early childhood partners</w:t>
      </w:r>
    </w:p>
    <w:p w14:paraId="6A71FAA8" w14:textId="220EB16C" w:rsidR="00EC5D56" w:rsidRPr="00A33264" w:rsidRDefault="00EC5D56" w:rsidP="00EC5D56">
      <w:pPr>
        <w:rPr>
          <w:lang w:val="en-GB"/>
        </w:rPr>
      </w:pPr>
      <w:r w:rsidRPr="00A33264">
        <w:rPr>
          <w:lang w:val="en-GB"/>
        </w:rPr>
        <w:t xml:space="preserve">Early </w:t>
      </w:r>
      <w:r w:rsidR="00E74040" w:rsidRPr="00A33264">
        <w:rPr>
          <w:lang w:val="en-GB"/>
        </w:rPr>
        <w:t>c</w:t>
      </w:r>
      <w:r w:rsidRPr="00A33264">
        <w:rPr>
          <w:lang w:val="en-GB"/>
        </w:rPr>
        <w:t xml:space="preserve">hildhood </w:t>
      </w:r>
      <w:r w:rsidR="00E74040" w:rsidRPr="00A33264">
        <w:rPr>
          <w:lang w:val="en-GB"/>
        </w:rPr>
        <w:t>p</w:t>
      </w:r>
      <w:r w:rsidRPr="00A33264">
        <w:rPr>
          <w:lang w:val="en-GB"/>
        </w:rPr>
        <w:t xml:space="preserve">artners are local organisations funded by the NDIA to deliver </w:t>
      </w:r>
      <w:r w:rsidR="00EC7EA2">
        <w:rPr>
          <w:lang w:val="en-GB"/>
        </w:rPr>
        <w:t>our</w:t>
      </w:r>
      <w:r w:rsidR="00EC7EA2" w:rsidRPr="00A33264">
        <w:rPr>
          <w:lang w:val="en-GB"/>
        </w:rPr>
        <w:t xml:space="preserve"> </w:t>
      </w:r>
      <w:r w:rsidR="00EC7EA2">
        <w:rPr>
          <w:lang w:val="en-GB"/>
        </w:rPr>
        <w:t>e</w:t>
      </w:r>
      <w:r w:rsidRPr="00A33264">
        <w:rPr>
          <w:lang w:val="en-GB"/>
        </w:rPr>
        <w:t xml:space="preserve">arly </w:t>
      </w:r>
      <w:r w:rsidR="00EC7EA2">
        <w:rPr>
          <w:lang w:val="en-GB"/>
        </w:rPr>
        <w:t>c</w:t>
      </w:r>
      <w:r w:rsidRPr="00A33264">
        <w:rPr>
          <w:lang w:val="en-GB"/>
        </w:rPr>
        <w:t xml:space="preserve">hildhood </w:t>
      </w:r>
      <w:r w:rsidR="00EC7EA2">
        <w:rPr>
          <w:lang w:val="en-GB"/>
        </w:rPr>
        <w:t>a</w:t>
      </w:r>
      <w:r w:rsidRPr="00A33264">
        <w:rPr>
          <w:lang w:val="en-GB"/>
        </w:rPr>
        <w:t xml:space="preserve">pproach. The </w:t>
      </w:r>
      <w:r w:rsidR="00EC7EA2">
        <w:rPr>
          <w:lang w:val="en-GB"/>
        </w:rPr>
        <w:t>e</w:t>
      </w:r>
      <w:r w:rsidRPr="00A33264">
        <w:rPr>
          <w:lang w:val="en-GB"/>
        </w:rPr>
        <w:t xml:space="preserve">arly </w:t>
      </w:r>
      <w:r w:rsidR="00EC7EA2">
        <w:rPr>
          <w:lang w:val="en-GB"/>
        </w:rPr>
        <w:t>c</w:t>
      </w:r>
      <w:r w:rsidRPr="00A33264">
        <w:rPr>
          <w:lang w:val="en-GB"/>
        </w:rPr>
        <w:t xml:space="preserve">hildhood </w:t>
      </w:r>
      <w:r w:rsidR="00EC7EA2">
        <w:rPr>
          <w:lang w:val="en-GB"/>
        </w:rPr>
        <w:t>a</w:t>
      </w:r>
      <w:r w:rsidRPr="00A33264">
        <w:rPr>
          <w:lang w:val="en-GB"/>
        </w:rPr>
        <w:t>pproach supports children younger than 6 with developmental delay or children younger than 9 with disability, and their families and carers, to develop the skills they need to participate in daily activities and achieve the best possible outcomes throughout their li</w:t>
      </w:r>
      <w:r w:rsidR="00D24A04">
        <w:rPr>
          <w:lang w:val="en-GB"/>
        </w:rPr>
        <w:t>ves</w:t>
      </w:r>
      <w:r w:rsidRPr="00A33264">
        <w:rPr>
          <w:lang w:val="en-GB"/>
        </w:rPr>
        <w:t xml:space="preserve">. </w:t>
      </w:r>
    </w:p>
    <w:p w14:paraId="31A9F2B9" w14:textId="72CD44BD" w:rsidR="00EC5D56" w:rsidRPr="00A33264" w:rsidRDefault="00EC5D56" w:rsidP="00EC5D56">
      <w:pPr>
        <w:rPr>
          <w:lang w:val="en-GB"/>
        </w:rPr>
      </w:pPr>
      <w:r w:rsidRPr="00A33264">
        <w:rPr>
          <w:lang w:val="en-GB"/>
        </w:rPr>
        <w:t xml:space="preserve">Early </w:t>
      </w:r>
      <w:r w:rsidR="00E74040" w:rsidRPr="00A33264">
        <w:rPr>
          <w:lang w:val="en-GB"/>
        </w:rPr>
        <w:t>c</w:t>
      </w:r>
      <w:r w:rsidRPr="00A33264">
        <w:rPr>
          <w:lang w:val="en-GB"/>
        </w:rPr>
        <w:t xml:space="preserve">hildhood </w:t>
      </w:r>
      <w:r w:rsidR="00E74040" w:rsidRPr="00A33264">
        <w:rPr>
          <w:lang w:val="en-GB"/>
        </w:rPr>
        <w:t>p</w:t>
      </w:r>
      <w:r w:rsidRPr="00A33264">
        <w:rPr>
          <w:lang w:val="en-GB"/>
        </w:rPr>
        <w:t xml:space="preserve">artners focus on delivering family-centred supports using a best practice model and supporting connections to mainstream and community services for children and their families and carers. </w:t>
      </w:r>
    </w:p>
    <w:p w14:paraId="6C42C8F4" w14:textId="24AE8AB3" w:rsidR="00280054" w:rsidRPr="00A33264" w:rsidRDefault="00EC5D56" w:rsidP="00EC5D56">
      <w:pPr>
        <w:rPr>
          <w:lang w:val="en-GB"/>
        </w:rPr>
      </w:pPr>
      <w:r w:rsidRPr="00A33264">
        <w:rPr>
          <w:lang w:val="en-GB"/>
        </w:rPr>
        <w:lastRenderedPageBreak/>
        <w:t xml:space="preserve">Early </w:t>
      </w:r>
      <w:r w:rsidR="00E74040" w:rsidRPr="00A33264">
        <w:rPr>
          <w:lang w:val="en-GB"/>
        </w:rPr>
        <w:t>c</w:t>
      </w:r>
      <w:r w:rsidRPr="00A33264">
        <w:rPr>
          <w:lang w:val="en-GB"/>
        </w:rPr>
        <w:t xml:space="preserve">hildhood </w:t>
      </w:r>
      <w:r w:rsidR="00E74040" w:rsidRPr="00A33264">
        <w:rPr>
          <w:lang w:val="en-GB"/>
        </w:rPr>
        <w:t>p</w:t>
      </w:r>
      <w:r w:rsidRPr="00A33264">
        <w:rPr>
          <w:lang w:val="en-GB"/>
        </w:rPr>
        <w:t>artners offer early connections and early support</w:t>
      </w:r>
      <w:r w:rsidR="00F231FD">
        <w:rPr>
          <w:lang w:val="en-GB"/>
        </w:rPr>
        <w:t>,</w:t>
      </w:r>
      <w:r w:rsidRPr="00A33264">
        <w:rPr>
          <w:lang w:val="en-GB"/>
        </w:rPr>
        <w:t xml:space="preserve"> and</w:t>
      </w:r>
      <w:r w:rsidR="00F231FD">
        <w:rPr>
          <w:lang w:val="en-GB"/>
        </w:rPr>
        <w:t xml:space="preserve"> they</w:t>
      </w:r>
      <w:r w:rsidRPr="00A33264">
        <w:rPr>
          <w:lang w:val="en-GB"/>
        </w:rPr>
        <w:t xml:space="preserve"> support families </w:t>
      </w:r>
      <w:r w:rsidR="00EC7EA2">
        <w:rPr>
          <w:lang w:val="en-GB"/>
        </w:rPr>
        <w:t xml:space="preserve">to access </w:t>
      </w:r>
      <w:r w:rsidRPr="00A33264">
        <w:rPr>
          <w:lang w:val="en-GB"/>
        </w:rPr>
        <w:t xml:space="preserve">the NDIS </w:t>
      </w:r>
      <w:r w:rsidR="00EC7EA2">
        <w:rPr>
          <w:lang w:val="en-GB"/>
        </w:rPr>
        <w:t>if their child is likely to be eligible</w:t>
      </w:r>
      <w:r w:rsidR="00F231FD">
        <w:rPr>
          <w:lang w:val="en-GB"/>
        </w:rPr>
        <w:t>.</w:t>
      </w:r>
      <w:r w:rsidRPr="00A33264">
        <w:rPr>
          <w:lang w:val="en-GB"/>
        </w:rPr>
        <w:t xml:space="preserve"> </w:t>
      </w:r>
      <w:r w:rsidR="00F231FD">
        <w:rPr>
          <w:lang w:val="en-GB"/>
        </w:rPr>
        <w:t xml:space="preserve">They continue their support </w:t>
      </w:r>
      <w:r w:rsidR="00EC7EA2">
        <w:rPr>
          <w:lang w:val="en-GB"/>
        </w:rPr>
        <w:t xml:space="preserve">through the </w:t>
      </w:r>
      <w:r w:rsidRPr="00A33264">
        <w:rPr>
          <w:lang w:val="en-GB"/>
        </w:rPr>
        <w:t>planning process when the child becomes a</w:t>
      </w:r>
      <w:r w:rsidR="00E74040" w:rsidRPr="00A33264">
        <w:rPr>
          <w:lang w:val="en-GB"/>
        </w:rPr>
        <w:t>n</w:t>
      </w:r>
      <w:r w:rsidRPr="00A33264">
        <w:rPr>
          <w:lang w:val="en-GB"/>
        </w:rPr>
        <w:t xml:space="preserve"> NDIS participant.</w:t>
      </w:r>
    </w:p>
    <w:p w14:paraId="623994AA" w14:textId="5E6B0E34" w:rsidR="00D7463A" w:rsidRPr="00A33264" w:rsidRDefault="00D7463A" w:rsidP="00D7463A">
      <w:pPr>
        <w:pStyle w:val="Heading3"/>
        <w:rPr>
          <w:lang w:val="en-GB"/>
        </w:rPr>
      </w:pPr>
      <w:bookmarkStart w:id="313" w:name="_Toc169592983"/>
      <w:bookmarkStart w:id="314" w:name="_Toc174354202"/>
      <w:bookmarkStart w:id="315" w:name="_Toc175316906"/>
      <w:bookmarkStart w:id="316" w:name="_Toc176786397"/>
      <w:bookmarkStart w:id="317" w:name="_Toc180505679"/>
      <w:r w:rsidRPr="00A33264">
        <w:rPr>
          <w:lang w:val="en-GB"/>
        </w:rPr>
        <w:t>Workforce management</w:t>
      </w:r>
      <w:bookmarkEnd w:id="313"/>
      <w:bookmarkEnd w:id="314"/>
      <w:bookmarkEnd w:id="315"/>
      <w:bookmarkEnd w:id="316"/>
      <w:bookmarkEnd w:id="317"/>
    </w:p>
    <w:p w14:paraId="4A1A0674" w14:textId="54F148B6" w:rsidR="005312E9" w:rsidRPr="00A33264" w:rsidRDefault="005312E9" w:rsidP="005312E9">
      <w:pPr>
        <w:rPr>
          <w:lang w:val="en-GB"/>
        </w:rPr>
      </w:pPr>
      <w:r w:rsidRPr="00A33264">
        <w:rPr>
          <w:lang w:val="en-GB"/>
        </w:rPr>
        <w:t xml:space="preserve">To deliver the </w:t>
      </w:r>
      <w:r w:rsidR="00880C4D">
        <w:rPr>
          <w:lang w:val="en-GB"/>
        </w:rPr>
        <w:t>NDIS</w:t>
      </w:r>
      <w:r w:rsidRPr="00A33264">
        <w:rPr>
          <w:lang w:val="en-GB"/>
        </w:rPr>
        <w:t xml:space="preserve">, the NDIA needs a capable and committed workforce that is reflective of the broader Australian society. The mix of skills needed by the NDIA continues to evolve, reflecting the needs of participants, carers and their families. </w:t>
      </w:r>
      <w:r w:rsidR="00615355" w:rsidRPr="00A33264">
        <w:rPr>
          <w:lang w:val="en-GB"/>
        </w:rPr>
        <w:t>T</w:t>
      </w:r>
      <w:r w:rsidRPr="00A33264">
        <w:rPr>
          <w:lang w:val="en-GB"/>
        </w:rPr>
        <w:t xml:space="preserve">he NDIA continues to expand and strengthen its focus on disability and cohort awareness </w:t>
      </w:r>
      <w:r w:rsidR="00615355" w:rsidRPr="00A33264">
        <w:rPr>
          <w:lang w:val="en-GB"/>
        </w:rPr>
        <w:t>and on</w:t>
      </w:r>
      <w:r w:rsidRPr="00A33264">
        <w:rPr>
          <w:lang w:val="en-GB"/>
        </w:rPr>
        <w:t xml:space="preserve"> improv</w:t>
      </w:r>
      <w:r w:rsidR="00615355" w:rsidRPr="00A33264">
        <w:rPr>
          <w:lang w:val="en-GB"/>
        </w:rPr>
        <w:t>ing</w:t>
      </w:r>
      <w:r w:rsidRPr="00A33264">
        <w:rPr>
          <w:lang w:val="en-GB"/>
        </w:rPr>
        <w:t xml:space="preserve"> frontline capability and the quality of experience for participants.</w:t>
      </w:r>
    </w:p>
    <w:p w14:paraId="637662C9" w14:textId="570BC187" w:rsidR="005312E9" w:rsidRPr="00A33264" w:rsidRDefault="005312E9" w:rsidP="005312E9">
      <w:pPr>
        <w:rPr>
          <w:lang w:val="en-GB"/>
        </w:rPr>
      </w:pPr>
      <w:r w:rsidRPr="00A33264">
        <w:rPr>
          <w:lang w:val="en-GB"/>
        </w:rPr>
        <w:t>As at 30 June 2024</w:t>
      </w:r>
      <w:r w:rsidR="00EC7EA2">
        <w:rPr>
          <w:lang w:val="en-GB"/>
        </w:rPr>
        <w:t xml:space="preserve"> </w:t>
      </w:r>
      <w:r w:rsidRPr="00A33264">
        <w:rPr>
          <w:lang w:val="en-GB"/>
        </w:rPr>
        <w:t xml:space="preserve">the </w:t>
      </w:r>
      <w:r w:rsidR="00EC7EA2">
        <w:rPr>
          <w:lang w:val="en-GB"/>
        </w:rPr>
        <w:t xml:space="preserve">total </w:t>
      </w:r>
      <w:r w:rsidRPr="00A33264">
        <w:rPr>
          <w:lang w:val="en-GB"/>
        </w:rPr>
        <w:t xml:space="preserve">NDIA workforce </w:t>
      </w:r>
      <w:r w:rsidR="00EC7EA2">
        <w:rPr>
          <w:lang w:val="en-GB"/>
        </w:rPr>
        <w:t>numbered</w:t>
      </w:r>
      <w:r w:rsidRPr="00A33264">
        <w:rPr>
          <w:lang w:val="en-GB"/>
        </w:rPr>
        <w:t xml:space="preserve"> 16,192</w:t>
      </w:r>
      <w:r w:rsidR="00EC7EA2">
        <w:rPr>
          <w:lang w:val="en-GB"/>
        </w:rPr>
        <w:t xml:space="preserve">. </w:t>
      </w:r>
      <w:r w:rsidR="00F231FD">
        <w:rPr>
          <w:lang w:val="en-GB"/>
        </w:rPr>
        <w:t>The NDIA had</w:t>
      </w:r>
      <w:r w:rsidRPr="00A33264">
        <w:rPr>
          <w:lang w:val="en-GB"/>
        </w:rPr>
        <w:t>:</w:t>
      </w:r>
    </w:p>
    <w:p w14:paraId="4FB8A045" w14:textId="4F6CEBD4" w:rsidR="005312E9" w:rsidRPr="00A33264" w:rsidRDefault="005312E9" w:rsidP="005312E9">
      <w:pPr>
        <w:pStyle w:val="Bullet1"/>
        <w:rPr>
          <w:lang w:val="en-GB"/>
        </w:rPr>
      </w:pPr>
      <w:r w:rsidRPr="00A33264">
        <w:rPr>
          <w:lang w:val="en-GB"/>
        </w:rPr>
        <w:tab/>
        <w:t>7,846 Australian Public Service (APS) employees (7,598 full-time equivalent and 6,402 average staffing level)</w:t>
      </w:r>
    </w:p>
    <w:p w14:paraId="78E95C71" w14:textId="4A2059CA" w:rsidR="005312E9" w:rsidRPr="00A33264" w:rsidRDefault="005312E9" w:rsidP="005312E9">
      <w:pPr>
        <w:pStyle w:val="Bullet1"/>
        <w:rPr>
          <w:lang w:val="en-GB"/>
        </w:rPr>
      </w:pPr>
      <w:r w:rsidRPr="00A33264">
        <w:rPr>
          <w:lang w:val="en-GB"/>
        </w:rPr>
        <w:tab/>
        <w:t xml:space="preserve">2,143 contractors, </w:t>
      </w:r>
      <w:r w:rsidR="0045605E" w:rsidRPr="00A33264">
        <w:rPr>
          <w:lang w:val="en-GB"/>
        </w:rPr>
        <w:t>including</w:t>
      </w:r>
      <w:r w:rsidRPr="00A33264">
        <w:rPr>
          <w:lang w:val="en-GB"/>
        </w:rPr>
        <w:t xml:space="preserve"> 1,950 labour hire staff, 132 consultants and 61 </w:t>
      </w:r>
      <w:r w:rsidR="00EC7EA2">
        <w:rPr>
          <w:lang w:val="en-GB"/>
        </w:rPr>
        <w:t xml:space="preserve">contractors with </w:t>
      </w:r>
      <w:r w:rsidRPr="00A33264">
        <w:rPr>
          <w:lang w:val="en-GB"/>
        </w:rPr>
        <w:t>system access only</w:t>
      </w:r>
    </w:p>
    <w:p w14:paraId="2B8C520A" w14:textId="66803EA3" w:rsidR="005312E9" w:rsidRPr="00A33264" w:rsidRDefault="005312E9" w:rsidP="005312E9">
      <w:pPr>
        <w:pStyle w:val="Bullet1"/>
        <w:rPr>
          <w:lang w:val="en-GB"/>
        </w:rPr>
      </w:pPr>
      <w:r w:rsidRPr="00A33264">
        <w:rPr>
          <w:lang w:val="en-GB"/>
        </w:rPr>
        <w:tab/>
        <w:t xml:space="preserve">6,203 outsourced workers, </w:t>
      </w:r>
      <w:r w:rsidR="0045605E" w:rsidRPr="00A33264">
        <w:rPr>
          <w:lang w:val="en-GB"/>
        </w:rPr>
        <w:t>including</w:t>
      </w:r>
      <w:r w:rsidRPr="00A33264">
        <w:rPr>
          <w:lang w:val="en-GB"/>
        </w:rPr>
        <w:t xml:space="preserve"> 4,769 </w:t>
      </w:r>
      <w:r w:rsidR="00B95D8A">
        <w:rPr>
          <w:lang w:val="en-GB"/>
        </w:rPr>
        <w:t>p</w:t>
      </w:r>
      <w:r w:rsidR="00F231FD">
        <w:rPr>
          <w:lang w:val="en-GB"/>
        </w:rPr>
        <w:t>artners in the community</w:t>
      </w:r>
      <w:r w:rsidR="00F231FD" w:rsidRPr="00A33264">
        <w:rPr>
          <w:lang w:val="en-GB"/>
        </w:rPr>
        <w:t xml:space="preserve"> </w:t>
      </w:r>
      <w:r w:rsidRPr="00A33264">
        <w:rPr>
          <w:lang w:val="en-GB"/>
        </w:rPr>
        <w:t>staff, 1,420 National Contact Centre staff</w:t>
      </w:r>
      <w:r w:rsidR="00E74040" w:rsidRPr="00A33264">
        <w:rPr>
          <w:lang w:val="en-GB"/>
        </w:rPr>
        <w:t>,</w:t>
      </w:r>
      <w:r w:rsidRPr="00A33264">
        <w:rPr>
          <w:lang w:val="en-GB"/>
        </w:rPr>
        <w:t xml:space="preserve"> and 14 other outsourced staff.</w:t>
      </w:r>
    </w:p>
    <w:p w14:paraId="41340E31" w14:textId="7020A420" w:rsidR="005312E9" w:rsidRPr="00A33264" w:rsidRDefault="005312E9" w:rsidP="005312E9">
      <w:pPr>
        <w:rPr>
          <w:lang w:val="en-GB"/>
        </w:rPr>
      </w:pPr>
      <w:r w:rsidRPr="00A33264">
        <w:rPr>
          <w:lang w:val="en-GB"/>
        </w:rPr>
        <w:t>During 2023</w:t>
      </w:r>
      <w:r w:rsidR="00E74040" w:rsidRPr="00A33264">
        <w:rPr>
          <w:lang w:val="en-GB"/>
        </w:rPr>
        <w:t>–</w:t>
      </w:r>
      <w:r w:rsidRPr="00A33264">
        <w:rPr>
          <w:lang w:val="en-GB"/>
        </w:rPr>
        <w:t>24 the NDIA engaged 1,210 new APS employees</w:t>
      </w:r>
      <w:r w:rsidR="00EC7EA2">
        <w:rPr>
          <w:lang w:val="en-GB"/>
        </w:rPr>
        <w:t>.</w:t>
      </w:r>
      <w:r w:rsidRPr="00A33264">
        <w:rPr>
          <w:lang w:val="en-GB"/>
        </w:rPr>
        <w:t xml:space="preserve"> </w:t>
      </w:r>
      <w:r w:rsidR="00EC7EA2">
        <w:rPr>
          <w:lang w:val="en-GB"/>
        </w:rPr>
        <w:t>M</w:t>
      </w:r>
      <w:r w:rsidRPr="00A33264">
        <w:rPr>
          <w:lang w:val="en-GB"/>
        </w:rPr>
        <w:t>ore than 55% of the</w:t>
      </w:r>
      <w:r w:rsidR="00EC7EA2">
        <w:rPr>
          <w:lang w:val="en-GB"/>
        </w:rPr>
        <w:t xml:space="preserve"> new employees are</w:t>
      </w:r>
      <w:r w:rsidRPr="00A33264">
        <w:rPr>
          <w:lang w:val="en-GB"/>
        </w:rPr>
        <w:t xml:space="preserve"> in participant-facing roles in the Service Delivery </w:t>
      </w:r>
      <w:r w:rsidR="00F231FD">
        <w:rPr>
          <w:lang w:val="en-GB"/>
        </w:rPr>
        <w:t>G</w:t>
      </w:r>
      <w:r w:rsidRPr="00A33264">
        <w:rPr>
          <w:lang w:val="en-GB"/>
        </w:rPr>
        <w:t>roup. The NDIA’s planner workforce increased by 8.4% in 202</w:t>
      </w:r>
      <w:r w:rsidR="00867E1D" w:rsidRPr="00A33264">
        <w:rPr>
          <w:lang w:val="en-GB"/>
        </w:rPr>
        <w:t>3</w:t>
      </w:r>
      <w:r w:rsidRPr="00A33264">
        <w:rPr>
          <w:lang w:val="en-GB"/>
        </w:rPr>
        <w:t>–2</w:t>
      </w:r>
      <w:r w:rsidR="00867E1D" w:rsidRPr="00A33264">
        <w:rPr>
          <w:lang w:val="en-GB"/>
        </w:rPr>
        <w:t>4</w:t>
      </w:r>
      <w:r w:rsidRPr="00A33264">
        <w:rPr>
          <w:lang w:val="en-GB"/>
        </w:rPr>
        <w:t xml:space="preserve"> and represent</w:t>
      </w:r>
      <w:r w:rsidR="00EC7EA2">
        <w:rPr>
          <w:lang w:val="en-GB"/>
        </w:rPr>
        <w:t>s</w:t>
      </w:r>
      <w:r w:rsidRPr="00A33264">
        <w:rPr>
          <w:lang w:val="en-GB"/>
        </w:rPr>
        <w:t xml:space="preserve"> 41.3% of </w:t>
      </w:r>
      <w:r w:rsidR="00EC7EA2">
        <w:rPr>
          <w:lang w:val="en-GB"/>
        </w:rPr>
        <w:t>our</w:t>
      </w:r>
      <w:r w:rsidRPr="00A33264">
        <w:rPr>
          <w:lang w:val="en-GB"/>
        </w:rPr>
        <w:t xml:space="preserve"> APS workforce.</w:t>
      </w:r>
    </w:p>
    <w:p w14:paraId="224B56EA" w14:textId="40741A0E" w:rsidR="005312E9" w:rsidRPr="00A33264" w:rsidRDefault="005312E9" w:rsidP="005312E9">
      <w:pPr>
        <w:pStyle w:val="Heading4"/>
        <w:rPr>
          <w:lang w:val="en-GB"/>
        </w:rPr>
      </w:pPr>
      <w:r w:rsidRPr="00A33264">
        <w:rPr>
          <w:lang w:val="en-GB"/>
        </w:rPr>
        <w:t>Disability and diversity employment</w:t>
      </w:r>
    </w:p>
    <w:p w14:paraId="3F5210B8" w14:textId="580E0284" w:rsidR="005312E9" w:rsidRPr="00A33264" w:rsidRDefault="005312E9" w:rsidP="005312E9">
      <w:pPr>
        <w:rPr>
          <w:lang w:val="en-GB"/>
        </w:rPr>
      </w:pPr>
      <w:r w:rsidRPr="00A33264">
        <w:rPr>
          <w:lang w:val="en-GB"/>
        </w:rPr>
        <w:t>The NDIA cares deeply about building a workplace where everyone is valued, connected and included</w:t>
      </w:r>
      <w:r w:rsidR="005511B2">
        <w:rPr>
          <w:lang w:val="en-GB"/>
        </w:rPr>
        <w:t>,</w:t>
      </w:r>
      <w:r w:rsidR="00615355" w:rsidRPr="00A33264">
        <w:rPr>
          <w:lang w:val="en-GB"/>
        </w:rPr>
        <w:t xml:space="preserve"> and recruiting and retaining staff </w:t>
      </w:r>
      <w:r w:rsidR="00EC7EA2">
        <w:rPr>
          <w:lang w:val="en-GB"/>
        </w:rPr>
        <w:t>who</w:t>
      </w:r>
      <w:r w:rsidR="00EC7EA2" w:rsidRPr="00A33264">
        <w:rPr>
          <w:lang w:val="en-GB"/>
        </w:rPr>
        <w:t xml:space="preserve"> </w:t>
      </w:r>
      <w:r w:rsidR="00615355" w:rsidRPr="00A33264">
        <w:rPr>
          <w:lang w:val="en-GB"/>
        </w:rPr>
        <w:t>are</w:t>
      </w:r>
      <w:r w:rsidRPr="00A33264">
        <w:rPr>
          <w:lang w:val="en-GB"/>
        </w:rPr>
        <w:t xml:space="preserve"> representative of the community we serve. The NDIA Inclusion and Diversity Framework </w:t>
      </w:r>
      <w:r w:rsidR="00F231FD">
        <w:rPr>
          <w:lang w:val="en-GB"/>
        </w:rPr>
        <w:t>sets out</w:t>
      </w:r>
      <w:r w:rsidR="00F231FD" w:rsidRPr="00A33264">
        <w:rPr>
          <w:lang w:val="en-GB"/>
        </w:rPr>
        <w:t xml:space="preserve"> </w:t>
      </w:r>
      <w:r w:rsidRPr="00A33264">
        <w:rPr>
          <w:lang w:val="en-GB"/>
        </w:rPr>
        <w:t xml:space="preserve">how we will increase the NDIA’s inclusion and diversity practices </w:t>
      </w:r>
      <w:r w:rsidR="00F231FD">
        <w:rPr>
          <w:lang w:val="en-GB"/>
        </w:rPr>
        <w:t>by creating</w:t>
      </w:r>
      <w:r w:rsidRPr="00A33264">
        <w:rPr>
          <w:lang w:val="en-GB"/>
        </w:rPr>
        <w:t xml:space="preserve"> a range of diversity group inclusion plans. The Office of Agency Accessibility and Inclusion was established in January 2024 to drive accessibility and inclusion in the NDIA through improved systems</w:t>
      </w:r>
      <w:r w:rsidR="00EC7EA2">
        <w:rPr>
          <w:lang w:val="en-GB"/>
        </w:rPr>
        <w:t>,</w:t>
      </w:r>
      <w:r w:rsidRPr="00A33264">
        <w:rPr>
          <w:lang w:val="en-GB"/>
        </w:rPr>
        <w:t xml:space="preserve"> processes and supports for staff.</w:t>
      </w:r>
    </w:p>
    <w:p w14:paraId="4A584826" w14:textId="761DC357" w:rsidR="005312E9" w:rsidRPr="00A33264" w:rsidRDefault="005312E9" w:rsidP="005312E9">
      <w:pPr>
        <w:rPr>
          <w:lang w:val="en-GB"/>
        </w:rPr>
      </w:pPr>
      <w:r w:rsidRPr="00A33264">
        <w:rPr>
          <w:lang w:val="en-GB"/>
        </w:rPr>
        <w:t>The NDIA aspires to be a world-leading employer of choice for people with disability and a leading employer for access and inclusion. The NDIA Disability Action Plan will implement accessibility and inclusion improvements that are co</w:t>
      </w:r>
      <w:r w:rsidR="00E74040" w:rsidRPr="00A33264">
        <w:rPr>
          <w:lang w:val="en-GB"/>
        </w:rPr>
        <w:t>-</w:t>
      </w:r>
      <w:r w:rsidRPr="00A33264">
        <w:rPr>
          <w:lang w:val="en-GB"/>
        </w:rPr>
        <w:t xml:space="preserve">designed by staff with disability, leaders of staff with disability, subject matter experts and </w:t>
      </w:r>
      <w:r w:rsidR="00615355" w:rsidRPr="00A33264">
        <w:rPr>
          <w:lang w:val="en-GB"/>
        </w:rPr>
        <w:t xml:space="preserve">the NDIA’s </w:t>
      </w:r>
      <w:r w:rsidR="00EC7EA2">
        <w:rPr>
          <w:lang w:val="en-GB"/>
        </w:rPr>
        <w:t>d</w:t>
      </w:r>
      <w:r w:rsidRPr="00A33264">
        <w:rPr>
          <w:lang w:val="en-GB"/>
        </w:rPr>
        <w:t xml:space="preserve">isability </w:t>
      </w:r>
      <w:r w:rsidR="00EC7EA2">
        <w:rPr>
          <w:lang w:val="en-GB"/>
        </w:rPr>
        <w:t>l</w:t>
      </w:r>
      <w:r w:rsidRPr="00A33264">
        <w:rPr>
          <w:lang w:val="en-GB"/>
        </w:rPr>
        <w:t xml:space="preserve">iaison </w:t>
      </w:r>
      <w:r w:rsidR="00EC7EA2">
        <w:rPr>
          <w:lang w:val="en-GB"/>
        </w:rPr>
        <w:t>o</w:t>
      </w:r>
      <w:r w:rsidRPr="00A33264">
        <w:rPr>
          <w:lang w:val="en-GB"/>
        </w:rPr>
        <w:t>fficers.</w:t>
      </w:r>
    </w:p>
    <w:p w14:paraId="37D4A376" w14:textId="48F24188" w:rsidR="005312E9" w:rsidRPr="00A33264" w:rsidRDefault="005312E9" w:rsidP="006B149D">
      <w:pPr>
        <w:rPr>
          <w:lang w:val="en-GB"/>
        </w:rPr>
      </w:pPr>
      <w:r w:rsidRPr="00A33264">
        <w:rPr>
          <w:lang w:val="en-GB"/>
        </w:rPr>
        <w:t>In the 2024 APS Census, 22</w:t>
      </w:r>
      <w:r w:rsidR="00D211A2" w:rsidRPr="00A33264">
        <w:rPr>
          <w:lang w:val="en-GB"/>
        </w:rPr>
        <w:t>%</w:t>
      </w:r>
      <w:r w:rsidRPr="00A33264">
        <w:rPr>
          <w:lang w:val="en-GB"/>
        </w:rPr>
        <w:t xml:space="preserve"> of NDIA staff identified as having disability.</w:t>
      </w:r>
    </w:p>
    <w:p w14:paraId="738FAE8B" w14:textId="364612D3" w:rsidR="005312E9" w:rsidRPr="00A33264" w:rsidRDefault="005312E9" w:rsidP="006B149D">
      <w:pPr>
        <w:rPr>
          <w:lang w:val="en-GB"/>
        </w:rPr>
      </w:pPr>
      <w:r w:rsidRPr="00A33264">
        <w:rPr>
          <w:lang w:val="en-GB"/>
        </w:rPr>
        <w:lastRenderedPageBreak/>
        <w:t>The NDIA maintains Disability Confident Recruiter accreditation</w:t>
      </w:r>
      <w:r w:rsidR="00EC7EA2">
        <w:rPr>
          <w:lang w:val="en-GB"/>
        </w:rPr>
        <w:t xml:space="preserve"> from the Australian Disability Network</w:t>
      </w:r>
      <w:r w:rsidRPr="00A33264">
        <w:rPr>
          <w:lang w:val="en-GB"/>
        </w:rPr>
        <w:t xml:space="preserve">. We regularly undertake recruitment </w:t>
      </w:r>
      <w:r w:rsidR="00F231FD">
        <w:rPr>
          <w:lang w:val="en-GB"/>
        </w:rPr>
        <w:t>using</w:t>
      </w:r>
      <w:r w:rsidR="00F231FD" w:rsidRPr="00A33264">
        <w:rPr>
          <w:lang w:val="en-GB"/>
        </w:rPr>
        <w:t xml:space="preserve"> </w:t>
      </w:r>
      <w:r w:rsidRPr="00A33264">
        <w:rPr>
          <w:lang w:val="en-GB"/>
        </w:rPr>
        <w:t xml:space="preserve">affirmative measures to increase the number of staff who identify as </w:t>
      </w:r>
      <w:r w:rsidR="00EC7EA2">
        <w:rPr>
          <w:lang w:val="en-GB"/>
        </w:rPr>
        <w:t>people</w:t>
      </w:r>
      <w:r w:rsidRPr="00A33264">
        <w:rPr>
          <w:lang w:val="en-GB"/>
        </w:rPr>
        <w:t xml:space="preserve"> with disability. The NDIA engages in the RecruitAbility scheme and offers roles and vacancies specifically for people with disabilities (or a specific type of disability).</w:t>
      </w:r>
    </w:p>
    <w:p w14:paraId="1E48FA1A" w14:textId="061CD2EB" w:rsidR="005312E9" w:rsidRPr="00A33264" w:rsidRDefault="005312E9" w:rsidP="006B149D">
      <w:pPr>
        <w:rPr>
          <w:lang w:val="en-GB"/>
        </w:rPr>
      </w:pPr>
      <w:r w:rsidRPr="00A33264">
        <w:rPr>
          <w:lang w:val="en-GB"/>
        </w:rPr>
        <w:t>In the 2024 APS Census, 3% of NDIA staff identified as First Nations people.</w:t>
      </w:r>
    </w:p>
    <w:p w14:paraId="70AF8392" w14:textId="344C7132" w:rsidR="005312E9" w:rsidRPr="00A33264" w:rsidRDefault="005312E9" w:rsidP="006B149D">
      <w:pPr>
        <w:rPr>
          <w:lang w:val="en-GB"/>
        </w:rPr>
      </w:pPr>
      <w:r w:rsidRPr="00A33264">
        <w:rPr>
          <w:lang w:val="en-GB"/>
        </w:rPr>
        <w:t>The NDIA’s Innovate Reconciliation Action Plan (RAP) is being finalised</w:t>
      </w:r>
      <w:r w:rsidR="00615355" w:rsidRPr="00A33264">
        <w:rPr>
          <w:lang w:val="en-GB"/>
        </w:rPr>
        <w:t xml:space="preserve"> for delivery in the next financial year</w:t>
      </w:r>
      <w:r w:rsidRPr="00A33264">
        <w:rPr>
          <w:lang w:val="en-GB"/>
        </w:rPr>
        <w:t xml:space="preserve">. This will be the third RAP in the NDIA’s reconciliation program and will build on actions implemented in the previous RAPs. </w:t>
      </w:r>
    </w:p>
    <w:p w14:paraId="1A0ABFD0" w14:textId="05DDCEC6" w:rsidR="005312E9" w:rsidRPr="00A33264" w:rsidRDefault="005312E9" w:rsidP="006B149D">
      <w:pPr>
        <w:rPr>
          <w:lang w:val="en-GB"/>
        </w:rPr>
      </w:pPr>
      <w:r w:rsidRPr="00A33264">
        <w:rPr>
          <w:lang w:val="en-GB"/>
        </w:rPr>
        <w:t>In the 2024 APS Census, 10% of NDIA staff identified as LGBT</w:t>
      </w:r>
      <w:r w:rsidR="00F231FD">
        <w:rPr>
          <w:lang w:val="en-GB"/>
        </w:rPr>
        <w:t>I</w:t>
      </w:r>
      <w:r w:rsidRPr="00A33264">
        <w:rPr>
          <w:lang w:val="en-GB"/>
        </w:rPr>
        <w:t>QA+.</w:t>
      </w:r>
      <w:r w:rsidR="00F231FD">
        <w:rPr>
          <w:lang w:val="en-GB"/>
        </w:rPr>
        <w:t xml:space="preserve"> </w:t>
      </w:r>
      <w:r w:rsidRPr="00A33264">
        <w:rPr>
          <w:lang w:val="en-GB"/>
        </w:rPr>
        <w:t xml:space="preserve">The NDIA published its LGBTIQA+ Inclusion Plan in November 2021. </w:t>
      </w:r>
      <w:r w:rsidR="00615355" w:rsidRPr="00A33264">
        <w:rPr>
          <w:lang w:val="en-GB"/>
        </w:rPr>
        <w:t>A</w:t>
      </w:r>
      <w:r w:rsidRPr="00A33264">
        <w:rPr>
          <w:lang w:val="en-GB"/>
        </w:rPr>
        <w:t xml:space="preserve">ll </w:t>
      </w:r>
      <w:r w:rsidR="004E5CA0">
        <w:rPr>
          <w:lang w:val="en-GB"/>
        </w:rPr>
        <w:t>plan</w:t>
      </w:r>
      <w:r w:rsidRPr="00A33264">
        <w:rPr>
          <w:lang w:val="en-GB"/>
        </w:rPr>
        <w:t xml:space="preserve"> actions are complete. The </w:t>
      </w:r>
      <w:r w:rsidR="00696527">
        <w:rPr>
          <w:lang w:val="en-GB"/>
        </w:rPr>
        <w:t>NDIA</w:t>
      </w:r>
      <w:r w:rsidR="00696527" w:rsidRPr="00A33264">
        <w:rPr>
          <w:lang w:val="en-GB"/>
        </w:rPr>
        <w:t xml:space="preserve"> </w:t>
      </w:r>
      <w:r w:rsidRPr="00A33264">
        <w:rPr>
          <w:lang w:val="en-GB"/>
        </w:rPr>
        <w:t xml:space="preserve">is now focused on attaining </w:t>
      </w:r>
      <w:r w:rsidR="00847308" w:rsidRPr="00A33264">
        <w:rPr>
          <w:lang w:val="en-GB"/>
        </w:rPr>
        <w:t>b</w:t>
      </w:r>
      <w:r w:rsidRPr="00A33264">
        <w:rPr>
          <w:lang w:val="en-GB"/>
        </w:rPr>
        <w:t>ronze</w:t>
      </w:r>
      <w:r w:rsidR="00847308" w:rsidRPr="00A33264">
        <w:rPr>
          <w:lang w:val="en-GB"/>
        </w:rPr>
        <w:t>-</w:t>
      </w:r>
      <w:r w:rsidRPr="00A33264">
        <w:rPr>
          <w:lang w:val="en-GB"/>
        </w:rPr>
        <w:t xml:space="preserve">level accreditation in Pride </w:t>
      </w:r>
      <w:r w:rsidR="005524ED" w:rsidRPr="00A33264">
        <w:rPr>
          <w:lang w:val="en-GB"/>
        </w:rPr>
        <w:t>in</w:t>
      </w:r>
      <w:r w:rsidRPr="00A33264">
        <w:rPr>
          <w:lang w:val="en-GB"/>
        </w:rPr>
        <w:t xml:space="preserve"> Diversity’s Australian Workplace Equality Index, an organisational benchmarking tool for LGBTIQA+ inclusion.</w:t>
      </w:r>
    </w:p>
    <w:p w14:paraId="6148EE43" w14:textId="3A062F06" w:rsidR="005312E9" w:rsidRPr="00A33264" w:rsidRDefault="005312E9" w:rsidP="005312E9">
      <w:pPr>
        <w:rPr>
          <w:lang w:val="en-GB"/>
        </w:rPr>
      </w:pPr>
      <w:r w:rsidRPr="00A33264">
        <w:rPr>
          <w:lang w:val="en-GB"/>
        </w:rPr>
        <w:t>In the 2024 APS Census, 24% of NDIA staff identified as being from a culturally and linguistically diverse (CALD) background.</w:t>
      </w:r>
      <w:r w:rsidR="00F231FD">
        <w:rPr>
          <w:lang w:val="en-GB"/>
        </w:rPr>
        <w:t xml:space="preserve"> </w:t>
      </w:r>
      <w:r w:rsidRPr="00A33264">
        <w:rPr>
          <w:lang w:val="en-GB"/>
        </w:rPr>
        <w:t>In June 2024 the NDIA launched the NDIA Culturally and Linguistically Diverse Inclusion Plan 2024</w:t>
      </w:r>
      <w:r w:rsidR="00847308" w:rsidRPr="00A33264">
        <w:rPr>
          <w:lang w:val="en-GB"/>
        </w:rPr>
        <w:t>–</w:t>
      </w:r>
      <w:r w:rsidRPr="00A33264">
        <w:rPr>
          <w:lang w:val="en-GB"/>
        </w:rPr>
        <w:t>27. Th</w:t>
      </w:r>
      <w:r w:rsidR="00F231FD">
        <w:rPr>
          <w:lang w:val="en-GB"/>
        </w:rPr>
        <w:t>e</w:t>
      </w:r>
      <w:r w:rsidRPr="00A33264">
        <w:rPr>
          <w:lang w:val="en-GB"/>
        </w:rPr>
        <w:t xml:space="preserve"> plan was developed collaboratively with staff from CALD backgrounds</w:t>
      </w:r>
      <w:r w:rsidR="00F231FD">
        <w:rPr>
          <w:lang w:val="en-GB"/>
        </w:rPr>
        <w:t>,</w:t>
      </w:r>
      <w:r w:rsidRPr="00A33264">
        <w:rPr>
          <w:lang w:val="en-GB"/>
        </w:rPr>
        <w:t xml:space="preserve"> </w:t>
      </w:r>
      <w:r w:rsidR="00F231FD">
        <w:rPr>
          <w:lang w:val="en-GB"/>
        </w:rPr>
        <w:t>who</w:t>
      </w:r>
      <w:r w:rsidRPr="00A33264">
        <w:rPr>
          <w:lang w:val="en-GB"/>
        </w:rPr>
        <w:t xml:space="preserve"> co-design</w:t>
      </w:r>
      <w:r w:rsidR="00F231FD">
        <w:rPr>
          <w:lang w:val="en-GB"/>
        </w:rPr>
        <w:t>ed</w:t>
      </w:r>
      <w:r w:rsidRPr="00A33264">
        <w:rPr>
          <w:lang w:val="en-GB"/>
        </w:rPr>
        <w:t xml:space="preserve"> the actions. </w:t>
      </w:r>
      <w:r w:rsidR="00696527">
        <w:rPr>
          <w:lang w:val="en-GB"/>
        </w:rPr>
        <w:t>It</w:t>
      </w:r>
      <w:r w:rsidRPr="00A33264">
        <w:rPr>
          <w:lang w:val="en-GB"/>
        </w:rPr>
        <w:t xml:space="preserve"> includes actions across 4 key areas: cultural competence and leadership, inclusive culture, inclusive policy and practice</w:t>
      </w:r>
      <w:r w:rsidR="006B149D" w:rsidRPr="00A33264">
        <w:rPr>
          <w:lang w:val="en-GB"/>
        </w:rPr>
        <w:t>,</w:t>
      </w:r>
      <w:r w:rsidRPr="00A33264">
        <w:rPr>
          <w:lang w:val="en-GB"/>
        </w:rPr>
        <w:t xml:space="preserve"> and career development and advancement.</w:t>
      </w:r>
    </w:p>
    <w:p w14:paraId="45E95E13" w14:textId="29DDDB35" w:rsidR="005312E9" w:rsidRPr="00A33264" w:rsidRDefault="005312E9" w:rsidP="005312E9">
      <w:pPr>
        <w:rPr>
          <w:lang w:val="en-GB"/>
        </w:rPr>
      </w:pPr>
      <w:r w:rsidRPr="00A33264">
        <w:rPr>
          <w:lang w:val="en-GB"/>
        </w:rPr>
        <w:t>In the 2024 APS Census, 69% of NDIA staff identified as female, 27% as male and 1% as non-binary. The NDIA Enterprise Agreement 2024</w:t>
      </w:r>
      <w:r w:rsidR="00847308" w:rsidRPr="00A33264">
        <w:rPr>
          <w:lang w:val="en-GB"/>
        </w:rPr>
        <w:t>–</w:t>
      </w:r>
      <w:r w:rsidRPr="00A33264">
        <w:rPr>
          <w:lang w:val="en-GB"/>
        </w:rPr>
        <w:t>27 came into effect in April</w:t>
      </w:r>
      <w:r w:rsidR="00696527">
        <w:rPr>
          <w:lang w:val="en-GB"/>
        </w:rPr>
        <w:t xml:space="preserve"> 2024.</w:t>
      </w:r>
      <w:r w:rsidRPr="00A33264">
        <w:rPr>
          <w:lang w:val="en-GB"/>
        </w:rPr>
        <w:t xml:space="preserve"> </w:t>
      </w:r>
      <w:r w:rsidR="00696527">
        <w:rPr>
          <w:lang w:val="en-GB"/>
        </w:rPr>
        <w:t>It</w:t>
      </w:r>
      <w:r w:rsidRPr="00A33264">
        <w:rPr>
          <w:lang w:val="en-GB"/>
        </w:rPr>
        <w:t xml:space="preserve"> contains enhanced conditions around consistent and secure flexible working arrangements and improved parental leave entitlements. The </w:t>
      </w:r>
      <w:r w:rsidR="00126B30">
        <w:rPr>
          <w:lang w:val="en-GB"/>
        </w:rPr>
        <w:t>NDIA</w:t>
      </w:r>
      <w:r w:rsidR="00126B30" w:rsidRPr="00A33264">
        <w:rPr>
          <w:lang w:val="en-GB"/>
        </w:rPr>
        <w:t xml:space="preserve"> </w:t>
      </w:r>
      <w:r w:rsidRPr="00A33264">
        <w:rPr>
          <w:lang w:val="en-GB"/>
        </w:rPr>
        <w:t>is now working to develop a Gender Equality Inclusion Plan.</w:t>
      </w:r>
    </w:p>
    <w:p w14:paraId="24CAE1A9" w14:textId="5472A270" w:rsidR="005312E9" w:rsidRPr="00A33264" w:rsidRDefault="005312E9" w:rsidP="005312E9">
      <w:pPr>
        <w:rPr>
          <w:lang w:val="en-GB"/>
        </w:rPr>
      </w:pPr>
      <w:r w:rsidRPr="00A33264">
        <w:rPr>
          <w:lang w:val="en-GB"/>
        </w:rPr>
        <w:t xml:space="preserve">Senior Executive Service (SES) </w:t>
      </w:r>
      <w:r w:rsidR="00126B30">
        <w:rPr>
          <w:lang w:val="en-GB"/>
        </w:rPr>
        <w:t>i</w:t>
      </w:r>
      <w:r w:rsidRPr="00A33264">
        <w:rPr>
          <w:lang w:val="en-GB"/>
        </w:rPr>
        <w:t xml:space="preserve">nclusion and </w:t>
      </w:r>
      <w:r w:rsidR="00126B30">
        <w:rPr>
          <w:lang w:val="en-GB"/>
        </w:rPr>
        <w:t>d</w:t>
      </w:r>
      <w:r w:rsidRPr="00A33264">
        <w:rPr>
          <w:lang w:val="en-GB"/>
        </w:rPr>
        <w:t xml:space="preserve">iversity </w:t>
      </w:r>
      <w:r w:rsidR="00126B30">
        <w:rPr>
          <w:lang w:val="en-GB"/>
        </w:rPr>
        <w:t>c</w:t>
      </w:r>
      <w:r w:rsidRPr="00A33264">
        <w:rPr>
          <w:lang w:val="en-GB"/>
        </w:rPr>
        <w:t xml:space="preserve">hampions </w:t>
      </w:r>
      <w:r w:rsidR="00615355" w:rsidRPr="00A33264">
        <w:rPr>
          <w:lang w:val="en-GB"/>
        </w:rPr>
        <w:t xml:space="preserve">and staff </w:t>
      </w:r>
      <w:r w:rsidR="00126B30">
        <w:rPr>
          <w:lang w:val="en-GB"/>
        </w:rPr>
        <w:t xml:space="preserve">diversity </w:t>
      </w:r>
      <w:r w:rsidR="00615355" w:rsidRPr="00A33264">
        <w:rPr>
          <w:lang w:val="en-GB"/>
        </w:rPr>
        <w:t xml:space="preserve">networks </w:t>
      </w:r>
      <w:r w:rsidRPr="00A33264">
        <w:rPr>
          <w:lang w:val="en-GB"/>
        </w:rPr>
        <w:t xml:space="preserve">support our </w:t>
      </w:r>
      <w:r w:rsidR="00615355" w:rsidRPr="00A33264">
        <w:rPr>
          <w:lang w:val="en-GB"/>
        </w:rPr>
        <w:t>inclusion and diversity objectives,</w:t>
      </w:r>
      <w:r w:rsidRPr="00A33264">
        <w:rPr>
          <w:lang w:val="en-GB"/>
        </w:rPr>
        <w:t xml:space="preserve"> plans and initiatives. </w:t>
      </w:r>
      <w:r w:rsidR="00615355" w:rsidRPr="00A33264">
        <w:rPr>
          <w:lang w:val="en-GB"/>
        </w:rPr>
        <w:t>T</w:t>
      </w:r>
      <w:r w:rsidRPr="00A33264">
        <w:rPr>
          <w:lang w:val="en-GB"/>
        </w:rPr>
        <w:t xml:space="preserve">he NDIA has SES </w:t>
      </w:r>
      <w:r w:rsidR="00F231FD">
        <w:rPr>
          <w:lang w:val="en-GB"/>
        </w:rPr>
        <w:t xml:space="preserve">site </w:t>
      </w:r>
      <w:r w:rsidR="00126B30">
        <w:rPr>
          <w:lang w:val="en-GB"/>
        </w:rPr>
        <w:t>c</w:t>
      </w:r>
      <w:r w:rsidRPr="00A33264">
        <w:rPr>
          <w:lang w:val="en-GB"/>
        </w:rPr>
        <w:t>hampion</w:t>
      </w:r>
      <w:r w:rsidR="00615355" w:rsidRPr="00A33264">
        <w:rPr>
          <w:lang w:val="en-GB"/>
        </w:rPr>
        <w:t xml:space="preserve">s and staff networks for staff with disability, First Nations staff, </w:t>
      </w:r>
      <w:r w:rsidRPr="00A33264">
        <w:rPr>
          <w:lang w:val="en-GB"/>
        </w:rPr>
        <w:t xml:space="preserve">LGBTIQA+ </w:t>
      </w:r>
      <w:r w:rsidR="00615355" w:rsidRPr="00A33264">
        <w:rPr>
          <w:lang w:val="en-GB"/>
        </w:rPr>
        <w:t>staff</w:t>
      </w:r>
      <w:r w:rsidRPr="00A33264">
        <w:rPr>
          <w:lang w:val="en-GB"/>
        </w:rPr>
        <w:t xml:space="preserve"> and CALD </w:t>
      </w:r>
      <w:r w:rsidR="00615355" w:rsidRPr="00A33264">
        <w:rPr>
          <w:lang w:val="en-GB"/>
        </w:rPr>
        <w:t>staff</w:t>
      </w:r>
      <w:r w:rsidRPr="00A33264">
        <w:rPr>
          <w:lang w:val="en-GB"/>
        </w:rPr>
        <w:t>.</w:t>
      </w:r>
      <w:r w:rsidR="00615355" w:rsidRPr="00A33264">
        <w:rPr>
          <w:lang w:val="en-GB"/>
        </w:rPr>
        <w:t xml:space="preserve"> The NDIA also has a First Nations </w:t>
      </w:r>
      <w:r w:rsidR="00126B30">
        <w:rPr>
          <w:lang w:val="en-GB"/>
        </w:rPr>
        <w:t>a</w:t>
      </w:r>
      <w:r w:rsidR="00615355" w:rsidRPr="00A33264">
        <w:rPr>
          <w:lang w:val="en-GB"/>
        </w:rPr>
        <w:t xml:space="preserve">llyship </w:t>
      </w:r>
      <w:r w:rsidR="00126B30">
        <w:rPr>
          <w:lang w:val="en-GB"/>
        </w:rPr>
        <w:t>c</w:t>
      </w:r>
      <w:r w:rsidR="00615355" w:rsidRPr="00A33264">
        <w:rPr>
          <w:lang w:val="en-GB"/>
        </w:rPr>
        <w:t xml:space="preserve">hampion. </w:t>
      </w:r>
      <w:r w:rsidR="00126B30">
        <w:rPr>
          <w:lang w:val="en-GB"/>
        </w:rPr>
        <w:t>Our s</w:t>
      </w:r>
      <w:r w:rsidR="00615355" w:rsidRPr="00A33264">
        <w:rPr>
          <w:lang w:val="en-GB"/>
        </w:rPr>
        <w:t>taff</w:t>
      </w:r>
      <w:r w:rsidR="00126B30">
        <w:rPr>
          <w:lang w:val="en-GB"/>
        </w:rPr>
        <w:t xml:space="preserve"> diversity</w:t>
      </w:r>
      <w:r w:rsidR="00615355" w:rsidRPr="00A33264">
        <w:rPr>
          <w:lang w:val="en-GB"/>
        </w:rPr>
        <w:t xml:space="preserve"> networks </w:t>
      </w:r>
      <w:r w:rsidR="00126B30">
        <w:rPr>
          <w:lang w:val="en-GB"/>
        </w:rPr>
        <w:t>provide</w:t>
      </w:r>
      <w:r w:rsidR="00615355" w:rsidRPr="00A33264">
        <w:rPr>
          <w:lang w:val="en-GB"/>
        </w:rPr>
        <w:t xml:space="preserve"> strong representation through the Employees with Disability Network, First Nations Employee Network, Pride@NDIA and HarmonyHub. These networks </w:t>
      </w:r>
      <w:r w:rsidR="00126B30">
        <w:rPr>
          <w:lang w:val="en-GB"/>
        </w:rPr>
        <w:t xml:space="preserve">enable the </w:t>
      </w:r>
      <w:r w:rsidR="00615355" w:rsidRPr="00A33264">
        <w:rPr>
          <w:lang w:val="en-GB"/>
        </w:rPr>
        <w:t>NDIA to engage directly with specific diversity cohorts and receive advice and guidance on creating a more inclusive workplace culture.</w:t>
      </w:r>
    </w:p>
    <w:p w14:paraId="1C8B2F71" w14:textId="40B1B342" w:rsidR="005312E9" w:rsidRPr="00A33264" w:rsidRDefault="005312E9" w:rsidP="005312E9">
      <w:pPr>
        <w:rPr>
          <w:lang w:val="en-GB"/>
        </w:rPr>
      </w:pPr>
      <w:r w:rsidRPr="00A33264">
        <w:rPr>
          <w:lang w:val="en-GB"/>
        </w:rPr>
        <w:t>The NDIA continues to hold membership of national not-for-profit organisations to support our inclusion initiatives</w:t>
      </w:r>
      <w:r w:rsidR="00126B30">
        <w:rPr>
          <w:lang w:val="en-GB"/>
        </w:rPr>
        <w:t>.</w:t>
      </w:r>
      <w:r w:rsidRPr="00A33264">
        <w:rPr>
          <w:lang w:val="en-GB"/>
        </w:rPr>
        <w:t xml:space="preserve"> </w:t>
      </w:r>
      <w:r w:rsidR="00126B30">
        <w:rPr>
          <w:lang w:val="en-GB"/>
        </w:rPr>
        <w:t>These include</w:t>
      </w:r>
      <w:r w:rsidRPr="00A33264">
        <w:rPr>
          <w:lang w:val="en-GB"/>
        </w:rPr>
        <w:t xml:space="preserve"> the Australian Disability Network, the Diversity Council of Australia and ACON Pride in Diversity.</w:t>
      </w:r>
    </w:p>
    <w:p w14:paraId="22A7D0BA" w14:textId="62FBEE07" w:rsidR="005312E9" w:rsidRPr="00A33264" w:rsidRDefault="005312E9" w:rsidP="005312E9">
      <w:pPr>
        <w:rPr>
          <w:lang w:val="en-GB"/>
        </w:rPr>
      </w:pPr>
      <w:r w:rsidRPr="00A33264">
        <w:rPr>
          <w:lang w:val="en-GB"/>
        </w:rPr>
        <w:lastRenderedPageBreak/>
        <w:t xml:space="preserve">The NDIA acknowledges and celebrates significant diversity awareness dates. </w:t>
      </w:r>
      <w:r w:rsidR="00126B30">
        <w:rPr>
          <w:lang w:val="en-GB"/>
        </w:rPr>
        <w:t>In 2023</w:t>
      </w:r>
      <w:r w:rsidR="00F231FD">
        <w:rPr>
          <w:rFonts w:ascii="Symbol" w:eastAsia="Symbol" w:hAnsi="Symbol" w:cs="Symbol"/>
          <w:lang w:val="en-GB"/>
        </w:rPr>
        <w:sym w:font="Symbol" w:char="F02D"/>
      </w:r>
      <w:r w:rsidR="00126B30">
        <w:rPr>
          <w:lang w:val="en-GB"/>
        </w:rPr>
        <w:t>24 we</w:t>
      </w:r>
      <w:r w:rsidRPr="00A33264">
        <w:rPr>
          <w:lang w:val="en-GB"/>
        </w:rPr>
        <w:t xml:space="preserve"> continued</w:t>
      </w:r>
      <w:r w:rsidR="00126B30">
        <w:rPr>
          <w:lang w:val="en-GB"/>
        </w:rPr>
        <w:t xml:space="preserve"> to</w:t>
      </w:r>
      <w:r w:rsidRPr="00A33264">
        <w:rPr>
          <w:lang w:val="en-GB"/>
        </w:rPr>
        <w:t xml:space="preserve"> focus on promoting stories from staff </w:t>
      </w:r>
      <w:r w:rsidR="00F231FD">
        <w:rPr>
          <w:lang w:val="en-GB"/>
        </w:rPr>
        <w:t xml:space="preserve">who </w:t>
      </w:r>
      <w:r w:rsidRPr="00A33264">
        <w:rPr>
          <w:lang w:val="en-GB"/>
        </w:rPr>
        <w:t xml:space="preserve">represent </w:t>
      </w:r>
      <w:r w:rsidR="00F231FD">
        <w:rPr>
          <w:lang w:val="en-GB"/>
        </w:rPr>
        <w:t xml:space="preserve">our </w:t>
      </w:r>
      <w:r w:rsidRPr="00A33264">
        <w:rPr>
          <w:lang w:val="en-GB"/>
        </w:rPr>
        <w:t xml:space="preserve">wide diversity and intersectionality </w:t>
      </w:r>
      <w:r w:rsidR="00F231FD">
        <w:rPr>
          <w:lang w:val="en-GB"/>
        </w:rPr>
        <w:t>so that they can</w:t>
      </w:r>
      <w:r w:rsidRPr="00A33264">
        <w:rPr>
          <w:lang w:val="en-GB"/>
        </w:rPr>
        <w:t xml:space="preserve"> share their stories and lived experience. The </w:t>
      </w:r>
      <w:r w:rsidR="00126B30">
        <w:rPr>
          <w:lang w:val="en-GB"/>
        </w:rPr>
        <w:t>NDIA</w:t>
      </w:r>
      <w:r w:rsidRPr="00A33264">
        <w:rPr>
          <w:lang w:val="en-GB"/>
        </w:rPr>
        <w:t xml:space="preserve"> also held successful virtual panel events to celebrate several significant dates</w:t>
      </w:r>
      <w:r w:rsidR="00847308" w:rsidRPr="00A33264">
        <w:rPr>
          <w:lang w:val="en-GB"/>
        </w:rPr>
        <w:t>,</w:t>
      </w:r>
      <w:r w:rsidRPr="00A33264">
        <w:rPr>
          <w:lang w:val="en-GB"/>
        </w:rPr>
        <w:t xml:space="preserve"> including International Day of People with Disability, International Women’s Day and Global Day of Accessibility.</w:t>
      </w:r>
    </w:p>
    <w:p w14:paraId="4D17E52E" w14:textId="77CAE87A" w:rsidR="005312E9" w:rsidRPr="00A33264" w:rsidRDefault="005312E9" w:rsidP="005312E9">
      <w:pPr>
        <w:pStyle w:val="Heading4"/>
        <w:rPr>
          <w:lang w:val="en-GB"/>
        </w:rPr>
      </w:pPr>
      <w:r w:rsidRPr="00A33264">
        <w:rPr>
          <w:lang w:val="en-GB"/>
        </w:rPr>
        <w:t>Performance management</w:t>
      </w:r>
    </w:p>
    <w:p w14:paraId="28BFF8D8" w14:textId="63E74949" w:rsidR="005312E9" w:rsidRPr="00A33264" w:rsidRDefault="005312E9" w:rsidP="005312E9">
      <w:pPr>
        <w:rPr>
          <w:lang w:val="en-GB"/>
        </w:rPr>
      </w:pPr>
      <w:r w:rsidRPr="00A33264">
        <w:rPr>
          <w:lang w:val="en-GB"/>
        </w:rPr>
        <w:t>The NDIA has embedded a</w:t>
      </w:r>
      <w:r w:rsidR="00847308" w:rsidRPr="00A33264">
        <w:rPr>
          <w:lang w:val="en-GB"/>
        </w:rPr>
        <w:t>n</w:t>
      </w:r>
      <w:r w:rsidRPr="00A33264">
        <w:rPr>
          <w:lang w:val="en-GB"/>
        </w:rPr>
        <w:t xml:space="preserve"> approach to performance development that supports flexibility and agility in </w:t>
      </w:r>
      <w:r w:rsidR="00126B30">
        <w:rPr>
          <w:lang w:val="en-GB"/>
        </w:rPr>
        <w:t>our</w:t>
      </w:r>
      <w:r w:rsidRPr="00A33264">
        <w:rPr>
          <w:lang w:val="en-GB"/>
        </w:rPr>
        <w:t xml:space="preserve"> workforce.</w:t>
      </w:r>
    </w:p>
    <w:p w14:paraId="6DB10605" w14:textId="3AF350DC" w:rsidR="005312E9" w:rsidRPr="00A33264" w:rsidRDefault="005312E9" w:rsidP="005312E9">
      <w:pPr>
        <w:rPr>
          <w:lang w:val="en-GB"/>
        </w:rPr>
      </w:pPr>
      <w:r w:rsidRPr="00A33264">
        <w:rPr>
          <w:lang w:val="en-GB"/>
        </w:rPr>
        <w:t xml:space="preserve">The NDIA Performance Framework assists staff </w:t>
      </w:r>
      <w:r w:rsidR="00847308" w:rsidRPr="00A33264">
        <w:rPr>
          <w:lang w:val="en-GB"/>
        </w:rPr>
        <w:t>to</w:t>
      </w:r>
      <w:r w:rsidRPr="00A33264">
        <w:rPr>
          <w:lang w:val="en-GB"/>
        </w:rPr>
        <w:t xml:space="preserve"> align their individual performance </w:t>
      </w:r>
      <w:r w:rsidR="00847308" w:rsidRPr="00A33264">
        <w:rPr>
          <w:lang w:val="en-GB"/>
        </w:rPr>
        <w:t>plans</w:t>
      </w:r>
      <w:r w:rsidRPr="00A33264">
        <w:rPr>
          <w:lang w:val="en-GB"/>
        </w:rPr>
        <w:t xml:space="preserve"> with </w:t>
      </w:r>
      <w:r w:rsidR="00126B30">
        <w:rPr>
          <w:lang w:val="en-GB"/>
        </w:rPr>
        <w:t>our</w:t>
      </w:r>
      <w:r w:rsidRPr="00A33264">
        <w:rPr>
          <w:lang w:val="en-GB"/>
        </w:rPr>
        <w:t xml:space="preserve"> performance and values-based culture.</w:t>
      </w:r>
    </w:p>
    <w:p w14:paraId="6B9EA855" w14:textId="698E751F" w:rsidR="00D7463A" w:rsidRPr="00A33264" w:rsidRDefault="005312E9" w:rsidP="005312E9">
      <w:pPr>
        <w:rPr>
          <w:lang w:val="en-GB"/>
        </w:rPr>
      </w:pPr>
      <w:r w:rsidRPr="00A33264">
        <w:rPr>
          <w:lang w:val="en-GB"/>
        </w:rPr>
        <w:t xml:space="preserve">The NDIA continues to embed </w:t>
      </w:r>
      <w:r w:rsidR="00847308" w:rsidRPr="00A33264">
        <w:rPr>
          <w:lang w:val="en-GB"/>
        </w:rPr>
        <w:t>a</w:t>
      </w:r>
      <w:r w:rsidRPr="00A33264">
        <w:rPr>
          <w:lang w:val="en-GB"/>
        </w:rPr>
        <w:t xml:space="preserve"> focus on developing employee performance to ensure we are a high-performing </w:t>
      </w:r>
      <w:r w:rsidR="00126B30">
        <w:rPr>
          <w:lang w:val="en-GB"/>
        </w:rPr>
        <w:t xml:space="preserve">organisation </w:t>
      </w:r>
      <w:r w:rsidRPr="00A33264">
        <w:rPr>
          <w:lang w:val="en-GB"/>
        </w:rPr>
        <w:t>that delivers great outcomes fo</w:t>
      </w:r>
      <w:r w:rsidR="00847308" w:rsidRPr="00A33264">
        <w:rPr>
          <w:lang w:val="en-GB"/>
        </w:rPr>
        <w:t>r</w:t>
      </w:r>
      <w:r w:rsidRPr="00A33264">
        <w:rPr>
          <w:lang w:val="en-GB"/>
        </w:rPr>
        <w:t xml:space="preserve"> participants and stakeholders. No performance</w:t>
      </w:r>
      <w:r w:rsidR="009E5CFF">
        <w:rPr>
          <w:lang w:val="en-GB"/>
        </w:rPr>
        <w:t xml:space="preserve"> </w:t>
      </w:r>
      <w:r w:rsidRPr="00A33264">
        <w:rPr>
          <w:lang w:val="en-GB"/>
        </w:rPr>
        <w:t>pay arrangements apply.</w:t>
      </w:r>
    </w:p>
    <w:p w14:paraId="58CDE8E5" w14:textId="1029939F" w:rsidR="005312E9" w:rsidRPr="00A33264" w:rsidRDefault="005312E9" w:rsidP="005312E9">
      <w:pPr>
        <w:pStyle w:val="Heading4"/>
        <w:rPr>
          <w:lang w:val="en-GB"/>
        </w:rPr>
      </w:pPr>
      <w:r w:rsidRPr="00A33264">
        <w:rPr>
          <w:lang w:val="en-GB"/>
        </w:rPr>
        <w:t>Ethics policies</w:t>
      </w:r>
    </w:p>
    <w:p w14:paraId="1404B604" w14:textId="63F6F02F" w:rsidR="00D20352" w:rsidRPr="00A33264" w:rsidRDefault="00D20352" w:rsidP="00D20352">
      <w:pPr>
        <w:rPr>
          <w:lang w:val="en-GB"/>
        </w:rPr>
      </w:pPr>
      <w:r w:rsidRPr="00A33264">
        <w:rPr>
          <w:lang w:val="en-GB"/>
        </w:rPr>
        <w:t xml:space="preserve">The NDIA promotes ethical standards and behaviours relating to its workplaces and employment. All NDIA staff are required to comply with the APS Values, APS Employment Principles and APS Code of Conduct as set out in the </w:t>
      </w:r>
      <w:r w:rsidRPr="00F86FC3">
        <w:rPr>
          <w:i/>
          <w:lang w:val="en-GB"/>
        </w:rPr>
        <w:t>Public Service Act 1999</w:t>
      </w:r>
      <w:r w:rsidRPr="00A33264">
        <w:rPr>
          <w:lang w:val="en-GB"/>
        </w:rPr>
        <w:t xml:space="preserve">. </w:t>
      </w:r>
      <w:r w:rsidR="00126B30">
        <w:rPr>
          <w:lang w:val="en-GB"/>
        </w:rPr>
        <w:t>T</w:t>
      </w:r>
      <w:r w:rsidRPr="00A33264">
        <w:rPr>
          <w:lang w:val="en-GB"/>
        </w:rPr>
        <w:t>he NDIA Values set out our organisational values and reflect our passion for and commitment to an empowered, inclusive and participant-centred culture.</w:t>
      </w:r>
    </w:p>
    <w:p w14:paraId="13C76A42" w14:textId="467B8B52" w:rsidR="00D20352" w:rsidRPr="00A33264" w:rsidRDefault="00126B30" w:rsidP="00D20352">
      <w:pPr>
        <w:rPr>
          <w:lang w:val="en-GB"/>
        </w:rPr>
      </w:pPr>
      <w:r>
        <w:rPr>
          <w:lang w:val="en-GB"/>
        </w:rPr>
        <w:t>Through the Safe and Respectful Workplace Framework, t</w:t>
      </w:r>
      <w:r w:rsidR="00D20352" w:rsidRPr="00A33264">
        <w:rPr>
          <w:lang w:val="en-GB"/>
        </w:rPr>
        <w:t>he NDIA is committed to creating and maintaining a positive and inclusive workplace where everyone is safe, treated fairly and respectfully, and supported to speak up. The NDIA has zero tolerance for unacceptable behaviour, including all forms of bullying, harassment, sexual harassment, discrimination, violence, aggression and victimisation at the workplace or in connection with work. The NDIA has measures in place to prevent, address, report and respond to unacceptable behaviour, and supports are available to all NDIA workers impacted by unacceptable behaviour.</w:t>
      </w:r>
    </w:p>
    <w:p w14:paraId="64441F4B" w14:textId="53E7D280" w:rsidR="00F23525" w:rsidRDefault="00D20352" w:rsidP="00D20352">
      <w:pPr>
        <w:rPr>
          <w:lang w:val="en-GB"/>
        </w:rPr>
      </w:pPr>
      <w:r w:rsidRPr="00A33264">
        <w:rPr>
          <w:lang w:val="en-GB"/>
        </w:rPr>
        <w:t xml:space="preserve">All NDIA workers have an obligation to contribute to our safe and respectful culture. To </w:t>
      </w:r>
      <w:r w:rsidR="00126B30">
        <w:rPr>
          <w:lang w:val="en-GB"/>
        </w:rPr>
        <w:t>help employees understand their obligations</w:t>
      </w:r>
      <w:r w:rsidRPr="00A33264">
        <w:rPr>
          <w:lang w:val="en-GB"/>
        </w:rPr>
        <w:t>, the NDIA provides compulsory training programs, staff policies and guidelines. Possible breaches of the Code of Conduct are taken seriously, and appropriate action is taken when breaches occur. Managers and staff have access to a range of supports</w:t>
      </w:r>
      <w:r w:rsidR="00F231FD">
        <w:rPr>
          <w:lang w:val="en-GB"/>
        </w:rPr>
        <w:t>,</w:t>
      </w:r>
      <w:r w:rsidRPr="00A33264">
        <w:rPr>
          <w:lang w:val="en-GB"/>
        </w:rPr>
        <w:t xml:space="preserve"> including contact officers and Early Intervention and Safe and Respectful teams.</w:t>
      </w:r>
      <w:r w:rsidR="00F23525">
        <w:rPr>
          <w:lang w:val="en-GB"/>
        </w:rPr>
        <w:br w:type="page"/>
      </w:r>
    </w:p>
    <w:p w14:paraId="22B74354" w14:textId="318960BD" w:rsidR="00D7463A" w:rsidRPr="00A33264" w:rsidRDefault="00D7463A" w:rsidP="00D7463A">
      <w:pPr>
        <w:pStyle w:val="Heading3"/>
        <w:rPr>
          <w:lang w:val="en-GB"/>
        </w:rPr>
      </w:pPr>
      <w:bookmarkStart w:id="318" w:name="_Toc169592984"/>
      <w:bookmarkStart w:id="319" w:name="_Toc174354203"/>
      <w:bookmarkStart w:id="320" w:name="_Toc175316907"/>
      <w:bookmarkStart w:id="321" w:name="_Toc176786398"/>
      <w:bookmarkStart w:id="322" w:name="_Toc180505680"/>
      <w:r w:rsidRPr="00A33264">
        <w:rPr>
          <w:lang w:val="en-GB"/>
        </w:rPr>
        <w:lastRenderedPageBreak/>
        <w:t>Staff engagement</w:t>
      </w:r>
      <w:bookmarkEnd w:id="318"/>
      <w:bookmarkEnd w:id="319"/>
      <w:bookmarkEnd w:id="320"/>
      <w:bookmarkEnd w:id="321"/>
      <w:bookmarkEnd w:id="322"/>
    </w:p>
    <w:p w14:paraId="47743094" w14:textId="6E140EA1" w:rsidR="00E31719" w:rsidRPr="00E31719" w:rsidRDefault="00E31719" w:rsidP="00E31719">
      <w:pPr>
        <w:rPr>
          <w:lang w:val="en-GB"/>
        </w:rPr>
      </w:pPr>
      <w:r w:rsidRPr="00E31719">
        <w:rPr>
          <w:lang w:val="en-GB"/>
        </w:rPr>
        <w:t>The NDIA prioritises staff engagement to drive higher performance.</w:t>
      </w:r>
    </w:p>
    <w:p w14:paraId="72C368A2" w14:textId="397D7669" w:rsidR="00F95902" w:rsidRPr="00A33264" w:rsidRDefault="00E31719" w:rsidP="00E31719">
      <w:pPr>
        <w:rPr>
          <w:lang w:val="en-GB"/>
        </w:rPr>
      </w:pPr>
      <w:r w:rsidRPr="00E31719">
        <w:rPr>
          <w:lang w:val="en-GB"/>
        </w:rPr>
        <w:t>In the 2024 APS Census, 94% of staff</w:t>
      </w:r>
      <w:r w:rsidR="00F231FD">
        <w:rPr>
          <w:lang w:val="en-GB"/>
        </w:rPr>
        <w:t xml:space="preserve"> gave a</w:t>
      </w:r>
      <w:r w:rsidRPr="00E31719">
        <w:rPr>
          <w:lang w:val="en-GB"/>
        </w:rPr>
        <w:t xml:space="preserve"> positive respon</w:t>
      </w:r>
      <w:r w:rsidR="00F231FD">
        <w:rPr>
          <w:lang w:val="en-GB"/>
        </w:rPr>
        <w:t>se</w:t>
      </w:r>
      <w:r w:rsidRPr="00E31719">
        <w:rPr>
          <w:lang w:val="en-GB"/>
        </w:rPr>
        <w:t xml:space="preserve"> to </w:t>
      </w:r>
      <w:r w:rsidR="00F231FD">
        <w:rPr>
          <w:lang w:val="en-GB"/>
        </w:rPr>
        <w:t xml:space="preserve">the question about whether they </w:t>
      </w:r>
      <w:r w:rsidRPr="00E31719">
        <w:rPr>
          <w:lang w:val="en-GB"/>
        </w:rPr>
        <w:t>understand how their role contributes to outcomes for the Australian public. Additionally, 95% acknowledged that their work makes a difference for people with disability</w:t>
      </w:r>
      <w:r w:rsidR="00F231FD">
        <w:rPr>
          <w:lang w:val="en-GB"/>
        </w:rPr>
        <w:t xml:space="preserve"> and</w:t>
      </w:r>
      <w:r w:rsidRPr="00E31719">
        <w:rPr>
          <w:lang w:val="en-GB"/>
        </w:rPr>
        <w:t xml:space="preserve"> their families, and carers. These results demonstrate NDIA staff are highly engaged with the </w:t>
      </w:r>
      <w:r w:rsidR="00CA5D3C">
        <w:rPr>
          <w:lang w:val="en-GB"/>
        </w:rPr>
        <w:t>NDIA</w:t>
      </w:r>
      <w:r w:rsidR="0072484B">
        <w:rPr>
          <w:lang w:val="en-GB"/>
        </w:rPr>
        <w:t>’</w:t>
      </w:r>
      <w:r w:rsidRPr="00E31719">
        <w:rPr>
          <w:lang w:val="en-GB"/>
        </w:rPr>
        <w:t>s values and mission.</w:t>
      </w:r>
    </w:p>
    <w:p w14:paraId="278401FB" w14:textId="489F042D" w:rsidR="004E5CA0" w:rsidRDefault="00F23CCF" w:rsidP="00F95902">
      <w:pPr>
        <w:rPr>
          <w:lang w:val="en-GB"/>
        </w:rPr>
      </w:pPr>
      <w:r>
        <w:rPr>
          <w:lang w:val="en-GB"/>
        </w:rPr>
        <w:t>There was</w:t>
      </w:r>
      <w:r w:rsidR="00F95902" w:rsidRPr="00A33264">
        <w:rPr>
          <w:lang w:val="en-GB"/>
        </w:rPr>
        <w:t xml:space="preserve"> an 83% response rate</w:t>
      </w:r>
      <w:r>
        <w:rPr>
          <w:lang w:val="en-GB"/>
        </w:rPr>
        <w:t xml:space="preserve"> in the </w:t>
      </w:r>
      <w:r w:rsidR="00F231FD">
        <w:rPr>
          <w:lang w:val="en-GB"/>
        </w:rPr>
        <w:t>C</w:t>
      </w:r>
      <w:r>
        <w:rPr>
          <w:lang w:val="en-GB"/>
        </w:rPr>
        <w:t>ens</w:t>
      </w:r>
      <w:r w:rsidR="0083276D">
        <w:rPr>
          <w:lang w:val="en-GB"/>
        </w:rPr>
        <w:t>u</w:t>
      </w:r>
      <w:r>
        <w:rPr>
          <w:lang w:val="en-GB"/>
        </w:rPr>
        <w:t>s</w:t>
      </w:r>
      <w:r w:rsidR="00F95902" w:rsidRPr="00A33264">
        <w:rPr>
          <w:lang w:val="en-GB"/>
        </w:rPr>
        <w:t xml:space="preserve">, with 7,358 of </w:t>
      </w:r>
      <w:r>
        <w:rPr>
          <w:lang w:val="en-GB"/>
        </w:rPr>
        <w:t>the NDIA</w:t>
      </w:r>
      <w:r w:rsidR="00F95902" w:rsidRPr="00A33264">
        <w:rPr>
          <w:lang w:val="en-GB"/>
        </w:rPr>
        <w:t xml:space="preserve"> workforce (APS employees and labour</w:t>
      </w:r>
      <w:r w:rsidR="00B70070">
        <w:rPr>
          <w:lang w:val="en-GB"/>
        </w:rPr>
        <w:t xml:space="preserve"> </w:t>
      </w:r>
      <w:r w:rsidR="00F95902" w:rsidRPr="00A33264">
        <w:rPr>
          <w:lang w:val="en-GB"/>
        </w:rPr>
        <w:t xml:space="preserve">hire workers, excluding </w:t>
      </w:r>
      <w:r w:rsidR="0072484B">
        <w:rPr>
          <w:lang w:val="en-GB"/>
        </w:rPr>
        <w:t>p</w:t>
      </w:r>
      <w:r w:rsidR="00F231FD">
        <w:rPr>
          <w:lang w:val="en-GB"/>
        </w:rPr>
        <w:t>artners in the community</w:t>
      </w:r>
      <w:r w:rsidR="00F95902" w:rsidRPr="00A33264">
        <w:rPr>
          <w:lang w:val="en-GB"/>
        </w:rPr>
        <w:t xml:space="preserve"> staff) participating</w:t>
      </w:r>
      <w:r w:rsidR="00F231FD">
        <w:rPr>
          <w:lang w:val="en-GB"/>
        </w:rPr>
        <w:t>:</w:t>
      </w:r>
    </w:p>
    <w:p w14:paraId="4D92034A" w14:textId="53762FC5" w:rsidR="00F95902" w:rsidRPr="00A33264" w:rsidRDefault="00F95902" w:rsidP="00F86FC3">
      <w:pPr>
        <w:pStyle w:val="Bullet1"/>
        <w:rPr>
          <w:lang w:val="en-GB"/>
        </w:rPr>
      </w:pPr>
      <w:r w:rsidRPr="00A33264">
        <w:rPr>
          <w:lang w:val="en-GB"/>
        </w:rPr>
        <w:t xml:space="preserve">The NDIA Engagement Index, which measures staff job satisfaction and commitment to </w:t>
      </w:r>
      <w:r w:rsidR="00F23CCF">
        <w:rPr>
          <w:lang w:val="en-GB"/>
        </w:rPr>
        <w:t>the</w:t>
      </w:r>
      <w:r w:rsidRPr="00A33264">
        <w:rPr>
          <w:lang w:val="en-GB"/>
        </w:rPr>
        <w:t xml:space="preserve"> organisation, remained steady from 2023 at 77%</w:t>
      </w:r>
      <w:r w:rsidR="00F231FD">
        <w:rPr>
          <w:lang w:val="en-GB"/>
        </w:rPr>
        <w:t xml:space="preserve"> </w:t>
      </w:r>
      <w:r w:rsidR="00F231FD">
        <w:rPr>
          <w:rFonts w:ascii="Symbol" w:eastAsia="Symbol" w:hAnsi="Symbol" w:cs="Symbol"/>
          <w:lang w:val="en-GB"/>
        </w:rPr>
        <w:sym w:font="Symbol" w:char="F02D"/>
      </w:r>
      <w:r w:rsidR="00F231FD">
        <w:rPr>
          <w:lang w:val="en-GB"/>
        </w:rPr>
        <w:t xml:space="preserve"> </w:t>
      </w:r>
      <w:r w:rsidRPr="00A33264">
        <w:rPr>
          <w:lang w:val="en-GB"/>
        </w:rPr>
        <w:t>3% higher than the APS average.</w:t>
      </w:r>
    </w:p>
    <w:p w14:paraId="75951235" w14:textId="7813751A" w:rsidR="00F95902" w:rsidRPr="00A33264" w:rsidRDefault="00F95902" w:rsidP="00F86FC3">
      <w:pPr>
        <w:pStyle w:val="Bullet1"/>
        <w:rPr>
          <w:lang w:val="en-GB"/>
        </w:rPr>
      </w:pPr>
      <w:r w:rsidRPr="00A33264">
        <w:rPr>
          <w:lang w:val="en-GB"/>
        </w:rPr>
        <w:t>The Wellbeing Index measures staff perceptions of how much the NDIA and immediate supervisors care about staff health and wellbeing. This increased from 73% in 2023 to 75% in 2024</w:t>
      </w:r>
      <w:r w:rsidR="00F231FD">
        <w:rPr>
          <w:lang w:val="en-GB"/>
        </w:rPr>
        <w:t xml:space="preserve"> </w:t>
      </w:r>
      <w:r w:rsidR="00F231FD">
        <w:rPr>
          <w:rFonts w:ascii="Symbol" w:eastAsia="Symbol" w:hAnsi="Symbol" w:cs="Symbol"/>
          <w:lang w:val="en-GB"/>
        </w:rPr>
        <w:sym w:font="Symbol" w:char="F02D"/>
      </w:r>
      <w:r w:rsidR="00F231FD">
        <w:rPr>
          <w:lang w:val="en-GB"/>
        </w:rPr>
        <w:t xml:space="preserve"> </w:t>
      </w:r>
      <w:r w:rsidRPr="00A33264">
        <w:rPr>
          <w:lang w:val="en-GB"/>
        </w:rPr>
        <w:t>5% higher than the APS average</w:t>
      </w:r>
      <w:r w:rsidR="00847308" w:rsidRPr="00A33264">
        <w:rPr>
          <w:lang w:val="en-GB"/>
        </w:rPr>
        <w:t>.</w:t>
      </w:r>
    </w:p>
    <w:p w14:paraId="5DE28283" w14:textId="266F8036" w:rsidR="00CC0774" w:rsidRPr="00A33264" w:rsidRDefault="00CC0774" w:rsidP="00CC0774">
      <w:pPr>
        <w:rPr>
          <w:lang w:val="en-GB"/>
        </w:rPr>
      </w:pPr>
      <w:r w:rsidRPr="00A33264">
        <w:rPr>
          <w:lang w:val="en-GB"/>
        </w:rPr>
        <w:t xml:space="preserve">The NDIA identified 11 initiatives in </w:t>
      </w:r>
      <w:r w:rsidR="00F23CCF">
        <w:rPr>
          <w:lang w:val="en-GB"/>
        </w:rPr>
        <w:t>its</w:t>
      </w:r>
      <w:r w:rsidR="00F23CCF" w:rsidRPr="00A33264">
        <w:rPr>
          <w:lang w:val="en-GB"/>
        </w:rPr>
        <w:t xml:space="preserve"> </w:t>
      </w:r>
      <w:r w:rsidRPr="00A33264">
        <w:rPr>
          <w:lang w:val="en-GB"/>
        </w:rPr>
        <w:t xml:space="preserve">2023 Agency Action Plan, focused on improving the experience of NDIA employees, strengthening our workforce diversity and representing the community we serve to enhance our service to participants. </w:t>
      </w:r>
    </w:p>
    <w:p w14:paraId="55B5B979" w14:textId="0E3D2A21" w:rsidR="00CC0774" w:rsidRPr="00A33264" w:rsidRDefault="00CC0774" w:rsidP="00CC0774">
      <w:pPr>
        <w:rPr>
          <w:rFonts w:cs="Arial"/>
          <w:lang w:val="en-GB"/>
        </w:rPr>
      </w:pPr>
      <w:r w:rsidRPr="00A33264">
        <w:rPr>
          <w:lang w:val="en-GB"/>
        </w:rPr>
        <w:t xml:space="preserve">The Office of Agency Accessibility and </w:t>
      </w:r>
      <w:r w:rsidR="00DC1876" w:rsidRPr="00A33264">
        <w:rPr>
          <w:lang w:val="en-GB"/>
        </w:rPr>
        <w:t>Inclusion</w:t>
      </w:r>
      <w:r w:rsidR="00DC1876">
        <w:t xml:space="preserve"> – </w:t>
      </w:r>
      <w:r w:rsidR="00DC1876">
        <w:rPr>
          <w:lang w:val="en-GB"/>
        </w:rPr>
        <w:t>an</w:t>
      </w:r>
      <w:r w:rsidR="00F231FD">
        <w:rPr>
          <w:lang w:val="en-GB"/>
        </w:rPr>
        <w:t xml:space="preserve"> initiative arising from the Agency Action </w:t>
      </w:r>
      <w:r w:rsidR="00617F5E">
        <w:rPr>
          <w:lang w:val="en-GB"/>
        </w:rPr>
        <w:t>Plan</w:t>
      </w:r>
      <w:r w:rsidR="00617F5E">
        <w:t xml:space="preserve"> – </w:t>
      </w:r>
      <w:r w:rsidR="00617F5E" w:rsidRPr="00A33264">
        <w:rPr>
          <w:lang w:val="en-GB"/>
        </w:rPr>
        <w:t>was</w:t>
      </w:r>
      <w:r w:rsidRPr="00A33264">
        <w:rPr>
          <w:lang w:val="en-GB"/>
        </w:rPr>
        <w:t xml:space="preserve"> established in January 2024. </w:t>
      </w:r>
      <w:r w:rsidRPr="00A33264">
        <w:rPr>
          <w:rFonts w:cs="Arial"/>
          <w:lang w:val="en-GB"/>
        </w:rPr>
        <w:t xml:space="preserve">The </w:t>
      </w:r>
      <w:r w:rsidR="00F231FD">
        <w:rPr>
          <w:rFonts w:cs="Arial"/>
          <w:lang w:val="en-GB"/>
        </w:rPr>
        <w:t>office</w:t>
      </w:r>
      <w:r w:rsidR="00F231FD" w:rsidRPr="00A33264">
        <w:rPr>
          <w:rFonts w:cs="Arial"/>
          <w:lang w:val="en-GB"/>
        </w:rPr>
        <w:t xml:space="preserve"> </w:t>
      </w:r>
      <w:r w:rsidRPr="00A33264">
        <w:rPr>
          <w:rFonts w:cs="Arial"/>
          <w:lang w:val="en-GB"/>
        </w:rPr>
        <w:t>is responsible for driving improved accessibility and inclusion for all staff through our systems, processes and staff supports.</w:t>
      </w:r>
    </w:p>
    <w:p w14:paraId="379947A6" w14:textId="54BA8846" w:rsidR="00CC0774" w:rsidRPr="00A33264" w:rsidRDefault="00F23CCF" w:rsidP="00CC0774">
      <w:pPr>
        <w:rPr>
          <w:rFonts w:cs="Arial"/>
          <w:lang w:val="en-GB"/>
        </w:rPr>
      </w:pPr>
      <w:r>
        <w:rPr>
          <w:lang w:val="en-GB"/>
        </w:rPr>
        <w:t>In 2023–24 t</w:t>
      </w:r>
      <w:r w:rsidR="00CC0774" w:rsidRPr="00A33264">
        <w:rPr>
          <w:lang w:val="en-GB"/>
        </w:rPr>
        <w:t xml:space="preserve">he </w:t>
      </w:r>
      <w:r>
        <w:rPr>
          <w:lang w:val="en-GB"/>
        </w:rPr>
        <w:t>NDIA</w:t>
      </w:r>
      <w:r w:rsidR="00CC0774" w:rsidRPr="00A33264">
        <w:rPr>
          <w:lang w:val="en-GB"/>
        </w:rPr>
        <w:t xml:space="preserve"> completed an </w:t>
      </w:r>
      <w:r w:rsidR="00CC0774" w:rsidRPr="00A33264">
        <w:rPr>
          <w:rFonts w:cs="Arial"/>
          <w:lang w:val="en-GB"/>
        </w:rPr>
        <w:t>independent safety and security review to make sure we have the right arrangements to keep our staff safe and secure at work. Our focus is now shifting to developing actions to deliver on the recommendations.</w:t>
      </w:r>
    </w:p>
    <w:p w14:paraId="044E33B7" w14:textId="42B0985C" w:rsidR="00D7463A" w:rsidRPr="00A33264" w:rsidRDefault="00D7463A" w:rsidP="00D7463A">
      <w:pPr>
        <w:pStyle w:val="Heading3"/>
        <w:rPr>
          <w:lang w:val="en-GB"/>
        </w:rPr>
      </w:pPr>
      <w:bookmarkStart w:id="323" w:name="_Toc169592985"/>
      <w:bookmarkStart w:id="324" w:name="_Toc174354204"/>
      <w:bookmarkStart w:id="325" w:name="_Toc175316908"/>
      <w:bookmarkStart w:id="326" w:name="_Toc176786399"/>
      <w:bookmarkStart w:id="327" w:name="_Toc180505681"/>
      <w:r w:rsidRPr="00A33264">
        <w:rPr>
          <w:lang w:val="en-GB"/>
        </w:rPr>
        <w:t>Risk management</w:t>
      </w:r>
      <w:bookmarkEnd w:id="323"/>
      <w:bookmarkEnd w:id="324"/>
      <w:bookmarkEnd w:id="325"/>
      <w:bookmarkEnd w:id="326"/>
      <w:bookmarkEnd w:id="327"/>
    </w:p>
    <w:p w14:paraId="66F52920" w14:textId="5EE27FB1" w:rsidR="0059516F" w:rsidRPr="00A33264" w:rsidRDefault="0059516F" w:rsidP="0059516F">
      <w:pPr>
        <w:rPr>
          <w:lang w:val="en-GB"/>
        </w:rPr>
      </w:pPr>
      <w:r w:rsidRPr="00A33264">
        <w:rPr>
          <w:lang w:val="en-GB"/>
        </w:rPr>
        <w:t xml:space="preserve">The NDIA has a structured approach to identifying, managing, escalating and communicating key risks. This is critical to the effective and efficient delivery of the </w:t>
      </w:r>
      <w:r w:rsidR="00CA5D3C">
        <w:rPr>
          <w:lang w:val="en-GB"/>
        </w:rPr>
        <w:t>NDIS</w:t>
      </w:r>
      <w:r w:rsidRPr="00A33264">
        <w:rPr>
          <w:lang w:val="en-GB"/>
        </w:rPr>
        <w:t xml:space="preserve">. In February 2024 the Ministerial Council approved the NDIA’s </w:t>
      </w:r>
      <w:r w:rsidR="0003446B">
        <w:rPr>
          <w:lang w:val="en-GB"/>
        </w:rPr>
        <w:t>R</w:t>
      </w:r>
      <w:r w:rsidRPr="00A33264">
        <w:rPr>
          <w:lang w:val="en-GB"/>
        </w:rPr>
        <w:t xml:space="preserve">isk </w:t>
      </w:r>
      <w:r w:rsidR="00847308" w:rsidRPr="00A33264">
        <w:rPr>
          <w:lang w:val="en-GB"/>
        </w:rPr>
        <w:t>M</w:t>
      </w:r>
      <w:r w:rsidRPr="00A33264">
        <w:rPr>
          <w:lang w:val="en-GB"/>
        </w:rPr>
        <w:t xml:space="preserve">anagement </w:t>
      </w:r>
      <w:r w:rsidR="00847308" w:rsidRPr="00A33264">
        <w:rPr>
          <w:lang w:val="en-GB"/>
        </w:rPr>
        <w:t>S</w:t>
      </w:r>
      <w:r w:rsidRPr="00A33264">
        <w:rPr>
          <w:lang w:val="en-GB"/>
        </w:rPr>
        <w:t xml:space="preserve">trategy. Our </w:t>
      </w:r>
      <w:r w:rsidR="00847308" w:rsidRPr="00A33264">
        <w:rPr>
          <w:lang w:val="en-GB"/>
        </w:rPr>
        <w:t>R</w:t>
      </w:r>
      <w:r w:rsidRPr="00A33264">
        <w:rPr>
          <w:lang w:val="en-GB"/>
        </w:rPr>
        <w:t xml:space="preserve">isk </w:t>
      </w:r>
      <w:r w:rsidR="00847308" w:rsidRPr="00A33264">
        <w:rPr>
          <w:lang w:val="en-GB"/>
        </w:rPr>
        <w:t>M</w:t>
      </w:r>
      <w:r w:rsidRPr="00A33264">
        <w:rPr>
          <w:lang w:val="en-GB"/>
        </w:rPr>
        <w:t xml:space="preserve">anagement </w:t>
      </w:r>
      <w:r w:rsidR="00847308" w:rsidRPr="00A33264">
        <w:rPr>
          <w:lang w:val="en-GB"/>
        </w:rPr>
        <w:t>S</w:t>
      </w:r>
      <w:r w:rsidRPr="00A33264">
        <w:rPr>
          <w:lang w:val="en-GB"/>
        </w:rPr>
        <w:t xml:space="preserve">trategy and </w:t>
      </w:r>
      <w:r w:rsidR="00847308" w:rsidRPr="00A33264">
        <w:rPr>
          <w:lang w:val="en-GB"/>
        </w:rPr>
        <w:t>R</w:t>
      </w:r>
      <w:r w:rsidRPr="00A33264">
        <w:rPr>
          <w:lang w:val="en-GB"/>
        </w:rPr>
        <w:t xml:space="preserve">isk </w:t>
      </w:r>
      <w:r w:rsidR="00847308" w:rsidRPr="00A33264">
        <w:rPr>
          <w:lang w:val="en-GB"/>
        </w:rPr>
        <w:t>M</w:t>
      </w:r>
      <w:r w:rsidRPr="00A33264">
        <w:rPr>
          <w:lang w:val="en-GB"/>
        </w:rPr>
        <w:t xml:space="preserve">anagement </w:t>
      </w:r>
      <w:r w:rsidR="00847308" w:rsidRPr="00A33264">
        <w:rPr>
          <w:lang w:val="en-GB"/>
        </w:rPr>
        <w:t>F</w:t>
      </w:r>
      <w:r w:rsidRPr="00A33264">
        <w:rPr>
          <w:lang w:val="en-GB"/>
        </w:rPr>
        <w:t xml:space="preserve">ramework support us to meet our obligations under the NDIS Risk Management Rules 2013 and the PGPA Act. The NDIA’s Fraud and Corruption Control Plan outlines how the NDIA is meeting its responsibilities under the </w:t>
      </w:r>
      <w:r w:rsidR="00C84AA6" w:rsidRPr="00A33264">
        <w:rPr>
          <w:lang w:val="en-GB"/>
        </w:rPr>
        <w:t>PGP</w:t>
      </w:r>
      <w:r w:rsidR="00847308" w:rsidRPr="00A33264">
        <w:rPr>
          <w:lang w:val="en-GB"/>
        </w:rPr>
        <w:t>A</w:t>
      </w:r>
      <w:r w:rsidRPr="00A33264">
        <w:rPr>
          <w:lang w:val="en-GB"/>
        </w:rPr>
        <w:t xml:space="preserve"> Act and the Commonwealth Fraud Control Framework 2017.</w:t>
      </w:r>
      <w:r w:rsidR="00D20352" w:rsidRPr="00A33264">
        <w:rPr>
          <w:lang w:val="en-GB"/>
        </w:rPr>
        <w:t xml:space="preserve"> The NDIA is working towards </w:t>
      </w:r>
      <w:r w:rsidR="00D20352" w:rsidRPr="00A33264">
        <w:rPr>
          <w:lang w:val="en-GB"/>
        </w:rPr>
        <w:lastRenderedPageBreak/>
        <w:t>implement</w:t>
      </w:r>
      <w:r w:rsidR="00F23CCF">
        <w:rPr>
          <w:lang w:val="en-GB"/>
        </w:rPr>
        <w:t>ing</w:t>
      </w:r>
      <w:r w:rsidR="00D20352" w:rsidRPr="00A33264">
        <w:rPr>
          <w:lang w:val="en-GB"/>
        </w:rPr>
        <w:t xml:space="preserve"> the new Commonwealth Fraud and Corruption Control Framework 2024</w:t>
      </w:r>
      <w:r w:rsidR="00F23CCF">
        <w:rPr>
          <w:lang w:val="en-GB"/>
        </w:rPr>
        <w:t>,</w:t>
      </w:r>
      <w:r w:rsidR="00D20352" w:rsidRPr="00A33264">
        <w:rPr>
          <w:lang w:val="en-GB"/>
        </w:rPr>
        <w:t xml:space="preserve"> which took effect on 1 July 2024.</w:t>
      </w:r>
    </w:p>
    <w:p w14:paraId="22886895" w14:textId="55FD660F" w:rsidR="0059516F" w:rsidRPr="00A33264" w:rsidRDefault="0069329B" w:rsidP="0059516F">
      <w:pPr>
        <w:rPr>
          <w:lang w:val="en-GB"/>
        </w:rPr>
      </w:pPr>
      <w:r w:rsidRPr="00A33264">
        <w:rPr>
          <w:lang w:val="en-GB"/>
        </w:rPr>
        <w:t>By proactively managing risks, the NDIA has been able to enhance business planning, maintain operational stability and achieve corporate goals. This evidence-based approach aligns with the Board’s defined risk appetite.</w:t>
      </w:r>
      <w:r w:rsidR="0059516F" w:rsidRPr="00A33264">
        <w:rPr>
          <w:lang w:val="en-GB"/>
        </w:rPr>
        <w:t xml:space="preserve"> The Risk, Audit and Resilience Division assists the NDIA Board and </w:t>
      </w:r>
      <w:r w:rsidR="00847308" w:rsidRPr="00A33264">
        <w:rPr>
          <w:lang w:val="en-GB"/>
        </w:rPr>
        <w:t xml:space="preserve">the </w:t>
      </w:r>
      <w:r w:rsidR="0059516F" w:rsidRPr="00A33264">
        <w:rPr>
          <w:lang w:val="en-GB"/>
        </w:rPr>
        <w:t>Strategic Leadership Team by providing objective risk reviews, oversight, monitoring and reporting.</w:t>
      </w:r>
    </w:p>
    <w:p w14:paraId="14E8B20D" w14:textId="254C9698" w:rsidR="0059516F" w:rsidRPr="00A33264" w:rsidRDefault="00ED275F" w:rsidP="0059516F">
      <w:pPr>
        <w:rPr>
          <w:lang w:val="en-GB"/>
        </w:rPr>
      </w:pPr>
      <w:r>
        <w:rPr>
          <w:lang w:val="en-GB"/>
        </w:rPr>
        <w:t>T</w:t>
      </w:r>
      <w:r w:rsidR="0059516F" w:rsidRPr="00A33264">
        <w:rPr>
          <w:lang w:val="en-GB"/>
        </w:rPr>
        <w:t xml:space="preserve">he </w:t>
      </w:r>
      <w:r w:rsidR="00126B30">
        <w:rPr>
          <w:lang w:val="en-GB"/>
        </w:rPr>
        <w:t xml:space="preserve">NDIA </w:t>
      </w:r>
      <w:r w:rsidR="0059516F" w:rsidRPr="00A33264">
        <w:rPr>
          <w:lang w:val="en-GB"/>
        </w:rPr>
        <w:t>risk appetite and strategic risks</w:t>
      </w:r>
      <w:r w:rsidR="00126B30">
        <w:rPr>
          <w:lang w:val="en-GB"/>
        </w:rPr>
        <w:t>,</w:t>
      </w:r>
      <w:r w:rsidR="0059516F" w:rsidRPr="00A33264">
        <w:rPr>
          <w:lang w:val="en-GB"/>
        </w:rPr>
        <w:t xml:space="preserve"> which are directly aligned to the </w:t>
      </w:r>
      <w:r w:rsidR="00D20352" w:rsidRPr="00A33264">
        <w:rPr>
          <w:lang w:val="en-GB"/>
        </w:rPr>
        <w:t xml:space="preserve">NDIA’s </w:t>
      </w:r>
      <w:r w:rsidR="00A92838">
        <w:rPr>
          <w:lang w:val="en-GB"/>
        </w:rPr>
        <w:t>C</w:t>
      </w:r>
      <w:r w:rsidR="0059516F" w:rsidRPr="00A33264">
        <w:rPr>
          <w:lang w:val="en-GB"/>
        </w:rPr>
        <w:t xml:space="preserve">orporate </w:t>
      </w:r>
      <w:r w:rsidR="00A92838">
        <w:rPr>
          <w:lang w:val="en-GB"/>
        </w:rPr>
        <w:t>P</w:t>
      </w:r>
      <w:r w:rsidR="0059516F" w:rsidRPr="00A33264">
        <w:rPr>
          <w:lang w:val="en-GB"/>
        </w:rPr>
        <w:t>lan</w:t>
      </w:r>
      <w:r w:rsidR="00126B30">
        <w:rPr>
          <w:lang w:val="en-GB"/>
        </w:rPr>
        <w:t>,</w:t>
      </w:r>
      <w:r>
        <w:rPr>
          <w:lang w:val="en-GB"/>
        </w:rPr>
        <w:t xml:space="preserve"> are reviewed annually</w:t>
      </w:r>
      <w:r w:rsidR="0059516F" w:rsidRPr="00A33264">
        <w:rPr>
          <w:lang w:val="en-GB"/>
        </w:rPr>
        <w:t xml:space="preserve">. </w:t>
      </w:r>
      <w:r>
        <w:rPr>
          <w:lang w:val="en-GB"/>
        </w:rPr>
        <w:t>The NDIA</w:t>
      </w:r>
      <w:r w:rsidR="0059516F" w:rsidRPr="00A33264">
        <w:rPr>
          <w:lang w:val="en-GB"/>
        </w:rPr>
        <w:t xml:space="preserve"> </w:t>
      </w:r>
      <w:r w:rsidR="00126B30">
        <w:rPr>
          <w:lang w:val="en-GB"/>
        </w:rPr>
        <w:t>identified</w:t>
      </w:r>
      <w:r w:rsidR="00126B30" w:rsidRPr="00A33264">
        <w:rPr>
          <w:lang w:val="en-GB"/>
        </w:rPr>
        <w:t xml:space="preserve"> </w:t>
      </w:r>
      <w:r w:rsidR="0059516F" w:rsidRPr="00A33264">
        <w:rPr>
          <w:lang w:val="en-GB"/>
        </w:rPr>
        <w:t xml:space="preserve">7 strategic risks for 2023–24 in the areas of participant experience and outcomes, partner and provider performance, financial sustainability, people capability and capacity, </w:t>
      </w:r>
      <w:r w:rsidR="00CA5D3C">
        <w:rPr>
          <w:lang w:val="en-GB"/>
        </w:rPr>
        <w:t>NDIS</w:t>
      </w:r>
      <w:r w:rsidR="00CA5D3C" w:rsidRPr="00A33264">
        <w:rPr>
          <w:lang w:val="en-GB"/>
        </w:rPr>
        <w:t xml:space="preserve"> </w:t>
      </w:r>
      <w:r w:rsidR="0059516F" w:rsidRPr="00A33264">
        <w:rPr>
          <w:lang w:val="en-GB"/>
        </w:rPr>
        <w:t>integrity, and change delivery. The strategic risks are monitored against risk-aligned mitigation strategies and key risk indicators, and performance is reported quarterly.</w:t>
      </w:r>
    </w:p>
    <w:p w14:paraId="2192B5E8" w14:textId="47C2A9C5" w:rsidR="0059516F" w:rsidRPr="00A33264" w:rsidRDefault="0059516F" w:rsidP="0059516F">
      <w:pPr>
        <w:rPr>
          <w:lang w:val="en-GB"/>
        </w:rPr>
      </w:pPr>
      <w:r w:rsidRPr="00A33264">
        <w:rPr>
          <w:lang w:val="en-GB"/>
        </w:rPr>
        <w:t>Management of the strategic risks is supported by operational, fraud and corruption, regulatory and project risk assessments and controls</w:t>
      </w:r>
      <w:r w:rsidR="00847308" w:rsidRPr="00A33264">
        <w:rPr>
          <w:lang w:val="en-GB"/>
        </w:rPr>
        <w:t>,</w:t>
      </w:r>
      <w:r w:rsidRPr="00A33264">
        <w:rPr>
          <w:lang w:val="en-GB"/>
        </w:rPr>
        <w:t xml:space="preserve"> which are owned and managed at functional and/or </w:t>
      </w:r>
      <w:r w:rsidR="00F23CCF">
        <w:rPr>
          <w:lang w:val="en-GB"/>
        </w:rPr>
        <w:t>NDIA</w:t>
      </w:r>
      <w:r w:rsidR="00F23CCF" w:rsidRPr="00A33264">
        <w:rPr>
          <w:lang w:val="en-GB"/>
        </w:rPr>
        <w:t xml:space="preserve"> </w:t>
      </w:r>
      <w:r w:rsidRPr="00A33264">
        <w:rPr>
          <w:lang w:val="en-GB"/>
        </w:rPr>
        <w:t>levels.</w:t>
      </w:r>
    </w:p>
    <w:p w14:paraId="407E1E25" w14:textId="671FF381" w:rsidR="0059516F" w:rsidRPr="00A33264" w:rsidRDefault="0059516F" w:rsidP="0059516F">
      <w:pPr>
        <w:rPr>
          <w:lang w:val="en-GB"/>
        </w:rPr>
      </w:pPr>
      <w:r w:rsidRPr="00A33264">
        <w:rPr>
          <w:lang w:val="en-GB"/>
        </w:rPr>
        <w:t xml:space="preserve">The NDIA is committed to ensuring that critical business functions are maintained or quickly restored in the event of a significant outage, incident or crisis. </w:t>
      </w:r>
      <w:r w:rsidR="00F23CCF">
        <w:rPr>
          <w:lang w:val="en-GB"/>
        </w:rPr>
        <w:t>We have</w:t>
      </w:r>
      <w:r w:rsidRPr="00A33264">
        <w:rPr>
          <w:lang w:val="en-GB"/>
        </w:rPr>
        <w:t xml:space="preserve"> an established and practically tested business continuity management framework to ensure the rapid response and resumption of </w:t>
      </w:r>
      <w:r w:rsidR="00F23CCF">
        <w:rPr>
          <w:lang w:val="en-GB"/>
        </w:rPr>
        <w:t>our</w:t>
      </w:r>
      <w:r w:rsidRPr="00A33264">
        <w:rPr>
          <w:lang w:val="en-GB"/>
        </w:rPr>
        <w:t xml:space="preserve"> critical business functions to support the resumption of participant and provider services in emergency situations.</w:t>
      </w:r>
    </w:p>
    <w:p w14:paraId="4D51966E" w14:textId="4FCD9ADE" w:rsidR="0059516F" w:rsidRPr="00A33264" w:rsidRDefault="0059516F" w:rsidP="0059516F">
      <w:pPr>
        <w:rPr>
          <w:lang w:val="en-GB"/>
        </w:rPr>
      </w:pPr>
      <w:r w:rsidRPr="00A33264">
        <w:rPr>
          <w:lang w:val="en-GB"/>
        </w:rPr>
        <w:t>The NDIA’s integrated risk management system provides a single platform for capturing and managing operational, strategic and regulatory risks, audit recommendations, incidents, and business continuity plans. The system gives accountable executives a consolidated view of the risks and controls in their business and the broader NDIA and underpins quarterly risk reporting.</w:t>
      </w:r>
    </w:p>
    <w:p w14:paraId="0EB8554A" w14:textId="2BC504F9" w:rsidR="00D7463A" w:rsidRPr="00A33264" w:rsidRDefault="00CA5D3C" w:rsidP="00D7463A">
      <w:pPr>
        <w:pStyle w:val="Heading4"/>
        <w:rPr>
          <w:lang w:val="en-GB"/>
        </w:rPr>
      </w:pPr>
      <w:bookmarkStart w:id="328" w:name="_Toc169592986"/>
      <w:r>
        <w:rPr>
          <w:lang w:val="en-GB"/>
        </w:rPr>
        <w:t>NDIS</w:t>
      </w:r>
      <w:r w:rsidR="00D7463A" w:rsidRPr="00A33264">
        <w:rPr>
          <w:lang w:val="en-GB"/>
        </w:rPr>
        <w:t xml:space="preserve"> integrity</w:t>
      </w:r>
      <w:bookmarkEnd w:id="328"/>
    </w:p>
    <w:p w14:paraId="2CF9C1CA" w14:textId="32499B4E" w:rsidR="00766CAA" w:rsidRPr="00A33264" w:rsidRDefault="00766CAA" w:rsidP="00766CAA">
      <w:pPr>
        <w:rPr>
          <w:lang w:val="en-GB"/>
        </w:rPr>
      </w:pPr>
      <w:r w:rsidRPr="00A33264">
        <w:rPr>
          <w:lang w:val="en-GB"/>
        </w:rPr>
        <w:t xml:space="preserve">We want all participants to have a positive experience in the </w:t>
      </w:r>
      <w:r w:rsidR="00CA5D3C">
        <w:rPr>
          <w:lang w:val="en-GB"/>
        </w:rPr>
        <w:t>NDIS</w:t>
      </w:r>
      <w:r w:rsidRPr="00A33264">
        <w:rPr>
          <w:lang w:val="en-GB"/>
        </w:rPr>
        <w:t xml:space="preserve">. This includes protecting their safety and wellbeing. Our goal is to safeguard the NDIS and protect participant plans so the NDIS remains available to support </w:t>
      </w:r>
      <w:r w:rsidR="00D20352" w:rsidRPr="00A33264">
        <w:rPr>
          <w:lang w:val="en-GB"/>
        </w:rPr>
        <w:t>participants</w:t>
      </w:r>
      <w:r w:rsidRPr="00A33264">
        <w:rPr>
          <w:lang w:val="en-GB"/>
        </w:rPr>
        <w:t xml:space="preserve"> when they need it.</w:t>
      </w:r>
    </w:p>
    <w:p w14:paraId="098B90A7" w14:textId="4A87B975" w:rsidR="00EA2179" w:rsidRDefault="00766CAA" w:rsidP="00EA2179">
      <w:pPr>
        <w:rPr>
          <w:b/>
          <w:color w:val="6B2876" w:themeColor="text1"/>
          <w:sz w:val="28"/>
          <w:lang w:val="en-GB"/>
        </w:rPr>
      </w:pPr>
      <w:r w:rsidRPr="00A33264">
        <w:rPr>
          <w:lang w:val="en-GB"/>
        </w:rPr>
        <w:t xml:space="preserve">The NDIA has a strong focus on removing problematic providers from the </w:t>
      </w:r>
      <w:r w:rsidR="00CA5D3C">
        <w:rPr>
          <w:lang w:val="en-GB"/>
        </w:rPr>
        <w:t>NDIS</w:t>
      </w:r>
      <w:r w:rsidR="00CA5D3C" w:rsidRPr="00A33264">
        <w:rPr>
          <w:lang w:val="en-GB"/>
        </w:rPr>
        <w:t xml:space="preserve"> </w:t>
      </w:r>
      <w:r w:rsidRPr="00A33264">
        <w:rPr>
          <w:lang w:val="en-GB"/>
        </w:rPr>
        <w:t xml:space="preserve">and ensuring that fraud is detected, prevented and responded to as soon as possible. </w:t>
      </w:r>
      <w:r w:rsidR="00F23CCF">
        <w:rPr>
          <w:lang w:val="en-GB"/>
        </w:rPr>
        <w:t>Our</w:t>
      </w:r>
      <w:r w:rsidR="00F23CCF" w:rsidRPr="00A33264">
        <w:rPr>
          <w:lang w:val="en-GB"/>
        </w:rPr>
        <w:t xml:space="preserve"> </w:t>
      </w:r>
      <w:r w:rsidRPr="00A33264">
        <w:rPr>
          <w:lang w:val="en-GB"/>
        </w:rPr>
        <w:t>integrity transformation programs are focused on uplifting NDIA system capability, making it easier to get it right and harder to get it wrong. To do this we have multiple layers of work which include the following</w:t>
      </w:r>
      <w:r w:rsidR="00F23CCF">
        <w:rPr>
          <w:lang w:val="en-GB"/>
        </w:rPr>
        <w:t xml:space="preserve"> projects</w:t>
      </w:r>
      <w:r w:rsidRPr="00A33264">
        <w:rPr>
          <w:lang w:val="en-GB"/>
        </w:rPr>
        <w:t>.</w:t>
      </w:r>
      <w:r w:rsidR="00EA2179">
        <w:rPr>
          <w:lang w:val="en-GB"/>
        </w:rPr>
        <w:br w:type="page"/>
      </w:r>
    </w:p>
    <w:p w14:paraId="595E5990" w14:textId="690896BC" w:rsidR="00280054" w:rsidRPr="00A33264" w:rsidRDefault="00766CAA" w:rsidP="00280054">
      <w:pPr>
        <w:pStyle w:val="Heading5"/>
        <w:rPr>
          <w:lang w:val="en-GB"/>
        </w:rPr>
      </w:pPr>
      <w:r w:rsidRPr="00A33264">
        <w:rPr>
          <w:lang w:val="en-GB"/>
        </w:rPr>
        <w:lastRenderedPageBreak/>
        <w:t>Co-design</w:t>
      </w:r>
    </w:p>
    <w:p w14:paraId="6EEDEA8F" w14:textId="70824405" w:rsidR="00766CAA" w:rsidRPr="00A33264" w:rsidRDefault="00766CAA" w:rsidP="00766CAA">
      <w:pPr>
        <w:rPr>
          <w:lang w:val="en-GB"/>
        </w:rPr>
      </w:pPr>
      <w:r w:rsidRPr="00A33264">
        <w:rPr>
          <w:lang w:val="en-GB"/>
        </w:rPr>
        <w:t xml:space="preserve">As part of the NDIA’s commitment to </w:t>
      </w:r>
      <w:r w:rsidR="00CA5D3C">
        <w:rPr>
          <w:lang w:val="en-GB"/>
        </w:rPr>
        <w:t>NDIS</w:t>
      </w:r>
      <w:r w:rsidR="00CA5D3C" w:rsidRPr="00A33264">
        <w:rPr>
          <w:lang w:val="en-GB"/>
        </w:rPr>
        <w:t xml:space="preserve"> </w:t>
      </w:r>
      <w:r w:rsidRPr="00A33264">
        <w:rPr>
          <w:lang w:val="en-GB"/>
        </w:rPr>
        <w:t xml:space="preserve">reform, </w:t>
      </w:r>
      <w:r w:rsidR="00F23CCF">
        <w:rPr>
          <w:lang w:val="en-GB"/>
        </w:rPr>
        <w:t xml:space="preserve">we established </w:t>
      </w:r>
      <w:r w:rsidRPr="00A33264">
        <w:rPr>
          <w:lang w:val="en-GB"/>
        </w:rPr>
        <w:t>an Integrity Working Group in July 2023. Membership included NDIA representatives</w:t>
      </w:r>
      <w:r w:rsidR="00941D65">
        <w:rPr>
          <w:lang w:val="en-GB"/>
        </w:rPr>
        <w:t>,</w:t>
      </w:r>
      <w:r w:rsidRPr="00A33264">
        <w:rPr>
          <w:lang w:val="en-GB"/>
        </w:rPr>
        <w:t xml:space="preserve"> participants, family members, </w:t>
      </w:r>
      <w:r w:rsidR="00F23CCF">
        <w:rPr>
          <w:lang w:val="en-GB"/>
        </w:rPr>
        <w:t>d</w:t>
      </w:r>
      <w:r w:rsidRPr="00A33264">
        <w:rPr>
          <w:lang w:val="en-GB"/>
        </w:rPr>
        <w:t xml:space="preserve">isability </w:t>
      </w:r>
      <w:r w:rsidR="00F23CCF">
        <w:rPr>
          <w:lang w:val="en-GB"/>
        </w:rPr>
        <w:t>r</w:t>
      </w:r>
      <w:r w:rsidRPr="00A33264">
        <w:rPr>
          <w:lang w:val="en-GB"/>
        </w:rPr>
        <w:t xml:space="preserve">epresentative and </w:t>
      </w:r>
      <w:r w:rsidR="00F23CCF">
        <w:rPr>
          <w:lang w:val="en-GB"/>
        </w:rPr>
        <w:t>c</w:t>
      </w:r>
      <w:r w:rsidRPr="00A33264">
        <w:rPr>
          <w:lang w:val="en-GB"/>
        </w:rPr>
        <w:t xml:space="preserve">arer </w:t>
      </w:r>
      <w:r w:rsidR="00F23CCF">
        <w:rPr>
          <w:lang w:val="en-GB"/>
        </w:rPr>
        <w:t>o</w:t>
      </w:r>
      <w:r w:rsidRPr="00A33264">
        <w:rPr>
          <w:lang w:val="en-GB"/>
        </w:rPr>
        <w:t xml:space="preserve">rganisations, other </w:t>
      </w:r>
      <w:r w:rsidR="00F23CCF">
        <w:rPr>
          <w:lang w:val="en-GB"/>
        </w:rPr>
        <w:t>d</w:t>
      </w:r>
      <w:r w:rsidRPr="00A33264">
        <w:rPr>
          <w:lang w:val="en-GB"/>
        </w:rPr>
        <w:t xml:space="preserve">isability </w:t>
      </w:r>
      <w:r w:rsidR="00F23CCF">
        <w:rPr>
          <w:lang w:val="en-GB"/>
        </w:rPr>
        <w:t>s</w:t>
      </w:r>
      <w:r w:rsidRPr="00A33264">
        <w:rPr>
          <w:lang w:val="en-GB"/>
        </w:rPr>
        <w:t>ector rep</w:t>
      </w:r>
      <w:r w:rsidR="00F23CCF">
        <w:rPr>
          <w:lang w:val="en-GB"/>
        </w:rPr>
        <w:t>resentative</w:t>
      </w:r>
      <w:r w:rsidRPr="00A33264">
        <w:rPr>
          <w:lang w:val="en-GB"/>
        </w:rPr>
        <w:t xml:space="preserve">s and </w:t>
      </w:r>
      <w:r w:rsidR="00F23CCF">
        <w:rPr>
          <w:lang w:val="en-GB"/>
        </w:rPr>
        <w:t>IAC</w:t>
      </w:r>
      <w:r w:rsidRPr="00A33264">
        <w:rPr>
          <w:lang w:val="en-GB"/>
        </w:rPr>
        <w:t xml:space="preserve"> members. </w:t>
      </w:r>
    </w:p>
    <w:p w14:paraId="6B351235" w14:textId="0EED0DF2" w:rsidR="00D7463A" w:rsidRPr="00A33264" w:rsidRDefault="00766CAA" w:rsidP="00766CAA">
      <w:pPr>
        <w:rPr>
          <w:lang w:val="en-GB"/>
        </w:rPr>
      </w:pPr>
      <w:r w:rsidRPr="00A33264">
        <w:rPr>
          <w:lang w:val="en-GB"/>
        </w:rPr>
        <w:t>During 2023</w:t>
      </w:r>
      <w:r w:rsidR="00F231FD">
        <w:rPr>
          <w:rFonts w:ascii="Symbol" w:eastAsia="Symbol" w:hAnsi="Symbol" w:cs="Symbol"/>
          <w:lang w:val="en-GB"/>
        </w:rPr>
        <w:sym w:font="Symbol" w:char="F02D"/>
      </w:r>
      <w:r w:rsidRPr="00A33264">
        <w:rPr>
          <w:lang w:val="en-GB"/>
        </w:rPr>
        <w:t>24</w:t>
      </w:r>
      <w:r w:rsidR="00F23CCF">
        <w:rPr>
          <w:lang w:val="en-GB"/>
        </w:rPr>
        <w:t xml:space="preserve"> the Integrity Working Group held</w:t>
      </w:r>
      <w:r w:rsidRPr="00A33264">
        <w:rPr>
          <w:lang w:val="en-GB"/>
        </w:rPr>
        <w:t xml:space="preserve"> over 45 sessions of co-design, consultation and engagement about fraud and integrity with the disability community and providers. These sessions focused on understanding integrity, fraud and noncompliance and how we can better empower participants to protect themselves while also reinforcing provider roles and responsibilities ensuring they do the right thing.</w:t>
      </w:r>
    </w:p>
    <w:p w14:paraId="2120D48E" w14:textId="7C2F12A5" w:rsidR="00280054" w:rsidRPr="00A33264" w:rsidRDefault="00280054" w:rsidP="00280054">
      <w:pPr>
        <w:pStyle w:val="Heading5"/>
        <w:rPr>
          <w:lang w:val="en-GB"/>
        </w:rPr>
      </w:pPr>
      <w:r w:rsidRPr="00A33264">
        <w:rPr>
          <w:lang w:val="en-GB"/>
        </w:rPr>
        <w:t xml:space="preserve">Fraud Fusion </w:t>
      </w:r>
      <w:r w:rsidR="00CA5D3C">
        <w:rPr>
          <w:lang w:val="en-GB"/>
        </w:rPr>
        <w:t>T</w:t>
      </w:r>
      <w:r w:rsidRPr="00A33264">
        <w:rPr>
          <w:lang w:val="en-GB"/>
        </w:rPr>
        <w:t>askforce</w:t>
      </w:r>
    </w:p>
    <w:p w14:paraId="163A8600" w14:textId="3095037D" w:rsidR="00766CAA" w:rsidRPr="00A33264" w:rsidRDefault="00766CAA" w:rsidP="00766CAA">
      <w:pPr>
        <w:rPr>
          <w:lang w:val="en-GB"/>
        </w:rPr>
      </w:pPr>
      <w:r w:rsidRPr="00A33264">
        <w:rPr>
          <w:lang w:val="en-GB"/>
        </w:rPr>
        <w:t>The F</w:t>
      </w:r>
      <w:r w:rsidR="00F23CCF">
        <w:rPr>
          <w:lang w:val="en-GB"/>
        </w:rPr>
        <w:t xml:space="preserve">raud </w:t>
      </w:r>
      <w:r w:rsidRPr="00A33264">
        <w:rPr>
          <w:lang w:val="en-GB"/>
        </w:rPr>
        <w:t>F</w:t>
      </w:r>
      <w:r w:rsidR="00F23CCF">
        <w:rPr>
          <w:lang w:val="en-GB"/>
        </w:rPr>
        <w:t xml:space="preserve">usion </w:t>
      </w:r>
      <w:r w:rsidRPr="00A33264">
        <w:rPr>
          <w:lang w:val="en-GB"/>
        </w:rPr>
        <w:t>T</w:t>
      </w:r>
      <w:r w:rsidR="00F23CCF">
        <w:rPr>
          <w:lang w:val="en-GB"/>
        </w:rPr>
        <w:t>askforce (FFT)</w:t>
      </w:r>
      <w:r w:rsidRPr="00A33264">
        <w:rPr>
          <w:lang w:val="en-GB"/>
        </w:rPr>
        <w:t xml:space="preserve"> was established in November 2022. Its purpose is to improve payment integrity in government programs and payments by preventing or reducing fraud and criminal activity within and against government programs. The </w:t>
      </w:r>
      <w:r w:rsidR="00F23CCF">
        <w:rPr>
          <w:lang w:val="en-GB"/>
        </w:rPr>
        <w:t>FFT</w:t>
      </w:r>
      <w:r w:rsidR="00F23CCF" w:rsidRPr="00A33264">
        <w:rPr>
          <w:lang w:val="en-GB"/>
        </w:rPr>
        <w:t xml:space="preserve"> </w:t>
      </w:r>
      <w:r w:rsidRPr="00A33264">
        <w:rPr>
          <w:lang w:val="en-GB"/>
        </w:rPr>
        <w:t>is a multi</w:t>
      </w:r>
      <w:r w:rsidR="00F231FD">
        <w:rPr>
          <w:lang w:val="en-GB"/>
        </w:rPr>
        <w:t>-</w:t>
      </w:r>
      <w:r w:rsidRPr="00A33264">
        <w:rPr>
          <w:lang w:val="en-GB"/>
        </w:rPr>
        <w:t xml:space="preserve">agency partnership involving </w:t>
      </w:r>
      <w:r w:rsidR="00F742F9">
        <w:rPr>
          <w:lang w:val="en-GB"/>
        </w:rPr>
        <w:t>20</w:t>
      </w:r>
      <w:r w:rsidRPr="00A33264">
        <w:rPr>
          <w:lang w:val="en-GB"/>
        </w:rPr>
        <w:t xml:space="preserve"> </w:t>
      </w:r>
      <w:r w:rsidR="00F23CCF">
        <w:rPr>
          <w:lang w:val="en-GB"/>
        </w:rPr>
        <w:t>a</w:t>
      </w:r>
      <w:r w:rsidRPr="00A33264">
        <w:rPr>
          <w:lang w:val="en-GB"/>
        </w:rPr>
        <w:t>gencies working together, co-led by the NDIA and Services Australia.</w:t>
      </w:r>
    </w:p>
    <w:p w14:paraId="76C4793F" w14:textId="51DDFC31" w:rsidR="00766CAA" w:rsidRPr="00A33264" w:rsidRDefault="00766CAA" w:rsidP="00766CAA">
      <w:pPr>
        <w:rPr>
          <w:lang w:val="en-GB"/>
        </w:rPr>
      </w:pPr>
      <w:r w:rsidRPr="00A33264">
        <w:rPr>
          <w:lang w:val="en-GB"/>
        </w:rPr>
        <w:t>The FFT has made significant progress, improving how government agencies work together to quickly detect, resolve and prevent fraud and serious organised crime as well as strengthening NDIS and other government systems</w:t>
      </w:r>
      <w:r w:rsidR="00F23CCF">
        <w:rPr>
          <w:lang w:val="en-GB"/>
        </w:rPr>
        <w:t xml:space="preserve"> to</w:t>
      </w:r>
      <w:r w:rsidRPr="00A33264">
        <w:rPr>
          <w:lang w:val="en-GB"/>
        </w:rPr>
        <w:t xml:space="preserve"> mak</w:t>
      </w:r>
      <w:r w:rsidR="00F23CCF">
        <w:rPr>
          <w:lang w:val="en-GB"/>
        </w:rPr>
        <w:t>e</w:t>
      </w:r>
      <w:r w:rsidRPr="00A33264">
        <w:rPr>
          <w:lang w:val="en-GB"/>
        </w:rPr>
        <w:t xml:space="preserve"> it easier to do the right thing.</w:t>
      </w:r>
    </w:p>
    <w:p w14:paraId="6A6C4A83" w14:textId="0AB30720" w:rsidR="00766CAA" w:rsidRPr="00A33264" w:rsidRDefault="00766CAA" w:rsidP="00766CAA">
      <w:pPr>
        <w:rPr>
          <w:lang w:val="en-GB"/>
        </w:rPr>
      </w:pPr>
      <w:r w:rsidRPr="00A33264">
        <w:rPr>
          <w:lang w:val="en-GB"/>
        </w:rPr>
        <w:t>During 2023</w:t>
      </w:r>
      <w:r w:rsidR="00F231FD">
        <w:rPr>
          <w:rFonts w:ascii="Symbol" w:eastAsia="Symbol" w:hAnsi="Symbol" w:cs="Symbol"/>
          <w:lang w:val="en-GB"/>
        </w:rPr>
        <w:sym w:font="Symbol" w:char="F02D"/>
      </w:r>
      <w:r w:rsidRPr="00A33264">
        <w:rPr>
          <w:lang w:val="en-GB"/>
        </w:rPr>
        <w:t xml:space="preserve">24 the FFT expanded from 15 to 20 </w:t>
      </w:r>
      <w:r w:rsidR="00F23CCF">
        <w:rPr>
          <w:lang w:val="en-GB"/>
        </w:rPr>
        <w:t>Australian G</w:t>
      </w:r>
      <w:r w:rsidRPr="00A33264">
        <w:rPr>
          <w:lang w:val="en-GB"/>
        </w:rPr>
        <w:t xml:space="preserve">overnment agencies, increasing the powers available to member agencies to share data to detect, prevent and respond to fraud across </w:t>
      </w:r>
      <w:r w:rsidR="00F23CCF">
        <w:rPr>
          <w:lang w:val="en-GB"/>
        </w:rPr>
        <w:t>g</w:t>
      </w:r>
      <w:r w:rsidRPr="00A33264">
        <w:rPr>
          <w:lang w:val="en-GB"/>
        </w:rPr>
        <w:t xml:space="preserve">overnment </w:t>
      </w:r>
      <w:r w:rsidR="00F23CCF">
        <w:rPr>
          <w:lang w:val="en-GB"/>
        </w:rPr>
        <w:t>p</w:t>
      </w:r>
      <w:r w:rsidRPr="00A33264">
        <w:rPr>
          <w:lang w:val="en-GB"/>
        </w:rPr>
        <w:t xml:space="preserve">ayment </w:t>
      </w:r>
      <w:r w:rsidR="00F23CCF">
        <w:rPr>
          <w:lang w:val="en-GB"/>
        </w:rPr>
        <w:t>p</w:t>
      </w:r>
      <w:r w:rsidRPr="00A33264">
        <w:rPr>
          <w:lang w:val="en-GB"/>
        </w:rPr>
        <w:t>rograms</w:t>
      </w:r>
      <w:r w:rsidR="00F231FD">
        <w:rPr>
          <w:lang w:val="en-GB"/>
        </w:rPr>
        <w:t>,</w:t>
      </w:r>
      <w:r w:rsidRPr="00A33264">
        <w:rPr>
          <w:lang w:val="en-GB"/>
        </w:rPr>
        <w:t xml:space="preserve"> including the NDIS. </w:t>
      </w:r>
    </w:p>
    <w:p w14:paraId="1538192B" w14:textId="11C1CE95" w:rsidR="00280054" w:rsidRPr="00A33264" w:rsidRDefault="00766CAA" w:rsidP="00280054">
      <w:pPr>
        <w:pStyle w:val="Heading5"/>
        <w:rPr>
          <w:lang w:val="en-GB"/>
        </w:rPr>
      </w:pPr>
      <w:r w:rsidRPr="00A33264">
        <w:rPr>
          <w:lang w:val="en-GB"/>
        </w:rPr>
        <w:t>Crack Down on Fraud</w:t>
      </w:r>
    </w:p>
    <w:p w14:paraId="7B44D810" w14:textId="35A83AFD" w:rsidR="00280054" w:rsidRPr="00A33264" w:rsidRDefault="003F2A54" w:rsidP="00F0438A">
      <w:pPr>
        <w:rPr>
          <w:lang w:val="en-GB"/>
        </w:rPr>
      </w:pPr>
      <w:r w:rsidRPr="003F2A54">
        <w:rPr>
          <w:lang w:val="en-GB"/>
        </w:rPr>
        <w:t xml:space="preserve">In February 2024 the Australian Government announced the Crack Down on Fraud program, which is ‘making it easier to get it right, harder to get it wrong’. The program is a multi-year program </w:t>
      </w:r>
      <w:r w:rsidR="00F231FD">
        <w:rPr>
          <w:lang w:val="en-GB"/>
        </w:rPr>
        <w:t>that</w:t>
      </w:r>
      <w:r w:rsidR="00F231FD" w:rsidRPr="003F2A54">
        <w:rPr>
          <w:lang w:val="en-GB"/>
        </w:rPr>
        <w:t xml:space="preserve"> </w:t>
      </w:r>
      <w:r w:rsidRPr="003F2A54">
        <w:rPr>
          <w:lang w:val="en-GB"/>
        </w:rPr>
        <w:t>aims to streamline the interactions of participants, nominees, providers, and their representatives with NDIS systems</w:t>
      </w:r>
      <w:r w:rsidR="00F231FD">
        <w:rPr>
          <w:lang w:val="en-GB"/>
        </w:rPr>
        <w:t>;</w:t>
      </w:r>
      <w:r w:rsidRPr="003F2A54">
        <w:rPr>
          <w:lang w:val="en-GB"/>
        </w:rPr>
        <w:t xml:space="preserve"> and support the NDIA to detect and prevent fraud and noncompliance.</w:t>
      </w:r>
    </w:p>
    <w:p w14:paraId="5510A989" w14:textId="263D2400" w:rsidR="00280054" w:rsidRPr="00A33264" w:rsidRDefault="00766CAA" w:rsidP="00280054">
      <w:pPr>
        <w:pStyle w:val="Heading5"/>
        <w:rPr>
          <w:lang w:val="en-GB"/>
        </w:rPr>
      </w:pPr>
      <w:r w:rsidRPr="00A33264">
        <w:rPr>
          <w:lang w:val="en-GB"/>
        </w:rPr>
        <w:t>Delivering integrity results</w:t>
      </w:r>
    </w:p>
    <w:p w14:paraId="22AA505B" w14:textId="451E0F46" w:rsidR="00766CAA" w:rsidRPr="00A33264" w:rsidRDefault="00766CAA" w:rsidP="00766CAA">
      <w:pPr>
        <w:rPr>
          <w:lang w:val="en-GB"/>
        </w:rPr>
      </w:pPr>
      <w:r w:rsidRPr="00A33264">
        <w:rPr>
          <w:lang w:val="en-GB"/>
        </w:rPr>
        <w:t xml:space="preserve">The combination of these programs of work </w:t>
      </w:r>
      <w:r w:rsidR="00D44FB2">
        <w:rPr>
          <w:lang w:val="en-GB"/>
        </w:rPr>
        <w:t>is</w:t>
      </w:r>
      <w:r w:rsidRPr="00A33264">
        <w:rPr>
          <w:lang w:val="en-GB"/>
        </w:rPr>
        <w:t xml:space="preserve"> delivering a series of results. </w:t>
      </w:r>
      <w:r w:rsidR="00C26503">
        <w:rPr>
          <w:lang w:val="en-GB"/>
        </w:rPr>
        <w:t>During 2023–24</w:t>
      </w:r>
      <w:r w:rsidR="00D20352" w:rsidRPr="00A33264">
        <w:rPr>
          <w:lang w:val="en-GB"/>
        </w:rPr>
        <w:t xml:space="preserve"> </w:t>
      </w:r>
      <w:r w:rsidRPr="00A33264">
        <w:rPr>
          <w:lang w:val="en-GB"/>
        </w:rPr>
        <w:t xml:space="preserve">the </w:t>
      </w:r>
      <w:r w:rsidR="00C26503">
        <w:rPr>
          <w:lang w:val="en-GB"/>
        </w:rPr>
        <w:t>NDIA</w:t>
      </w:r>
      <w:r w:rsidRPr="00A33264">
        <w:rPr>
          <w:lang w:val="en-GB"/>
        </w:rPr>
        <w:t xml:space="preserve"> roll</w:t>
      </w:r>
      <w:r w:rsidR="00D20352" w:rsidRPr="00A33264">
        <w:rPr>
          <w:lang w:val="en-GB"/>
        </w:rPr>
        <w:t>ed</w:t>
      </w:r>
      <w:r w:rsidRPr="00A33264">
        <w:rPr>
          <w:lang w:val="en-GB"/>
        </w:rPr>
        <w:t xml:space="preserve"> out integrity transformation initiatives </w:t>
      </w:r>
      <w:r w:rsidR="00D20352" w:rsidRPr="00A33264">
        <w:rPr>
          <w:lang w:val="en-GB"/>
        </w:rPr>
        <w:t>including</w:t>
      </w:r>
      <w:r w:rsidRPr="00A33264">
        <w:rPr>
          <w:lang w:val="en-GB"/>
        </w:rPr>
        <w:t>:</w:t>
      </w:r>
    </w:p>
    <w:p w14:paraId="7AD97FA2" w14:textId="11EBDDD8" w:rsidR="00766CAA" w:rsidRPr="00A33264" w:rsidRDefault="00766CAA" w:rsidP="00766CAA">
      <w:pPr>
        <w:pStyle w:val="Bullet1"/>
        <w:rPr>
          <w:lang w:val="en-GB"/>
        </w:rPr>
      </w:pPr>
      <w:r w:rsidRPr="00A33264">
        <w:rPr>
          <w:lang w:val="en-GB"/>
        </w:rPr>
        <w:lastRenderedPageBreak/>
        <w:t>review</w:t>
      </w:r>
      <w:r w:rsidR="00D20352" w:rsidRPr="00A33264">
        <w:rPr>
          <w:lang w:val="en-GB"/>
        </w:rPr>
        <w:t>ing</w:t>
      </w:r>
      <w:r w:rsidRPr="00A33264">
        <w:rPr>
          <w:lang w:val="en-GB"/>
        </w:rPr>
        <w:t xml:space="preserve"> 14,531 pre-payment and 66,759 post-payment claims</w:t>
      </w:r>
      <w:r w:rsidR="00D20352" w:rsidRPr="00A33264">
        <w:rPr>
          <w:lang w:val="en-GB"/>
        </w:rPr>
        <w:t xml:space="preserve"> resulting</w:t>
      </w:r>
      <w:r w:rsidRPr="00A33264">
        <w:rPr>
          <w:lang w:val="en-GB"/>
        </w:rPr>
        <w:t xml:space="preserve"> in $57 million in payment cancellations due to noncompliance </w:t>
      </w:r>
      <w:r w:rsidR="00D20352" w:rsidRPr="00A33264">
        <w:rPr>
          <w:lang w:val="en-GB"/>
        </w:rPr>
        <w:t>in 2023</w:t>
      </w:r>
      <w:r w:rsidR="00C26503">
        <w:rPr>
          <w:lang w:val="en-GB"/>
        </w:rPr>
        <w:t>–</w:t>
      </w:r>
      <w:r w:rsidR="00D20352" w:rsidRPr="00A33264">
        <w:rPr>
          <w:lang w:val="en-GB"/>
        </w:rPr>
        <w:t xml:space="preserve">24 </w:t>
      </w:r>
      <w:r w:rsidRPr="00A33264">
        <w:rPr>
          <w:lang w:val="en-GB"/>
        </w:rPr>
        <w:t xml:space="preserve">(compared </w:t>
      </w:r>
      <w:r w:rsidR="00F231FD">
        <w:rPr>
          <w:lang w:val="en-GB"/>
        </w:rPr>
        <w:t>with</w:t>
      </w:r>
      <w:r w:rsidRPr="00A33264">
        <w:rPr>
          <w:lang w:val="en-GB"/>
        </w:rPr>
        <w:t xml:space="preserve"> $49 million in 2022</w:t>
      </w:r>
      <w:r w:rsidR="00C26503">
        <w:rPr>
          <w:lang w:val="en-GB"/>
        </w:rPr>
        <w:t>–</w:t>
      </w:r>
      <w:r w:rsidRPr="00A33264">
        <w:rPr>
          <w:lang w:val="en-GB"/>
        </w:rPr>
        <w:t>23)</w:t>
      </w:r>
    </w:p>
    <w:p w14:paraId="05025C1F" w14:textId="45D672E9" w:rsidR="00766CAA" w:rsidRPr="00A33264" w:rsidRDefault="00AC1A29" w:rsidP="00766CAA">
      <w:pPr>
        <w:pStyle w:val="Bullet1"/>
        <w:rPr>
          <w:lang w:val="en-GB"/>
        </w:rPr>
      </w:pPr>
      <w:r w:rsidRPr="00A33264">
        <w:rPr>
          <w:lang w:val="en-GB"/>
        </w:rPr>
        <w:t>an enhanced</w:t>
      </w:r>
      <w:r w:rsidR="00766CAA" w:rsidRPr="00A33264">
        <w:rPr>
          <w:lang w:val="en-GB"/>
        </w:rPr>
        <w:t xml:space="preserve"> review process for claims received after a plan has expired and increased pre-payment checks on cash </w:t>
      </w:r>
      <w:r w:rsidR="005524ED" w:rsidRPr="00A33264">
        <w:rPr>
          <w:lang w:val="en-GB"/>
        </w:rPr>
        <w:t>reimbursements –</w:t>
      </w:r>
      <w:r w:rsidR="00766CAA" w:rsidRPr="00A33264">
        <w:rPr>
          <w:lang w:val="en-GB"/>
        </w:rPr>
        <w:t xml:space="preserve"> </w:t>
      </w:r>
      <w:r w:rsidR="00E777EE" w:rsidRPr="00A33264">
        <w:rPr>
          <w:lang w:val="en-GB"/>
        </w:rPr>
        <w:t xml:space="preserve">preventing noncompliance and contributing to </w:t>
      </w:r>
      <w:r w:rsidR="00A36773">
        <w:rPr>
          <w:lang w:val="en-GB"/>
        </w:rPr>
        <w:t>Scheme</w:t>
      </w:r>
      <w:r w:rsidR="00CA5D3C" w:rsidRPr="00A33264">
        <w:rPr>
          <w:lang w:val="en-GB"/>
        </w:rPr>
        <w:t xml:space="preserve"> </w:t>
      </w:r>
      <w:r w:rsidR="00E777EE" w:rsidRPr="00A33264">
        <w:rPr>
          <w:lang w:val="en-GB"/>
        </w:rPr>
        <w:t>sustainability</w:t>
      </w:r>
    </w:p>
    <w:p w14:paraId="4694C4E3" w14:textId="3B74D61D" w:rsidR="00766CAA" w:rsidRPr="00A33264" w:rsidRDefault="00C26503" w:rsidP="00766CAA">
      <w:pPr>
        <w:pStyle w:val="Bullet1"/>
        <w:rPr>
          <w:lang w:val="en-GB"/>
        </w:rPr>
      </w:pPr>
      <w:r>
        <w:rPr>
          <w:lang w:val="en-GB"/>
        </w:rPr>
        <w:t xml:space="preserve">identifying and stopping claims from participants who have been overseas for more than 6 weeks – resulting in </w:t>
      </w:r>
      <w:r w:rsidR="00766CAA" w:rsidRPr="00A33264">
        <w:rPr>
          <w:lang w:val="en-GB"/>
        </w:rPr>
        <w:t>more than 150 participants hav</w:t>
      </w:r>
      <w:r w:rsidR="00AC1A29" w:rsidRPr="00A33264">
        <w:rPr>
          <w:lang w:val="en-GB"/>
        </w:rPr>
        <w:t>ing</w:t>
      </w:r>
      <w:r w:rsidR="00766CAA" w:rsidRPr="00A33264">
        <w:rPr>
          <w:lang w:val="en-GB"/>
        </w:rPr>
        <w:t xml:space="preserve"> their plan paused or their eligibility revoked</w:t>
      </w:r>
    </w:p>
    <w:p w14:paraId="54521813" w14:textId="69C12AF4" w:rsidR="00766CAA" w:rsidRPr="00A33264" w:rsidRDefault="00C26503" w:rsidP="00766CAA">
      <w:pPr>
        <w:pStyle w:val="Bullet1"/>
        <w:rPr>
          <w:lang w:val="en-GB"/>
        </w:rPr>
      </w:pPr>
      <w:r>
        <w:rPr>
          <w:lang w:val="en-GB"/>
        </w:rPr>
        <w:t xml:space="preserve">implementing a new web-based form as part of </w:t>
      </w:r>
      <w:r w:rsidR="00AC1A29" w:rsidRPr="00A33264">
        <w:rPr>
          <w:lang w:val="en-GB"/>
        </w:rPr>
        <w:t>a</w:t>
      </w:r>
      <w:r w:rsidR="00766CAA" w:rsidRPr="00A33264">
        <w:rPr>
          <w:lang w:val="en-GB"/>
        </w:rPr>
        <w:t xml:space="preserve"> redesigned tip-off process. Tip-offs to the </w:t>
      </w:r>
      <w:r>
        <w:rPr>
          <w:lang w:val="en-GB"/>
        </w:rPr>
        <w:t>NDIA</w:t>
      </w:r>
      <w:r w:rsidR="00766CAA" w:rsidRPr="00A33264">
        <w:rPr>
          <w:lang w:val="en-GB"/>
        </w:rPr>
        <w:t xml:space="preserve"> continue to increase in </w:t>
      </w:r>
      <w:r>
        <w:rPr>
          <w:lang w:val="en-GB"/>
        </w:rPr>
        <w:t xml:space="preserve">quality and </w:t>
      </w:r>
      <w:r w:rsidR="00766CAA" w:rsidRPr="00A33264">
        <w:rPr>
          <w:lang w:val="en-GB"/>
        </w:rPr>
        <w:t xml:space="preserve">quantity, with over 7,000 received in the 3 months to 30 June </w:t>
      </w:r>
      <w:r>
        <w:rPr>
          <w:lang w:val="en-GB"/>
        </w:rPr>
        <w:t xml:space="preserve">2024 </w:t>
      </w:r>
      <w:r w:rsidR="00766CAA" w:rsidRPr="00A33264">
        <w:rPr>
          <w:lang w:val="en-GB"/>
        </w:rPr>
        <w:t xml:space="preserve">alone – a </w:t>
      </w:r>
      <w:r>
        <w:rPr>
          <w:lang w:val="en-GB"/>
        </w:rPr>
        <w:t>significant increase</w:t>
      </w:r>
    </w:p>
    <w:p w14:paraId="6C72620C" w14:textId="0C46DBD9" w:rsidR="00766CAA" w:rsidRPr="00A33264" w:rsidRDefault="00766CAA" w:rsidP="00766CAA">
      <w:pPr>
        <w:pStyle w:val="Bullet1"/>
        <w:rPr>
          <w:lang w:val="en-GB"/>
        </w:rPr>
      </w:pPr>
      <w:r w:rsidRPr="00A33264">
        <w:rPr>
          <w:lang w:val="en-GB"/>
        </w:rPr>
        <w:t>piloting the use of myGov in front of the NDIS app</w:t>
      </w:r>
      <w:r w:rsidR="00AC1A29" w:rsidRPr="00A33264">
        <w:rPr>
          <w:lang w:val="en-GB"/>
        </w:rPr>
        <w:t xml:space="preserve">, </w:t>
      </w:r>
      <w:r w:rsidRPr="00A33264">
        <w:rPr>
          <w:lang w:val="en-GB"/>
        </w:rPr>
        <w:t>creat</w:t>
      </w:r>
      <w:r w:rsidR="00AC1A29" w:rsidRPr="00A33264">
        <w:rPr>
          <w:lang w:val="en-GB"/>
        </w:rPr>
        <w:t>ing</w:t>
      </w:r>
      <w:r w:rsidRPr="00A33264">
        <w:rPr>
          <w:lang w:val="en-GB"/>
        </w:rPr>
        <w:t xml:space="preserve"> a familiar, consistent and more secure experience for participants and nominees</w:t>
      </w:r>
    </w:p>
    <w:p w14:paraId="7B285BB2" w14:textId="156CC7FC" w:rsidR="00766CAA" w:rsidRPr="00A33264" w:rsidRDefault="00C26503" w:rsidP="00766CAA">
      <w:pPr>
        <w:pStyle w:val="Bullet1"/>
        <w:rPr>
          <w:lang w:val="en-GB"/>
        </w:rPr>
      </w:pPr>
      <w:r>
        <w:rPr>
          <w:lang w:val="en-GB"/>
        </w:rPr>
        <w:t xml:space="preserve">conducting </w:t>
      </w:r>
      <w:r w:rsidR="00766CAA" w:rsidRPr="00A33264">
        <w:rPr>
          <w:lang w:val="en-GB"/>
        </w:rPr>
        <w:t xml:space="preserve">post-payment reviews of School Leavers Employment payments and fixing integrity gaps in </w:t>
      </w:r>
      <w:r w:rsidR="00F231FD">
        <w:rPr>
          <w:lang w:val="en-GB"/>
        </w:rPr>
        <w:t>the way</w:t>
      </w:r>
      <w:r w:rsidR="00766CAA" w:rsidRPr="00A33264">
        <w:rPr>
          <w:lang w:val="en-GB"/>
        </w:rPr>
        <w:t xml:space="preserve"> th</w:t>
      </w:r>
      <w:r>
        <w:rPr>
          <w:lang w:val="en-GB"/>
        </w:rPr>
        <w:t xml:space="preserve">e </w:t>
      </w:r>
      <w:r w:rsidR="00CA5D3C">
        <w:rPr>
          <w:lang w:val="en-GB"/>
        </w:rPr>
        <w:t>payment</w:t>
      </w:r>
      <w:r w:rsidR="00766CAA" w:rsidRPr="00A33264">
        <w:rPr>
          <w:lang w:val="en-GB"/>
        </w:rPr>
        <w:t xml:space="preserve"> is managed</w:t>
      </w:r>
    </w:p>
    <w:p w14:paraId="151E02AB" w14:textId="661F6EF1" w:rsidR="00766CAA" w:rsidRPr="00A33264" w:rsidRDefault="00AC1A29" w:rsidP="00766CAA">
      <w:pPr>
        <w:pStyle w:val="Bullet1"/>
        <w:rPr>
          <w:lang w:val="en-GB"/>
        </w:rPr>
      </w:pPr>
      <w:r w:rsidRPr="00A33264">
        <w:rPr>
          <w:lang w:val="en-GB"/>
        </w:rPr>
        <w:t>chang</w:t>
      </w:r>
      <w:r w:rsidR="00C26503">
        <w:rPr>
          <w:lang w:val="en-GB"/>
        </w:rPr>
        <w:t>ing</w:t>
      </w:r>
      <w:r w:rsidRPr="00A33264">
        <w:rPr>
          <w:lang w:val="en-GB"/>
        </w:rPr>
        <w:t xml:space="preserve"> the claiming process </w:t>
      </w:r>
      <w:r w:rsidR="00766CAA" w:rsidRPr="00A33264">
        <w:rPr>
          <w:lang w:val="en-GB"/>
        </w:rPr>
        <w:t xml:space="preserve">for </w:t>
      </w:r>
      <w:r w:rsidR="00C26503">
        <w:rPr>
          <w:lang w:val="en-GB"/>
        </w:rPr>
        <w:t>s</w:t>
      </w:r>
      <w:r w:rsidR="00766CAA" w:rsidRPr="00A33264">
        <w:rPr>
          <w:lang w:val="en-GB"/>
        </w:rPr>
        <w:t>elf-</w:t>
      </w:r>
      <w:r w:rsidR="00C26503">
        <w:rPr>
          <w:lang w:val="en-GB"/>
        </w:rPr>
        <w:t>m</w:t>
      </w:r>
      <w:r w:rsidR="00766CAA" w:rsidRPr="00A33264">
        <w:rPr>
          <w:lang w:val="en-GB"/>
        </w:rPr>
        <w:t xml:space="preserve">anaged </w:t>
      </w:r>
      <w:r w:rsidR="00C26503">
        <w:rPr>
          <w:lang w:val="en-GB"/>
        </w:rPr>
        <w:t>c</w:t>
      </w:r>
      <w:r w:rsidR="00766CAA" w:rsidRPr="00A33264">
        <w:rPr>
          <w:lang w:val="en-GB"/>
        </w:rPr>
        <w:t>laims</w:t>
      </w:r>
      <w:r w:rsidRPr="00A33264">
        <w:rPr>
          <w:lang w:val="en-GB"/>
        </w:rPr>
        <w:t xml:space="preserve"> to require a description for every claim</w:t>
      </w:r>
    </w:p>
    <w:p w14:paraId="3B59080E" w14:textId="5A4CC922" w:rsidR="00766CAA" w:rsidRPr="00A33264" w:rsidRDefault="00C26503" w:rsidP="00766CAA">
      <w:pPr>
        <w:pStyle w:val="Bullet1"/>
        <w:rPr>
          <w:lang w:val="en-GB"/>
        </w:rPr>
      </w:pPr>
      <w:r>
        <w:rPr>
          <w:lang w:val="en-GB"/>
        </w:rPr>
        <w:t xml:space="preserve">conducting </w:t>
      </w:r>
      <w:r w:rsidR="00766CAA" w:rsidRPr="00A33264">
        <w:rPr>
          <w:lang w:val="en-GB"/>
        </w:rPr>
        <w:t>integrity campaign</w:t>
      </w:r>
      <w:r w:rsidR="00AC1A29" w:rsidRPr="00A33264">
        <w:rPr>
          <w:lang w:val="en-GB"/>
        </w:rPr>
        <w:t>s</w:t>
      </w:r>
      <w:r w:rsidR="00766CAA" w:rsidRPr="00A33264">
        <w:rPr>
          <w:lang w:val="en-GB"/>
        </w:rPr>
        <w:t xml:space="preserve"> focused on </w:t>
      </w:r>
      <w:r w:rsidR="00AC1A29" w:rsidRPr="00A33264">
        <w:rPr>
          <w:lang w:val="en-GB"/>
        </w:rPr>
        <w:t>thematic issues.</w:t>
      </w:r>
    </w:p>
    <w:p w14:paraId="3A32E677" w14:textId="0940D236" w:rsidR="00280054" w:rsidRPr="00A33264" w:rsidRDefault="00766CAA" w:rsidP="00F86FC3">
      <w:pPr>
        <w:rPr>
          <w:lang w:val="en-GB"/>
        </w:rPr>
      </w:pPr>
      <w:r w:rsidRPr="00A33264">
        <w:rPr>
          <w:lang w:val="en-GB"/>
        </w:rPr>
        <w:t>As at 30 June 2024 there were 72 fraud investigations underway, with a</w:t>
      </w:r>
      <w:r w:rsidR="00CA5D3C">
        <w:rPr>
          <w:lang w:val="en-GB"/>
        </w:rPr>
        <w:t>n</w:t>
      </w:r>
      <w:r w:rsidRPr="00A33264">
        <w:rPr>
          <w:lang w:val="en-GB"/>
        </w:rPr>
        <w:t xml:space="preserve"> estimated value of $34.5 million. </w:t>
      </w:r>
      <w:r w:rsidR="00C26503">
        <w:rPr>
          <w:lang w:val="en-GB"/>
        </w:rPr>
        <w:t>Sixteen</w:t>
      </w:r>
      <w:r w:rsidR="00C26503" w:rsidRPr="00A33264">
        <w:rPr>
          <w:lang w:val="en-GB"/>
        </w:rPr>
        <w:t xml:space="preserve"> </w:t>
      </w:r>
      <w:r w:rsidRPr="00A33264">
        <w:rPr>
          <w:lang w:val="en-GB"/>
        </w:rPr>
        <w:t>prosecutions were in progress involving 27 charged offenders.</w:t>
      </w:r>
    </w:p>
    <w:p w14:paraId="2CCDB8BE" w14:textId="7A9BB0C7" w:rsidR="00D7463A" w:rsidRPr="00A33264" w:rsidRDefault="00D7463A" w:rsidP="00D7463A">
      <w:pPr>
        <w:pStyle w:val="Heading4"/>
        <w:rPr>
          <w:lang w:val="en-GB"/>
        </w:rPr>
      </w:pPr>
      <w:bookmarkStart w:id="329" w:name="_Toc169592987"/>
      <w:r w:rsidRPr="00A33264">
        <w:rPr>
          <w:lang w:val="en-GB"/>
        </w:rPr>
        <w:t>Internal audit</w:t>
      </w:r>
      <w:bookmarkEnd w:id="329"/>
    </w:p>
    <w:p w14:paraId="4EEAFFB5" w14:textId="16CD15EC" w:rsidR="00821A87" w:rsidRPr="00A33264" w:rsidRDefault="00821A87" w:rsidP="00821A87">
      <w:pPr>
        <w:rPr>
          <w:lang w:val="en-GB"/>
        </w:rPr>
      </w:pPr>
      <w:r w:rsidRPr="00A33264">
        <w:rPr>
          <w:lang w:val="en-GB"/>
        </w:rPr>
        <w:t xml:space="preserve">The internal audit function supports effective risk management and operates as a key internal control. The Audit Branch provides independent assurance to management and the </w:t>
      </w:r>
      <w:r w:rsidR="00C26503">
        <w:rPr>
          <w:lang w:val="en-GB"/>
        </w:rPr>
        <w:t xml:space="preserve">NDIA </w:t>
      </w:r>
      <w:r w:rsidRPr="00A33264">
        <w:rPr>
          <w:lang w:val="en-GB"/>
        </w:rPr>
        <w:t xml:space="preserve">Board through the Board Audit and Risk Committee. The internal audit function partners with stakeholders to ensure they understand the NDIA’s strategic direction and risk profile to deliver a fully aligned, risk-focused plan incorporating both assurance and advisory activity. As part of the audit process, findings are raised in consultation with relevant business areas </w:t>
      </w:r>
      <w:r w:rsidR="00C26503">
        <w:rPr>
          <w:lang w:val="en-GB"/>
        </w:rPr>
        <w:t>to gain</w:t>
      </w:r>
      <w:r w:rsidR="00C26503" w:rsidRPr="00A33264">
        <w:rPr>
          <w:lang w:val="en-GB"/>
        </w:rPr>
        <w:t xml:space="preserve"> </w:t>
      </w:r>
      <w:r w:rsidRPr="00A33264">
        <w:rPr>
          <w:lang w:val="en-GB"/>
        </w:rPr>
        <w:t xml:space="preserve">an understanding of the operating environment and relevant insights. </w:t>
      </w:r>
    </w:p>
    <w:p w14:paraId="4316F06F" w14:textId="22393C1E" w:rsidR="00D7463A" w:rsidRPr="00A33264" w:rsidRDefault="00821A87" w:rsidP="00821A87">
      <w:pPr>
        <w:rPr>
          <w:lang w:val="en-GB"/>
        </w:rPr>
      </w:pPr>
      <w:r w:rsidRPr="00A33264">
        <w:rPr>
          <w:lang w:val="en-GB"/>
        </w:rPr>
        <w:t xml:space="preserve">The outcomes of all audit activity </w:t>
      </w:r>
      <w:r w:rsidR="006A3A5F">
        <w:rPr>
          <w:lang w:val="en-GB"/>
        </w:rPr>
        <w:t>are</w:t>
      </w:r>
      <w:r w:rsidRPr="00A33264">
        <w:rPr>
          <w:lang w:val="en-GB"/>
        </w:rPr>
        <w:t xml:space="preserve"> reported to the Board Audit and Risk Committee, and progress on action plans </w:t>
      </w:r>
      <w:r w:rsidR="002962FF">
        <w:rPr>
          <w:lang w:val="en-GB"/>
        </w:rPr>
        <w:t>is</w:t>
      </w:r>
      <w:r w:rsidRPr="00A33264">
        <w:rPr>
          <w:lang w:val="en-GB"/>
        </w:rPr>
        <w:t xml:space="preserve"> monitored through an online tracking system. The status of these actions </w:t>
      </w:r>
      <w:r w:rsidR="009238BF">
        <w:rPr>
          <w:lang w:val="en-GB"/>
        </w:rPr>
        <w:t>is</w:t>
      </w:r>
      <w:r w:rsidRPr="00A33264">
        <w:rPr>
          <w:lang w:val="en-GB"/>
        </w:rPr>
        <w:t xml:space="preserve"> reported to both management and the Board through the Board Audit and Risk Committee.</w:t>
      </w:r>
    </w:p>
    <w:p w14:paraId="57DC8CEB" w14:textId="4E0FEB51" w:rsidR="00D7463A" w:rsidRPr="00A33264" w:rsidRDefault="00D7463A" w:rsidP="00D7463A">
      <w:pPr>
        <w:pStyle w:val="Heading4"/>
        <w:rPr>
          <w:lang w:val="en-GB"/>
        </w:rPr>
      </w:pPr>
      <w:bookmarkStart w:id="330" w:name="_Toc169592988"/>
      <w:r w:rsidRPr="00A33264">
        <w:rPr>
          <w:lang w:val="en-GB"/>
        </w:rPr>
        <w:t>External audit</w:t>
      </w:r>
      <w:bookmarkEnd w:id="330"/>
    </w:p>
    <w:p w14:paraId="0BD8E1F9" w14:textId="5CE548C9" w:rsidR="00D7463A" w:rsidRPr="00A33264" w:rsidRDefault="00821A87" w:rsidP="00D7463A">
      <w:pPr>
        <w:rPr>
          <w:lang w:val="en-GB"/>
        </w:rPr>
      </w:pPr>
      <w:r w:rsidRPr="00A33264">
        <w:rPr>
          <w:lang w:val="en-GB"/>
        </w:rPr>
        <w:t xml:space="preserve">The NDIA </w:t>
      </w:r>
      <w:r w:rsidR="006C414F">
        <w:rPr>
          <w:lang w:val="en-GB"/>
        </w:rPr>
        <w:t>works</w:t>
      </w:r>
      <w:r w:rsidRPr="00A33264">
        <w:rPr>
          <w:lang w:val="en-GB"/>
        </w:rPr>
        <w:t xml:space="preserve"> with the Australian National Audit Office (ANAO), which provides external auditing services on the annual financial statements, annual performance </w:t>
      </w:r>
      <w:r w:rsidRPr="00A33264">
        <w:rPr>
          <w:lang w:val="en-GB"/>
        </w:rPr>
        <w:lastRenderedPageBreak/>
        <w:t>statements and performance audit services. Details of performance audits undertaken during the year that have an impact on the NDIA are provided in section 6.8</w:t>
      </w:r>
      <w:r w:rsidR="00847308" w:rsidRPr="00A33264">
        <w:rPr>
          <w:lang w:val="en-GB"/>
        </w:rPr>
        <w:t>.6 of this report</w:t>
      </w:r>
      <w:r w:rsidRPr="00A33264">
        <w:rPr>
          <w:lang w:val="en-GB"/>
        </w:rPr>
        <w:t>. The ANAO audit report on annual financial statements is included in section 3. All management actions taken to address recommendations raised by the ANAO are tracked, with regular reporting on their status to both management and the Board Audit and Risk Committee.</w:t>
      </w:r>
    </w:p>
    <w:p w14:paraId="50E29887" w14:textId="17467AEF" w:rsidR="00863C7F" w:rsidRPr="00A33264" w:rsidRDefault="00D7463A" w:rsidP="005F5CE9">
      <w:pPr>
        <w:pStyle w:val="Heading2"/>
        <w:rPr>
          <w:lang w:val="en-GB"/>
        </w:rPr>
      </w:pPr>
      <w:bookmarkStart w:id="331" w:name="_Toc169592989"/>
      <w:bookmarkStart w:id="332" w:name="_Toc174354205"/>
      <w:bookmarkStart w:id="333" w:name="_Toc174354233"/>
      <w:bookmarkStart w:id="334" w:name="_Toc176786400"/>
      <w:bookmarkStart w:id="335" w:name="_Toc180505682"/>
      <w:r w:rsidRPr="00A33264">
        <w:rPr>
          <w:lang w:val="en-GB"/>
        </w:rPr>
        <w:t>Appendi</w:t>
      </w:r>
      <w:bookmarkEnd w:id="331"/>
      <w:bookmarkEnd w:id="332"/>
      <w:bookmarkEnd w:id="333"/>
      <w:bookmarkEnd w:id="334"/>
      <w:r w:rsidR="009E1CB5">
        <w:rPr>
          <w:lang w:val="en-GB"/>
        </w:rPr>
        <w:t>ces</w:t>
      </w:r>
      <w:bookmarkEnd w:id="335"/>
    </w:p>
    <w:p w14:paraId="3D1F7B34" w14:textId="39262A70" w:rsidR="00D7463A" w:rsidRPr="00A33264" w:rsidRDefault="00D7463A" w:rsidP="00D7463A">
      <w:pPr>
        <w:pStyle w:val="Heading3"/>
        <w:rPr>
          <w:lang w:val="en-GB"/>
        </w:rPr>
      </w:pPr>
      <w:bookmarkStart w:id="336" w:name="_Toc169592990"/>
      <w:bookmarkStart w:id="337" w:name="_Toc174354206"/>
      <w:bookmarkStart w:id="338" w:name="_Toc175316910"/>
      <w:bookmarkStart w:id="339" w:name="_Toc176786401"/>
      <w:bookmarkStart w:id="340" w:name="_Toc180505683"/>
      <w:r w:rsidRPr="00A33264">
        <w:rPr>
          <w:lang w:val="en-GB"/>
        </w:rPr>
        <w:t>Enabling legislation</w:t>
      </w:r>
      <w:bookmarkEnd w:id="336"/>
      <w:bookmarkEnd w:id="337"/>
      <w:bookmarkEnd w:id="338"/>
      <w:bookmarkEnd w:id="339"/>
      <w:bookmarkEnd w:id="340"/>
    </w:p>
    <w:p w14:paraId="172E0FFF" w14:textId="088AC0D6" w:rsidR="00E83B0D" w:rsidRPr="00A33264" w:rsidRDefault="00E83B0D" w:rsidP="00E83B0D">
      <w:pPr>
        <w:rPr>
          <w:lang w:val="en-GB"/>
        </w:rPr>
      </w:pPr>
      <w:r w:rsidRPr="00A33264">
        <w:rPr>
          <w:lang w:val="en-GB"/>
        </w:rPr>
        <w:t xml:space="preserve">The National Disability Insurance Agency </w:t>
      </w:r>
      <w:r w:rsidR="00400496">
        <w:rPr>
          <w:lang w:val="en-GB"/>
        </w:rPr>
        <w:t xml:space="preserve">(NDIA) </w:t>
      </w:r>
      <w:r w:rsidRPr="00A33264">
        <w:rPr>
          <w:lang w:val="en-GB"/>
        </w:rPr>
        <w:t xml:space="preserve">is established under </w:t>
      </w:r>
      <w:r w:rsidRPr="00A33264">
        <w:rPr>
          <w:i/>
          <w:iCs/>
          <w:lang w:val="en-GB"/>
        </w:rPr>
        <w:t>the National Disability Insurance Scheme Act 2013 </w:t>
      </w:r>
      <w:r w:rsidRPr="00A33264">
        <w:rPr>
          <w:lang w:val="en-GB"/>
        </w:rPr>
        <w:t>(</w:t>
      </w:r>
      <w:r w:rsidR="00F231FD">
        <w:rPr>
          <w:lang w:val="en-GB"/>
        </w:rPr>
        <w:t>Cth) (</w:t>
      </w:r>
      <w:r w:rsidRPr="00A33264">
        <w:rPr>
          <w:lang w:val="en-GB"/>
        </w:rPr>
        <w:t>NDIS Act) to deliver the National Disability Insurance Scheme</w:t>
      </w:r>
      <w:r w:rsidR="00C009BC">
        <w:rPr>
          <w:lang w:val="en-GB"/>
        </w:rPr>
        <w:t xml:space="preserve"> (NDIS)</w:t>
      </w:r>
      <w:r w:rsidRPr="00A33264">
        <w:rPr>
          <w:lang w:val="en-GB"/>
        </w:rPr>
        <w:t>.</w:t>
      </w:r>
    </w:p>
    <w:p w14:paraId="488E239C" w14:textId="5B85E6A3" w:rsidR="00D7463A" w:rsidRPr="00A33264" w:rsidRDefault="00E83B0D" w:rsidP="00E83B0D">
      <w:pPr>
        <w:rPr>
          <w:lang w:val="en-GB"/>
        </w:rPr>
      </w:pPr>
      <w:r w:rsidRPr="00A33264">
        <w:rPr>
          <w:lang w:val="en-GB"/>
        </w:rPr>
        <w:t xml:space="preserve">Following the release of the NDIS Review report on 7 December 2023, the </w:t>
      </w:r>
      <w:r w:rsidR="004C75ED">
        <w:rPr>
          <w:lang w:val="en-GB"/>
        </w:rPr>
        <w:t>G</w:t>
      </w:r>
      <w:r w:rsidRPr="00A33264">
        <w:rPr>
          <w:lang w:val="en-GB"/>
        </w:rPr>
        <w:t>overnment introduced the National Disability Insurance Scheme Amendment (Getting the NDIS Back on Track No. 1) Bill 2024 on 27 March 2024. The Bill propose</w:t>
      </w:r>
      <w:r w:rsidR="003C7217" w:rsidRPr="00A33264">
        <w:rPr>
          <w:lang w:val="en-GB"/>
        </w:rPr>
        <w:t>d</w:t>
      </w:r>
      <w:r w:rsidRPr="00A33264">
        <w:rPr>
          <w:lang w:val="en-GB"/>
        </w:rPr>
        <w:t xml:space="preserve"> changes to various provisions in the NDIS Act aimed at implementing NDIS Review report recommendations and improving the participant experience.</w:t>
      </w:r>
      <w:r w:rsidR="003C7217" w:rsidRPr="00A33264">
        <w:rPr>
          <w:lang w:val="en-GB"/>
        </w:rPr>
        <w:t xml:space="preserve"> The Bill was passed by the Parliament on 22 August 2024 and will come into effect 28 days after it receives Royal Assent.</w:t>
      </w:r>
    </w:p>
    <w:p w14:paraId="39DC03E4" w14:textId="092C0257" w:rsidR="00D7463A" w:rsidRPr="00A33264" w:rsidRDefault="00D7463A" w:rsidP="00D7463A">
      <w:pPr>
        <w:pStyle w:val="Heading3"/>
        <w:rPr>
          <w:lang w:val="en-GB"/>
        </w:rPr>
      </w:pPr>
      <w:bookmarkStart w:id="341" w:name="_Toc169592991"/>
      <w:bookmarkStart w:id="342" w:name="_Toc174354207"/>
      <w:bookmarkStart w:id="343" w:name="_Toc175316911"/>
      <w:bookmarkStart w:id="344" w:name="_Toc176786402"/>
      <w:bookmarkStart w:id="345" w:name="_Toc180505684"/>
      <w:r w:rsidRPr="00A33264">
        <w:rPr>
          <w:lang w:val="en-GB"/>
        </w:rPr>
        <w:t xml:space="preserve">Audit </w:t>
      </w:r>
      <w:r w:rsidR="008662F5" w:rsidRPr="00A33264">
        <w:rPr>
          <w:lang w:val="en-GB"/>
        </w:rPr>
        <w:t xml:space="preserve">and Risk </w:t>
      </w:r>
      <w:r w:rsidRPr="00A33264">
        <w:rPr>
          <w:lang w:val="en-GB"/>
        </w:rPr>
        <w:t>Committee</w:t>
      </w:r>
      <w:bookmarkEnd w:id="341"/>
      <w:bookmarkEnd w:id="342"/>
      <w:bookmarkEnd w:id="343"/>
      <w:bookmarkEnd w:id="344"/>
      <w:bookmarkEnd w:id="345"/>
    </w:p>
    <w:p w14:paraId="09D8B49E" w14:textId="682A28EB" w:rsidR="009F6E27" w:rsidRPr="00A33264" w:rsidRDefault="009F6E27" w:rsidP="009F6E27">
      <w:pPr>
        <w:rPr>
          <w:lang w:val="en-GB"/>
        </w:rPr>
      </w:pPr>
      <w:r w:rsidRPr="00A33264">
        <w:rPr>
          <w:lang w:val="en-GB"/>
        </w:rPr>
        <w:t xml:space="preserve">The NDIA Board has established the Audit and Risk Committee to provide independent advice and assurance to the Board, as the </w:t>
      </w:r>
      <w:r w:rsidR="00C26503">
        <w:rPr>
          <w:lang w:val="en-GB"/>
        </w:rPr>
        <w:t>NDIA</w:t>
      </w:r>
      <w:r w:rsidR="00C26503" w:rsidRPr="00A33264">
        <w:rPr>
          <w:lang w:val="en-GB"/>
        </w:rPr>
        <w:t xml:space="preserve">’s </w:t>
      </w:r>
      <w:r w:rsidRPr="00A33264">
        <w:rPr>
          <w:lang w:val="en-GB"/>
        </w:rPr>
        <w:t>accountable authority, in accordance with</w:t>
      </w:r>
      <w:r w:rsidR="00C26503">
        <w:rPr>
          <w:lang w:val="en-GB"/>
        </w:rPr>
        <w:t xml:space="preserve"> the</w:t>
      </w:r>
      <w:r w:rsidRPr="00A33264">
        <w:rPr>
          <w:lang w:val="en-GB"/>
        </w:rPr>
        <w:t>:</w:t>
      </w:r>
    </w:p>
    <w:p w14:paraId="5995BC8E" w14:textId="34709ED5" w:rsidR="009F6E27" w:rsidRPr="00A33264" w:rsidRDefault="009F6E27" w:rsidP="009F6E27">
      <w:pPr>
        <w:pStyle w:val="Bullet1"/>
        <w:rPr>
          <w:lang w:val="en-GB"/>
        </w:rPr>
      </w:pPr>
      <w:r w:rsidRPr="00A33264">
        <w:rPr>
          <w:lang w:val="en-GB"/>
        </w:rPr>
        <w:t>PGPA Act</w:t>
      </w:r>
    </w:p>
    <w:p w14:paraId="606F8566" w14:textId="5F8A1497" w:rsidR="009F6E27" w:rsidRPr="00A33264" w:rsidRDefault="009F6E27" w:rsidP="009F6E27">
      <w:pPr>
        <w:pStyle w:val="Bullet1"/>
        <w:rPr>
          <w:lang w:val="en-GB"/>
        </w:rPr>
      </w:pPr>
      <w:r w:rsidRPr="00A33264">
        <w:rPr>
          <w:i/>
          <w:iCs/>
          <w:lang w:val="en-GB"/>
        </w:rPr>
        <w:t>Public Governance, Performance and Accountability Rule 2014</w:t>
      </w:r>
      <w:r w:rsidRPr="00A33264">
        <w:rPr>
          <w:lang w:val="en-GB"/>
        </w:rPr>
        <w:t xml:space="preserve"> (PGPA Rule)</w:t>
      </w:r>
    </w:p>
    <w:p w14:paraId="315D96E3" w14:textId="1AEFE8DD" w:rsidR="009F6E27" w:rsidRPr="00A33264" w:rsidRDefault="009F6E27" w:rsidP="009F6E27">
      <w:pPr>
        <w:pStyle w:val="Bullet1"/>
        <w:rPr>
          <w:lang w:val="en-GB"/>
        </w:rPr>
      </w:pPr>
      <w:r w:rsidRPr="00A33264">
        <w:rPr>
          <w:lang w:val="en-GB"/>
        </w:rPr>
        <w:t>NDIS Act</w:t>
      </w:r>
    </w:p>
    <w:p w14:paraId="6E724D77" w14:textId="34B5AB40" w:rsidR="009F6E27" w:rsidRPr="00A33264" w:rsidRDefault="009F6E27" w:rsidP="009F6E27">
      <w:pPr>
        <w:pStyle w:val="Bullet1"/>
        <w:rPr>
          <w:lang w:val="en-GB"/>
        </w:rPr>
      </w:pPr>
      <w:r w:rsidRPr="00A33264">
        <w:rPr>
          <w:i/>
          <w:iCs/>
          <w:lang w:val="en-GB"/>
        </w:rPr>
        <w:t>National Disability Insurance Scheme—Risk Management Rules 2013</w:t>
      </w:r>
      <w:r w:rsidRPr="00A33264">
        <w:rPr>
          <w:lang w:val="en-GB"/>
        </w:rPr>
        <w:t>.</w:t>
      </w:r>
    </w:p>
    <w:p w14:paraId="2D761C91" w14:textId="2732C3AA" w:rsidR="00F23525" w:rsidRDefault="00F231FD" w:rsidP="009F6E27">
      <w:pPr>
        <w:rPr>
          <w:u w:val="single"/>
          <w:lang w:val="en-GB"/>
        </w:rPr>
      </w:pPr>
      <w:r>
        <w:rPr>
          <w:lang w:val="en-GB"/>
        </w:rPr>
        <w:t xml:space="preserve">Table 6 shows Audit and Risk Committee remuneration. </w:t>
      </w:r>
      <w:r w:rsidR="009F6E27" w:rsidRPr="00A33264">
        <w:rPr>
          <w:lang w:val="en-GB"/>
        </w:rPr>
        <w:t xml:space="preserve">For details of members’ qualifications, knowledge, skills or experience, refer to section 5.2.1. For information on the number of meetings attended </w:t>
      </w:r>
      <w:r>
        <w:rPr>
          <w:lang w:val="en-GB"/>
        </w:rPr>
        <w:t>and the</w:t>
      </w:r>
      <w:r w:rsidR="009F6E27" w:rsidRPr="00A33264">
        <w:rPr>
          <w:lang w:val="en-GB"/>
        </w:rPr>
        <w:t xml:space="preserve"> total number of meetings, refer to section 5.2.3.</w:t>
      </w:r>
      <w:r w:rsidR="00F23525">
        <w:rPr>
          <w:u w:val="single"/>
          <w:lang w:val="en-GB"/>
        </w:rPr>
        <w:br w:type="page"/>
      </w:r>
    </w:p>
    <w:p w14:paraId="4C63870A" w14:textId="2E8E8AF8" w:rsidR="00EC4C79" w:rsidRPr="00A33264" w:rsidRDefault="00EC4C79" w:rsidP="009F6E27">
      <w:pPr>
        <w:rPr>
          <w:u w:val="single"/>
          <w:lang w:val="en-GB"/>
        </w:rPr>
      </w:pPr>
      <w:r w:rsidRPr="00A33264">
        <w:rPr>
          <w:u w:val="single"/>
          <w:lang w:val="en-GB"/>
        </w:rPr>
        <w:lastRenderedPageBreak/>
        <w:t>Table 6</w:t>
      </w:r>
      <w:r w:rsidR="00C25B9C">
        <w:rPr>
          <w:u w:val="single"/>
          <w:lang w:val="en-GB"/>
        </w:rPr>
        <w:t>:</w:t>
      </w:r>
      <w:r w:rsidRPr="00A33264">
        <w:rPr>
          <w:u w:val="single"/>
          <w:lang w:val="en-GB"/>
        </w:rPr>
        <w:t xml:space="preserve"> Audit and Risk Committee</w:t>
      </w:r>
      <w:r w:rsidR="00E11821" w:rsidRPr="00A33264">
        <w:rPr>
          <w:u w:val="single"/>
          <w:lang w:val="en-GB"/>
        </w:rPr>
        <w:t xml:space="preserve"> remuneration</w:t>
      </w:r>
    </w:p>
    <w:tbl>
      <w:tblPr>
        <w:tblW w:w="91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4649"/>
        <w:gridCol w:w="4479"/>
      </w:tblGrid>
      <w:tr w:rsidR="00E11821" w:rsidRPr="00A33264" w14:paraId="246A0056" w14:textId="77777777" w:rsidTr="005A19CA">
        <w:trPr>
          <w:cantSplit/>
          <w:tblHeader/>
        </w:trPr>
        <w:tc>
          <w:tcPr>
            <w:tcW w:w="4649" w:type="dxa"/>
            <w:tcBorders>
              <w:top w:val="single" w:sz="4" w:space="0" w:color="000000"/>
              <w:left w:val="single" w:sz="4" w:space="0" w:color="000000"/>
              <w:bottom w:val="single" w:sz="4" w:space="0" w:color="000000"/>
              <w:right w:val="single" w:sz="4" w:space="0" w:color="F9F9F9" w:themeColor="background1"/>
            </w:tcBorders>
            <w:shd w:val="clear" w:color="auto" w:fill="6B2876" w:themeFill="text1"/>
            <w:vAlign w:val="center"/>
            <w:hideMark/>
          </w:tcPr>
          <w:p w14:paraId="6FC9E63A" w14:textId="77777777" w:rsidR="00E11821" w:rsidRPr="00A33264" w:rsidRDefault="00E11821" w:rsidP="00667FDC">
            <w:pPr>
              <w:spacing w:after="0"/>
              <w:rPr>
                <w:b/>
                <w:color w:val="F9F9F9" w:themeColor="background1"/>
                <w:lang w:val="en-GB"/>
              </w:rPr>
            </w:pPr>
            <w:bookmarkStart w:id="346" w:name="ColumnTitle_Table6"/>
            <w:bookmarkEnd w:id="346"/>
            <w:r w:rsidRPr="00A33264">
              <w:rPr>
                <w:b/>
                <w:color w:val="F9F9F9" w:themeColor="background1"/>
                <w:lang w:val="en-GB"/>
              </w:rPr>
              <w:t>Member name</w:t>
            </w:r>
          </w:p>
        </w:tc>
        <w:tc>
          <w:tcPr>
            <w:tcW w:w="4479" w:type="dxa"/>
            <w:tcBorders>
              <w:top w:val="single" w:sz="4" w:space="0" w:color="000000"/>
              <w:left w:val="single" w:sz="4" w:space="0" w:color="F9F9F9" w:themeColor="background1"/>
              <w:bottom w:val="single" w:sz="4" w:space="0" w:color="000000"/>
              <w:right w:val="single" w:sz="4" w:space="0" w:color="F9F9F9" w:themeColor="background1"/>
            </w:tcBorders>
            <w:shd w:val="clear" w:color="auto" w:fill="6B2876" w:themeFill="text1"/>
            <w:vAlign w:val="center"/>
            <w:hideMark/>
          </w:tcPr>
          <w:p w14:paraId="7D2CEF86" w14:textId="16AEF429" w:rsidR="00E11821" w:rsidRPr="00A33264" w:rsidRDefault="00E11821" w:rsidP="005A19CA">
            <w:pPr>
              <w:spacing w:after="0"/>
              <w:jc w:val="right"/>
              <w:rPr>
                <w:b/>
                <w:bCs/>
                <w:color w:val="F9F9F9" w:themeColor="background1"/>
                <w:lang w:val="en-GB"/>
              </w:rPr>
            </w:pPr>
            <w:r w:rsidRPr="00A33264">
              <w:rPr>
                <w:b/>
                <w:bCs/>
                <w:color w:val="F9F9F9" w:themeColor="background1"/>
                <w:lang w:val="en-GB"/>
              </w:rPr>
              <w:t>Total annual remuneration (</w:t>
            </w:r>
            <w:r w:rsidR="00491EF8">
              <w:rPr>
                <w:b/>
                <w:bCs/>
                <w:color w:val="F9F9F9" w:themeColor="background1"/>
                <w:lang w:val="en-GB"/>
              </w:rPr>
              <w:t xml:space="preserve">$ </w:t>
            </w:r>
            <w:r w:rsidRPr="00A33264">
              <w:rPr>
                <w:b/>
                <w:bCs/>
                <w:color w:val="F9F9F9" w:themeColor="background1"/>
                <w:lang w:val="en-GB"/>
              </w:rPr>
              <w:t>GST inc.)</w:t>
            </w:r>
          </w:p>
        </w:tc>
      </w:tr>
      <w:tr w:rsidR="00E11821" w:rsidRPr="00A33264" w14:paraId="4247B040" w14:textId="77777777" w:rsidTr="005A19CA">
        <w:trPr>
          <w:cantSplit/>
        </w:trPr>
        <w:tc>
          <w:tcPr>
            <w:tcW w:w="4649" w:type="dxa"/>
            <w:tcBorders>
              <w:top w:val="single" w:sz="4" w:space="0" w:color="000000"/>
              <w:left w:val="single" w:sz="4" w:space="0" w:color="000000"/>
              <w:bottom w:val="single" w:sz="4" w:space="0" w:color="000000"/>
              <w:right w:val="single" w:sz="4" w:space="0" w:color="000000"/>
            </w:tcBorders>
            <w:shd w:val="clear" w:color="auto" w:fill="F7EEF7"/>
          </w:tcPr>
          <w:p w14:paraId="119BAE06" w14:textId="19F261C7" w:rsidR="00E11821" w:rsidRPr="00A33264" w:rsidRDefault="00057554" w:rsidP="008A1E8E">
            <w:pPr>
              <w:spacing w:after="0"/>
              <w:rPr>
                <w:lang w:val="en-GB"/>
              </w:rPr>
            </w:pPr>
            <w:r>
              <w:rPr>
                <w:lang w:val="en-GB"/>
              </w:rPr>
              <w:t xml:space="preserve">Dr </w:t>
            </w:r>
            <w:r w:rsidR="008A1E8E" w:rsidRPr="00A33264">
              <w:rPr>
                <w:lang w:val="en-GB"/>
              </w:rPr>
              <w:t>Graeme I</w:t>
            </w:r>
            <w:r w:rsidR="005D0503" w:rsidRPr="00A33264">
              <w:rPr>
                <w:lang w:val="en-GB"/>
              </w:rPr>
              <w:t>nnes</w:t>
            </w:r>
            <w:r>
              <w:rPr>
                <w:lang w:val="en-GB"/>
              </w:rPr>
              <w:t xml:space="preserve"> AM</w:t>
            </w:r>
          </w:p>
        </w:tc>
        <w:tc>
          <w:tcPr>
            <w:tcW w:w="4479" w:type="dxa"/>
            <w:tcBorders>
              <w:top w:val="single" w:sz="4" w:space="0" w:color="000000"/>
              <w:left w:val="single" w:sz="4" w:space="0" w:color="000000"/>
              <w:bottom w:val="single" w:sz="4" w:space="0" w:color="000000"/>
              <w:right w:val="single" w:sz="4" w:space="0" w:color="000000"/>
            </w:tcBorders>
            <w:shd w:val="clear" w:color="auto" w:fill="F7EEF7"/>
            <w:vAlign w:val="center"/>
          </w:tcPr>
          <w:p w14:paraId="1A6406AD" w14:textId="7C15A770" w:rsidR="00E11821" w:rsidRPr="00A33264" w:rsidRDefault="008A1E8E" w:rsidP="005A19CA">
            <w:pPr>
              <w:spacing w:after="0"/>
              <w:jc w:val="right"/>
              <w:rPr>
                <w:lang w:val="en-GB"/>
              </w:rPr>
            </w:pPr>
            <w:r w:rsidRPr="00A33264">
              <w:rPr>
                <w:lang w:val="en-GB"/>
              </w:rPr>
              <w:t>17,450</w:t>
            </w:r>
          </w:p>
        </w:tc>
      </w:tr>
      <w:tr w:rsidR="00E11821" w:rsidRPr="00A33264" w14:paraId="09E83CC3" w14:textId="77777777" w:rsidTr="005A19CA">
        <w:trPr>
          <w:cantSplit/>
        </w:trPr>
        <w:tc>
          <w:tcPr>
            <w:tcW w:w="4649" w:type="dxa"/>
            <w:tcBorders>
              <w:top w:val="single" w:sz="4" w:space="0" w:color="000000"/>
              <w:left w:val="single" w:sz="4" w:space="0" w:color="000000"/>
              <w:bottom w:val="single" w:sz="4" w:space="0" w:color="000000"/>
              <w:right w:val="single" w:sz="4" w:space="0" w:color="000000"/>
            </w:tcBorders>
          </w:tcPr>
          <w:p w14:paraId="53416595" w14:textId="05DD5905" w:rsidR="00E11821" w:rsidRPr="00A33264" w:rsidRDefault="00057554" w:rsidP="00667FDC">
            <w:pPr>
              <w:spacing w:after="0"/>
              <w:rPr>
                <w:lang w:val="en-GB"/>
              </w:rPr>
            </w:pPr>
            <w:r>
              <w:rPr>
                <w:lang w:val="en-GB"/>
              </w:rPr>
              <w:t xml:space="preserve">Ms </w:t>
            </w:r>
            <w:r w:rsidR="008A1E8E" w:rsidRPr="00A33264">
              <w:rPr>
                <w:lang w:val="en-GB"/>
              </w:rPr>
              <w:t>Meredith A</w:t>
            </w:r>
            <w:r w:rsidR="005D0503" w:rsidRPr="00A33264">
              <w:rPr>
                <w:lang w:val="en-GB"/>
              </w:rPr>
              <w:t>llan</w:t>
            </w:r>
          </w:p>
        </w:tc>
        <w:tc>
          <w:tcPr>
            <w:tcW w:w="4479" w:type="dxa"/>
            <w:tcBorders>
              <w:top w:val="single" w:sz="4" w:space="0" w:color="000000"/>
              <w:left w:val="single" w:sz="4" w:space="0" w:color="000000"/>
              <w:bottom w:val="single" w:sz="4" w:space="0" w:color="000000"/>
              <w:right w:val="single" w:sz="4" w:space="0" w:color="000000"/>
            </w:tcBorders>
            <w:vAlign w:val="center"/>
          </w:tcPr>
          <w:p w14:paraId="4AD74D9D" w14:textId="39A53102" w:rsidR="00E11821" w:rsidRPr="00A33264" w:rsidRDefault="008A1E8E" w:rsidP="005A19CA">
            <w:pPr>
              <w:spacing w:after="0"/>
              <w:jc w:val="right"/>
              <w:rPr>
                <w:lang w:val="en-GB"/>
              </w:rPr>
            </w:pPr>
            <w:r w:rsidRPr="00A33264">
              <w:rPr>
                <w:lang w:val="en-GB"/>
              </w:rPr>
              <w:t>8,730</w:t>
            </w:r>
          </w:p>
        </w:tc>
      </w:tr>
      <w:tr w:rsidR="00E11821" w:rsidRPr="00A33264" w14:paraId="03F2B1A5" w14:textId="77777777" w:rsidTr="005A19CA">
        <w:trPr>
          <w:cantSplit/>
        </w:trPr>
        <w:tc>
          <w:tcPr>
            <w:tcW w:w="4649" w:type="dxa"/>
            <w:tcBorders>
              <w:top w:val="single" w:sz="4" w:space="0" w:color="000000"/>
              <w:left w:val="single" w:sz="4" w:space="0" w:color="000000"/>
              <w:bottom w:val="single" w:sz="4" w:space="0" w:color="000000"/>
              <w:right w:val="single" w:sz="4" w:space="0" w:color="000000"/>
            </w:tcBorders>
            <w:shd w:val="clear" w:color="auto" w:fill="F7EEF7"/>
          </w:tcPr>
          <w:p w14:paraId="2D6FC4AE" w14:textId="1A7C6DB4" w:rsidR="00E11821" w:rsidRPr="00A33264" w:rsidRDefault="00057554" w:rsidP="008A1E8E">
            <w:pPr>
              <w:spacing w:after="0"/>
              <w:rPr>
                <w:lang w:val="en-GB"/>
              </w:rPr>
            </w:pPr>
            <w:r>
              <w:rPr>
                <w:lang w:val="en-GB"/>
              </w:rPr>
              <w:t xml:space="preserve">Mr </w:t>
            </w:r>
            <w:r w:rsidR="008A1E8E" w:rsidRPr="00A33264">
              <w:rPr>
                <w:lang w:val="en-GB"/>
              </w:rPr>
              <w:t>Asimakis</w:t>
            </w:r>
            <w:r>
              <w:rPr>
                <w:lang w:val="en-GB"/>
              </w:rPr>
              <w:t xml:space="preserve"> (Mark)</w:t>
            </w:r>
            <w:r w:rsidR="008A1E8E" w:rsidRPr="00A33264">
              <w:rPr>
                <w:lang w:val="en-GB"/>
              </w:rPr>
              <w:t xml:space="preserve"> D</w:t>
            </w:r>
            <w:r w:rsidR="005D0503" w:rsidRPr="00A33264">
              <w:rPr>
                <w:lang w:val="en-GB"/>
              </w:rPr>
              <w:t>arras</w:t>
            </w:r>
          </w:p>
        </w:tc>
        <w:tc>
          <w:tcPr>
            <w:tcW w:w="4479" w:type="dxa"/>
            <w:tcBorders>
              <w:top w:val="single" w:sz="4" w:space="0" w:color="000000"/>
              <w:left w:val="single" w:sz="4" w:space="0" w:color="000000"/>
              <w:bottom w:val="single" w:sz="4" w:space="0" w:color="000000"/>
              <w:right w:val="single" w:sz="4" w:space="0" w:color="000000"/>
            </w:tcBorders>
            <w:shd w:val="clear" w:color="auto" w:fill="F7EEF7"/>
            <w:vAlign w:val="center"/>
          </w:tcPr>
          <w:p w14:paraId="3BFD2FB6" w14:textId="22D9F9AA" w:rsidR="00E11821" w:rsidRPr="00A33264" w:rsidRDefault="008A1E8E" w:rsidP="005A19CA">
            <w:pPr>
              <w:spacing w:after="0"/>
              <w:jc w:val="right"/>
              <w:rPr>
                <w:lang w:val="en-GB"/>
              </w:rPr>
            </w:pPr>
            <w:r w:rsidRPr="00A33264">
              <w:rPr>
                <w:lang w:val="en-GB"/>
              </w:rPr>
              <w:t>2,183</w:t>
            </w:r>
          </w:p>
        </w:tc>
      </w:tr>
      <w:tr w:rsidR="00E11821" w:rsidRPr="00A33264" w14:paraId="41033733" w14:textId="77777777" w:rsidTr="005A19CA">
        <w:trPr>
          <w:cantSplit/>
        </w:trPr>
        <w:tc>
          <w:tcPr>
            <w:tcW w:w="4649" w:type="dxa"/>
            <w:tcBorders>
              <w:top w:val="single" w:sz="4" w:space="0" w:color="000000"/>
              <w:left w:val="single" w:sz="4" w:space="0" w:color="000000"/>
              <w:bottom w:val="single" w:sz="4" w:space="0" w:color="000000"/>
              <w:right w:val="single" w:sz="4" w:space="0" w:color="000000"/>
            </w:tcBorders>
          </w:tcPr>
          <w:p w14:paraId="1095BF84" w14:textId="5694B9C5" w:rsidR="00E11821" w:rsidRPr="00A33264" w:rsidRDefault="00057554" w:rsidP="008A1E8E">
            <w:pPr>
              <w:spacing w:after="0"/>
              <w:rPr>
                <w:lang w:val="en-GB"/>
              </w:rPr>
            </w:pPr>
            <w:r>
              <w:rPr>
                <w:lang w:val="en-GB"/>
              </w:rPr>
              <w:t xml:space="preserve">Ms </w:t>
            </w:r>
            <w:r w:rsidR="008A1E8E" w:rsidRPr="00A33264">
              <w:rPr>
                <w:lang w:val="en-GB"/>
              </w:rPr>
              <w:t>Maryanne D</w:t>
            </w:r>
            <w:r w:rsidR="005D0503" w:rsidRPr="00A33264">
              <w:rPr>
                <w:lang w:val="en-GB"/>
              </w:rPr>
              <w:t>iamond</w:t>
            </w:r>
            <w:r>
              <w:rPr>
                <w:lang w:val="en-GB"/>
              </w:rPr>
              <w:t xml:space="preserve"> AO</w:t>
            </w:r>
          </w:p>
        </w:tc>
        <w:tc>
          <w:tcPr>
            <w:tcW w:w="4479" w:type="dxa"/>
            <w:tcBorders>
              <w:top w:val="single" w:sz="4" w:space="0" w:color="000000"/>
              <w:left w:val="single" w:sz="4" w:space="0" w:color="000000"/>
              <w:bottom w:val="single" w:sz="4" w:space="0" w:color="000000"/>
              <w:right w:val="single" w:sz="4" w:space="0" w:color="000000"/>
            </w:tcBorders>
            <w:vAlign w:val="center"/>
          </w:tcPr>
          <w:p w14:paraId="362BC225" w14:textId="06E88F9C" w:rsidR="00E11821" w:rsidRPr="00A33264" w:rsidRDefault="008A1E8E" w:rsidP="005A19CA">
            <w:pPr>
              <w:spacing w:after="0"/>
              <w:jc w:val="right"/>
              <w:rPr>
                <w:lang w:val="en-GB"/>
              </w:rPr>
            </w:pPr>
            <w:r w:rsidRPr="00A33264">
              <w:rPr>
                <w:lang w:val="en-GB"/>
              </w:rPr>
              <w:t>8,730</w:t>
            </w:r>
          </w:p>
        </w:tc>
      </w:tr>
      <w:tr w:rsidR="00E11821" w:rsidRPr="00A33264" w14:paraId="50A8872F" w14:textId="77777777" w:rsidTr="005A19CA">
        <w:trPr>
          <w:cantSplit/>
        </w:trPr>
        <w:tc>
          <w:tcPr>
            <w:tcW w:w="4649" w:type="dxa"/>
            <w:tcBorders>
              <w:top w:val="single" w:sz="4" w:space="0" w:color="000000"/>
              <w:left w:val="single" w:sz="4" w:space="0" w:color="000000"/>
              <w:bottom w:val="single" w:sz="4" w:space="0" w:color="000000"/>
              <w:right w:val="single" w:sz="4" w:space="0" w:color="000000"/>
            </w:tcBorders>
            <w:shd w:val="clear" w:color="auto" w:fill="F7EEF7"/>
          </w:tcPr>
          <w:p w14:paraId="33696BF5" w14:textId="2907CDED" w:rsidR="00E11821" w:rsidRPr="00A33264" w:rsidRDefault="00057554" w:rsidP="008A1E8E">
            <w:pPr>
              <w:spacing w:after="0"/>
              <w:rPr>
                <w:lang w:val="en-GB"/>
              </w:rPr>
            </w:pPr>
            <w:r>
              <w:rPr>
                <w:lang w:val="en-GB"/>
              </w:rPr>
              <w:t xml:space="preserve">Dr </w:t>
            </w:r>
            <w:r w:rsidR="008A1E8E" w:rsidRPr="00A33264">
              <w:rPr>
                <w:lang w:val="en-GB"/>
              </w:rPr>
              <w:t>Denis N</w:t>
            </w:r>
            <w:r w:rsidR="005D0503" w:rsidRPr="00A33264">
              <w:rPr>
                <w:lang w:val="en-GB"/>
              </w:rPr>
              <w:t>apthine</w:t>
            </w:r>
            <w:r>
              <w:rPr>
                <w:lang w:val="en-GB"/>
              </w:rPr>
              <w:t xml:space="preserve"> AO</w:t>
            </w:r>
          </w:p>
        </w:tc>
        <w:tc>
          <w:tcPr>
            <w:tcW w:w="4479" w:type="dxa"/>
            <w:tcBorders>
              <w:top w:val="single" w:sz="4" w:space="0" w:color="000000"/>
              <w:left w:val="single" w:sz="4" w:space="0" w:color="000000"/>
              <w:bottom w:val="single" w:sz="4" w:space="0" w:color="000000"/>
              <w:right w:val="single" w:sz="4" w:space="0" w:color="000000"/>
            </w:tcBorders>
            <w:shd w:val="clear" w:color="auto" w:fill="F7EEF7"/>
            <w:vAlign w:val="center"/>
          </w:tcPr>
          <w:p w14:paraId="11945F22" w14:textId="71D1564C" w:rsidR="00E11821" w:rsidRPr="00A33264" w:rsidRDefault="008A1E8E" w:rsidP="005A19CA">
            <w:pPr>
              <w:spacing w:after="0"/>
              <w:jc w:val="right"/>
              <w:rPr>
                <w:lang w:val="en-GB"/>
              </w:rPr>
            </w:pPr>
            <w:r w:rsidRPr="00A33264">
              <w:rPr>
                <w:lang w:val="en-GB"/>
              </w:rPr>
              <w:t>4,365</w:t>
            </w:r>
          </w:p>
        </w:tc>
      </w:tr>
      <w:tr w:rsidR="00E11821" w:rsidRPr="00A33264" w14:paraId="06D01A08" w14:textId="77777777" w:rsidTr="005A19CA">
        <w:trPr>
          <w:cantSplit/>
        </w:trPr>
        <w:tc>
          <w:tcPr>
            <w:tcW w:w="4649" w:type="dxa"/>
            <w:tcBorders>
              <w:top w:val="single" w:sz="4" w:space="0" w:color="000000"/>
              <w:left w:val="single" w:sz="4" w:space="0" w:color="000000"/>
              <w:bottom w:val="single" w:sz="4" w:space="0" w:color="000000"/>
              <w:right w:val="single" w:sz="4" w:space="0" w:color="000000"/>
            </w:tcBorders>
          </w:tcPr>
          <w:p w14:paraId="6C56E99E" w14:textId="016E64A9" w:rsidR="00E11821" w:rsidRPr="00A33264" w:rsidRDefault="00057554" w:rsidP="008A1E8E">
            <w:pPr>
              <w:spacing w:after="0"/>
              <w:rPr>
                <w:lang w:val="en-GB"/>
              </w:rPr>
            </w:pPr>
            <w:r>
              <w:rPr>
                <w:lang w:val="en-GB"/>
              </w:rPr>
              <w:t xml:space="preserve">Ms </w:t>
            </w:r>
            <w:r w:rsidR="008A1E8E" w:rsidRPr="00A33264">
              <w:rPr>
                <w:lang w:val="en-GB"/>
              </w:rPr>
              <w:t>Estelle P</w:t>
            </w:r>
            <w:r w:rsidR="005D0503" w:rsidRPr="00A33264">
              <w:rPr>
                <w:lang w:val="en-GB"/>
              </w:rPr>
              <w:t>earson*</w:t>
            </w:r>
          </w:p>
        </w:tc>
        <w:tc>
          <w:tcPr>
            <w:tcW w:w="4479" w:type="dxa"/>
            <w:tcBorders>
              <w:top w:val="single" w:sz="4" w:space="0" w:color="000000"/>
              <w:left w:val="single" w:sz="4" w:space="0" w:color="000000"/>
              <w:bottom w:val="single" w:sz="4" w:space="0" w:color="000000"/>
              <w:right w:val="single" w:sz="4" w:space="0" w:color="000000"/>
            </w:tcBorders>
            <w:vAlign w:val="center"/>
          </w:tcPr>
          <w:p w14:paraId="1FDB7BAD" w14:textId="6E0D24C1" w:rsidR="00E11821" w:rsidRPr="00A33264" w:rsidRDefault="008A1E8E" w:rsidP="005A19CA">
            <w:pPr>
              <w:spacing w:after="0"/>
              <w:jc w:val="right"/>
              <w:rPr>
                <w:lang w:val="en-GB"/>
              </w:rPr>
            </w:pPr>
            <w:r w:rsidRPr="00A33264">
              <w:rPr>
                <w:lang w:val="en-GB"/>
              </w:rPr>
              <w:t>5,238</w:t>
            </w:r>
          </w:p>
        </w:tc>
      </w:tr>
    </w:tbl>
    <w:p w14:paraId="3DA8CC2D" w14:textId="27B8D74D" w:rsidR="00667FDC" w:rsidRPr="00A33264" w:rsidRDefault="00E11821" w:rsidP="00B27FA1">
      <w:pPr>
        <w:pStyle w:val="Tablenote"/>
      </w:pPr>
      <w:r w:rsidRPr="00A33264">
        <w:t xml:space="preserve">* Indicates part-year Board members; refer to Table </w:t>
      </w:r>
      <w:r w:rsidR="00A27A9C">
        <w:t>10</w:t>
      </w:r>
      <w:r w:rsidRPr="00A33264">
        <w:t xml:space="preserve"> for detail of tenure.</w:t>
      </w:r>
    </w:p>
    <w:p w14:paraId="50AD84D5" w14:textId="42A460B5" w:rsidR="00280054" w:rsidRPr="00A33264" w:rsidRDefault="00667FDC" w:rsidP="00280054">
      <w:pPr>
        <w:pStyle w:val="Heading4"/>
        <w:rPr>
          <w:lang w:val="en-GB"/>
        </w:rPr>
      </w:pPr>
      <w:r w:rsidRPr="00A33264">
        <w:rPr>
          <w:lang w:val="en-GB"/>
        </w:rPr>
        <w:t xml:space="preserve">Audit and Risk Committee </w:t>
      </w:r>
      <w:r w:rsidR="008662F5" w:rsidRPr="00A33264">
        <w:rPr>
          <w:lang w:val="en-GB"/>
        </w:rPr>
        <w:t>C</w:t>
      </w:r>
      <w:r w:rsidR="00280054" w:rsidRPr="00A33264">
        <w:rPr>
          <w:lang w:val="en-GB"/>
        </w:rPr>
        <w:t>harter</w:t>
      </w:r>
    </w:p>
    <w:p w14:paraId="61050C70" w14:textId="79287059" w:rsidR="00E11821" w:rsidRPr="00A33264" w:rsidRDefault="00E11821" w:rsidP="00E11821">
      <w:pPr>
        <w:rPr>
          <w:lang w:val="en-GB"/>
        </w:rPr>
      </w:pPr>
      <w:r w:rsidRPr="00A33264">
        <w:rPr>
          <w:lang w:val="en-GB"/>
        </w:rPr>
        <w:t>The Audit and Risk Committee Charter details the committee’s purpose</w:t>
      </w:r>
      <w:r w:rsidR="004364A0">
        <w:rPr>
          <w:lang w:val="en-GB"/>
        </w:rPr>
        <w:t xml:space="preserve"> </w:t>
      </w:r>
      <w:r w:rsidR="004364A0">
        <w:rPr>
          <w:rFonts w:ascii="Symbol" w:eastAsia="Symbol" w:hAnsi="Symbol" w:cs="Symbol"/>
          <w:lang w:val="en-GB"/>
        </w:rPr>
        <w:sym w:font="Symbol" w:char="F02D"/>
      </w:r>
      <w:r w:rsidRPr="00A33264">
        <w:rPr>
          <w:lang w:val="en-GB"/>
        </w:rPr>
        <w:t xml:space="preserve"> to review and provide advice to the Board on the appropriateness of the </w:t>
      </w:r>
      <w:r w:rsidR="00C26503">
        <w:rPr>
          <w:lang w:val="en-GB"/>
        </w:rPr>
        <w:t>NDIA</w:t>
      </w:r>
      <w:r w:rsidR="00C26503" w:rsidRPr="00A33264">
        <w:rPr>
          <w:lang w:val="en-GB"/>
        </w:rPr>
        <w:t>’s</w:t>
      </w:r>
      <w:r w:rsidRPr="00A33264">
        <w:rPr>
          <w:lang w:val="en-GB"/>
        </w:rPr>
        <w:t>:</w:t>
      </w:r>
    </w:p>
    <w:p w14:paraId="19BB0533" w14:textId="030A0883" w:rsidR="00E11821" w:rsidRPr="00A33264" w:rsidRDefault="00E11821" w:rsidP="00E11821">
      <w:pPr>
        <w:pStyle w:val="Bullet1"/>
        <w:rPr>
          <w:lang w:val="en-GB"/>
        </w:rPr>
      </w:pPr>
      <w:r w:rsidRPr="00A33264">
        <w:rPr>
          <w:lang w:val="en-GB"/>
        </w:rPr>
        <w:t xml:space="preserve">financial reporting </w:t>
      </w:r>
    </w:p>
    <w:p w14:paraId="36C33598" w14:textId="07792CBB" w:rsidR="00E11821" w:rsidRPr="00A33264" w:rsidRDefault="00E11821" w:rsidP="00E11821">
      <w:pPr>
        <w:pStyle w:val="Bullet1"/>
        <w:rPr>
          <w:lang w:val="en-GB"/>
        </w:rPr>
      </w:pPr>
      <w:r w:rsidRPr="00A33264">
        <w:rPr>
          <w:lang w:val="en-GB"/>
        </w:rPr>
        <w:t xml:space="preserve">performance reporting </w:t>
      </w:r>
    </w:p>
    <w:p w14:paraId="79EBC74E" w14:textId="371EEA4E" w:rsidR="00E11821" w:rsidRPr="00A33264" w:rsidRDefault="00E11821" w:rsidP="00E11821">
      <w:pPr>
        <w:pStyle w:val="Bullet1"/>
        <w:rPr>
          <w:lang w:val="en-GB"/>
        </w:rPr>
      </w:pPr>
      <w:r w:rsidRPr="00A33264">
        <w:rPr>
          <w:lang w:val="en-GB"/>
        </w:rPr>
        <w:t>systems of risk oversight and management</w:t>
      </w:r>
      <w:r w:rsidR="008662F5" w:rsidRPr="00A33264">
        <w:rPr>
          <w:lang w:val="en-GB"/>
        </w:rPr>
        <w:t>,</w:t>
      </w:r>
      <w:r w:rsidRPr="00A33264">
        <w:rPr>
          <w:lang w:val="en-GB"/>
        </w:rPr>
        <w:t xml:space="preserve"> including fraud, legal, safety and security risk</w:t>
      </w:r>
    </w:p>
    <w:p w14:paraId="6549F94A" w14:textId="0AFBE7E1" w:rsidR="00E11821" w:rsidRPr="00A33264" w:rsidRDefault="00E11821" w:rsidP="00E11821">
      <w:pPr>
        <w:pStyle w:val="Bullet1"/>
        <w:rPr>
          <w:lang w:val="en-GB"/>
        </w:rPr>
      </w:pPr>
      <w:r w:rsidRPr="00A33264">
        <w:rPr>
          <w:lang w:val="en-GB"/>
        </w:rPr>
        <w:t>systems of internal control.</w:t>
      </w:r>
    </w:p>
    <w:p w14:paraId="104FF8E3" w14:textId="3AEDF353" w:rsidR="00E11821" w:rsidRPr="00A33264" w:rsidRDefault="00E11821" w:rsidP="00E11821">
      <w:pPr>
        <w:rPr>
          <w:lang w:val="en-GB"/>
        </w:rPr>
      </w:pPr>
      <w:r w:rsidRPr="00A33264">
        <w:rPr>
          <w:lang w:val="en-GB"/>
        </w:rPr>
        <w:t xml:space="preserve">The Audit and Risk Committee Charter is available to view </w:t>
      </w:r>
      <w:r w:rsidR="000E2FC5" w:rsidRPr="00A33264">
        <w:rPr>
          <w:lang w:val="en-GB"/>
        </w:rPr>
        <w:t xml:space="preserve">at: </w:t>
      </w:r>
      <w:hyperlink r:id="rId82" w:history="1">
        <w:r w:rsidR="00ED275F">
          <w:rPr>
            <w:rStyle w:val="Hyperlink"/>
            <w:lang w:val="en-GB"/>
          </w:rPr>
          <w:t>Board Audit Committee Charter 2024</w:t>
        </w:r>
      </w:hyperlink>
      <w:r w:rsidRPr="00A33264">
        <w:rPr>
          <w:lang w:val="en-GB"/>
        </w:rPr>
        <w:t>.</w:t>
      </w:r>
    </w:p>
    <w:p w14:paraId="11856B7C" w14:textId="5D125358" w:rsidR="00D7463A" w:rsidRPr="00A33264" w:rsidRDefault="00D7463A" w:rsidP="00D7463A">
      <w:pPr>
        <w:pStyle w:val="Heading3"/>
        <w:rPr>
          <w:lang w:val="en-GB"/>
        </w:rPr>
      </w:pPr>
      <w:bookmarkStart w:id="347" w:name="_Toc169592992"/>
      <w:bookmarkStart w:id="348" w:name="_Toc174354208"/>
      <w:bookmarkStart w:id="349" w:name="_Toc175316912"/>
      <w:bookmarkStart w:id="350" w:name="_Toc176786403"/>
      <w:bookmarkStart w:id="351" w:name="_Toc180505685"/>
      <w:r w:rsidRPr="00A33264">
        <w:rPr>
          <w:lang w:val="en-GB"/>
        </w:rPr>
        <w:t>Work health and safety</w:t>
      </w:r>
      <w:bookmarkEnd w:id="347"/>
      <w:bookmarkEnd w:id="348"/>
      <w:bookmarkEnd w:id="349"/>
      <w:bookmarkEnd w:id="350"/>
      <w:bookmarkEnd w:id="351"/>
    </w:p>
    <w:p w14:paraId="3120C836" w14:textId="1F6AFC32" w:rsidR="009D03B0" w:rsidRPr="00A33264" w:rsidRDefault="009D03B0" w:rsidP="009D03B0">
      <w:pPr>
        <w:rPr>
          <w:lang w:val="en-GB"/>
        </w:rPr>
      </w:pPr>
      <w:r w:rsidRPr="00A33264">
        <w:rPr>
          <w:lang w:val="en-GB"/>
        </w:rPr>
        <w:t xml:space="preserve">The NDIA recognises its obligations under the </w:t>
      </w:r>
      <w:r w:rsidRPr="00A33264">
        <w:rPr>
          <w:i/>
          <w:iCs/>
          <w:lang w:val="en-GB"/>
        </w:rPr>
        <w:t xml:space="preserve">Work Health and Safety Act 2011 </w:t>
      </w:r>
      <w:r w:rsidRPr="00F86FC3">
        <w:rPr>
          <w:lang w:val="en-GB"/>
        </w:rPr>
        <w:t>(Cth)</w:t>
      </w:r>
      <w:r w:rsidRPr="00A33264">
        <w:rPr>
          <w:i/>
          <w:iCs/>
          <w:lang w:val="en-GB"/>
        </w:rPr>
        <w:t xml:space="preserve"> </w:t>
      </w:r>
      <w:r w:rsidRPr="00A33264">
        <w:rPr>
          <w:lang w:val="en-GB"/>
        </w:rPr>
        <w:t xml:space="preserve">(WHS Act) and the </w:t>
      </w:r>
      <w:r w:rsidRPr="00A33264">
        <w:rPr>
          <w:i/>
          <w:iCs/>
          <w:lang w:val="en-GB"/>
        </w:rPr>
        <w:t>Safety, Rehabilitation and Compensation Act 1988</w:t>
      </w:r>
      <w:r w:rsidRPr="00A33264">
        <w:rPr>
          <w:lang w:val="en-GB"/>
        </w:rPr>
        <w:t xml:space="preserve"> </w:t>
      </w:r>
      <w:r w:rsidR="004364A0">
        <w:rPr>
          <w:lang w:val="en-GB"/>
        </w:rPr>
        <w:t xml:space="preserve">(Cth) </w:t>
      </w:r>
      <w:r w:rsidRPr="00A33264">
        <w:rPr>
          <w:lang w:val="en-GB"/>
        </w:rPr>
        <w:t>and proactively develops and promotes a positive and effective safety culture.</w:t>
      </w:r>
    </w:p>
    <w:p w14:paraId="51AD7F9B" w14:textId="5CD73E7B" w:rsidR="009D03B0" w:rsidRPr="00A33264" w:rsidRDefault="009D03B0" w:rsidP="009D03B0">
      <w:pPr>
        <w:rPr>
          <w:lang w:val="en-GB"/>
        </w:rPr>
      </w:pPr>
      <w:r w:rsidRPr="00A33264">
        <w:rPr>
          <w:lang w:val="en-GB"/>
        </w:rPr>
        <w:t xml:space="preserve">A key activity undertaken in the year was a major review of </w:t>
      </w:r>
      <w:r w:rsidR="003C7217" w:rsidRPr="00A33264">
        <w:rPr>
          <w:lang w:val="en-GB"/>
        </w:rPr>
        <w:t xml:space="preserve">the </w:t>
      </w:r>
      <w:r w:rsidR="00591C73">
        <w:rPr>
          <w:lang w:val="en-GB"/>
        </w:rPr>
        <w:t>NDIA</w:t>
      </w:r>
      <w:r w:rsidR="00591C73" w:rsidRPr="00A33264">
        <w:rPr>
          <w:lang w:val="en-GB"/>
        </w:rPr>
        <w:t xml:space="preserve">’s </w:t>
      </w:r>
      <w:r w:rsidR="003C7217" w:rsidRPr="00A33264">
        <w:rPr>
          <w:lang w:val="en-GB"/>
        </w:rPr>
        <w:t xml:space="preserve">security and safety arrangements led by Graham Ashton, the former </w:t>
      </w:r>
      <w:r w:rsidR="00591C73">
        <w:rPr>
          <w:lang w:val="en-GB"/>
        </w:rPr>
        <w:t xml:space="preserve">Chief </w:t>
      </w:r>
      <w:r w:rsidR="003C7217" w:rsidRPr="00A33264">
        <w:rPr>
          <w:lang w:val="en-GB"/>
        </w:rPr>
        <w:t xml:space="preserve">Commissioner </w:t>
      </w:r>
      <w:r w:rsidR="00591C73">
        <w:rPr>
          <w:lang w:val="en-GB"/>
        </w:rPr>
        <w:t>of</w:t>
      </w:r>
      <w:r w:rsidR="00591C73" w:rsidRPr="00A33264">
        <w:rPr>
          <w:lang w:val="en-GB"/>
        </w:rPr>
        <w:t xml:space="preserve"> </w:t>
      </w:r>
      <w:r w:rsidR="003C7217" w:rsidRPr="00A33264">
        <w:rPr>
          <w:lang w:val="en-GB"/>
        </w:rPr>
        <w:t xml:space="preserve">Victoria Police. The </w:t>
      </w:r>
      <w:r w:rsidR="00591C73">
        <w:rPr>
          <w:lang w:val="en-GB"/>
        </w:rPr>
        <w:t>NDIA</w:t>
      </w:r>
      <w:r w:rsidR="00591C73" w:rsidRPr="00A33264">
        <w:rPr>
          <w:lang w:val="en-GB"/>
        </w:rPr>
        <w:t xml:space="preserve"> </w:t>
      </w:r>
      <w:r w:rsidR="003C7217" w:rsidRPr="00A33264">
        <w:rPr>
          <w:lang w:val="en-GB"/>
        </w:rPr>
        <w:t>is developing</w:t>
      </w:r>
      <w:r w:rsidRPr="00A33264">
        <w:rPr>
          <w:lang w:val="en-GB"/>
        </w:rPr>
        <w:t xml:space="preserve"> action plan to address the </w:t>
      </w:r>
      <w:r w:rsidR="004B676D" w:rsidRPr="00A33264">
        <w:rPr>
          <w:lang w:val="en-GB"/>
        </w:rPr>
        <w:t xml:space="preserve">review’s </w:t>
      </w:r>
      <w:r w:rsidRPr="00A33264">
        <w:rPr>
          <w:lang w:val="en-GB"/>
        </w:rPr>
        <w:t>recommendations.</w:t>
      </w:r>
    </w:p>
    <w:p w14:paraId="08053BCC" w14:textId="4884E9B9" w:rsidR="009D03B0" w:rsidRPr="00A33264" w:rsidRDefault="009D03B0" w:rsidP="009D03B0">
      <w:pPr>
        <w:rPr>
          <w:lang w:val="en-GB"/>
        </w:rPr>
      </w:pPr>
      <w:r w:rsidRPr="00A33264">
        <w:rPr>
          <w:lang w:val="en-GB"/>
        </w:rPr>
        <w:t>The NDIA continues to improve its consultation arrangements</w:t>
      </w:r>
      <w:r w:rsidR="008662F5" w:rsidRPr="00A33264">
        <w:rPr>
          <w:lang w:val="en-GB"/>
        </w:rPr>
        <w:t xml:space="preserve"> and</w:t>
      </w:r>
      <w:r w:rsidRPr="00A33264">
        <w:rPr>
          <w:lang w:val="en-GB"/>
        </w:rPr>
        <w:t xml:space="preserve"> </w:t>
      </w:r>
      <w:r w:rsidR="00591C73">
        <w:rPr>
          <w:lang w:val="en-GB"/>
        </w:rPr>
        <w:t xml:space="preserve">its </w:t>
      </w:r>
      <w:r w:rsidRPr="00A33264">
        <w:rPr>
          <w:lang w:val="en-GB"/>
        </w:rPr>
        <w:t xml:space="preserve">prevention and early intervention mechanisms to address any illness and injury, recognising that </w:t>
      </w:r>
      <w:r w:rsidR="008662F5" w:rsidRPr="00A33264">
        <w:rPr>
          <w:lang w:val="en-GB"/>
        </w:rPr>
        <w:t xml:space="preserve">the </w:t>
      </w:r>
      <w:r w:rsidRPr="00A33264">
        <w:rPr>
          <w:lang w:val="en-GB"/>
        </w:rPr>
        <w:t>safety of NDIA workers is a non-negotiable business priority</w:t>
      </w:r>
      <w:r w:rsidR="00ED275F">
        <w:rPr>
          <w:lang w:val="en-GB"/>
        </w:rPr>
        <w:t>.</w:t>
      </w:r>
      <w:r w:rsidRPr="00A33264">
        <w:rPr>
          <w:lang w:val="en-GB"/>
        </w:rPr>
        <w:t xml:space="preserve"> </w:t>
      </w:r>
      <w:r w:rsidR="00591C73">
        <w:rPr>
          <w:lang w:val="en-GB"/>
        </w:rPr>
        <w:t>We</w:t>
      </w:r>
      <w:r w:rsidRPr="00A33264">
        <w:rPr>
          <w:lang w:val="en-GB"/>
        </w:rPr>
        <w:t xml:space="preserve"> continue to develop </w:t>
      </w:r>
      <w:r w:rsidR="004B676D" w:rsidRPr="00A33264">
        <w:rPr>
          <w:lang w:val="en-GB"/>
        </w:rPr>
        <w:t>our w</w:t>
      </w:r>
      <w:r w:rsidRPr="00A33264">
        <w:rPr>
          <w:lang w:val="en-GB"/>
        </w:rPr>
        <w:t xml:space="preserve">ork </w:t>
      </w:r>
      <w:r w:rsidR="004B676D" w:rsidRPr="00A33264">
        <w:rPr>
          <w:lang w:val="en-GB"/>
        </w:rPr>
        <w:t>h</w:t>
      </w:r>
      <w:r w:rsidRPr="00A33264">
        <w:rPr>
          <w:lang w:val="en-GB"/>
        </w:rPr>
        <w:t xml:space="preserve">ealth and </w:t>
      </w:r>
      <w:r w:rsidR="004B676D" w:rsidRPr="00A33264">
        <w:rPr>
          <w:lang w:val="en-GB"/>
        </w:rPr>
        <w:t>s</w:t>
      </w:r>
      <w:r w:rsidRPr="00A33264">
        <w:rPr>
          <w:lang w:val="en-GB"/>
        </w:rPr>
        <w:t xml:space="preserve">afety </w:t>
      </w:r>
      <w:r w:rsidR="004B676D" w:rsidRPr="00A33264">
        <w:rPr>
          <w:lang w:val="en-GB"/>
        </w:rPr>
        <w:t>m</w:t>
      </w:r>
      <w:r w:rsidRPr="00A33264">
        <w:rPr>
          <w:lang w:val="en-GB"/>
        </w:rPr>
        <w:t xml:space="preserve">anagement </w:t>
      </w:r>
      <w:r w:rsidR="004B676D" w:rsidRPr="00A33264">
        <w:rPr>
          <w:lang w:val="en-GB"/>
        </w:rPr>
        <w:t>s</w:t>
      </w:r>
      <w:r w:rsidRPr="00A33264">
        <w:rPr>
          <w:lang w:val="en-GB"/>
        </w:rPr>
        <w:t xml:space="preserve">ystem in line with </w:t>
      </w:r>
      <w:r w:rsidR="004B676D" w:rsidRPr="00A33264">
        <w:rPr>
          <w:lang w:val="en-GB"/>
        </w:rPr>
        <w:t xml:space="preserve">evolving </w:t>
      </w:r>
      <w:r w:rsidRPr="00A33264">
        <w:rPr>
          <w:lang w:val="en-GB"/>
        </w:rPr>
        <w:t xml:space="preserve">legislative </w:t>
      </w:r>
      <w:r w:rsidR="004B676D" w:rsidRPr="00A33264">
        <w:rPr>
          <w:lang w:val="en-GB"/>
        </w:rPr>
        <w:t>requirements</w:t>
      </w:r>
      <w:r w:rsidRPr="00A33264">
        <w:rPr>
          <w:lang w:val="en-GB"/>
        </w:rPr>
        <w:t xml:space="preserve"> and contemporary health, safety and wellbeing practices. </w:t>
      </w:r>
    </w:p>
    <w:p w14:paraId="4BD3B675" w14:textId="6659D95C" w:rsidR="009D03B0" w:rsidRPr="00A33264" w:rsidRDefault="009D03B0" w:rsidP="009D03B0">
      <w:pPr>
        <w:rPr>
          <w:lang w:val="en-GB"/>
        </w:rPr>
      </w:pPr>
      <w:r w:rsidRPr="00A33264">
        <w:rPr>
          <w:lang w:val="en-GB"/>
        </w:rPr>
        <w:t xml:space="preserve">The NDIA’s safety culture continues to mature, with a continued focus on psychosocial safety. The NDIA is administering risk assessment tools to identify and manage both </w:t>
      </w:r>
      <w:r w:rsidRPr="00A33264">
        <w:rPr>
          <w:lang w:val="en-GB"/>
        </w:rPr>
        <w:lastRenderedPageBreak/>
        <w:t xml:space="preserve">physical and psychosocial hazards with business areas and has supporting policies, procedures and guidelines. </w:t>
      </w:r>
    </w:p>
    <w:p w14:paraId="140B8CEF" w14:textId="1FF49E67" w:rsidR="009D03B0" w:rsidRPr="00A33264" w:rsidRDefault="009D03B0" w:rsidP="009D03B0">
      <w:pPr>
        <w:rPr>
          <w:lang w:val="en-GB"/>
        </w:rPr>
      </w:pPr>
      <w:r w:rsidRPr="00A33264">
        <w:rPr>
          <w:lang w:val="en-GB"/>
        </w:rPr>
        <w:t xml:space="preserve">The continued development of a psychosocially safe workplace and </w:t>
      </w:r>
      <w:r w:rsidR="008662F5" w:rsidRPr="00A33264">
        <w:rPr>
          <w:lang w:val="en-GB"/>
        </w:rPr>
        <w:t xml:space="preserve">the </w:t>
      </w:r>
      <w:r w:rsidRPr="00A33264">
        <w:rPr>
          <w:lang w:val="en-GB"/>
        </w:rPr>
        <w:t>implementation of wellbeing initiatives has been</w:t>
      </w:r>
      <w:r w:rsidR="008662F5" w:rsidRPr="00A33264">
        <w:rPr>
          <w:lang w:val="en-GB"/>
        </w:rPr>
        <w:t xml:space="preserve"> a</w:t>
      </w:r>
      <w:r w:rsidRPr="00A33264">
        <w:rPr>
          <w:lang w:val="en-GB"/>
        </w:rPr>
        <w:t xml:space="preserve"> highlight </w:t>
      </w:r>
      <w:r w:rsidR="008662F5" w:rsidRPr="00A33264">
        <w:rPr>
          <w:lang w:val="en-GB"/>
        </w:rPr>
        <w:t>in</w:t>
      </w:r>
      <w:r w:rsidRPr="00A33264">
        <w:rPr>
          <w:lang w:val="en-GB"/>
        </w:rPr>
        <w:t xml:space="preserve"> 2024, achieved through the delivery</w:t>
      </w:r>
      <w:r w:rsidR="008662F5" w:rsidRPr="00A33264">
        <w:rPr>
          <w:lang w:val="en-GB"/>
        </w:rPr>
        <w:t xml:space="preserve"> of</w:t>
      </w:r>
      <w:r w:rsidRPr="00A33264">
        <w:rPr>
          <w:lang w:val="en-GB"/>
        </w:rPr>
        <w:t xml:space="preserve"> </w:t>
      </w:r>
      <w:r w:rsidR="004B676D" w:rsidRPr="00A33264">
        <w:rPr>
          <w:lang w:val="en-GB"/>
        </w:rPr>
        <w:t>a range of improved</w:t>
      </w:r>
      <w:r w:rsidRPr="00A33264">
        <w:rPr>
          <w:lang w:val="en-GB"/>
        </w:rPr>
        <w:t xml:space="preserve"> </w:t>
      </w:r>
      <w:r w:rsidR="004B676D" w:rsidRPr="00A33264">
        <w:rPr>
          <w:lang w:val="en-GB"/>
        </w:rPr>
        <w:t>w</w:t>
      </w:r>
      <w:r w:rsidRPr="00A33264">
        <w:rPr>
          <w:lang w:val="en-GB"/>
        </w:rPr>
        <w:t xml:space="preserve">ellbeing </w:t>
      </w:r>
      <w:r w:rsidR="004B676D" w:rsidRPr="00A33264">
        <w:rPr>
          <w:lang w:val="en-GB"/>
        </w:rPr>
        <w:t>s</w:t>
      </w:r>
      <w:r w:rsidRPr="00A33264">
        <w:rPr>
          <w:lang w:val="en-GB"/>
        </w:rPr>
        <w:t xml:space="preserve">upports. This plan included the delivery of enhanced </w:t>
      </w:r>
      <w:r w:rsidR="008662F5" w:rsidRPr="00A33264">
        <w:rPr>
          <w:lang w:val="en-GB"/>
        </w:rPr>
        <w:t>e</w:t>
      </w:r>
      <w:r w:rsidRPr="00A33264">
        <w:rPr>
          <w:lang w:val="en-GB"/>
        </w:rPr>
        <w:t xml:space="preserve">mployee </w:t>
      </w:r>
      <w:r w:rsidR="008662F5" w:rsidRPr="00A33264">
        <w:rPr>
          <w:lang w:val="en-GB"/>
        </w:rPr>
        <w:t>a</w:t>
      </w:r>
      <w:r w:rsidRPr="00A33264">
        <w:rPr>
          <w:lang w:val="en-GB"/>
        </w:rPr>
        <w:t xml:space="preserve">ssistance </w:t>
      </w:r>
      <w:r w:rsidR="008662F5" w:rsidRPr="00A33264">
        <w:rPr>
          <w:lang w:val="en-GB"/>
        </w:rPr>
        <w:t>p</w:t>
      </w:r>
      <w:r w:rsidRPr="00A33264">
        <w:rPr>
          <w:lang w:val="en-GB"/>
        </w:rPr>
        <w:t xml:space="preserve">rogram services, with </w:t>
      </w:r>
      <w:r w:rsidR="004B676D" w:rsidRPr="00A33264">
        <w:rPr>
          <w:lang w:val="en-GB"/>
        </w:rPr>
        <w:t>additional services including access</w:t>
      </w:r>
      <w:r w:rsidRPr="00A33264">
        <w:rPr>
          <w:lang w:val="en-GB"/>
        </w:rPr>
        <w:t xml:space="preserve"> to an on-call clinician in a crisis, instant counselling</w:t>
      </w:r>
      <w:r w:rsidR="00591C73">
        <w:rPr>
          <w:lang w:val="en-GB"/>
        </w:rPr>
        <w:t>,</w:t>
      </w:r>
      <w:r w:rsidRPr="00A33264">
        <w:rPr>
          <w:lang w:val="en-GB"/>
        </w:rPr>
        <w:t xml:space="preserve"> and</w:t>
      </w:r>
      <w:r w:rsidR="008662F5" w:rsidRPr="00A33264">
        <w:rPr>
          <w:lang w:val="en-GB"/>
        </w:rPr>
        <w:t xml:space="preserve"> </w:t>
      </w:r>
      <w:r w:rsidRPr="00A33264">
        <w:rPr>
          <w:lang w:val="en-GB"/>
        </w:rPr>
        <w:t>extension of the service</w:t>
      </w:r>
      <w:r w:rsidR="004B676D" w:rsidRPr="00A33264">
        <w:rPr>
          <w:lang w:val="en-GB"/>
        </w:rPr>
        <w:t>s</w:t>
      </w:r>
      <w:r w:rsidRPr="00A33264">
        <w:rPr>
          <w:lang w:val="en-GB"/>
        </w:rPr>
        <w:t xml:space="preserve"> to labour hire </w:t>
      </w:r>
      <w:r w:rsidR="004B676D" w:rsidRPr="00A33264">
        <w:rPr>
          <w:lang w:val="en-GB"/>
        </w:rPr>
        <w:t>staff</w:t>
      </w:r>
      <w:r w:rsidR="008662F5" w:rsidRPr="00A33264">
        <w:rPr>
          <w:lang w:val="en-GB"/>
        </w:rPr>
        <w:t>.</w:t>
      </w:r>
    </w:p>
    <w:p w14:paraId="1A2A6BEB" w14:textId="56D5725C" w:rsidR="009D03B0" w:rsidRPr="00A33264" w:rsidRDefault="009D03B0" w:rsidP="009D03B0">
      <w:pPr>
        <w:rPr>
          <w:lang w:val="en-GB"/>
        </w:rPr>
      </w:pPr>
      <w:r w:rsidRPr="00A33264">
        <w:rPr>
          <w:lang w:val="en-GB"/>
        </w:rPr>
        <w:t xml:space="preserve">The NDIA continues to support workers to use flexible working arrangements and takes all reasonably practicable measures to protect its workers by providing a healthy and safe work environment, whether </w:t>
      </w:r>
      <w:r w:rsidR="00591C73">
        <w:rPr>
          <w:lang w:val="en-GB"/>
        </w:rPr>
        <w:t xml:space="preserve">staff are </w:t>
      </w:r>
      <w:r w:rsidRPr="00A33264">
        <w:rPr>
          <w:lang w:val="en-GB"/>
        </w:rPr>
        <w:t xml:space="preserve">working in the office or working from home. </w:t>
      </w:r>
    </w:p>
    <w:p w14:paraId="687AC799" w14:textId="24E0FAC7" w:rsidR="009D03B0" w:rsidRPr="00A33264" w:rsidRDefault="009D03B0" w:rsidP="009D03B0">
      <w:pPr>
        <w:rPr>
          <w:lang w:val="en-GB"/>
        </w:rPr>
      </w:pPr>
      <w:r w:rsidRPr="00A33264">
        <w:rPr>
          <w:lang w:val="en-GB"/>
        </w:rPr>
        <w:t>To support workers impacted by bullying, harassment, discrimination, sexual harassment, violence, aggression and victimisation in the workplace</w:t>
      </w:r>
      <w:r w:rsidR="008662F5" w:rsidRPr="00A33264">
        <w:rPr>
          <w:lang w:val="en-GB"/>
        </w:rPr>
        <w:t>, t</w:t>
      </w:r>
      <w:r w:rsidRPr="00A33264">
        <w:rPr>
          <w:lang w:val="en-GB"/>
        </w:rPr>
        <w:t>he NDIA launched the Safe and Respectful Workplace Framework and Safe and Respectful Team in June 2023. The team responds to and manages reports of unacceptable behaviours to ensure the NDIA is a safe and respectful workplace that is free from physical and psychosocial harm.</w:t>
      </w:r>
    </w:p>
    <w:p w14:paraId="1D832582" w14:textId="37C6CC75" w:rsidR="00D7463A" w:rsidRPr="00A33264" w:rsidRDefault="009D03B0" w:rsidP="009D03B0">
      <w:pPr>
        <w:rPr>
          <w:lang w:val="en-GB"/>
        </w:rPr>
      </w:pPr>
      <w:r w:rsidRPr="00A33264">
        <w:rPr>
          <w:lang w:val="en-GB"/>
        </w:rPr>
        <w:t>In 2023–24 the NDIA reported 3 incidents to Comcare</w:t>
      </w:r>
      <w:r w:rsidR="008662F5" w:rsidRPr="00A33264">
        <w:rPr>
          <w:lang w:val="en-GB"/>
        </w:rPr>
        <w:t>,</w:t>
      </w:r>
      <w:r w:rsidRPr="00A33264">
        <w:rPr>
          <w:lang w:val="en-GB"/>
        </w:rPr>
        <w:t xml:space="preserve"> pursuant to section 38 of the WHS Act. All incidents were closed by Comcare without further action required of the NDIA.</w:t>
      </w:r>
      <w:r w:rsidR="004364A0">
        <w:rPr>
          <w:lang w:val="en-GB"/>
        </w:rPr>
        <w:t xml:space="preserve"> Table 7 shows the number of reported incidents.</w:t>
      </w:r>
    </w:p>
    <w:p w14:paraId="26D579D0" w14:textId="423DE6CB" w:rsidR="009D03B0" w:rsidRPr="00A33264" w:rsidRDefault="009D03B0" w:rsidP="009D03B0">
      <w:pPr>
        <w:rPr>
          <w:u w:val="single"/>
          <w:lang w:val="en-GB"/>
        </w:rPr>
      </w:pPr>
      <w:r w:rsidRPr="00A33264">
        <w:rPr>
          <w:u w:val="single"/>
          <w:lang w:val="en-GB"/>
        </w:rPr>
        <w:t xml:space="preserve">Table </w:t>
      </w:r>
      <w:r w:rsidR="00A27A9C">
        <w:rPr>
          <w:u w:val="single"/>
          <w:lang w:val="en-GB"/>
        </w:rPr>
        <w:t>7</w:t>
      </w:r>
      <w:r w:rsidRPr="00A33264">
        <w:rPr>
          <w:u w:val="single"/>
          <w:lang w:val="en-GB"/>
        </w:rPr>
        <w:t xml:space="preserve">: Summary of </w:t>
      </w:r>
      <w:r w:rsidR="00822F96">
        <w:rPr>
          <w:u w:val="single"/>
          <w:lang w:val="en-GB"/>
        </w:rPr>
        <w:t xml:space="preserve">reported </w:t>
      </w:r>
      <w:r w:rsidRPr="00A33264">
        <w:rPr>
          <w:u w:val="single"/>
          <w:lang w:val="en-GB"/>
        </w:rPr>
        <w:t>incidents pursuant to section 38 of the WHS Act (</w:t>
      </w:r>
      <w:r w:rsidR="00EE426D" w:rsidRPr="00A33264">
        <w:rPr>
          <w:u w:val="single"/>
          <w:lang w:val="en-GB"/>
        </w:rPr>
        <w:t>2023</w:t>
      </w:r>
      <w:r w:rsidR="00EE426D" w:rsidRPr="002E4564">
        <w:rPr>
          <w:u w:val="single"/>
          <w:lang w:val="en-GB"/>
        </w:rPr>
        <w:t>–</w:t>
      </w:r>
      <w:r w:rsidR="00EE426D" w:rsidRPr="00A33264">
        <w:rPr>
          <w:u w:val="single"/>
          <w:lang w:val="en-GB"/>
        </w:rPr>
        <w:t>24</w:t>
      </w:r>
      <w:r w:rsidRPr="00A33264">
        <w:rPr>
          <w:u w:val="single"/>
          <w:lang w:val="en-GB"/>
        </w:rPr>
        <w:t>)</w:t>
      </w:r>
    </w:p>
    <w:tbl>
      <w:tblPr>
        <w:tblStyle w:val="GridTable4"/>
        <w:tblW w:w="9070" w:type="dxa"/>
        <w:tblCellMar>
          <w:top w:w="28" w:type="dxa"/>
          <w:left w:w="28" w:type="dxa"/>
          <w:bottom w:w="28" w:type="dxa"/>
          <w:right w:w="28" w:type="dxa"/>
        </w:tblCellMar>
        <w:tblLook w:val="0420" w:firstRow="1" w:lastRow="0" w:firstColumn="0" w:lastColumn="0" w:noHBand="0" w:noVBand="1"/>
      </w:tblPr>
      <w:tblGrid>
        <w:gridCol w:w="7792"/>
        <w:gridCol w:w="1278"/>
      </w:tblGrid>
      <w:tr w:rsidR="009D03B0" w:rsidRPr="00A33264" w14:paraId="084EC6BF" w14:textId="77777777" w:rsidTr="001C0A6D">
        <w:trPr>
          <w:cnfStyle w:val="100000000000" w:firstRow="1" w:lastRow="0" w:firstColumn="0" w:lastColumn="0" w:oddVBand="0" w:evenVBand="0" w:oddHBand="0" w:evenHBand="0" w:firstRowFirstColumn="0" w:firstRowLastColumn="0" w:lastRowFirstColumn="0" w:lastRowLastColumn="0"/>
          <w:cantSplit/>
          <w:trHeight w:val="340"/>
        </w:trPr>
        <w:tc>
          <w:tcPr>
            <w:tcW w:w="7792" w:type="dxa"/>
            <w:tcBorders>
              <w:top w:val="single" w:sz="4" w:space="0" w:color="6B2876" w:themeColor="text1"/>
              <w:bottom w:val="single" w:sz="4" w:space="0" w:color="6B2876" w:themeColor="text1"/>
            </w:tcBorders>
            <w:vAlign w:val="center"/>
          </w:tcPr>
          <w:p w14:paraId="5A28DBAB" w14:textId="496D982B" w:rsidR="009D03B0" w:rsidRPr="00A33264" w:rsidRDefault="009D03B0">
            <w:pPr>
              <w:pStyle w:val="TableBody"/>
              <w:rPr>
                <w:lang w:val="en-GB"/>
              </w:rPr>
            </w:pPr>
            <w:bookmarkStart w:id="352" w:name="ColumnTitle_Table7"/>
            <w:bookmarkEnd w:id="352"/>
            <w:r w:rsidRPr="00A33264">
              <w:rPr>
                <w:lang w:val="en-GB"/>
              </w:rPr>
              <w:t>Action</w:t>
            </w:r>
          </w:p>
        </w:tc>
        <w:tc>
          <w:tcPr>
            <w:tcW w:w="1278" w:type="dxa"/>
            <w:tcBorders>
              <w:top w:val="single" w:sz="4" w:space="0" w:color="6B2876" w:themeColor="text1"/>
              <w:bottom w:val="single" w:sz="4" w:space="0" w:color="6B2876" w:themeColor="text1"/>
            </w:tcBorders>
          </w:tcPr>
          <w:p w14:paraId="6C801266" w14:textId="1AC01796" w:rsidR="009D03B0" w:rsidRPr="00A33264" w:rsidRDefault="009D03B0" w:rsidP="00BB40DF">
            <w:pPr>
              <w:pStyle w:val="TableBody"/>
              <w:jc w:val="right"/>
              <w:rPr>
                <w:lang w:val="en-GB"/>
              </w:rPr>
            </w:pPr>
            <w:r w:rsidRPr="00A33264">
              <w:rPr>
                <w:lang w:val="en-GB"/>
              </w:rPr>
              <w:t>Number</w:t>
            </w:r>
          </w:p>
        </w:tc>
      </w:tr>
      <w:tr w:rsidR="009D03B0" w:rsidRPr="00A33264" w14:paraId="0E78C585" w14:textId="77777777" w:rsidTr="001C0A6D">
        <w:trPr>
          <w:cnfStyle w:val="000000100000" w:firstRow="0" w:lastRow="0" w:firstColumn="0" w:lastColumn="0" w:oddVBand="0" w:evenVBand="0" w:oddHBand="1" w:evenHBand="0" w:firstRowFirstColumn="0" w:firstRowLastColumn="0" w:lastRowFirstColumn="0" w:lastRowLastColumn="0"/>
          <w:cantSplit/>
          <w:trHeight w:val="340"/>
        </w:trPr>
        <w:tc>
          <w:tcPr>
            <w:tcW w:w="7792" w:type="dxa"/>
          </w:tcPr>
          <w:p w14:paraId="79016BD4" w14:textId="348DFAD4" w:rsidR="009D03B0" w:rsidRPr="00A33264" w:rsidRDefault="009D03B0" w:rsidP="009D03B0">
            <w:pPr>
              <w:pStyle w:val="TableBody"/>
              <w:spacing w:before="120" w:after="120"/>
              <w:rPr>
                <w:lang w:val="en-GB"/>
              </w:rPr>
            </w:pPr>
            <w:r w:rsidRPr="00A33264">
              <w:rPr>
                <w:lang w:val="en-GB"/>
              </w:rPr>
              <w:t>Serious injury or illness of a person that required notification to Comcare under s</w:t>
            </w:r>
            <w:r w:rsidR="004364A0">
              <w:rPr>
                <w:lang w:val="en-GB"/>
              </w:rPr>
              <w:t xml:space="preserve">ection </w:t>
            </w:r>
            <w:r w:rsidRPr="00A33264">
              <w:rPr>
                <w:lang w:val="en-GB"/>
              </w:rPr>
              <w:t>35</w:t>
            </w:r>
          </w:p>
        </w:tc>
        <w:tc>
          <w:tcPr>
            <w:tcW w:w="1278" w:type="dxa"/>
          </w:tcPr>
          <w:p w14:paraId="64899DD4" w14:textId="656E464B" w:rsidR="009D03B0" w:rsidRPr="00A33264" w:rsidRDefault="009D03B0" w:rsidP="00BB40DF">
            <w:pPr>
              <w:pStyle w:val="TableBody"/>
              <w:spacing w:before="120" w:after="120"/>
              <w:jc w:val="right"/>
              <w:rPr>
                <w:lang w:val="en-GB"/>
              </w:rPr>
            </w:pPr>
            <w:r w:rsidRPr="00A33264">
              <w:rPr>
                <w:lang w:val="en-GB"/>
              </w:rPr>
              <w:t>2</w:t>
            </w:r>
          </w:p>
        </w:tc>
      </w:tr>
      <w:tr w:rsidR="009D03B0" w:rsidRPr="00A33264" w14:paraId="56321786" w14:textId="77777777" w:rsidTr="001C0A6D">
        <w:trPr>
          <w:cantSplit/>
          <w:trHeight w:val="340"/>
        </w:trPr>
        <w:tc>
          <w:tcPr>
            <w:tcW w:w="7792" w:type="dxa"/>
          </w:tcPr>
          <w:p w14:paraId="5103F256" w14:textId="45DC641E" w:rsidR="009D03B0" w:rsidRPr="00A33264" w:rsidRDefault="009D03B0" w:rsidP="009D03B0">
            <w:pPr>
              <w:pStyle w:val="TableBody"/>
              <w:spacing w:before="120" w:after="120"/>
              <w:rPr>
                <w:lang w:val="en-GB"/>
              </w:rPr>
            </w:pPr>
            <w:r w:rsidRPr="00A33264">
              <w:rPr>
                <w:lang w:val="en-GB"/>
              </w:rPr>
              <w:t>Dangerous incident that required notification to Comcare under s</w:t>
            </w:r>
            <w:r w:rsidR="004364A0">
              <w:rPr>
                <w:lang w:val="en-GB"/>
              </w:rPr>
              <w:t xml:space="preserve">ection </w:t>
            </w:r>
            <w:r w:rsidRPr="00A33264">
              <w:rPr>
                <w:lang w:val="en-GB"/>
              </w:rPr>
              <w:t>35</w:t>
            </w:r>
          </w:p>
        </w:tc>
        <w:tc>
          <w:tcPr>
            <w:tcW w:w="1278" w:type="dxa"/>
          </w:tcPr>
          <w:p w14:paraId="7AD8473E" w14:textId="528BA2E8" w:rsidR="009D03B0" w:rsidRPr="00A33264" w:rsidRDefault="009D03B0" w:rsidP="00BB40DF">
            <w:pPr>
              <w:spacing w:after="120"/>
              <w:jc w:val="right"/>
              <w:rPr>
                <w:lang w:val="en-GB"/>
              </w:rPr>
            </w:pPr>
            <w:r w:rsidRPr="00A33264">
              <w:rPr>
                <w:lang w:val="en-GB"/>
              </w:rPr>
              <w:t>1</w:t>
            </w:r>
          </w:p>
        </w:tc>
      </w:tr>
    </w:tbl>
    <w:p w14:paraId="70D2B99A" w14:textId="77777777" w:rsidR="009D03B0" w:rsidRPr="00A33264" w:rsidRDefault="009D03B0" w:rsidP="009D03B0">
      <w:pPr>
        <w:rPr>
          <w:u w:val="single"/>
          <w:lang w:val="en-GB"/>
        </w:rPr>
      </w:pPr>
    </w:p>
    <w:p w14:paraId="47B8E58B" w14:textId="77777777" w:rsidR="006B149D" w:rsidRPr="00A33264" w:rsidRDefault="006B149D" w:rsidP="00D7463A">
      <w:pPr>
        <w:pStyle w:val="Heading3"/>
        <w:rPr>
          <w:lang w:val="en-GB"/>
        </w:rPr>
        <w:sectPr w:rsidR="006B149D" w:rsidRPr="00A33264" w:rsidSect="00F23525">
          <w:footerReference w:type="default" r:id="rId83"/>
          <w:headerReference w:type="first" r:id="rId84"/>
          <w:footerReference w:type="first" r:id="rId85"/>
          <w:pgSz w:w="11906" w:h="16838" w:code="9"/>
          <w:pgMar w:top="1361" w:right="1361" w:bottom="1361" w:left="1361" w:header="561" w:footer="374" w:gutter="0"/>
          <w:cols w:space="708"/>
          <w:titlePg/>
          <w:docGrid w:linePitch="360"/>
        </w:sectPr>
      </w:pPr>
      <w:bookmarkStart w:id="353" w:name="_Toc169592993"/>
    </w:p>
    <w:p w14:paraId="5993FDF9" w14:textId="02089EA0" w:rsidR="00D7463A" w:rsidRPr="00A33264" w:rsidRDefault="00D7463A" w:rsidP="00D7463A">
      <w:pPr>
        <w:pStyle w:val="Heading3"/>
        <w:rPr>
          <w:lang w:val="en-GB"/>
        </w:rPr>
      </w:pPr>
      <w:bookmarkStart w:id="354" w:name="_Toc174354209"/>
      <w:bookmarkStart w:id="355" w:name="_Toc175316913"/>
      <w:bookmarkStart w:id="356" w:name="_Toc176786404"/>
      <w:bookmarkStart w:id="357" w:name="_Toc180505686"/>
      <w:r w:rsidRPr="00F23525">
        <w:rPr>
          <w:lang w:val="en-GB"/>
        </w:rPr>
        <w:lastRenderedPageBreak/>
        <w:t>Workforce</w:t>
      </w:r>
      <w:r w:rsidRPr="00A33264">
        <w:rPr>
          <w:lang w:val="en-GB"/>
        </w:rPr>
        <w:t xml:space="preserve"> statistics</w:t>
      </w:r>
      <w:bookmarkEnd w:id="353"/>
      <w:bookmarkEnd w:id="354"/>
      <w:bookmarkEnd w:id="355"/>
      <w:bookmarkEnd w:id="356"/>
      <w:bookmarkEnd w:id="357"/>
    </w:p>
    <w:p w14:paraId="25743AD7" w14:textId="32F9A938" w:rsidR="00C61B89" w:rsidRPr="00A33264" w:rsidRDefault="00C61B89" w:rsidP="00933805">
      <w:pPr>
        <w:spacing w:after="120"/>
        <w:rPr>
          <w:u w:val="single"/>
          <w:lang w:val="en-GB"/>
        </w:rPr>
      </w:pPr>
      <w:r w:rsidRPr="00A33264">
        <w:rPr>
          <w:u w:val="single"/>
          <w:lang w:val="en-GB"/>
        </w:rPr>
        <w:t xml:space="preserve">Table </w:t>
      </w:r>
      <w:r w:rsidR="00A27A9C">
        <w:rPr>
          <w:u w:val="single"/>
          <w:lang w:val="en-GB"/>
        </w:rPr>
        <w:t>8</w:t>
      </w:r>
      <w:r w:rsidRPr="00A33264">
        <w:rPr>
          <w:u w:val="single"/>
          <w:lang w:val="en-GB"/>
        </w:rPr>
        <w:t>: All ongoing employees current reporting period (2023</w:t>
      </w:r>
      <w:r w:rsidR="008662F5" w:rsidRPr="00A33264">
        <w:rPr>
          <w:u w:val="single"/>
          <w:lang w:val="en-GB"/>
        </w:rPr>
        <w:t>–</w:t>
      </w:r>
      <w:r w:rsidRPr="00A33264">
        <w:rPr>
          <w:u w:val="single"/>
          <w:lang w:val="en-GB"/>
        </w:rPr>
        <w:t>24)</w:t>
      </w:r>
    </w:p>
    <w:tbl>
      <w:tblPr>
        <w:tblStyle w:val="GridTable4"/>
        <w:tblW w:w="14116" w:type="dxa"/>
        <w:tblLayout w:type="fixed"/>
        <w:tblCellMar>
          <w:left w:w="57" w:type="dxa"/>
          <w:right w:w="57" w:type="dxa"/>
        </w:tblCellMar>
        <w:tblLook w:val="06A0" w:firstRow="1" w:lastRow="0" w:firstColumn="1" w:lastColumn="0" w:noHBand="1" w:noVBand="1"/>
      </w:tblPr>
      <w:tblGrid>
        <w:gridCol w:w="2324"/>
        <w:gridCol w:w="737"/>
        <w:gridCol w:w="737"/>
        <w:gridCol w:w="737"/>
        <w:gridCol w:w="737"/>
        <w:gridCol w:w="737"/>
        <w:gridCol w:w="737"/>
        <w:gridCol w:w="737"/>
        <w:gridCol w:w="737"/>
        <w:gridCol w:w="737"/>
        <w:gridCol w:w="737"/>
        <w:gridCol w:w="737"/>
        <w:gridCol w:w="737"/>
        <w:gridCol w:w="737"/>
        <w:gridCol w:w="737"/>
        <w:gridCol w:w="737"/>
        <w:gridCol w:w="737"/>
      </w:tblGrid>
      <w:tr w:rsidR="00537BC0" w:rsidRPr="00A33264" w14:paraId="676131C1" w14:textId="5FD1CBB0" w:rsidTr="00F23525">
        <w:trPr>
          <w:cnfStyle w:val="100000000000" w:firstRow="1" w:lastRow="0" w:firstColumn="0" w:lastColumn="0" w:oddVBand="0" w:evenVBand="0" w:oddHBand="0" w:evenHBand="0" w:firstRowFirstColumn="0" w:firstRowLastColumn="0" w:lastRowFirstColumn="0" w:lastRowLastColumn="0"/>
          <w:cantSplit/>
          <w:trHeight w:val="3855"/>
        </w:trPr>
        <w:tc>
          <w:tcPr>
            <w:cnfStyle w:val="001000000000" w:firstRow="0" w:lastRow="0" w:firstColumn="1" w:lastColumn="0" w:oddVBand="0" w:evenVBand="0" w:oddHBand="0" w:evenHBand="0" w:firstRowFirstColumn="0" w:firstRowLastColumn="0" w:lastRowFirstColumn="0" w:lastRowLastColumn="0"/>
            <w:tcW w:w="2324" w:type="dxa"/>
            <w:tcBorders>
              <w:top w:val="single" w:sz="4" w:space="0" w:color="6B2876" w:themeColor="text1"/>
            </w:tcBorders>
            <w:textDirection w:val="btLr"/>
            <w:vAlign w:val="center"/>
          </w:tcPr>
          <w:p w14:paraId="1CAEE7EE" w14:textId="08D5ABD9" w:rsidR="00284BB0" w:rsidRPr="00A33264" w:rsidRDefault="00284BB0" w:rsidP="00A84BD6">
            <w:pPr>
              <w:pStyle w:val="TableBody"/>
              <w:spacing w:before="0" w:after="0"/>
              <w:ind w:left="113" w:right="113"/>
              <w:rPr>
                <w:b w:val="0"/>
                <w:bCs w:val="0"/>
                <w:color w:val="6B2876" w:themeColor="text1"/>
                <w:szCs w:val="24"/>
                <w:lang w:val="en-GB"/>
              </w:rPr>
            </w:pPr>
            <w:bookmarkStart w:id="358" w:name="Title_Table8"/>
            <w:bookmarkEnd w:id="358"/>
            <w:r w:rsidRPr="00A33264">
              <w:rPr>
                <w:szCs w:val="24"/>
                <w:lang w:val="en-GB"/>
              </w:rPr>
              <w:t>State or territory</w:t>
            </w:r>
          </w:p>
        </w:tc>
        <w:tc>
          <w:tcPr>
            <w:tcW w:w="737" w:type="dxa"/>
            <w:tcBorders>
              <w:top w:val="single" w:sz="4" w:space="0" w:color="6B2876" w:themeColor="text1"/>
            </w:tcBorders>
            <w:textDirection w:val="btLr"/>
            <w:vAlign w:val="center"/>
          </w:tcPr>
          <w:p w14:paraId="58E099D6" w14:textId="24413638" w:rsidR="00284BB0" w:rsidRPr="00A33264" w:rsidRDefault="00284BB0" w:rsidP="00C61B89">
            <w:pPr>
              <w:pStyle w:val="TableBody"/>
              <w:spacing w:before="0" w:after="0"/>
              <w:ind w:left="113" w:right="113"/>
              <w:cnfStyle w:val="100000000000" w:firstRow="1" w:lastRow="0" w:firstColumn="0" w:lastColumn="0" w:oddVBand="0" w:evenVBand="0" w:oddHBand="0" w:evenHBand="0" w:firstRowFirstColumn="0" w:firstRowLastColumn="0" w:lastRowFirstColumn="0" w:lastRowLastColumn="0"/>
              <w:rPr>
                <w:szCs w:val="24"/>
                <w:lang w:val="en-GB"/>
              </w:rPr>
            </w:pPr>
            <w:r w:rsidRPr="00A33264">
              <w:rPr>
                <w:szCs w:val="24"/>
                <w:lang w:val="en-GB"/>
              </w:rPr>
              <w:t>Man/Male full time</w:t>
            </w:r>
          </w:p>
        </w:tc>
        <w:tc>
          <w:tcPr>
            <w:tcW w:w="737" w:type="dxa"/>
            <w:tcBorders>
              <w:top w:val="single" w:sz="4" w:space="0" w:color="6B2876" w:themeColor="text1"/>
            </w:tcBorders>
            <w:textDirection w:val="btLr"/>
            <w:vAlign w:val="center"/>
          </w:tcPr>
          <w:p w14:paraId="3B7A8C32" w14:textId="530E967B" w:rsidR="00284BB0" w:rsidRPr="00A33264" w:rsidRDefault="00284BB0" w:rsidP="00C61B89">
            <w:pPr>
              <w:pStyle w:val="TableBody"/>
              <w:spacing w:before="0" w:after="0"/>
              <w:ind w:left="113" w:right="113"/>
              <w:cnfStyle w:val="100000000000" w:firstRow="1" w:lastRow="0" w:firstColumn="0" w:lastColumn="0" w:oddVBand="0" w:evenVBand="0" w:oddHBand="0" w:evenHBand="0" w:firstRowFirstColumn="0" w:firstRowLastColumn="0" w:lastRowFirstColumn="0" w:lastRowLastColumn="0"/>
              <w:rPr>
                <w:szCs w:val="24"/>
                <w:lang w:val="en-GB"/>
              </w:rPr>
            </w:pPr>
            <w:r w:rsidRPr="00A33264">
              <w:rPr>
                <w:szCs w:val="24"/>
                <w:lang w:val="en-GB"/>
              </w:rPr>
              <w:t>Man/Male part time</w:t>
            </w:r>
          </w:p>
        </w:tc>
        <w:tc>
          <w:tcPr>
            <w:tcW w:w="737" w:type="dxa"/>
            <w:tcBorders>
              <w:top w:val="single" w:sz="4" w:space="0" w:color="6B2876" w:themeColor="text1"/>
            </w:tcBorders>
            <w:textDirection w:val="btLr"/>
            <w:vAlign w:val="center"/>
          </w:tcPr>
          <w:p w14:paraId="0C7F5009" w14:textId="320AD75F" w:rsidR="00284BB0" w:rsidRPr="00A33264" w:rsidRDefault="00284BB0" w:rsidP="00C61B89">
            <w:pPr>
              <w:pStyle w:val="TableBody"/>
              <w:spacing w:before="0" w:after="0"/>
              <w:ind w:left="113" w:right="113"/>
              <w:cnfStyle w:val="100000000000" w:firstRow="1" w:lastRow="0" w:firstColumn="0" w:lastColumn="0" w:oddVBand="0" w:evenVBand="0" w:oddHBand="0" w:evenHBand="0" w:firstRowFirstColumn="0" w:firstRowLastColumn="0" w:lastRowFirstColumn="0" w:lastRowLastColumn="0"/>
              <w:rPr>
                <w:szCs w:val="24"/>
                <w:lang w:val="en-GB"/>
              </w:rPr>
            </w:pPr>
            <w:r w:rsidRPr="00A33264">
              <w:rPr>
                <w:szCs w:val="24"/>
                <w:lang w:val="en-GB"/>
              </w:rPr>
              <w:t>Man/Male total</w:t>
            </w:r>
          </w:p>
        </w:tc>
        <w:tc>
          <w:tcPr>
            <w:tcW w:w="737" w:type="dxa"/>
            <w:tcBorders>
              <w:top w:val="single" w:sz="4" w:space="0" w:color="6B2876" w:themeColor="text1"/>
            </w:tcBorders>
            <w:textDirection w:val="btLr"/>
            <w:vAlign w:val="center"/>
          </w:tcPr>
          <w:p w14:paraId="0791C58B" w14:textId="18BE12E8" w:rsidR="00284BB0" w:rsidRPr="00A33264" w:rsidRDefault="00284BB0" w:rsidP="00C61B89">
            <w:pPr>
              <w:pStyle w:val="TableBody"/>
              <w:spacing w:before="0" w:after="0"/>
              <w:ind w:left="113" w:right="113"/>
              <w:cnfStyle w:val="100000000000" w:firstRow="1" w:lastRow="0" w:firstColumn="0" w:lastColumn="0" w:oddVBand="0" w:evenVBand="0" w:oddHBand="0" w:evenHBand="0" w:firstRowFirstColumn="0" w:firstRowLastColumn="0" w:lastRowFirstColumn="0" w:lastRowLastColumn="0"/>
              <w:rPr>
                <w:szCs w:val="24"/>
                <w:lang w:val="en-GB"/>
              </w:rPr>
            </w:pPr>
            <w:r w:rsidRPr="00A33264">
              <w:rPr>
                <w:szCs w:val="24"/>
                <w:lang w:val="en-GB"/>
              </w:rPr>
              <w:t>Woman/Female full time</w:t>
            </w:r>
          </w:p>
        </w:tc>
        <w:tc>
          <w:tcPr>
            <w:tcW w:w="737" w:type="dxa"/>
            <w:tcBorders>
              <w:top w:val="single" w:sz="4" w:space="0" w:color="6B2876" w:themeColor="text1"/>
            </w:tcBorders>
            <w:textDirection w:val="btLr"/>
            <w:vAlign w:val="center"/>
          </w:tcPr>
          <w:p w14:paraId="155364C8" w14:textId="1459C47D" w:rsidR="00284BB0" w:rsidRPr="00A33264" w:rsidRDefault="00284BB0" w:rsidP="00C61B89">
            <w:pPr>
              <w:pStyle w:val="TableBody"/>
              <w:spacing w:before="0" w:after="0"/>
              <w:ind w:left="113" w:right="113"/>
              <w:cnfStyle w:val="100000000000" w:firstRow="1" w:lastRow="0" w:firstColumn="0" w:lastColumn="0" w:oddVBand="0" w:evenVBand="0" w:oddHBand="0" w:evenHBand="0" w:firstRowFirstColumn="0" w:firstRowLastColumn="0" w:lastRowFirstColumn="0" w:lastRowLastColumn="0"/>
              <w:rPr>
                <w:szCs w:val="24"/>
                <w:lang w:val="en-GB"/>
              </w:rPr>
            </w:pPr>
            <w:r w:rsidRPr="00A33264">
              <w:rPr>
                <w:szCs w:val="24"/>
                <w:lang w:val="en-GB"/>
              </w:rPr>
              <w:t>Woman/Female part time</w:t>
            </w:r>
          </w:p>
        </w:tc>
        <w:tc>
          <w:tcPr>
            <w:tcW w:w="737" w:type="dxa"/>
            <w:tcBorders>
              <w:top w:val="single" w:sz="4" w:space="0" w:color="6B2876" w:themeColor="text1"/>
            </w:tcBorders>
            <w:textDirection w:val="btLr"/>
            <w:vAlign w:val="center"/>
          </w:tcPr>
          <w:p w14:paraId="63CF8A52" w14:textId="7C79EFCD" w:rsidR="00284BB0" w:rsidRPr="00A33264" w:rsidRDefault="00284BB0" w:rsidP="00C61B89">
            <w:pPr>
              <w:pStyle w:val="TableBody"/>
              <w:spacing w:before="0" w:after="0"/>
              <w:ind w:left="113" w:right="113"/>
              <w:cnfStyle w:val="100000000000" w:firstRow="1" w:lastRow="0" w:firstColumn="0" w:lastColumn="0" w:oddVBand="0" w:evenVBand="0" w:oddHBand="0" w:evenHBand="0" w:firstRowFirstColumn="0" w:firstRowLastColumn="0" w:lastRowFirstColumn="0" w:lastRowLastColumn="0"/>
              <w:rPr>
                <w:szCs w:val="24"/>
                <w:lang w:val="en-GB"/>
              </w:rPr>
            </w:pPr>
            <w:r w:rsidRPr="00A33264">
              <w:rPr>
                <w:szCs w:val="24"/>
                <w:lang w:val="en-GB"/>
              </w:rPr>
              <w:t>Woman/Female total</w:t>
            </w:r>
          </w:p>
        </w:tc>
        <w:tc>
          <w:tcPr>
            <w:tcW w:w="737" w:type="dxa"/>
            <w:tcBorders>
              <w:top w:val="single" w:sz="4" w:space="0" w:color="6B2876" w:themeColor="text1"/>
            </w:tcBorders>
            <w:textDirection w:val="btLr"/>
            <w:vAlign w:val="center"/>
          </w:tcPr>
          <w:p w14:paraId="0C8B4C2B" w14:textId="39DFBAED" w:rsidR="00284BB0" w:rsidRPr="00A33264" w:rsidRDefault="00C61B89" w:rsidP="00C61B89">
            <w:pPr>
              <w:pStyle w:val="TableBody"/>
              <w:spacing w:before="0" w:after="0"/>
              <w:ind w:left="113" w:right="113"/>
              <w:cnfStyle w:val="100000000000" w:firstRow="1" w:lastRow="0" w:firstColumn="0" w:lastColumn="0" w:oddVBand="0" w:evenVBand="0" w:oddHBand="0" w:evenHBand="0" w:firstRowFirstColumn="0" w:firstRowLastColumn="0" w:lastRowFirstColumn="0" w:lastRowLastColumn="0"/>
              <w:rPr>
                <w:szCs w:val="24"/>
                <w:lang w:val="en-GB"/>
              </w:rPr>
            </w:pPr>
            <w:r w:rsidRPr="00A33264">
              <w:rPr>
                <w:szCs w:val="24"/>
                <w:lang w:val="en-GB"/>
              </w:rPr>
              <w:t>Non-binary full time</w:t>
            </w:r>
          </w:p>
        </w:tc>
        <w:tc>
          <w:tcPr>
            <w:tcW w:w="737" w:type="dxa"/>
            <w:tcBorders>
              <w:top w:val="single" w:sz="4" w:space="0" w:color="6B2876" w:themeColor="text1"/>
            </w:tcBorders>
            <w:textDirection w:val="btLr"/>
            <w:vAlign w:val="center"/>
          </w:tcPr>
          <w:p w14:paraId="060280EE" w14:textId="77C37C4A" w:rsidR="00284BB0" w:rsidRPr="00A33264" w:rsidRDefault="00C61B89" w:rsidP="00C61B89">
            <w:pPr>
              <w:pStyle w:val="TableBody"/>
              <w:spacing w:before="0" w:after="0"/>
              <w:ind w:left="113" w:right="113"/>
              <w:cnfStyle w:val="100000000000" w:firstRow="1" w:lastRow="0" w:firstColumn="0" w:lastColumn="0" w:oddVBand="0" w:evenVBand="0" w:oddHBand="0" w:evenHBand="0" w:firstRowFirstColumn="0" w:firstRowLastColumn="0" w:lastRowFirstColumn="0" w:lastRowLastColumn="0"/>
              <w:rPr>
                <w:szCs w:val="24"/>
                <w:lang w:val="en-GB"/>
              </w:rPr>
            </w:pPr>
            <w:r w:rsidRPr="00A33264">
              <w:rPr>
                <w:szCs w:val="24"/>
                <w:lang w:val="en-GB"/>
              </w:rPr>
              <w:t>Non-binary part time</w:t>
            </w:r>
          </w:p>
        </w:tc>
        <w:tc>
          <w:tcPr>
            <w:tcW w:w="737" w:type="dxa"/>
            <w:tcBorders>
              <w:top w:val="single" w:sz="4" w:space="0" w:color="6B2876" w:themeColor="text1"/>
            </w:tcBorders>
            <w:textDirection w:val="btLr"/>
            <w:vAlign w:val="center"/>
          </w:tcPr>
          <w:p w14:paraId="516DA619" w14:textId="3D7F3C9C" w:rsidR="00284BB0" w:rsidRPr="00A33264" w:rsidRDefault="00C61B89" w:rsidP="00C61B89">
            <w:pPr>
              <w:pStyle w:val="TableBody"/>
              <w:spacing w:before="0" w:after="0"/>
              <w:ind w:left="113" w:right="113"/>
              <w:cnfStyle w:val="100000000000" w:firstRow="1" w:lastRow="0" w:firstColumn="0" w:lastColumn="0" w:oddVBand="0" w:evenVBand="0" w:oddHBand="0" w:evenHBand="0" w:firstRowFirstColumn="0" w:firstRowLastColumn="0" w:lastRowFirstColumn="0" w:lastRowLastColumn="0"/>
              <w:rPr>
                <w:szCs w:val="24"/>
                <w:lang w:val="en-GB"/>
              </w:rPr>
            </w:pPr>
            <w:r w:rsidRPr="00A33264">
              <w:rPr>
                <w:szCs w:val="24"/>
                <w:lang w:val="en-GB"/>
              </w:rPr>
              <w:t>Non-binary tota</w:t>
            </w:r>
            <w:r w:rsidR="00705C90" w:rsidRPr="00A33264">
              <w:rPr>
                <w:szCs w:val="24"/>
                <w:lang w:val="en-GB"/>
              </w:rPr>
              <w:t>l</w:t>
            </w:r>
          </w:p>
        </w:tc>
        <w:tc>
          <w:tcPr>
            <w:tcW w:w="737" w:type="dxa"/>
            <w:tcBorders>
              <w:top w:val="single" w:sz="4" w:space="0" w:color="6B2876" w:themeColor="text1"/>
            </w:tcBorders>
            <w:textDirection w:val="btLr"/>
            <w:vAlign w:val="center"/>
          </w:tcPr>
          <w:p w14:paraId="786654AF" w14:textId="660D0B49" w:rsidR="00284BB0" w:rsidRPr="00A33264" w:rsidRDefault="00C61B89" w:rsidP="00C61B89">
            <w:pPr>
              <w:pStyle w:val="TableBody"/>
              <w:spacing w:before="0" w:after="0"/>
              <w:ind w:left="113" w:right="113"/>
              <w:cnfStyle w:val="100000000000" w:firstRow="1" w:lastRow="0" w:firstColumn="0" w:lastColumn="0" w:oddVBand="0" w:evenVBand="0" w:oddHBand="0" w:evenHBand="0" w:firstRowFirstColumn="0" w:firstRowLastColumn="0" w:lastRowFirstColumn="0" w:lastRowLastColumn="0"/>
              <w:rPr>
                <w:szCs w:val="24"/>
                <w:lang w:val="en-GB"/>
              </w:rPr>
            </w:pPr>
            <w:r w:rsidRPr="00A33264">
              <w:rPr>
                <w:szCs w:val="24"/>
                <w:lang w:val="en-GB"/>
              </w:rPr>
              <w:t>Prefers not to answer full time</w:t>
            </w:r>
          </w:p>
        </w:tc>
        <w:tc>
          <w:tcPr>
            <w:tcW w:w="737" w:type="dxa"/>
            <w:tcBorders>
              <w:top w:val="single" w:sz="4" w:space="0" w:color="6B2876" w:themeColor="text1"/>
            </w:tcBorders>
            <w:textDirection w:val="btLr"/>
            <w:vAlign w:val="center"/>
          </w:tcPr>
          <w:p w14:paraId="3605167F" w14:textId="23570639" w:rsidR="00284BB0" w:rsidRPr="00A33264" w:rsidRDefault="00C61B89" w:rsidP="00C61B89">
            <w:pPr>
              <w:pStyle w:val="TableBody"/>
              <w:spacing w:before="0" w:after="0"/>
              <w:ind w:left="113" w:right="113"/>
              <w:cnfStyle w:val="100000000000" w:firstRow="1" w:lastRow="0" w:firstColumn="0" w:lastColumn="0" w:oddVBand="0" w:evenVBand="0" w:oddHBand="0" w:evenHBand="0" w:firstRowFirstColumn="0" w:firstRowLastColumn="0" w:lastRowFirstColumn="0" w:lastRowLastColumn="0"/>
              <w:rPr>
                <w:szCs w:val="24"/>
                <w:lang w:val="en-GB"/>
              </w:rPr>
            </w:pPr>
            <w:r w:rsidRPr="00A33264">
              <w:rPr>
                <w:szCs w:val="24"/>
                <w:lang w:val="en-GB"/>
              </w:rPr>
              <w:t>Prefers not to answer part time</w:t>
            </w:r>
          </w:p>
        </w:tc>
        <w:tc>
          <w:tcPr>
            <w:tcW w:w="737" w:type="dxa"/>
            <w:tcBorders>
              <w:top w:val="single" w:sz="4" w:space="0" w:color="6B2876" w:themeColor="text1"/>
            </w:tcBorders>
            <w:textDirection w:val="btLr"/>
            <w:vAlign w:val="center"/>
          </w:tcPr>
          <w:p w14:paraId="2478FC0B" w14:textId="59805719" w:rsidR="00284BB0" w:rsidRPr="00A33264" w:rsidRDefault="00C61B89" w:rsidP="00C61B89">
            <w:pPr>
              <w:pStyle w:val="TableBody"/>
              <w:spacing w:before="0" w:after="0"/>
              <w:ind w:left="113" w:right="113"/>
              <w:cnfStyle w:val="100000000000" w:firstRow="1" w:lastRow="0" w:firstColumn="0" w:lastColumn="0" w:oddVBand="0" w:evenVBand="0" w:oddHBand="0" w:evenHBand="0" w:firstRowFirstColumn="0" w:firstRowLastColumn="0" w:lastRowFirstColumn="0" w:lastRowLastColumn="0"/>
              <w:rPr>
                <w:szCs w:val="24"/>
                <w:lang w:val="en-GB"/>
              </w:rPr>
            </w:pPr>
            <w:r w:rsidRPr="00A33264">
              <w:rPr>
                <w:szCs w:val="24"/>
                <w:lang w:val="en-GB"/>
              </w:rPr>
              <w:t>Prefers not to answer total</w:t>
            </w:r>
          </w:p>
        </w:tc>
        <w:tc>
          <w:tcPr>
            <w:tcW w:w="737" w:type="dxa"/>
            <w:tcBorders>
              <w:top w:val="single" w:sz="4" w:space="0" w:color="6B2876" w:themeColor="text1"/>
            </w:tcBorders>
            <w:textDirection w:val="btLr"/>
            <w:vAlign w:val="center"/>
          </w:tcPr>
          <w:p w14:paraId="331104D8" w14:textId="2A5E8B8D" w:rsidR="00284BB0" w:rsidRPr="00A33264" w:rsidRDefault="00C61B89" w:rsidP="00C61B89">
            <w:pPr>
              <w:pStyle w:val="TableBody"/>
              <w:spacing w:before="0" w:after="0"/>
              <w:ind w:left="113" w:right="113"/>
              <w:cnfStyle w:val="100000000000" w:firstRow="1" w:lastRow="0" w:firstColumn="0" w:lastColumn="0" w:oddVBand="0" w:evenVBand="0" w:oddHBand="0" w:evenHBand="0" w:firstRowFirstColumn="0" w:firstRowLastColumn="0" w:lastRowFirstColumn="0" w:lastRowLastColumn="0"/>
              <w:rPr>
                <w:szCs w:val="24"/>
                <w:lang w:val="en-GB"/>
              </w:rPr>
            </w:pPr>
            <w:r w:rsidRPr="00A33264">
              <w:rPr>
                <w:szCs w:val="24"/>
                <w:lang w:val="en-GB"/>
              </w:rPr>
              <w:t>Uses a different term full time</w:t>
            </w:r>
          </w:p>
        </w:tc>
        <w:tc>
          <w:tcPr>
            <w:tcW w:w="737" w:type="dxa"/>
            <w:tcBorders>
              <w:top w:val="single" w:sz="4" w:space="0" w:color="6B2876" w:themeColor="text1"/>
            </w:tcBorders>
            <w:textDirection w:val="btLr"/>
            <w:vAlign w:val="center"/>
          </w:tcPr>
          <w:p w14:paraId="11DB20D2" w14:textId="284D934B" w:rsidR="00284BB0" w:rsidRPr="00A33264" w:rsidRDefault="00C61B89" w:rsidP="00C61B89">
            <w:pPr>
              <w:pStyle w:val="TableBody"/>
              <w:spacing w:before="0" w:after="0"/>
              <w:ind w:left="113" w:right="113"/>
              <w:cnfStyle w:val="100000000000" w:firstRow="1" w:lastRow="0" w:firstColumn="0" w:lastColumn="0" w:oddVBand="0" w:evenVBand="0" w:oddHBand="0" w:evenHBand="0" w:firstRowFirstColumn="0" w:firstRowLastColumn="0" w:lastRowFirstColumn="0" w:lastRowLastColumn="0"/>
              <w:rPr>
                <w:szCs w:val="24"/>
                <w:lang w:val="en-GB"/>
              </w:rPr>
            </w:pPr>
            <w:r w:rsidRPr="00A33264">
              <w:rPr>
                <w:szCs w:val="24"/>
                <w:lang w:val="en-GB"/>
              </w:rPr>
              <w:t>Uses a different term part time</w:t>
            </w:r>
          </w:p>
        </w:tc>
        <w:tc>
          <w:tcPr>
            <w:tcW w:w="737" w:type="dxa"/>
            <w:tcBorders>
              <w:top w:val="single" w:sz="4" w:space="0" w:color="6B2876" w:themeColor="text1"/>
            </w:tcBorders>
            <w:textDirection w:val="btLr"/>
            <w:vAlign w:val="center"/>
          </w:tcPr>
          <w:p w14:paraId="52CD1542" w14:textId="6E24BE4C" w:rsidR="00284BB0" w:rsidRPr="00A33264" w:rsidRDefault="00C61B89" w:rsidP="00C61B89">
            <w:pPr>
              <w:pStyle w:val="TableBody"/>
              <w:spacing w:before="0" w:after="0"/>
              <w:ind w:left="113" w:right="113"/>
              <w:cnfStyle w:val="100000000000" w:firstRow="1" w:lastRow="0" w:firstColumn="0" w:lastColumn="0" w:oddVBand="0" w:evenVBand="0" w:oddHBand="0" w:evenHBand="0" w:firstRowFirstColumn="0" w:firstRowLastColumn="0" w:lastRowFirstColumn="0" w:lastRowLastColumn="0"/>
              <w:rPr>
                <w:szCs w:val="24"/>
                <w:lang w:val="en-GB"/>
              </w:rPr>
            </w:pPr>
            <w:r w:rsidRPr="00A33264">
              <w:rPr>
                <w:szCs w:val="24"/>
                <w:lang w:val="en-GB"/>
              </w:rPr>
              <w:t>Uses a different term total</w:t>
            </w:r>
          </w:p>
        </w:tc>
        <w:tc>
          <w:tcPr>
            <w:tcW w:w="737" w:type="dxa"/>
            <w:tcBorders>
              <w:top w:val="single" w:sz="4" w:space="0" w:color="6B2876" w:themeColor="text1"/>
            </w:tcBorders>
            <w:textDirection w:val="btLr"/>
            <w:vAlign w:val="center"/>
          </w:tcPr>
          <w:p w14:paraId="0E80078A" w14:textId="74340457" w:rsidR="00284BB0" w:rsidRPr="00A33264" w:rsidRDefault="00C61B89" w:rsidP="00C61B89">
            <w:pPr>
              <w:pStyle w:val="TableBody"/>
              <w:spacing w:before="0" w:after="0"/>
              <w:ind w:left="113" w:right="113"/>
              <w:cnfStyle w:val="100000000000" w:firstRow="1" w:lastRow="0" w:firstColumn="0" w:lastColumn="0" w:oddVBand="0" w:evenVBand="0" w:oddHBand="0" w:evenHBand="0" w:firstRowFirstColumn="0" w:firstRowLastColumn="0" w:lastRowFirstColumn="0" w:lastRowLastColumn="0"/>
              <w:rPr>
                <w:szCs w:val="24"/>
                <w:lang w:val="en-GB"/>
              </w:rPr>
            </w:pPr>
            <w:r w:rsidRPr="00A33264">
              <w:rPr>
                <w:szCs w:val="24"/>
                <w:lang w:val="en-GB"/>
              </w:rPr>
              <w:t>Total</w:t>
            </w:r>
          </w:p>
        </w:tc>
      </w:tr>
      <w:tr w:rsidR="00537BC0" w:rsidRPr="00A33264" w14:paraId="2C222081" w14:textId="02C74770" w:rsidTr="00F23525">
        <w:trPr>
          <w:cantSplit/>
          <w:trHeight w:val="340"/>
        </w:trPr>
        <w:tc>
          <w:tcPr>
            <w:cnfStyle w:val="001000000000" w:firstRow="0" w:lastRow="0" w:firstColumn="1" w:lastColumn="0" w:oddVBand="0" w:evenVBand="0" w:oddHBand="0" w:evenHBand="0" w:firstRowFirstColumn="0" w:firstRowLastColumn="0" w:lastRowFirstColumn="0" w:lastRowLastColumn="0"/>
            <w:tcW w:w="2324" w:type="dxa"/>
            <w:vAlign w:val="center"/>
          </w:tcPr>
          <w:p w14:paraId="319F7CCC" w14:textId="68112D21" w:rsidR="00C61B89" w:rsidRPr="00A33264" w:rsidRDefault="00C61B89" w:rsidP="00A84BD6">
            <w:pPr>
              <w:pStyle w:val="TableBody"/>
              <w:spacing w:before="0" w:after="0"/>
              <w:rPr>
                <w:szCs w:val="24"/>
                <w:lang w:val="en-GB"/>
              </w:rPr>
            </w:pPr>
            <w:r w:rsidRPr="00A33264">
              <w:rPr>
                <w:szCs w:val="24"/>
                <w:lang w:val="en-GB"/>
              </w:rPr>
              <w:t>NSW</w:t>
            </w:r>
          </w:p>
        </w:tc>
        <w:tc>
          <w:tcPr>
            <w:tcW w:w="737" w:type="dxa"/>
            <w:vAlign w:val="center"/>
          </w:tcPr>
          <w:p w14:paraId="07722411" w14:textId="0B5DE4CE"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346</w:t>
            </w:r>
          </w:p>
        </w:tc>
        <w:tc>
          <w:tcPr>
            <w:tcW w:w="737" w:type="dxa"/>
            <w:vAlign w:val="center"/>
          </w:tcPr>
          <w:p w14:paraId="40DE52FA" w14:textId="2C1F6DCE"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20</w:t>
            </w:r>
          </w:p>
        </w:tc>
        <w:tc>
          <w:tcPr>
            <w:tcW w:w="737" w:type="dxa"/>
            <w:vAlign w:val="center"/>
          </w:tcPr>
          <w:p w14:paraId="4B13CC41" w14:textId="4CC44FCD"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366</w:t>
            </w:r>
          </w:p>
        </w:tc>
        <w:tc>
          <w:tcPr>
            <w:tcW w:w="737" w:type="dxa"/>
            <w:vAlign w:val="center"/>
          </w:tcPr>
          <w:p w14:paraId="37418753" w14:textId="22364EC1"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1,082</w:t>
            </w:r>
          </w:p>
        </w:tc>
        <w:tc>
          <w:tcPr>
            <w:tcW w:w="737" w:type="dxa"/>
            <w:vAlign w:val="center"/>
          </w:tcPr>
          <w:p w14:paraId="5B5A1EF4" w14:textId="18780F71"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207</w:t>
            </w:r>
          </w:p>
        </w:tc>
        <w:tc>
          <w:tcPr>
            <w:tcW w:w="737" w:type="dxa"/>
            <w:vAlign w:val="center"/>
          </w:tcPr>
          <w:p w14:paraId="5A424AB1" w14:textId="50F526E9"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1,289</w:t>
            </w:r>
          </w:p>
        </w:tc>
        <w:tc>
          <w:tcPr>
            <w:tcW w:w="737" w:type="dxa"/>
            <w:vAlign w:val="center"/>
          </w:tcPr>
          <w:p w14:paraId="773EB330" w14:textId="67E28FB6"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5</w:t>
            </w:r>
          </w:p>
        </w:tc>
        <w:tc>
          <w:tcPr>
            <w:tcW w:w="737" w:type="dxa"/>
            <w:vAlign w:val="center"/>
          </w:tcPr>
          <w:p w14:paraId="17B4F756" w14:textId="79B01580"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1</w:t>
            </w:r>
          </w:p>
        </w:tc>
        <w:tc>
          <w:tcPr>
            <w:tcW w:w="737" w:type="dxa"/>
            <w:vAlign w:val="center"/>
          </w:tcPr>
          <w:p w14:paraId="32701B98" w14:textId="7335CE47"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6</w:t>
            </w:r>
          </w:p>
        </w:tc>
        <w:tc>
          <w:tcPr>
            <w:tcW w:w="737" w:type="dxa"/>
            <w:vAlign w:val="center"/>
          </w:tcPr>
          <w:p w14:paraId="35B9F116" w14:textId="70CAAB7B"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221D7B27" w14:textId="2A218F50"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634CE458" w14:textId="6483ACD4"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52682210" w14:textId="2A8A26C5"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0A2BF941" w14:textId="10FE20AC"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70F73211" w14:textId="00381671"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320C35DB" w14:textId="72376084"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1,661</w:t>
            </w:r>
          </w:p>
        </w:tc>
      </w:tr>
      <w:tr w:rsidR="00537BC0" w:rsidRPr="00A33264" w14:paraId="137D5295" w14:textId="197AE5CF" w:rsidTr="00F23525">
        <w:trPr>
          <w:cantSplit/>
          <w:trHeight w:val="340"/>
        </w:trPr>
        <w:tc>
          <w:tcPr>
            <w:cnfStyle w:val="001000000000" w:firstRow="0" w:lastRow="0" w:firstColumn="1" w:lastColumn="0" w:oddVBand="0" w:evenVBand="0" w:oddHBand="0" w:evenHBand="0" w:firstRowFirstColumn="0" w:firstRowLastColumn="0" w:lastRowFirstColumn="0" w:lastRowLastColumn="0"/>
            <w:tcW w:w="2324" w:type="dxa"/>
            <w:vAlign w:val="center"/>
          </w:tcPr>
          <w:p w14:paraId="3445CCFB" w14:textId="10740BA2" w:rsidR="00C61B89" w:rsidRPr="00A33264" w:rsidRDefault="00C61B89" w:rsidP="00A84BD6">
            <w:pPr>
              <w:pStyle w:val="TableBody"/>
              <w:spacing w:before="0" w:after="0"/>
              <w:rPr>
                <w:szCs w:val="24"/>
                <w:lang w:val="en-GB"/>
              </w:rPr>
            </w:pPr>
            <w:r w:rsidRPr="00A33264">
              <w:rPr>
                <w:szCs w:val="24"/>
                <w:lang w:val="en-GB"/>
              </w:rPr>
              <w:t>Qld</w:t>
            </w:r>
          </w:p>
        </w:tc>
        <w:tc>
          <w:tcPr>
            <w:tcW w:w="737" w:type="dxa"/>
            <w:vAlign w:val="center"/>
          </w:tcPr>
          <w:p w14:paraId="6787B09A" w14:textId="517EA95B"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310</w:t>
            </w:r>
          </w:p>
        </w:tc>
        <w:tc>
          <w:tcPr>
            <w:tcW w:w="737" w:type="dxa"/>
            <w:vAlign w:val="center"/>
          </w:tcPr>
          <w:p w14:paraId="5B8EE1E7" w14:textId="0333D636"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15</w:t>
            </w:r>
          </w:p>
        </w:tc>
        <w:tc>
          <w:tcPr>
            <w:tcW w:w="737" w:type="dxa"/>
            <w:vAlign w:val="center"/>
          </w:tcPr>
          <w:p w14:paraId="0E8E55B7" w14:textId="76AD9A66"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325</w:t>
            </w:r>
          </w:p>
        </w:tc>
        <w:tc>
          <w:tcPr>
            <w:tcW w:w="737" w:type="dxa"/>
            <w:vAlign w:val="center"/>
          </w:tcPr>
          <w:p w14:paraId="2C82320C" w14:textId="7D093184"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974</w:t>
            </w:r>
          </w:p>
        </w:tc>
        <w:tc>
          <w:tcPr>
            <w:tcW w:w="737" w:type="dxa"/>
            <w:vAlign w:val="center"/>
          </w:tcPr>
          <w:p w14:paraId="79AA22D4" w14:textId="64BD8C76"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156</w:t>
            </w:r>
          </w:p>
        </w:tc>
        <w:tc>
          <w:tcPr>
            <w:tcW w:w="737" w:type="dxa"/>
            <w:vAlign w:val="center"/>
          </w:tcPr>
          <w:p w14:paraId="593683BE" w14:textId="56C28047"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1,130</w:t>
            </w:r>
          </w:p>
        </w:tc>
        <w:tc>
          <w:tcPr>
            <w:tcW w:w="737" w:type="dxa"/>
            <w:vAlign w:val="center"/>
          </w:tcPr>
          <w:p w14:paraId="6587DB54" w14:textId="7EC015D5"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2</w:t>
            </w:r>
          </w:p>
        </w:tc>
        <w:tc>
          <w:tcPr>
            <w:tcW w:w="737" w:type="dxa"/>
            <w:vAlign w:val="center"/>
          </w:tcPr>
          <w:p w14:paraId="425C382B" w14:textId="2A1277C1"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0</w:t>
            </w:r>
          </w:p>
        </w:tc>
        <w:tc>
          <w:tcPr>
            <w:tcW w:w="737" w:type="dxa"/>
            <w:vAlign w:val="center"/>
          </w:tcPr>
          <w:p w14:paraId="410C2174" w14:textId="2188E5D5"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2</w:t>
            </w:r>
          </w:p>
        </w:tc>
        <w:tc>
          <w:tcPr>
            <w:tcW w:w="737" w:type="dxa"/>
            <w:vAlign w:val="center"/>
          </w:tcPr>
          <w:p w14:paraId="1B9E599A" w14:textId="02C1AA1F"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0704F4C0" w14:textId="5AA81C29"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2CE2EF3F" w14:textId="7E4D423F"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286490A2" w14:textId="74F36458"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7F0B8C89" w14:textId="385D6EBE"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3F4A1065" w14:textId="736E42B7"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1ACEF91D" w14:textId="1BE5D122"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1,457</w:t>
            </w:r>
          </w:p>
        </w:tc>
      </w:tr>
      <w:tr w:rsidR="00537BC0" w:rsidRPr="00A33264" w14:paraId="28F78CAB" w14:textId="113788E2" w:rsidTr="00F23525">
        <w:trPr>
          <w:cantSplit/>
          <w:trHeight w:val="340"/>
        </w:trPr>
        <w:tc>
          <w:tcPr>
            <w:cnfStyle w:val="001000000000" w:firstRow="0" w:lastRow="0" w:firstColumn="1" w:lastColumn="0" w:oddVBand="0" w:evenVBand="0" w:oddHBand="0" w:evenHBand="0" w:firstRowFirstColumn="0" w:firstRowLastColumn="0" w:lastRowFirstColumn="0" w:lastRowLastColumn="0"/>
            <w:tcW w:w="2324" w:type="dxa"/>
            <w:vAlign w:val="center"/>
          </w:tcPr>
          <w:p w14:paraId="49D5D4AD" w14:textId="31AACA62" w:rsidR="00C61B89" w:rsidRPr="00A33264" w:rsidRDefault="00C61B89" w:rsidP="00A84BD6">
            <w:pPr>
              <w:pStyle w:val="TableBody"/>
              <w:spacing w:before="0" w:after="0"/>
              <w:rPr>
                <w:szCs w:val="24"/>
                <w:lang w:val="en-GB"/>
              </w:rPr>
            </w:pPr>
            <w:r w:rsidRPr="00A33264">
              <w:rPr>
                <w:szCs w:val="24"/>
                <w:lang w:val="en-GB"/>
              </w:rPr>
              <w:t>SA</w:t>
            </w:r>
          </w:p>
        </w:tc>
        <w:tc>
          <w:tcPr>
            <w:tcW w:w="737" w:type="dxa"/>
            <w:vAlign w:val="center"/>
          </w:tcPr>
          <w:p w14:paraId="611543F0" w14:textId="5A94B408"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169</w:t>
            </w:r>
          </w:p>
        </w:tc>
        <w:tc>
          <w:tcPr>
            <w:tcW w:w="737" w:type="dxa"/>
            <w:vAlign w:val="center"/>
          </w:tcPr>
          <w:p w14:paraId="07DC4960" w14:textId="15CB76F8"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6</w:t>
            </w:r>
          </w:p>
        </w:tc>
        <w:tc>
          <w:tcPr>
            <w:tcW w:w="737" w:type="dxa"/>
            <w:vAlign w:val="center"/>
          </w:tcPr>
          <w:p w14:paraId="5CC932B0" w14:textId="399FB653"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175</w:t>
            </w:r>
          </w:p>
        </w:tc>
        <w:tc>
          <w:tcPr>
            <w:tcW w:w="737" w:type="dxa"/>
            <w:vAlign w:val="center"/>
          </w:tcPr>
          <w:p w14:paraId="78FD7F6A" w14:textId="3F226AC4"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394</w:t>
            </w:r>
          </w:p>
        </w:tc>
        <w:tc>
          <w:tcPr>
            <w:tcW w:w="737" w:type="dxa"/>
            <w:vAlign w:val="center"/>
          </w:tcPr>
          <w:p w14:paraId="20482D74" w14:textId="2666A829"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105</w:t>
            </w:r>
          </w:p>
        </w:tc>
        <w:tc>
          <w:tcPr>
            <w:tcW w:w="737" w:type="dxa"/>
            <w:vAlign w:val="center"/>
          </w:tcPr>
          <w:p w14:paraId="265BACDE" w14:textId="4B4E0742"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499</w:t>
            </w:r>
          </w:p>
        </w:tc>
        <w:tc>
          <w:tcPr>
            <w:tcW w:w="737" w:type="dxa"/>
            <w:vAlign w:val="center"/>
          </w:tcPr>
          <w:p w14:paraId="23D931A7" w14:textId="0B794B11"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2</w:t>
            </w:r>
          </w:p>
        </w:tc>
        <w:tc>
          <w:tcPr>
            <w:tcW w:w="737" w:type="dxa"/>
            <w:vAlign w:val="center"/>
          </w:tcPr>
          <w:p w14:paraId="45A0FBF0" w14:textId="474187B8"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0</w:t>
            </w:r>
          </w:p>
        </w:tc>
        <w:tc>
          <w:tcPr>
            <w:tcW w:w="737" w:type="dxa"/>
            <w:vAlign w:val="center"/>
          </w:tcPr>
          <w:p w14:paraId="16ECD134" w14:textId="38006EB1"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2</w:t>
            </w:r>
          </w:p>
        </w:tc>
        <w:tc>
          <w:tcPr>
            <w:tcW w:w="737" w:type="dxa"/>
            <w:vAlign w:val="center"/>
          </w:tcPr>
          <w:p w14:paraId="4960B6D9" w14:textId="6802628F"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586348E5" w14:textId="3E8C005C"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588E14E2" w14:textId="1BF69F4B"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5AB840E0" w14:textId="5F49B9DD"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2AE5787C" w14:textId="2A6C4747"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6B8D64DC" w14:textId="16F7292A"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1A8AF42F" w14:textId="03A355C5"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676</w:t>
            </w:r>
          </w:p>
        </w:tc>
      </w:tr>
      <w:tr w:rsidR="00537BC0" w:rsidRPr="00A33264" w14:paraId="0C1935C4" w14:textId="5FC67DBF" w:rsidTr="00F23525">
        <w:trPr>
          <w:cantSplit/>
          <w:trHeight w:val="340"/>
        </w:trPr>
        <w:tc>
          <w:tcPr>
            <w:cnfStyle w:val="001000000000" w:firstRow="0" w:lastRow="0" w:firstColumn="1" w:lastColumn="0" w:oddVBand="0" w:evenVBand="0" w:oddHBand="0" w:evenHBand="0" w:firstRowFirstColumn="0" w:firstRowLastColumn="0" w:lastRowFirstColumn="0" w:lastRowLastColumn="0"/>
            <w:tcW w:w="2324" w:type="dxa"/>
            <w:vAlign w:val="center"/>
          </w:tcPr>
          <w:p w14:paraId="3BDC36B7" w14:textId="51160EB2" w:rsidR="00C61B89" w:rsidRPr="00A33264" w:rsidRDefault="00C61B89" w:rsidP="00A84BD6">
            <w:pPr>
              <w:pStyle w:val="TableBody"/>
              <w:spacing w:before="0" w:after="0"/>
              <w:rPr>
                <w:szCs w:val="24"/>
                <w:lang w:val="en-GB"/>
              </w:rPr>
            </w:pPr>
            <w:r w:rsidRPr="00A33264">
              <w:rPr>
                <w:szCs w:val="24"/>
                <w:lang w:val="en-GB"/>
              </w:rPr>
              <w:t>Tas</w:t>
            </w:r>
          </w:p>
        </w:tc>
        <w:tc>
          <w:tcPr>
            <w:tcW w:w="737" w:type="dxa"/>
            <w:vAlign w:val="center"/>
          </w:tcPr>
          <w:p w14:paraId="271674DA" w14:textId="2C1E1566"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34</w:t>
            </w:r>
          </w:p>
        </w:tc>
        <w:tc>
          <w:tcPr>
            <w:tcW w:w="737" w:type="dxa"/>
            <w:vAlign w:val="center"/>
          </w:tcPr>
          <w:p w14:paraId="238DA5AA" w14:textId="1927B1B0"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5</w:t>
            </w:r>
          </w:p>
        </w:tc>
        <w:tc>
          <w:tcPr>
            <w:tcW w:w="737" w:type="dxa"/>
            <w:vAlign w:val="center"/>
          </w:tcPr>
          <w:p w14:paraId="00EFEADC" w14:textId="22D8794B"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39</w:t>
            </w:r>
          </w:p>
        </w:tc>
        <w:tc>
          <w:tcPr>
            <w:tcW w:w="737" w:type="dxa"/>
            <w:vAlign w:val="center"/>
          </w:tcPr>
          <w:p w14:paraId="249F0D35" w14:textId="65B1E93E"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82</w:t>
            </w:r>
          </w:p>
        </w:tc>
        <w:tc>
          <w:tcPr>
            <w:tcW w:w="737" w:type="dxa"/>
            <w:vAlign w:val="center"/>
          </w:tcPr>
          <w:p w14:paraId="23F733D6" w14:textId="754DD5CC"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20</w:t>
            </w:r>
          </w:p>
        </w:tc>
        <w:tc>
          <w:tcPr>
            <w:tcW w:w="737" w:type="dxa"/>
            <w:vAlign w:val="center"/>
          </w:tcPr>
          <w:p w14:paraId="717E93C5" w14:textId="460FF0FD"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102</w:t>
            </w:r>
          </w:p>
        </w:tc>
        <w:tc>
          <w:tcPr>
            <w:tcW w:w="737" w:type="dxa"/>
            <w:vAlign w:val="center"/>
          </w:tcPr>
          <w:p w14:paraId="247E09E9" w14:textId="6C9CF9BE"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1</w:t>
            </w:r>
          </w:p>
        </w:tc>
        <w:tc>
          <w:tcPr>
            <w:tcW w:w="737" w:type="dxa"/>
            <w:vAlign w:val="center"/>
          </w:tcPr>
          <w:p w14:paraId="0272F604" w14:textId="5D25D413"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0</w:t>
            </w:r>
          </w:p>
        </w:tc>
        <w:tc>
          <w:tcPr>
            <w:tcW w:w="737" w:type="dxa"/>
            <w:vAlign w:val="center"/>
          </w:tcPr>
          <w:p w14:paraId="44D66048" w14:textId="0F45C608"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1</w:t>
            </w:r>
          </w:p>
        </w:tc>
        <w:tc>
          <w:tcPr>
            <w:tcW w:w="737" w:type="dxa"/>
            <w:vAlign w:val="center"/>
          </w:tcPr>
          <w:p w14:paraId="04611E78" w14:textId="22F2F6D8"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69460231" w14:textId="5DF473FD"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43519677" w14:textId="0612A19B"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6233DDD7" w14:textId="13CE71FB"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3C8C2859" w14:textId="71F76646"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3B8F3A47" w14:textId="3B1B7F32"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5CD2FDF3" w14:textId="02CACE51"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142</w:t>
            </w:r>
          </w:p>
        </w:tc>
      </w:tr>
      <w:tr w:rsidR="00537BC0" w:rsidRPr="00A33264" w14:paraId="5048B8CA" w14:textId="25652CE5" w:rsidTr="00F23525">
        <w:trPr>
          <w:cantSplit/>
          <w:trHeight w:val="340"/>
        </w:trPr>
        <w:tc>
          <w:tcPr>
            <w:cnfStyle w:val="001000000000" w:firstRow="0" w:lastRow="0" w:firstColumn="1" w:lastColumn="0" w:oddVBand="0" w:evenVBand="0" w:oddHBand="0" w:evenHBand="0" w:firstRowFirstColumn="0" w:firstRowLastColumn="0" w:lastRowFirstColumn="0" w:lastRowLastColumn="0"/>
            <w:tcW w:w="2324" w:type="dxa"/>
            <w:vAlign w:val="center"/>
          </w:tcPr>
          <w:p w14:paraId="4E628A95" w14:textId="74378495" w:rsidR="00C61B89" w:rsidRPr="00A33264" w:rsidRDefault="00C61B89" w:rsidP="00A84BD6">
            <w:pPr>
              <w:pStyle w:val="TableBody"/>
              <w:spacing w:before="0" w:after="0"/>
              <w:rPr>
                <w:szCs w:val="24"/>
                <w:lang w:val="en-GB"/>
              </w:rPr>
            </w:pPr>
            <w:r w:rsidRPr="00A33264">
              <w:rPr>
                <w:szCs w:val="24"/>
                <w:lang w:val="en-GB"/>
              </w:rPr>
              <w:t>Vic</w:t>
            </w:r>
          </w:p>
        </w:tc>
        <w:tc>
          <w:tcPr>
            <w:tcW w:w="737" w:type="dxa"/>
            <w:vAlign w:val="center"/>
          </w:tcPr>
          <w:p w14:paraId="6D057ED2" w14:textId="3959AFC0"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706</w:t>
            </w:r>
          </w:p>
        </w:tc>
        <w:tc>
          <w:tcPr>
            <w:tcW w:w="737" w:type="dxa"/>
            <w:vAlign w:val="center"/>
          </w:tcPr>
          <w:p w14:paraId="06DF1F06" w14:textId="40B826AE"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38</w:t>
            </w:r>
          </w:p>
        </w:tc>
        <w:tc>
          <w:tcPr>
            <w:tcW w:w="737" w:type="dxa"/>
            <w:vAlign w:val="center"/>
          </w:tcPr>
          <w:p w14:paraId="38B5EFD6" w14:textId="73B0A817"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744</w:t>
            </w:r>
          </w:p>
        </w:tc>
        <w:tc>
          <w:tcPr>
            <w:tcW w:w="737" w:type="dxa"/>
            <w:vAlign w:val="center"/>
          </w:tcPr>
          <w:p w14:paraId="36BEC999" w14:textId="5B2D741D"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1,519</w:t>
            </w:r>
          </w:p>
        </w:tc>
        <w:tc>
          <w:tcPr>
            <w:tcW w:w="737" w:type="dxa"/>
            <w:vAlign w:val="center"/>
          </w:tcPr>
          <w:p w14:paraId="6C8558CB" w14:textId="79CC5CD1"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300</w:t>
            </w:r>
          </w:p>
        </w:tc>
        <w:tc>
          <w:tcPr>
            <w:tcW w:w="737" w:type="dxa"/>
            <w:vAlign w:val="center"/>
          </w:tcPr>
          <w:p w14:paraId="0645C7AD" w14:textId="3011A76D"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1,819</w:t>
            </w:r>
          </w:p>
        </w:tc>
        <w:tc>
          <w:tcPr>
            <w:tcW w:w="737" w:type="dxa"/>
            <w:vAlign w:val="center"/>
          </w:tcPr>
          <w:p w14:paraId="794078DA" w14:textId="3050D0D9"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13</w:t>
            </w:r>
          </w:p>
        </w:tc>
        <w:tc>
          <w:tcPr>
            <w:tcW w:w="737" w:type="dxa"/>
            <w:vAlign w:val="center"/>
          </w:tcPr>
          <w:p w14:paraId="3CC40E6E" w14:textId="2768DCEA"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0</w:t>
            </w:r>
          </w:p>
        </w:tc>
        <w:tc>
          <w:tcPr>
            <w:tcW w:w="737" w:type="dxa"/>
            <w:vAlign w:val="center"/>
          </w:tcPr>
          <w:p w14:paraId="660A20DC" w14:textId="7CEFCCCE"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13</w:t>
            </w:r>
          </w:p>
        </w:tc>
        <w:tc>
          <w:tcPr>
            <w:tcW w:w="737" w:type="dxa"/>
            <w:vAlign w:val="center"/>
          </w:tcPr>
          <w:p w14:paraId="0A16D3E3" w14:textId="28EB6D11"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49BF1B62" w14:textId="6AC3FF16"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015B3B7A" w14:textId="7C1DEDFE"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731A4608" w14:textId="234024E8"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32ABFD43" w14:textId="6ED4A707"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32F2D485" w14:textId="6F18B412"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357809F6" w14:textId="1690E5D6"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2,576</w:t>
            </w:r>
          </w:p>
        </w:tc>
      </w:tr>
      <w:tr w:rsidR="00537BC0" w:rsidRPr="00A33264" w14:paraId="7B52A2A3" w14:textId="5922E1C1" w:rsidTr="00F23525">
        <w:trPr>
          <w:cantSplit/>
          <w:trHeight w:val="340"/>
        </w:trPr>
        <w:tc>
          <w:tcPr>
            <w:cnfStyle w:val="001000000000" w:firstRow="0" w:lastRow="0" w:firstColumn="1" w:lastColumn="0" w:oddVBand="0" w:evenVBand="0" w:oddHBand="0" w:evenHBand="0" w:firstRowFirstColumn="0" w:firstRowLastColumn="0" w:lastRowFirstColumn="0" w:lastRowLastColumn="0"/>
            <w:tcW w:w="2324" w:type="dxa"/>
            <w:vAlign w:val="center"/>
          </w:tcPr>
          <w:p w14:paraId="131BFA32" w14:textId="3A10DD9A" w:rsidR="00C61B89" w:rsidRPr="00A33264" w:rsidRDefault="00C61B89" w:rsidP="00A84BD6">
            <w:pPr>
              <w:pStyle w:val="TableBody"/>
              <w:spacing w:before="0" w:after="0"/>
              <w:rPr>
                <w:szCs w:val="24"/>
                <w:lang w:val="en-GB"/>
              </w:rPr>
            </w:pPr>
            <w:r w:rsidRPr="00A33264">
              <w:rPr>
                <w:szCs w:val="24"/>
                <w:lang w:val="en-GB"/>
              </w:rPr>
              <w:t>WA</w:t>
            </w:r>
          </w:p>
        </w:tc>
        <w:tc>
          <w:tcPr>
            <w:tcW w:w="737" w:type="dxa"/>
            <w:vAlign w:val="center"/>
          </w:tcPr>
          <w:p w14:paraId="67A9DE55" w14:textId="4FCE04E7"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137</w:t>
            </w:r>
          </w:p>
        </w:tc>
        <w:tc>
          <w:tcPr>
            <w:tcW w:w="737" w:type="dxa"/>
            <w:vAlign w:val="center"/>
          </w:tcPr>
          <w:p w14:paraId="7AC3572A" w14:textId="2D9EFAAB"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11</w:t>
            </w:r>
          </w:p>
        </w:tc>
        <w:tc>
          <w:tcPr>
            <w:tcW w:w="737" w:type="dxa"/>
            <w:vAlign w:val="center"/>
          </w:tcPr>
          <w:p w14:paraId="32F3E2DD" w14:textId="4703496A"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148</w:t>
            </w:r>
          </w:p>
        </w:tc>
        <w:tc>
          <w:tcPr>
            <w:tcW w:w="737" w:type="dxa"/>
            <w:vAlign w:val="center"/>
          </w:tcPr>
          <w:p w14:paraId="515314D2" w14:textId="6424326F"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345</w:t>
            </w:r>
          </w:p>
        </w:tc>
        <w:tc>
          <w:tcPr>
            <w:tcW w:w="737" w:type="dxa"/>
            <w:vAlign w:val="center"/>
          </w:tcPr>
          <w:p w14:paraId="3ABF903C" w14:textId="5BAFBEBD"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49</w:t>
            </w:r>
          </w:p>
        </w:tc>
        <w:tc>
          <w:tcPr>
            <w:tcW w:w="737" w:type="dxa"/>
            <w:vAlign w:val="center"/>
          </w:tcPr>
          <w:p w14:paraId="20785F97" w14:textId="00354084"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394</w:t>
            </w:r>
          </w:p>
        </w:tc>
        <w:tc>
          <w:tcPr>
            <w:tcW w:w="737" w:type="dxa"/>
            <w:vAlign w:val="center"/>
          </w:tcPr>
          <w:p w14:paraId="134BF442" w14:textId="15F8B1FE"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0</w:t>
            </w:r>
          </w:p>
        </w:tc>
        <w:tc>
          <w:tcPr>
            <w:tcW w:w="737" w:type="dxa"/>
            <w:vAlign w:val="center"/>
          </w:tcPr>
          <w:p w14:paraId="366B80FF" w14:textId="00D10CEF"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0</w:t>
            </w:r>
          </w:p>
        </w:tc>
        <w:tc>
          <w:tcPr>
            <w:tcW w:w="737" w:type="dxa"/>
            <w:vAlign w:val="center"/>
          </w:tcPr>
          <w:p w14:paraId="410604E4" w14:textId="6EE9DC62"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0</w:t>
            </w:r>
          </w:p>
        </w:tc>
        <w:tc>
          <w:tcPr>
            <w:tcW w:w="737" w:type="dxa"/>
            <w:vAlign w:val="center"/>
          </w:tcPr>
          <w:p w14:paraId="1AB03020" w14:textId="21C1128C"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2DAEF5E1" w14:textId="06F15004"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7F96DD81" w14:textId="7297640B"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08659494" w14:textId="34E5FBD9"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5A3DDB5A" w14:textId="75FB856D"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471454FD" w14:textId="4D3A9F62"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2A3B9C94" w14:textId="1CB88A68"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542</w:t>
            </w:r>
          </w:p>
        </w:tc>
      </w:tr>
      <w:tr w:rsidR="00537BC0" w:rsidRPr="00A33264" w14:paraId="051DECE4" w14:textId="4BF2B015" w:rsidTr="00F23525">
        <w:trPr>
          <w:cantSplit/>
          <w:trHeight w:val="340"/>
        </w:trPr>
        <w:tc>
          <w:tcPr>
            <w:cnfStyle w:val="001000000000" w:firstRow="0" w:lastRow="0" w:firstColumn="1" w:lastColumn="0" w:oddVBand="0" w:evenVBand="0" w:oddHBand="0" w:evenHBand="0" w:firstRowFirstColumn="0" w:firstRowLastColumn="0" w:lastRowFirstColumn="0" w:lastRowLastColumn="0"/>
            <w:tcW w:w="2324" w:type="dxa"/>
            <w:vAlign w:val="center"/>
          </w:tcPr>
          <w:p w14:paraId="3B782732" w14:textId="1F920B39" w:rsidR="00C61B89" w:rsidRPr="00A33264" w:rsidRDefault="00C61B89" w:rsidP="00A84BD6">
            <w:pPr>
              <w:pStyle w:val="TableBody"/>
              <w:spacing w:before="0" w:after="0"/>
              <w:rPr>
                <w:szCs w:val="24"/>
                <w:lang w:val="en-GB"/>
              </w:rPr>
            </w:pPr>
            <w:r w:rsidRPr="00A33264">
              <w:rPr>
                <w:szCs w:val="24"/>
                <w:lang w:val="en-GB"/>
              </w:rPr>
              <w:t>ACT</w:t>
            </w:r>
          </w:p>
        </w:tc>
        <w:tc>
          <w:tcPr>
            <w:tcW w:w="737" w:type="dxa"/>
            <w:vAlign w:val="center"/>
          </w:tcPr>
          <w:p w14:paraId="4C8EC208" w14:textId="6EA27119"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128</w:t>
            </w:r>
          </w:p>
        </w:tc>
        <w:tc>
          <w:tcPr>
            <w:tcW w:w="737" w:type="dxa"/>
            <w:vAlign w:val="center"/>
          </w:tcPr>
          <w:p w14:paraId="1BB69B47" w14:textId="68D9CA8F"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5</w:t>
            </w:r>
          </w:p>
        </w:tc>
        <w:tc>
          <w:tcPr>
            <w:tcW w:w="737" w:type="dxa"/>
            <w:vAlign w:val="center"/>
          </w:tcPr>
          <w:p w14:paraId="476FBBA0" w14:textId="063CC12B"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133</w:t>
            </w:r>
          </w:p>
        </w:tc>
        <w:tc>
          <w:tcPr>
            <w:tcW w:w="737" w:type="dxa"/>
            <w:vAlign w:val="center"/>
          </w:tcPr>
          <w:p w14:paraId="247DB1E2" w14:textId="63CB53B4"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226</w:t>
            </w:r>
          </w:p>
        </w:tc>
        <w:tc>
          <w:tcPr>
            <w:tcW w:w="737" w:type="dxa"/>
            <w:vAlign w:val="center"/>
          </w:tcPr>
          <w:p w14:paraId="2C2C9B9B" w14:textId="0A570C5E"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20</w:t>
            </w:r>
          </w:p>
        </w:tc>
        <w:tc>
          <w:tcPr>
            <w:tcW w:w="737" w:type="dxa"/>
            <w:vAlign w:val="center"/>
          </w:tcPr>
          <w:p w14:paraId="753D3054" w14:textId="48821BCF"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246</w:t>
            </w:r>
          </w:p>
        </w:tc>
        <w:tc>
          <w:tcPr>
            <w:tcW w:w="737" w:type="dxa"/>
            <w:vAlign w:val="center"/>
          </w:tcPr>
          <w:p w14:paraId="165D9675" w14:textId="4271ADBD"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7</w:t>
            </w:r>
          </w:p>
        </w:tc>
        <w:tc>
          <w:tcPr>
            <w:tcW w:w="737" w:type="dxa"/>
            <w:vAlign w:val="center"/>
          </w:tcPr>
          <w:p w14:paraId="2A383B61" w14:textId="1E2307D3"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0</w:t>
            </w:r>
          </w:p>
        </w:tc>
        <w:tc>
          <w:tcPr>
            <w:tcW w:w="737" w:type="dxa"/>
            <w:vAlign w:val="center"/>
          </w:tcPr>
          <w:p w14:paraId="6DBCE99B" w14:textId="40EFED2A"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7</w:t>
            </w:r>
          </w:p>
        </w:tc>
        <w:tc>
          <w:tcPr>
            <w:tcW w:w="737" w:type="dxa"/>
            <w:vAlign w:val="center"/>
          </w:tcPr>
          <w:p w14:paraId="62F43421" w14:textId="5D0144F2"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36AB2245" w14:textId="14BEE9A8"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30A8FAD3" w14:textId="7B16A187"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290A0C38" w14:textId="2E3FAD88"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49A7A88F" w14:textId="5BF10D0D"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032E8AD3" w14:textId="498E92F9"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3859F90F" w14:textId="4F6A30FC"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386</w:t>
            </w:r>
          </w:p>
        </w:tc>
      </w:tr>
      <w:tr w:rsidR="00537BC0" w:rsidRPr="00A33264" w14:paraId="090E7AC5" w14:textId="6EB48FB6" w:rsidTr="00F23525">
        <w:trPr>
          <w:cantSplit/>
          <w:trHeight w:val="340"/>
        </w:trPr>
        <w:tc>
          <w:tcPr>
            <w:cnfStyle w:val="001000000000" w:firstRow="0" w:lastRow="0" w:firstColumn="1" w:lastColumn="0" w:oddVBand="0" w:evenVBand="0" w:oddHBand="0" w:evenHBand="0" w:firstRowFirstColumn="0" w:firstRowLastColumn="0" w:lastRowFirstColumn="0" w:lastRowLastColumn="0"/>
            <w:tcW w:w="2324" w:type="dxa"/>
            <w:vAlign w:val="center"/>
          </w:tcPr>
          <w:p w14:paraId="772BFA1E" w14:textId="0EC6E821" w:rsidR="00C61B89" w:rsidRPr="00A33264" w:rsidRDefault="00C61B89" w:rsidP="00A84BD6">
            <w:pPr>
              <w:pStyle w:val="TableBody"/>
              <w:spacing w:before="0" w:after="0"/>
              <w:rPr>
                <w:szCs w:val="24"/>
                <w:lang w:val="en-GB"/>
              </w:rPr>
            </w:pPr>
            <w:r w:rsidRPr="00A33264">
              <w:rPr>
                <w:szCs w:val="24"/>
                <w:lang w:val="en-GB"/>
              </w:rPr>
              <w:t>NT</w:t>
            </w:r>
          </w:p>
        </w:tc>
        <w:tc>
          <w:tcPr>
            <w:tcW w:w="737" w:type="dxa"/>
            <w:vAlign w:val="center"/>
          </w:tcPr>
          <w:p w14:paraId="738C4150" w14:textId="37E60D63"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16</w:t>
            </w:r>
          </w:p>
        </w:tc>
        <w:tc>
          <w:tcPr>
            <w:tcW w:w="737" w:type="dxa"/>
            <w:vAlign w:val="center"/>
          </w:tcPr>
          <w:p w14:paraId="66B28B80" w14:textId="0F9C60A4"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0</w:t>
            </w:r>
          </w:p>
        </w:tc>
        <w:tc>
          <w:tcPr>
            <w:tcW w:w="737" w:type="dxa"/>
            <w:vAlign w:val="center"/>
          </w:tcPr>
          <w:p w14:paraId="6A9EAE00" w14:textId="7D34269A"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16</w:t>
            </w:r>
          </w:p>
        </w:tc>
        <w:tc>
          <w:tcPr>
            <w:tcW w:w="737" w:type="dxa"/>
            <w:vAlign w:val="center"/>
          </w:tcPr>
          <w:p w14:paraId="6486238B" w14:textId="54B9D688"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78</w:t>
            </w:r>
          </w:p>
        </w:tc>
        <w:tc>
          <w:tcPr>
            <w:tcW w:w="737" w:type="dxa"/>
            <w:vAlign w:val="center"/>
          </w:tcPr>
          <w:p w14:paraId="12E86E02" w14:textId="78681185"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9</w:t>
            </w:r>
          </w:p>
        </w:tc>
        <w:tc>
          <w:tcPr>
            <w:tcW w:w="737" w:type="dxa"/>
            <w:vAlign w:val="center"/>
          </w:tcPr>
          <w:p w14:paraId="496EEFCD" w14:textId="4B750DA8"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87</w:t>
            </w:r>
          </w:p>
        </w:tc>
        <w:tc>
          <w:tcPr>
            <w:tcW w:w="737" w:type="dxa"/>
            <w:vAlign w:val="center"/>
          </w:tcPr>
          <w:p w14:paraId="03FA7A6B" w14:textId="6499C710"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1</w:t>
            </w:r>
          </w:p>
        </w:tc>
        <w:tc>
          <w:tcPr>
            <w:tcW w:w="737" w:type="dxa"/>
            <w:vAlign w:val="center"/>
          </w:tcPr>
          <w:p w14:paraId="328CC4E6" w14:textId="7A769344"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0</w:t>
            </w:r>
          </w:p>
        </w:tc>
        <w:tc>
          <w:tcPr>
            <w:tcW w:w="737" w:type="dxa"/>
            <w:vAlign w:val="center"/>
          </w:tcPr>
          <w:p w14:paraId="4CDF1D22" w14:textId="31FC8B78"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1</w:t>
            </w:r>
          </w:p>
        </w:tc>
        <w:tc>
          <w:tcPr>
            <w:tcW w:w="737" w:type="dxa"/>
            <w:vAlign w:val="center"/>
          </w:tcPr>
          <w:p w14:paraId="61137994" w14:textId="7DA93FD5"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03FA9190" w14:textId="6102C55D"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0CB213D7" w14:textId="425A6BB5"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2E6BC985" w14:textId="21E2E050"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7FEDD466" w14:textId="17C42393"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5D908102" w14:textId="5A956EF4"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1FFA1C1A" w14:textId="407F467F"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rFonts w:eastAsia="Times New Roman"/>
                <w:szCs w:val="24"/>
                <w:lang w:val="en-GB" w:eastAsia="en-AU"/>
              </w:rPr>
              <w:t>104</w:t>
            </w:r>
          </w:p>
        </w:tc>
      </w:tr>
      <w:tr w:rsidR="00537BC0" w:rsidRPr="00A33264" w14:paraId="3D3F7CB2" w14:textId="5914C2F9" w:rsidTr="00F23525">
        <w:trPr>
          <w:cantSplit/>
          <w:trHeight w:val="340"/>
        </w:trPr>
        <w:tc>
          <w:tcPr>
            <w:cnfStyle w:val="001000000000" w:firstRow="0" w:lastRow="0" w:firstColumn="1" w:lastColumn="0" w:oddVBand="0" w:evenVBand="0" w:oddHBand="0" w:evenHBand="0" w:firstRowFirstColumn="0" w:firstRowLastColumn="0" w:lastRowFirstColumn="0" w:lastRowLastColumn="0"/>
            <w:tcW w:w="2324" w:type="dxa"/>
            <w:vAlign w:val="center"/>
          </w:tcPr>
          <w:p w14:paraId="64D599A9" w14:textId="3E119B8C" w:rsidR="00C61B89" w:rsidRPr="00A33264" w:rsidRDefault="00C61B89" w:rsidP="00A84BD6">
            <w:pPr>
              <w:pStyle w:val="TableBody"/>
              <w:spacing w:before="0" w:after="0"/>
              <w:rPr>
                <w:szCs w:val="24"/>
                <w:lang w:val="en-GB"/>
              </w:rPr>
            </w:pPr>
            <w:r w:rsidRPr="00A33264">
              <w:rPr>
                <w:szCs w:val="24"/>
                <w:lang w:val="en-GB"/>
              </w:rPr>
              <w:t xml:space="preserve">External </w:t>
            </w:r>
            <w:r w:rsidR="00C83A08" w:rsidRPr="00A33264">
              <w:rPr>
                <w:szCs w:val="24"/>
                <w:lang w:val="en-GB"/>
              </w:rPr>
              <w:t>t</w:t>
            </w:r>
            <w:r w:rsidRPr="00A33264">
              <w:rPr>
                <w:szCs w:val="24"/>
                <w:lang w:val="en-GB"/>
              </w:rPr>
              <w:t>erritories</w:t>
            </w:r>
          </w:p>
        </w:tc>
        <w:tc>
          <w:tcPr>
            <w:tcW w:w="737" w:type="dxa"/>
            <w:vAlign w:val="center"/>
          </w:tcPr>
          <w:p w14:paraId="1E2B12F8" w14:textId="31CE7B74"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758371AF" w14:textId="5962F1CC"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4EAD2C40" w14:textId="43E30516"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64877FD2" w14:textId="7746FEFF"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61B58CB9" w14:textId="79B16CF3"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4F9BB174" w14:textId="26ADB145"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4B05D44E" w14:textId="70767BCE"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564AD660" w14:textId="0C788294"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53635E38" w14:textId="06361B3F"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09AED62C" w14:textId="64BFEB32"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5A6D29FB" w14:textId="31AEB68E"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43848069" w14:textId="169E33D0"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4C3C280C" w14:textId="4E367E51"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580B8A66" w14:textId="1B98B568"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4AF158CD" w14:textId="4C74114D"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0C88A6C6" w14:textId="1BC88B7F"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r>
      <w:tr w:rsidR="00537BC0" w:rsidRPr="00A33264" w14:paraId="1AF50C6A" w14:textId="7172A503" w:rsidTr="00F23525">
        <w:trPr>
          <w:cantSplit/>
          <w:trHeight w:val="340"/>
        </w:trPr>
        <w:tc>
          <w:tcPr>
            <w:cnfStyle w:val="001000000000" w:firstRow="0" w:lastRow="0" w:firstColumn="1" w:lastColumn="0" w:oddVBand="0" w:evenVBand="0" w:oddHBand="0" w:evenHBand="0" w:firstRowFirstColumn="0" w:firstRowLastColumn="0" w:lastRowFirstColumn="0" w:lastRowLastColumn="0"/>
            <w:tcW w:w="2324" w:type="dxa"/>
            <w:vAlign w:val="center"/>
          </w:tcPr>
          <w:p w14:paraId="358B62F2" w14:textId="1D11B014" w:rsidR="00C61B89" w:rsidRPr="00A33264" w:rsidRDefault="00C61B89" w:rsidP="00A84BD6">
            <w:pPr>
              <w:pStyle w:val="TableBody"/>
              <w:spacing w:before="0" w:after="0"/>
              <w:rPr>
                <w:szCs w:val="24"/>
                <w:lang w:val="en-GB"/>
              </w:rPr>
            </w:pPr>
            <w:r w:rsidRPr="00A33264">
              <w:rPr>
                <w:szCs w:val="24"/>
                <w:lang w:val="en-GB"/>
              </w:rPr>
              <w:t>Overseas</w:t>
            </w:r>
          </w:p>
        </w:tc>
        <w:tc>
          <w:tcPr>
            <w:tcW w:w="737" w:type="dxa"/>
            <w:vAlign w:val="center"/>
          </w:tcPr>
          <w:p w14:paraId="16C484C6" w14:textId="779C366A"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0C264D6A" w14:textId="3EE071F3"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347498CD" w14:textId="4380516B"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7816BA46" w14:textId="2CC03D0E"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355F102F" w14:textId="65F30AFD"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7228CA62" w14:textId="37F981FF"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782C8A8B" w14:textId="79FCF7AA"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2DBD01BA" w14:textId="78B62167"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117584B9" w14:textId="7E2C54F1"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294FA578" w14:textId="05C38A61"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2CAD2E50" w14:textId="39A06336"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096908A5" w14:textId="590ADC64"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38EAEAE8" w14:textId="10B5D700"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3E4DAC63" w14:textId="2B05D958"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1D06A825" w14:textId="1A6FBD3E"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56314EF0" w14:textId="4BBBB6CF"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r>
      <w:tr w:rsidR="00537BC0" w:rsidRPr="00A33264" w14:paraId="05B075CB" w14:textId="3CAE27ED" w:rsidTr="00F23525">
        <w:trPr>
          <w:cantSplit/>
          <w:trHeight w:val="340"/>
        </w:trPr>
        <w:tc>
          <w:tcPr>
            <w:cnfStyle w:val="001000000000" w:firstRow="0" w:lastRow="0" w:firstColumn="1" w:lastColumn="0" w:oddVBand="0" w:evenVBand="0" w:oddHBand="0" w:evenHBand="0" w:firstRowFirstColumn="0" w:firstRowLastColumn="0" w:lastRowFirstColumn="0" w:lastRowLastColumn="0"/>
            <w:tcW w:w="2324" w:type="dxa"/>
            <w:vAlign w:val="center"/>
          </w:tcPr>
          <w:p w14:paraId="05A230F8" w14:textId="51BDBEB6" w:rsidR="00C61B89" w:rsidRPr="00A33264" w:rsidRDefault="00C61B89" w:rsidP="00A84BD6">
            <w:pPr>
              <w:pStyle w:val="TableBody"/>
              <w:spacing w:before="0" w:after="0"/>
              <w:rPr>
                <w:szCs w:val="24"/>
                <w:lang w:val="en-GB"/>
              </w:rPr>
            </w:pPr>
            <w:r w:rsidRPr="00A33264">
              <w:rPr>
                <w:szCs w:val="24"/>
                <w:lang w:val="en-GB"/>
              </w:rPr>
              <w:t>Total</w:t>
            </w:r>
          </w:p>
        </w:tc>
        <w:tc>
          <w:tcPr>
            <w:tcW w:w="737" w:type="dxa"/>
            <w:vAlign w:val="center"/>
          </w:tcPr>
          <w:p w14:paraId="1BFBF08E" w14:textId="6DC0500C"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szCs w:val="24"/>
                <w:lang w:val="en-GB"/>
              </w:rPr>
            </w:pPr>
            <w:r w:rsidRPr="00CD6A84">
              <w:rPr>
                <w:rFonts w:eastAsia="Times New Roman"/>
                <w:b/>
                <w:bCs/>
                <w:szCs w:val="24"/>
                <w:lang w:val="en-GB" w:eastAsia="en-AU"/>
              </w:rPr>
              <w:t>1,846</w:t>
            </w:r>
          </w:p>
        </w:tc>
        <w:tc>
          <w:tcPr>
            <w:tcW w:w="737" w:type="dxa"/>
            <w:vAlign w:val="center"/>
          </w:tcPr>
          <w:p w14:paraId="2B4837F3" w14:textId="05CBDB5E"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szCs w:val="24"/>
                <w:lang w:val="en-GB"/>
              </w:rPr>
            </w:pPr>
            <w:r w:rsidRPr="00CD6A84">
              <w:rPr>
                <w:rFonts w:eastAsia="Times New Roman"/>
                <w:b/>
                <w:bCs/>
                <w:szCs w:val="24"/>
                <w:lang w:val="en-GB" w:eastAsia="en-AU"/>
              </w:rPr>
              <w:t>100</w:t>
            </w:r>
          </w:p>
        </w:tc>
        <w:tc>
          <w:tcPr>
            <w:tcW w:w="737" w:type="dxa"/>
            <w:vAlign w:val="center"/>
          </w:tcPr>
          <w:p w14:paraId="0C97403E" w14:textId="78AB5420"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szCs w:val="24"/>
                <w:lang w:val="en-GB"/>
              </w:rPr>
            </w:pPr>
            <w:r w:rsidRPr="00CD6A84">
              <w:rPr>
                <w:rFonts w:eastAsia="Times New Roman"/>
                <w:b/>
                <w:bCs/>
                <w:szCs w:val="24"/>
                <w:lang w:val="en-GB" w:eastAsia="en-AU"/>
              </w:rPr>
              <w:t>1,946</w:t>
            </w:r>
          </w:p>
        </w:tc>
        <w:tc>
          <w:tcPr>
            <w:tcW w:w="737" w:type="dxa"/>
            <w:vAlign w:val="center"/>
          </w:tcPr>
          <w:p w14:paraId="218851A2" w14:textId="5FC74B8E"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szCs w:val="24"/>
                <w:lang w:val="en-GB"/>
              </w:rPr>
            </w:pPr>
            <w:r w:rsidRPr="00CD6A84">
              <w:rPr>
                <w:rFonts w:eastAsia="Times New Roman"/>
                <w:b/>
                <w:bCs/>
                <w:szCs w:val="24"/>
                <w:lang w:val="en-GB" w:eastAsia="en-AU"/>
              </w:rPr>
              <w:t>4,700</w:t>
            </w:r>
          </w:p>
        </w:tc>
        <w:tc>
          <w:tcPr>
            <w:tcW w:w="737" w:type="dxa"/>
            <w:vAlign w:val="center"/>
          </w:tcPr>
          <w:p w14:paraId="6A005A56" w14:textId="7BAA7135"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szCs w:val="24"/>
                <w:lang w:val="en-GB"/>
              </w:rPr>
            </w:pPr>
            <w:r w:rsidRPr="00CD6A84">
              <w:rPr>
                <w:rFonts w:eastAsia="Times New Roman"/>
                <w:b/>
                <w:bCs/>
                <w:szCs w:val="24"/>
                <w:lang w:val="en-GB" w:eastAsia="en-AU"/>
              </w:rPr>
              <w:t>866</w:t>
            </w:r>
          </w:p>
        </w:tc>
        <w:tc>
          <w:tcPr>
            <w:tcW w:w="737" w:type="dxa"/>
            <w:vAlign w:val="center"/>
          </w:tcPr>
          <w:p w14:paraId="00D0B20A" w14:textId="54C5EA4D"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szCs w:val="24"/>
                <w:lang w:val="en-GB"/>
              </w:rPr>
            </w:pPr>
            <w:r w:rsidRPr="00CD6A84">
              <w:rPr>
                <w:rFonts w:eastAsia="Times New Roman"/>
                <w:b/>
                <w:bCs/>
                <w:szCs w:val="24"/>
                <w:lang w:val="en-GB" w:eastAsia="en-AU"/>
              </w:rPr>
              <w:t>5,566</w:t>
            </w:r>
          </w:p>
        </w:tc>
        <w:tc>
          <w:tcPr>
            <w:tcW w:w="737" w:type="dxa"/>
            <w:vAlign w:val="center"/>
          </w:tcPr>
          <w:p w14:paraId="2D513389" w14:textId="47BA631D"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szCs w:val="24"/>
                <w:lang w:val="en-GB"/>
              </w:rPr>
            </w:pPr>
            <w:r w:rsidRPr="00CD6A84">
              <w:rPr>
                <w:rFonts w:eastAsia="Times New Roman"/>
                <w:b/>
                <w:bCs/>
                <w:szCs w:val="24"/>
                <w:lang w:val="en-GB" w:eastAsia="en-AU"/>
              </w:rPr>
              <w:t>31</w:t>
            </w:r>
          </w:p>
        </w:tc>
        <w:tc>
          <w:tcPr>
            <w:tcW w:w="737" w:type="dxa"/>
            <w:vAlign w:val="center"/>
          </w:tcPr>
          <w:p w14:paraId="333091F8" w14:textId="547932E4"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szCs w:val="24"/>
                <w:lang w:val="en-GB"/>
              </w:rPr>
            </w:pPr>
            <w:r w:rsidRPr="00CD6A84">
              <w:rPr>
                <w:rFonts w:eastAsia="Times New Roman"/>
                <w:b/>
                <w:bCs/>
                <w:szCs w:val="24"/>
                <w:lang w:val="en-GB" w:eastAsia="en-AU"/>
              </w:rPr>
              <w:t>1</w:t>
            </w:r>
          </w:p>
        </w:tc>
        <w:tc>
          <w:tcPr>
            <w:tcW w:w="737" w:type="dxa"/>
            <w:vAlign w:val="center"/>
          </w:tcPr>
          <w:p w14:paraId="6C940B5F" w14:textId="48A2291F"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szCs w:val="24"/>
                <w:lang w:val="en-GB"/>
              </w:rPr>
            </w:pPr>
            <w:r w:rsidRPr="00CD6A84">
              <w:rPr>
                <w:rFonts w:eastAsia="Times New Roman"/>
                <w:b/>
                <w:bCs/>
                <w:szCs w:val="24"/>
                <w:lang w:val="en-GB" w:eastAsia="en-AU"/>
              </w:rPr>
              <w:t>32</w:t>
            </w:r>
          </w:p>
        </w:tc>
        <w:tc>
          <w:tcPr>
            <w:tcW w:w="737" w:type="dxa"/>
            <w:vAlign w:val="center"/>
          </w:tcPr>
          <w:p w14:paraId="5C884D31" w14:textId="7B610161"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lang w:val="en-GB"/>
              </w:rPr>
            </w:pPr>
            <w:r w:rsidRPr="00CD6A84">
              <w:rPr>
                <w:b/>
                <w:bCs/>
                <w:szCs w:val="24"/>
                <w:lang w:val="en-GB"/>
              </w:rPr>
              <w:t>0</w:t>
            </w:r>
          </w:p>
        </w:tc>
        <w:tc>
          <w:tcPr>
            <w:tcW w:w="737" w:type="dxa"/>
            <w:vAlign w:val="center"/>
          </w:tcPr>
          <w:p w14:paraId="611F6BA9" w14:textId="537EF2CE"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lang w:val="en-GB"/>
              </w:rPr>
            </w:pPr>
            <w:r w:rsidRPr="00CD6A84">
              <w:rPr>
                <w:b/>
                <w:bCs/>
                <w:szCs w:val="24"/>
                <w:lang w:val="en-GB"/>
              </w:rPr>
              <w:t>0</w:t>
            </w:r>
          </w:p>
        </w:tc>
        <w:tc>
          <w:tcPr>
            <w:tcW w:w="737" w:type="dxa"/>
            <w:vAlign w:val="center"/>
          </w:tcPr>
          <w:p w14:paraId="6A966ECF" w14:textId="48359962"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lang w:val="en-GB"/>
              </w:rPr>
            </w:pPr>
            <w:r w:rsidRPr="00CD6A84">
              <w:rPr>
                <w:b/>
                <w:bCs/>
                <w:szCs w:val="24"/>
                <w:lang w:val="en-GB"/>
              </w:rPr>
              <w:t>0</w:t>
            </w:r>
          </w:p>
        </w:tc>
        <w:tc>
          <w:tcPr>
            <w:tcW w:w="737" w:type="dxa"/>
            <w:vAlign w:val="center"/>
          </w:tcPr>
          <w:p w14:paraId="41871CA0" w14:textId="4B4A288E"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lang w:val="en-GB"/>
              </w:rPr>
            </w:pPr>
            <w:r w:rsidRPr="00CD6A84">
              <w:rPr>
                <w:b/>
                <w:bCs/>
                <w:szCs w:val="24"/>
                <w:lang w:val="en-GB"/>
              </w:rPr>
              <w:t>0</w:t>
            </w:r>
          </w:p>
        </w:tc>
        <w:tc>
          <w:tcPr>
            <w:tcW w:w="737" w:type="dxa"/>
            <w:vAlign w:val="center"/>
          </w:tcPr>
          <w:p w14:paraId="28D2DC80" w14:textId="7702B543"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lang w:val="en-GB"/>
              </w:rPr>
            </w:pPr>
            <w:r w:rsidRPr="00CD6A84">
              <w:rPr>
                <w:b/>
                <w:bCs/>
                <w:szCs w:val="24"/>
                <w:lang w:val="en-GB"/>
              </w:rPr>
              <w:t>0</w:t>
            </w:r>
          </w:p>
        </w:tc>
        <w:tc>
          <w:tcPr>
            <w:tcW w:w="737" w:type="dxa"/>
            <w:vAlign w:val="center"/>
          </w:tcPr>
          <w:p w14:paraId="34C1BA77" w14:textId="3DF0B7D6" w:rsidR="00C61B89"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lang w:val="en-GB"/>
              </w:rPr>
            </w:pPr>
            <w:r w:rsidRPr="00CD6A84">
              <w:rPr>
                <w:b/>
                <w:bCs/>
                <w:szCs w:val="24"/>
                <w:lang w:val="en-GB"/>
              </w:rPr>
              <w:t>0</w:t>
            </w:r>
          </w:p>
        </w:tc>
        <w:tc>
          <w:tcPr>
            <w:tcW w:w="737" w:type="dxa"/>
            <w:vAlign w:val="center"/>
          </w:tcPr>
          <w:p w14:paraId="003E87AB" w14:textId="1010715E" w:rsidR="00C61B89" w:rsidRPr="00CD6A84" w:rsidRDefault="00C61B89"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szCs w:val="24"/>
                <w:lang w:val="en-GB"/>
              </w:rPr>
            </w:pPr>
            <w:r w:rsidRPr="00CD6A84">
              <w:rPr>
                <w:rFonts w:eastAsia="Times New Roman"/>
                <w:b/>
                <w:bCs/>
                <w:szCs w:val="24"/>
                <w:lang w:val="en-GB" w:eastAsia="en-AU"/>
              </w:rPr>
              <w:t>7,544</w:t>
            </w:r>
          </w:p>
        </w:tc>
      </w:tr>
    </w:tbl>
    <w:p w14:paraId="29A7AD2A" w14:textId="77777777" w:rsidR="00C61B89" w:rsidRPr="00A33264" w:rsidRDefault="00C61B89">
      <w:pPr>
        <w:spacing w:after="0" w:line="240" w:lineRule="auto"/>
        <w:rPr>
          <w:sz w:val="12"/>
          <w:szCs w:val="12"/>
          <w:u w:val="single"/>
          <w:lang w:val="en-GB"/>
        </w:rPr>
      </w:pPr>
      <w:r w:rsidRPr="00A33264">
        <w:rPr>
          <w:sz w:val="12"/>
          <w:szCs w:val="12"/>
          <w:u w:val="single"/>
          <w:lang w:val="en-GB"/>
        </w:rPr>
        <w:br w:type="page"/>
      </w:r>
    </w:p>
    <w:p w14:paraId="5C3DE293" w14:textId="2EDD8669" w:rsidR="00D7463A" w:rsidRPr="00A33264" w:rsidRDefault="00C61B89" w:rsidP="00D7463A">
      <w:pPr>
        <w:rPr>
          <w:u w:val="single"/>
          <w:lang w:val="en-GB"/>
        </w:rPr>
      </w:pPr>
      <w:r w:rsidRPr="00A33264">
        <w:rPr>
          <w:u w:val="single"/>
          <w:lang w:val="en-GB"/>
        </w:rPr>
        <w:lastRenderedPageBreak/>
        <w:t xml:space="preserve">Table </w:t>
      </w:r>
      <w:r w:rsidR="00A27A9C">
        <w:rPr>
          <w:u w:val="single"/>
          <w:lang w:val="en-GB"/>
        </w:rPr>
        <w:t>9</w:t>
      </w:r>
      <w:r w:rsidRPr="00A33264">
        <w:rPr>
          <w:u w:val="single"/>
          <w:lang w:val="en-GB"/>
        </w:rPr>
        <w:t>: All non-ongoing employees current reporting period (2023</w:t>
      </w:r>
      <w:r w:rsidR="008662F5" w:rsidRPr="00A33264">
        <w:rPr>
          <w:u w:val="single"/>
          <w:lang w:val="en-GB"/>
        </w:rPr>
        <w:t>–</w:t>
      </w:r>
      <w:r w:rsidRPr="00A33264">
        <w:rPr>
          <w:u w:val="single"/>
          <w:lang w:val="en-GB"/>
        </w:rPr>
        <w:t>24)</w:t>
      </w:r>
    </w:p>
    <w:tbl>
      <w:tblPr>
        <w:tblStyle w:val="GridTable4"/>
        <w:tblW w:w="14116" w:type="dxa"/>
        <w:tblLayout w:type="fixed"/>
        <w:tblCellMar>
          <w:left w:w="57" w:type="dxa"/>
          <w:right w:w="57" w:type="dxa"/>
        </w:tblCellMar>
        <w:tblLook w:val="06A0" w:firstRow="1" w:lastRow="0" w:firstColumn="1" w:lastColumn="0" w:noHBand="1" w:noVBand="1"/>
      </w:tblPr>
      <w:tblGrid>
        <w:gridCol w:w="2324"/>
        <w:gridCol w:w="737"/>
        <w:gridCol w:w="737"/>
        <w:gridCol w:w="737"/>
        <w:gridCol w:w="737"/>
        <w:gridCol w:w="737"/>
        <w:gridCol w:w="737"/>
        <w:gridCol w:w="737"/>
        <w:gridCol w:w="737"/>
        <w:gridCol w:w="737"/>
        <w:gridCol w:w="737"/>
        <w:gridCol w:w="737"/>
        <w:gridCol w:w="737"/>
        <w:gridCol w:w="737"/>
        <w:gridCol w:w="737"/>
        <w:gridCol w:w="737"/>
        <w:gridCol w:w="737"/>
      </w:tblGrid>
      <w:tr w:rsidR="00537BC0" w:rsidRPr="00A33264" w14:paraId="4BCCCE88" w14:textId="77777777" w:rsidTr="00F23525">
        <w:trPr>
          <w:cnfStyle w:val="100000000000" w:firstRow="1" w:lastRow="0" w:firstColumn="0" w:lastColumn="0" w:oddVBand="0" w:evenVBand="0" w:oddHBand="0" w:evenHBand="0" w:firstRowFirstColumn="0" w:firstRowLastColumn="0" w:lastRowFirstColumn="0" w:lastRowLastColumn="0"/>
          <w:cantSplit/>
          <w:trHeight w:val="3855"/>
        </w:trPr>
        <w:tc>
          <w:tcPr>
            <w:cnfStyle w:val="001000000000" w:firstRow="0" w:lastRow="0" w:firstColumn="1" w:lastColumn="0" w:oddVBand="0" w:evenVBand="0" w:oddHBand="0" w:evenHBand="0" w:firstRowFirstColumn="0" w:firstRowLastColumn="0" w:lastRowFirstColumn="0" w:lastRowLastColumn="0"/>
            <w:tcW w:w="2324" w:type="dxa"/>
            <w:tcBorders>
              <w:top w:val="single" w:sz="4" w:space="0" w:color="6B2876" w:themeColor="text1"/>
            </w:tcBorders>
            <w:textDirection w:val="btLr"/>
            <w:vAlign w:val="center"/>
          </w:tcPr>
          <w:p w14:paraId="551A8BDC" w14:textId="77777777" w:rsidR="00C61B89" w:rsidRPr="00A33264" w:rsidRDefault="00C61B89" w:rsidP="00933805">
            <w:pPr>
              <w:pStyle w:val="TableBody"/>
              <w:spacing w:before="0" w:after="0"/>
              <w:ind w:left="113" w:right="113"/>
              <w:rPr>
                <w:b w:val="0"/>
                <w:bCs w:val="0"/>
                <w:color w:val="6B2876" w:themeColor="text1"/>
                <w:szCs w:val="24"/>
                <w:lang w:val="en-GB"/>
              </w:rPr>
            </w:pPr>
            <w:r w:rsidRPr="00A33264">
              <w:rPr>
                <w:szCs w:val="24"/>
                <w:lang w:val="en-GB"/>
              </w:rPr>
              <w:t>State or territory</w:t>
            </w:r>
          </w:p>
        </w:tc>
        <w:tc>
          <w:tcPr>
            <w:tcW w:w="737" w:type="dxa"/>
            <w:tcBorders>
              <w:top w:val="single" w:sz="4" w:space="0" w:color="6B2876" w:themeColor="text1"/>
            </w:tcBorders>
            <w:textDirection w:val="btLr"/>
            <w:vAlign w:val="center"/>
          </w:tcPr>
          <w:p w14:paraId="76744AD7" w14:textId="77777777" w:rsidR="00C61B89" w:rsidRPr="00A33264" w:rsidRDefault="00C61B89">
            <w:pPr>
              <w:pStyle w:val="TableBody"/>
              <w:spacing w:before="0" w:after="0"/>
              <w:ind w:left="113" w:right="113"/>
              <w:cnfStyle w:val="100000000000" w:firstRow="1" w:lastRow="0" w:firstColumn="0" w:lastColumn="0" w:oddVBand="0" w:evenVBand="0" w:oddHBand="0" w:evenHBand="0" w:firstRowFirstColumn="0" w:firstRowLastColumn="0" w:lastRowFirstColumn="0" w:lastRowLastColumn="0"/>
              <w:rPr>
                <w:szCs w:val="24"/>
                <w:lang w:val="en-GB"/>
              </w:rPr>
            </w:pPr>
            <w:r w:rsidRPr="00A33264">
              <w:rPr>
                <w:szCs w:val="24"/>
                <w:lang w:val="en-GB"/>
              </w:rPr>
              <w:t>Man/Male full time</w:t>
            </w:r>
          </w:p>
        </w:tc>
        <w:tc>
          <w:tcPr>
            <w:tcW w:w="737" w:type="dxa"/>
            <w:tcBorders>
              <w:top w:val="single" w:sz="4" w:space="0" w:color="6B2876" w:themeColor="text1"/>
            </w:tcBorders>
            <w:textDirection w:val="btLr"/>
            <w:vAlign w:val="center"/>
          </w:tcPr>
          <w:p w14:paraId="666804BA" w14:textId="77777777" w:rsidR="00C61B89" w:rsidRPr="00A33264" w:rsidRDefault="00C61B89">
            <w:pPr>
              <w:pStyle w:val="TableBody"/>
              <w:spacing w:before="0" w:after="0"/>
              <w:ind w:left="113" w:right="113"/>
              <w:cnfStyle w:val="100000000000" w:firstRow="1" w:lastRow="0" w:firstColumn="0" w:lastColumn="0" w:oddVBand="0" w:evenVBand="0" w:oddHBand="0" w:evenHBand="0" w:firstRowFirstColumn="0" w:firstRowLastColumn="0" w:lastRowFirstColumn="0" w:lastRowLastColumn="0"/>
              <w:rPr>
                <w:szCs w:val="24"/>
                <w:lang w:val="en-GB"/>
              </w:rPr>
            </w:pPr>
            <w:r w:rsidRPr="00A33264">
              <w:rPr>
                <w:szCs w:val="24"/>
                <w:lang w:val="en-GB"/>
              </w:rPr>
              <w:t>Man/Male part time</w:t>
            </w:r>
          </w:p>
        </w:tc>
        <w:tc>
          <w:tcPr>
            <w:tcW w:w="737" w:type="dxa"/>
            <w:tcBorders>
              <w:top w:val="single" w:sz="4" w:space="0" w:color="6B2876" w:themeColor="text1"/>
            </w:tcBorders>
            <w:textDirection w:val="btLr"/>
            <w:vAlign w:val="center"/>
          </w:tcPr>
          <w:p w14:paraId="3F8A3FB1" w14:textId="77777777" w:rsidR="00C61B89" w:rsidRPr="00A33264" w:rsidRDefault="00C61B89">
            <w:pPr>
              <w:pStyle w:val="TableBody"/>
              <w:spacing w:before="0" w:after="0"/>
              <w:ind w:left="113" w:right="113"/>
              <w:cnfStyle w:val="100000000000" w:firstRow="1" w:lastRow="0" w:firstColumn="0" w:lastColumn="0" w:oddVBand="0" w:evenVBand="0" w:oddHBand="0" w:evenHBand="0" w:firstRowFirstColumn="0" w:firstRowLastColumn="0" w:lastRowFirstColumn="0" w:lastRowLastColumn="0"/>
              <w:rPr>
                <w:szCs w:val="24"/>
                <w:lang w:val="en-GB"/>
              </w:rPr>
            </w:pPr>
            <w:r w:rsidRPr="00A33264">
              <w:rPr>
                <w:szCs w:val="24"/>
                <w:lang w:val="en-GB"/>
              </w:rPr>
              <w:t>Man/Male total</w:t>
            </w:r>
          </w:p>
        </w:tc>
        <w:tc>
          <w:tcPr>
            <w:tcW w:w="737" w:type="dxa"/>
            <w:tcBorders>
              <w:top w:val="single" w:sz="4" w:space="0" w:color="6B2876" w:themeColor="text1"/>
            </w:tcBorders>
            <w:textDirection w:val="btLr"/>
            <w:vAlign w:val="center"/>
          </w:tcPr>
          <w:p w14:paraId="35BA4743" w14:textId="77777777" w:rsidR="00C61B89" w:rsidRPr="00A33264" w:rsidRDefault="00C61B89">
            <w:pPr>
              <w:pStyle w:val="TableBody"/>
              <w:spacing w:before="0" w:after="0"/>
              <w:ind w:left="113" w:right="113"/>
              <w:cnfStyle w:val="100000000000" w:firstRow="1" w:lastRow="0" w:firstColumn="0" w:lastColumn="0" w:oddVBand="0" w:evenVBand="0" w:oddHBand="0" w:evenHBand="0" w:firstRowFirstColumn="0" w:firstRowLastColumn="0" w:lastRowFirstColumn="0" w:lastRowLastColumn="0"/>
              <w:rPr>
                <w:szCs w:val="24"/>
                <w:lang w:val="en-GB"/>
              </w:rPr>
            </w:pPr>
            <w:r w:rsidRPr="00A33264">
              <w:rPr>
                <w:szCs w:val="24"/>
                <w:lang w:val="en-GB"/>
              </w:rPr>
              <w:t>Woman/Female full time</w:t>
            </w:r>
          </w:p>
        </w:tc>
        <w:tc>
          <w:tcPr>
            <w:tcW w:w="737" w:type="dxa"/>
            <w:tcBorders>
              <w:top w:val="single" w:sz="4" w:space="0" w:color="6B2876" w:themeColor="text1"/>
            </w:tcBorders>
            <w:textDirection w:val="btLr"/>
            <w:vAlign w:val="center"/>
          </w:tcPr>
          <w:p w14:paraId="464CA6A3" w14:textId="77777777" w:rsidR="00C61B89" w:rsidRPr="00A33264" w:rsidRDefault="00C61B89">
            <w:pPr>
              <w:pStyle w:val="TableBody"/>
              <w:spacing w:before="0" w:after="0"/>
              <w:ind w:left="113" w:right="113"/>
              <w:cnfStyle w:val="100000000000" w:firstRow="1" w:lastRow="0" w:firstColumn="0" w:lastColumn="0" w:oddVBand="0" w:evenVBand="0" w:oddHBand="0" w:evenHBand="0" w:firstRowFirstColumn="0" w:firstRowLastColumn="0" w:lastRowFirstColumn="0" w:lastRowLastColumn="0"/>
              <w:rPr>
                <w:szCs w:val="24"/>
                <w:lang w:val="en-GB"/>
              </w:rPr>
            </w:pPr>
            <w:r w:rsidRPr="00A33264">
              <w:rPr>
                <w:szCs w:val="24"/>
                <w:lang w:val="en-GB"/>
              </w:rPr>
              <w:t>Woman/Female part time</w:t>
            </w:r>
          </w:p>
        </w:tc>
        <w:tc>
          <w:tcPr>
            <w:tcW w:w="737" w:type="dxa"/>
            <w:tcBorders>
              <w:top w:val="single" w:sz="4" w:space="0" w:color="6B2876" w:themeColor="text1"/>
            </w:tcBorders>
            <w:textDirection w:val="btLr"/>
            <w:vAlign w:val="center"/>
          </w:tcPr>
          <w:p w14:paraId="05A19821" w14:textId="77777777" w:rsidR="00C61B89" w:rsidRPr="00A33264" w:rsidRDefault="00C61B89">
            <w:pPr>
              <w:pStyle w:val="TableBody"/>
              <w:spacing w:before="0" w:after="0"/>
              <w:ind w:left="113" w:right="113"/>
              <w:cnfStyle w:val="100000000000" w:firstRow="1" w:lastRow="0" w:firstColumn="0" w:lastColumn="0" w:oddVBand="0" w:evenVBand="0" w:oddHBand="0" w:evenHBand="0" w:firstRowFirstColumn="0" w:firstRowLastColumn="0" w:lastRowFirstColumn="0" w:lastRowLastColumn="0"/>
              <w:rPr>
                <w:szCs w:val="24"/>
                <w:lang w:val="en-GB"/>
              </w:rPr>
            </w:pPr>
            <w:r w:rsidRPr="00A33264">
              <w:rPr>
                <w:szCs w:val="24"/>
                <w:lang w:val="en-GB"/>
              </w:rPr>
              <w:t>Woman/Female total</w:t>
            </w:r>
          </w:p>
        </w:tc>
        <w:tc>
          <w:tcPr>
            <w:tcW w:w="737" w:type="dxa"/>
            <w:tcBorders>
              <w:top w:val="single" w:sz="4" w:space="0" w:color="6B2876" w:themeColor="text1"/>
            </w:tcBorders>
            <w:textDirection w:val="btLr"/>
            <w:vAlign w:val="center"/>
          </w:tcPr>
          <w:p w14:paraId="2355E675" w14:textId="77777777" w:rsidR="00C61B89" w:rsidRPr="00A33264" w:rsidRDefault="00C61B89">
            <w:pPr>
              <w:pStyle w:val="TableBody"/>
              <w:spacing w:before="0" w:after="0"/>
              <w:ind w:left="113" w:right="113"/>
              <w:cnfStyle w:val="100000000000" w:firstRow="1" w:lastRow="0" w:firstColumn="0" w:lastColumn="0" w:oddVBand="0" w:evenVBand="0" w:oddHBand="0" w:evenHBand="0" w:firstRowFirstColumn="0" w:firstRowLastColumn="0" w:lastRowFirstColumn="0" w:lastRowLastColumn="0"/>
              <w:rPr>
                <w:szCs w:val="24"/>
                <w:lang w:val="en-GB"/>
              </w:rPr>
            </w:pPr>
            <w:r w:rsidRPr="00A33264">
              <w:rPr>
                <w:szCs w:val="24"/>
                <w:lang w:val="en-GB"/>
              </w:rPr>
              <w:t>Non-binary full time</w:t>
            </w:r>
          </w:p>
        </w:tc>
        <w:tc>
          <w:tcPr>
            <w:tcW w:w="737" w:type="dxa"/>
            <w:tcBorders>
              <w:top w:val="single" w:sz="4" w:space="0" w:color="6B2876" w:themeColor="text1"/>
            </w:tcBorders>
            <w:textDirection w:val="btLr"/>
            <w:vAlign w:val="center"/>
          </w:tcPr>
          <w:p w14:paraId="3176E062" w14:textId="77777777" w:rsidR="00C61B89" w:rsidRPr="00A33264" w:rsidRDefault="00C61B89">
            <w:pPr>
              <w:pStyle w:val="TableBody"/>
              <w:spacing w:before="0" w:after="0"/>
              <w:ind w:left="113" w:right="113"/>
              <w:cnfStyle w:val="100000000000" w:firstRow="1" w:lastRow="0" w:firstColumn="0" w:lastColumn="0" w:oddVBand="0" w:evenVBand="0" w:oddHBand="0" w:evenHBand="0" w:firstRowFirstColumn="0" w:firstRowLastColumn="0" w:lastRowFirstColumn="0" w:lastRowLastColumn="0"/>
              <w:rPr>
                <w:szCs w:val="24"/>
                <w:lang w:val="en-GB"/>
              </w:rPr>
            </w:pPr>
            <w:r w:rsidRPr="00A33264">
              <w:rPr>
                <w:szCs w:val="24"/>
                <w:lang w:val="en-GB"/>
              </w:rPr>
              <w:t>Non-binary part time</w:t>
            </w:r>
          </w:p>
        </w:tc>
        <w:tc>
          <w:tcPr>
            <w:tcW w:w="737" w:type="dxa"/>
            <w:tcBorders>
              <w:top w:val="single" w:sz="4" w:space="0" w:color="6B2876" w:themeColor="text1"/>
            </w:tcBorders>
            <w:textDirection w:val="btLr"/>
            <w:vAlign w:val="center"/>
          </w:tcPr>
          <w:p w14:paraId="388AED30" w14:textId="4B7C0034" w:rsidR="00C61B89" w:rsidRPr="00A33264" w:rsidRDefault="00C61B89">
            <w:pPr>
              <w:pStyle w:val="TableBody"/>
              <w:spacing w:before="0" w:after="0"/>
              <w:ind w:left="113" w:right="113"/>
              <w:cnfStyle w:val="100000000000" w:firstRow="1" w:lastRow="0" w:firstColumn="0" w:lastColumn="0" w:oddVBand="0" w:evenVBand="0" w:oddHBand="0" w:evenHBand="0" w:firstRowFirstColumn="0" w:firstRowLastColumn="0" w:lastRowFirstColumn="0" w:lastRowLastColumn="0"/>
              <w:rPr>
                <w:szCs w:val="24"/>
                <w:lang w:val="en-GB"/>
              </w:rPr>
            </w:pPr>
            <w:r w:rsidRPr="00A33264">
              <w:rPr>
                <w:szCs w:val="24"/>
                <w:lang w:val="en-GB"/>
              </w:rPr>
              <w:t xml:space="preserve">Non-binary </w:t>
            </w:r>
            <w:r w:rsidR="00705C90" w:rsidRPr="00A33264">
              <w:rPr>
                <w:szCs w:val="24"/>
                <w:lang w:val="en-GB"/>
              </w:rPr>
              <w:t>total</w:t>
            </w:r>
          </w:p>
        </w:tc>
        <w:tc>
          <w:tcPr>
            <w:tcW w:w="737" w:type="dxa"/>
            <w:tcBorders>
              <w:top w:val="single" w:sz="4" w:space="0" w:color="6B2876" w:themeColor="text1"/>
            </w:tcBorders>
            <w:textDirection w:val="btLr"/>
            <w:vAlign w:val="center"/>
          </w:tcPr>
          <w:p w14:paraId="44BA1F42" w14:textId="77777777" w:rsidR="00C61B89" w:rsidRPr="00A33264" w:rsidRDefault="00C61B89">
            <w:pPr>
              <w:pStyle w:val="TableBody"/>
              <w:spacing w:before="0" w:after="0"/>
              <w:ind w:left="113" w:right="113"/>
              <w:cnfStyle w:val="100000000000" w:firstRow="1" w:lastRow="0" w:firstColumn="0" w:lastColumn="0" w:oddVBand="0" w:evenVBand="0" w:oddHBand="0" w:evenHBand="0" w:firstRowFirstColumn="0" w:firstRowLastColumn="0" w:lastRowFirstColumn="0" w:lastRowLastColumn="0"/>
              <w:rPr>
                <w:szCs w:val="24"/>
                <w:lang w:val="en-GB"/>
              </w:rPr>
            </w:pPr>
            <w:r w:rsidRPr="00A33264">
              <w:rPr>
                <w:szCs w:val="24"/>
                <w:lang w:val="en-GB"/>
              </w:rPr>
              <w:t>Prefers not to answer full time</w:t>
            </w:r>
          </w:p>
        </w:tc>
        <w:tc>
          <w:tcPr>
            <w:tcW w:w="737" w:type="dxa"/>
            <w:tcBorders>
              <w:top w:val="single" w:sz="4" w:space="0" w:color="6B2876" w:themeColor="text1"/>
            </w:tcBorders>
            <w:textDirection w:val="btLr"/>
            <w:vAlign w:val="center"/>
          </w:tcPr>
          <w:p w14:paraId="334DF221" w14:textId="77777777" w:rsidR="00C61B89" w:rsidRPr="00A33264" w:rsidRDefault="00C61B89">
            <w:pPr>
              <w:pStyle w:val="TableBody"/>
              <w:spacing w:before="0" w:after="0"/>
              <w:ind w:left="113" w:right="113"/>
              <w:cnfStyle w:val="100000000000" w:firstRow="1" w:lastRow="0" w:firstColumn="0" w:lastColumn="0" w:oddVBand="0" w:evenVBand="0" w:oddHBand="0" w:evenHBand="0" w:firstRowFirstColumn="0" w:firstRowLastColumn="0" w:lastRowFirstColumn="0" w:lastRowLastColumn="0"/>
              <w:rPr>
                <w:szCs w:val="24"/>
                <w:lang w:val="en-GB"/>
              </w:rPr>
            </w:pPr>
            <w:r w:rsidRPr="00A33264">
              <w:rPr>
                <w:szCs w:val="24"/>
                <w:lang w:val="en-GB"/>
              </w:rPr>
              <w:t>Prefers not to answer part time</w:t>
            </w:r>
          </w:p>
        </w:tc>
        <w:tc>
          <w:tcPr>
            <w:tcW w:w="737" w:type="dxa"/>
            <w:tcBorders>
              <w:top w:val="single" w:sz="4" w:space="0" w:color="6B2876" w:themeColor="text1"/>
            </w:tcBorders>
            <w:textDirection w:val="btLr"/>
            <w:vAlign w:val="center"/>
          </w:tcPr>
          <w:p w14:paraId="504EBCF2" w14:textId="77777777" w:rsidR="00C61B89" w:rsidRPr="00A33264" w:rsidRDefault="00C61B89">
            <w:pPr>
              <w:pStyle w:val="TableBody"/>
              <w:spacing w:before="0" w:after="0"/>
              <w:ind w:left="113" w:right="113"/>
              <w:cnfStyle w:val="100000000000" w:firstRow="1" w:lastRow="0" w:firstColumn="0" w:lastColumn="0" w:oddVBand="0" w:evenVBand="0" w:oddHBand="0" w:evenHBand="0" w:firstRowFirstColumn="0" w:firstRowLastColumn="0" w:lastRowFirstColumn="0" w:lastRowLastColumn="0"/>
              <w:rPr>
                <w:szCs w:val="24"/>
                <w:lang w:val="en-GB"/>
              </w:rPr>
            </w:pPr>
            <w:r w:rsidRPr="00A33264">
              <w:rPr>
                <w:szCs w:val="24"/>
                <w:lang w:val="en-GB"/>
              </w:rPr>
              <w:t>Prefers not to answer total</w:t>
            </w:r>
          </w:p>
        </w:tc>
        <w:tc>
          <w:tcPr>
            <w:tcW w:w="737" w:type="dxa"/>
            <w:tcBorders>
              <w:top w:val="single" w:sz="4" w:space="0" w:color="6B2876" w:themeColor="text1"/>
            </w:tcBorders>
            <w:textDirection w:val="btLr"/>
            <w:vAlign w:val="center"/>
          </w:tcPr>
          <w:p w14:paraId="77B36B66" w14:textId="77777777" w:rsidR="00C61B89" w:rsidRPr="00A33264" w:rsidRDefault="00C61B89">
            <w:pPr>
              <w:pStyle w:val="TableBody"/>
              <w:spacing w:before="0" w:after="0"/>
              <w:ind w:left="113" w:right="113"/>
              <w:cnfStyle w:val="100000000000" w:firstRow="1" w:lastRow="0" w:firstColumn="0" w:lastColumn="0" w:oddVBand="0" w:evenVBand="0" w:oddHBand="0" w:evenHBand="0" w:firstRowFirstColumn="0" w:firstRowLastColumn="0" w:lastRowFirstColumn="0" w:lastRowLastColumn="0"/>
              <w:rPr>
                <w:szCs w:val="24"/>
                <w:lang w:val="en-GB"/>
              </w:rPr>
            </w:pPr>
            <w:r w:rsidRPr="00A33264">
              <w:rPr>
                <w:szCs w:val="24"/>
                <w:lang w:val="en-GB"/>
              </w:rPr>
              <w:t>Uses a different term full time</w:t>
            </w:r>
          </w:p>
        </w:tc>
        <w:tc>
          <w:tcPr>
            <w:tcW w:w="737" w:type="dxa"/>
            <w:tcBorders>
              <w:top w:val="single" w:sz="4" w:space="0" w:color="6B2876" w:themeColor="text1"/>
            </w:tcBorders>
            <w:textDirection w:val="btLr"/>
            <w:vAlign w:val="center"/>
          </w:tcPr>
          <w:p w14:paraId="392C1FF1" w14:textId="77777777" w:rsidR="00C61B89" w:rsidRPr="00A33264" w:rsidRDefault="00C61B89">
            <w:pPr>
              <w:pStyle w:val="TableBody"/>
              <w:spacing w:before="0" w:after="0"/>
              <w:ind w:left="113" w:right="113"/>
              <w:cnfStyle w:val="100000000000" w:firstRow="1" w:lastRow="0" w:firstColumn="0" w:lastColumn="0" w:oddVBand="0" w:evenVBand="0" w:oddHBand="0" w:evenHBand="0" w:firstRowFirstColumn="0" w:firstRowLastColumn="0" w:lastRowFirstColumn="0" w:lastRowLastColumn="0"/>
              <w:rPr>
                <w:szCs w:val="24"/>
                <w:lang w:val="en-GB"/>
              </w:rPr>
            </w:pPr>
            <w:r w:rsidRPr="00A33264">
              <w:rPr>
                <w:szCs w:val="24"/>
                <w:lang w:val="en-GB"/>
              </w:rPr>
              <w:t>Uses a different term part time</w:t>
            </w:r>
          </w:p>
        </w:tc>
        <w:tc>
          <w:tcPr>
            <w:tcW w:w="737" w:type="dxa"/>
            <w:tcBorders>
              <w:top w:val="single" w:sz="4" w:space="0" w:color="6B2876" w:themeColor="text1"/>
            </w:tcBorders>
            <w:textDirection w:val="btLr"/>
            <w:vAlign w:val="center"/>
          </w:tcPr>
          <w:p w14:paraId="6CD22C00" w14:textId="77777777" w:rsidR="00C61B89" w:rsidRPr="00A33264" w:rsidRDefault="00C61B89">
            <w:pPr>
              <w:pStyle w:val="TableBody"/>
              <w:spacing w:before="0" w:after="0"/>
              <w:ind w:left="113" w:right="113"/>
              <w:cnfStyle w:val="100000000000" w:firstRow="1" w:lastRow="0" w:firstColumn="0" w:lastColumn="0" w:oddVBand="0" w:evenVBand="0" w:oddHBand="0" w:evenHBand="0" w:firstRowFirstColumn="0" w:firstRowLastColumn="0" w:lastRowFirstColumn="0" w:lastRowLastColumn="0"/>
              <w:rPr>
                <w:szCs w:val="24"/>
                <w:lang w:val="en-GB"/>
              </w:rPr>
            </w:pPr>
            <w:r w:rsidRPr="00A33264">
              <w:rPr>
                <w:szCs w:val="24"/>
                <w:lang w:val="en-GB"/>
              </w:rPr>
              <w:t>Uses a different term total</w:t>
            </w:r>
          </w:p>
        </w:tc>
        <w:tc>
          <w:tcPr>
            <w:tcW w:w="737" w:type="dxa"/>
            <w:tcBorders>
              <w:top w:val="single" w:sz="4" w:space="0" w:color="6B2876" w:themeColor="text1"/>
            </w:tcBorders>
            <w:textDirection w:val="btLr"/>
            <w:vAlign w:val="center"/>
          </w:tcPr>
          <w:p w14:paraId="55EEF8D4" w14:textId="77777777" w:rsidR="00C61B89" w:rsidRPr="00A33264" w:rsidRDefault="00C61B89">
            <w:pPr>
              <w:pStyle w:val="TableBody"/>
              <w:spacing w:before="0" w:after="0"/>
              <w:ind w:left="113" w:right="113"/>
              <w:cnfStyle w:val="100000000000" w:firstRow="1" w:lastRow="0" w:firstColumn="0" w:lastColumn="0" w:oddVBand="0" w:evenVBand="0" w:oddHBand="0" w:evenHBand="0" w:firstRowFirstColumn="0" w:firstRowLastColumn="0" w:lastRowFirstColumn="0" w:lastRowLastColumn="0"/>
              <w:rPr>
                <w:szCs w:val="24"/>
                <w:lang w:val="en-GB"/>
              </w:rPr>
            </w:pPr>
            <w:r w:rsidRPr="00A33264">
              <w:rPr>
                <w:szCs w:val="24"/>
                <w:lang w:val="en-GB"/>
              </w:rPr>
              <w:t>Total</w:t>
            </w:r>
          </w:p>
        </w:tc>
      </w:tr>
      <w:tr w:rsidR="00933805" w:rsidRPr="00A33264" w14:paraId="21037008" w14:textId="77777777" w:rsidTr="00F23525">
        <w:trPr>
          <w:cantSplit/>
          <w:trHeight w:val="340"/>
        </w:trPr>
        <w:tc>
          <w:tcPr>
            <w:cnfStyle w:val="001000000000" w:firstRow="0" w:lastRow="0" w:firstColumn="1" w:lastColumn="0" w:oddVBand="0" w:evenVBand="0" w:oddHBand="0" w:evenHBand="0" w:firstRowFirstColumn="0" w:firstRowLastColumn="0" w:lastRowFirstColumn="0" w:lastRowLastColumn="0"/>
            <w:tcW w:w="2324" w:type="dxa"/>
          </w:tcPr>
          <w:p w14:paraId="0B1C185E" w14:textId="77777777" w:rsidR="000B5D1C" w:rsidRPr="00A33264" w:rsidRDefault="000B5D1C" w:rsidP="000B5D1C">
            <w:pPr>
              <w:pStyle w:val="TableBody"/>
              <w:spacing w:before="0" w:after="0"/>
              <w:rPr>
                <w:szCs w:val="24"/>
                <w:lang w:val="en-GB"/>
              </w:rPr>
            </w:pPr>
            <w:r w:rsidRPr="00A33264">
              <w:rPr>
                <w:szCs w:val="24"/>
                <w:lang w:val="en-GB"/>
              </w:rPr>
              <w:t>NSW</w:t>
            </w:r>
          </w:p>
        </w:tc>
        <w:tc>
          <w:tcPr>
            <w:tcW w:w="737" w:type="dxa"/>
            <w:vAlign w:val="center"/>
          </w:tcPr>
          <w:p w14:paraId="4FDF8346" w14:textId="5455EF46"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13</w:t>
            </w:r>
          </w:p>
        </w:tc>
        <w:tc>
          <w:tcPr>
            <w:tcW w:w="737" w:type="dxa"/>
            <w:vAlign w:val="center"/>
          </w:tcPr>
          <w:p w14:paraId="4CBBE5F4" w14:textId="7FC93F78"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0</w:t>
            </w:r>
          </w:p>
        </w:tc>
        <w:tc>
          <w:tcPr>
            <w:tcW w:w="737" w:type="dxa"/>
            <w:vAlign w:val="center"/>
          </w:tcPr>
          <w:p w14:paraId="5F718D18" w14:textId="6694E623"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13</w:t>
            </w:r>
          </w:p>
        </w:tc>
        <w:tc>
          <w:tcPr>
            <w:tcW w:w="737" w:type="dxa"/>
            <w:vAlign w:val="center"/>
          </w:tcPr>
          <w:p w14:paraId="223EA830" w14:textId="794DBD2E"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32</w:t>
            </w:r>
          </w:p>
        </w:tc>
        <w:tc>
          <w:tcPr>
            <w:tcW w:w="737" w:type="dxa"/>
            <w:vAlign w:val="center"/>
          </w:tcPr>
          <w:p w14:paraId="58C70471" w14:textId="365F8034"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4</w:t>
            </w:r>
          </w:p>
        </w:tc>
        <w:tc>
          <w:tcPr>
            <w:tcW w:w="737" w:type="dxa"/>
            <w:vAlign w:val="center"/>
          </w:tcPr>
          <w:p w14:paraId="66023612" w14:textId="08C6135A"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36</w:t>
            </w:r>
          </w:p>
        </w:tc>
        <w:tc>
          <w:tcPr>
            <w:tcW w:w="737" w:type="dxa"/>
            <w:vAlign w:val="center"/>
          </w:tcPr>
          <w:p w14:paraId="7DE13444" w14:textId="31E1099C"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0</w:t>
            </w:r>
          </w:p>
        </w:tc>
        <w:tc>
          <w:tcPr>
            <w:tcW w:w="737" w:type="dxa"/>
            <w:vAlign w:val="center"/>
          </w:tcPr>
          <w:p w14:paraId="439F0BD7" w14:textId="213A7C11"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0</w:t>
            </w:r>
          </w:p>
        </w:tc>
        <w:tc>
          <w:tcPr>
            <w:tcW w:w="737" w:type="dxa"/>
            <w:vAlign w:val="center"/>
          </w:tcPr>
          <w:p w14:paraId="479609C0" w14:textId="5BB65C36"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0</w:t>
            </w:r>
          </w:p>
        </w:tc>
        <w:tc>
          <w:tcPr>
            <w:tcW w:w="737" w:type="dxa"/>
            <w:vAlign w:val="center"/>
          </w:tcPr>
          <w:p w14:paraId="6200F200" w14:textId="56C9672E"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5950CF60" w14:textId="078832C5"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0C308CDD" w14:textId="0F1067FE"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3D98BED8" w14:textId="03722623"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27DE4607" w14:textId="4D2DBC4B"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1531410E" w14:textId="6E9D7032"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1D9966A4" w14:textId="7DFC5AC1"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szCs w:val="24"/>
                <w:lang w:val="en-GB"/>
              </w:rPr>
            </w:pPr>
            <w:r w:rsidRPr="00CD6A84">
              <w:rPr>
                <w:b/>
                <w:bCs/>
                <w:szCs w:val="24"/>
                <w:lang w:val="en-GB"/>
              </w:rPr>
              <w:t>49</w:t>
            </w:r>
          </w:p>
        </w:tc>
      </w:tr>
      <w:tr w:rsidR="00933805" w:rsidRPr="00A33264" w14:paraId="759876AE" w14:textId="77777777" w:rsidTr="00F23525">
        <w:trPr>
          <w:cantSplit/>
          <w:trHeight w:val="340"/>
        </w:trPr>
        <w:tc>
          <w:tcPr>
            <w:cnfStyle w:val="001000000000" w:firstRow="0" w:lastRow="0" w:firstColumn="1" w:lastColumn="0" w:oddVBand="0" w:evenVBand="0" w:oddHBand="0" w:evenHBand="0" w:firstRowFirstColumn="0" w:firstRowLastColumn="0" w:lastRowFirstColumn="0" w:lastRowLastColumn="0"/>
            <w:tcW w:w="2324" w:type="dxa"/>
          </w:tcPr>
          <w:p w14:paraId="1BED9D34" w14:textId="77777777" w:rsidR="000B5D1C" w:rsidRPr="00A33264" w:rsidRDefault="000B5D1C" w:rsidP="000B5D1C">
            <w:pPr>
              <w:pStyle w:val="TableBody"/>
              <w:spacing w:before="0" w:after="0"/>
              <w:rPr>
                <w:szCs w:val="24"/>
                <w:lang w:val="en-GB"/>
              </w:rPr>
            </w:pPr>
            <w:r w:rsidRPr="00A33264">
              <w:rPr>
                <w:szCs w:val="24"/>
                <w:lang w:val="en-GB"/>
              </w:rPr>
              <w:t>Qld</w:t>
            </w:r>
          </w:p>
        </w:tc>
        <w:tc>
          <w:tcPr>
            <w:tcW w:w="737" w:type="dxa"/>
            <w:vAlign w:val="center"/>
          </w:tcPr>
          <w:p w14:paraId="05B49382" w14:textId="5532A7D5"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12</w:t>
            </w:r>
          </w:p>
        </w:tc>
        <w:tc>
          <w:tcPr>
            <w:tcW w:w="737" w:type="dxa"/>
            <w:vAlign w:val="center"/>
          </w:tcPr>
          <w:p w14:paraId="7B8B9DDE" w14:textId="135D6AD3"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2</w:t>
            </w:r>
          </w:p>
        </w:tc>
        <w:tc>
          <w:tcPr>
            <w:tcW w:w="737" w:type="dxa"/>
            <w:vAlign w:val="center"/>
          </w:tcPr>
          <w:p w14:paraId="36343DF8" w14:textId="01D7EF55"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14</w:t>
            </w:r>
          </w:p>
        </w:tc>
        <w:tc>
          <w:tcPr>
            <w:tcW w:w="737" w:type="dxa"/>
            <w:vAlign w:val="center"/>
          </w:tcPr>
          <w:p w14:paraId="0D3A115D" w14:textId="540538B7"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46</w:t>
            </w:r>
          </w:p>
        </w:tc>
        <w:tc>
          <w:tcPr>
            <w:tcW w:w="737" w:type="dxa"/>
            <w:vAlign w:val="center"/>
          </w:tcPr>
          <w:p w14:paraId="07B8CE17" w14:textId="675D9E18"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4</w:t>
            </w:r>
          </w:p>
        </w:tc>
        <w:tc>
          <w:tcPr>
            <w:tcW w:w="737" w:type="dxa"/>
            <w:vAlign w:val="center"/>
          </w:tcPr>
          <w:p w14:paraId="57C70FC3" w14:textId="0D86F8DB"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50</w:t>
            </w:r>
          </w:p>
        </w:tc>
        <w:tc>
          <w:tcPr>
            <w:tcW w:w="737" w:type="dxa"/>
            <w:vAlign w:val="center"/>
          </w:tcPr>
          <w:p w14:paraId="0AB489A7" w14:textId="0E059FE3"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0</w:t>
            </w:r>
          </w:p>
        </w:tc>
        <w:tc>
          <w:tcPr>
            <w:tcW w:w="737" w:type="dxa"/>
            <w:vAlign w:val="center"/>
          </w:tcPr>
          <w:p w14:paraId="4B118F07" w14:textId="08D36F08"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0</w:t>
            </w:r>
          </w:p>
        </w:tc>
        <w:tc>
          <w:tcPr>
            <w:tcW w:w="737" w:type="dxa"/>
            <w:vAlign w:val="center"/>
          </w:tcPr>
          <w:p w14:paraId="7BA8E4B1" w14:textId="325735C9"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0</w:t>
            </w:r>
          </w:p>
        </w:tc>
        <w:tc>
          <w:tcPr>
            <w:tcW w:w="737" w:type="dxa"/>
            <w:vAlign w:val="center"/>
          </w:tcPr>
          <w:p w14:paraId="195A62BF" w14:textId="28E61E09"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3B8B0A63" w14:textId="1F1AFA17"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601A3900" w14:textId="68F90E62"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6909A850" w14:textId="35A9B120"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328AF3CF" w14:textId="49FCE534"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17B81183" w14:textId="05F1C7CC"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0B8482BE" w14:textId="56B73C7B"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szCs w:val="24"/>
                <w:lang w:val="en-GB"/>
              </w:rPr>
            </w:pPr>
            <w:r w:rsidRPr="00CD6A84">
              <w:rPr>
                <w:b/>
                <w:bCs/>
                <w:szCs w:val="24"/>
                <w:lang w:val="en-GB"/>
              </w:rPr>
              <w:t>64</w:t>
            </w:r>
          </w:p>
        </w:tc>
      </w:tr>
      <w:tr w:rsidR="00933805" w:rsidRPr="00A33264" w14:paraId="3A4EC98F" w14:textId="77777777" w:rsidTr="00F23525">
        <w:trPr>
          <w:cantSplit/>
          <w:trHeight w:val="340"/>
        </w:trPr>
        <w:tc>
          <w:tcPr>
            <w:cnfStyle w:val="001000000000" w:firstRow="0" w:lastRow="0" w:firstColumn="1" w:lastColumn="0" w:oddVBand="0" w:evenVBand="0" w:oddHBand="0" w:evenHBand="0" w:firstRowFirstColumn="0" w:firstRowLastColumn="0" w:lastRowFirstColumn="0" w:lastRowLastColumn="0"/>
            <w:tcW w:w="2324" w:type="dxa"/>
          </w:tcPr>
          <w:p w14:paraId="750DF23C" w14:textId="77777777" w:rsidR="000B5D1C" w:rsidRPr="00A33264" w:rsidRDefault="000B5D1C" w:rsidP="000B5D1C">
            <w:pPr>
              <w:pStyle w:val="TableBody"/>
              <w:spacing w:before="0" w:after="0"/>
              <w:rPr>
                <w:szCs w:val="24"/>
                <w:lang w:val="en-GB"/>
              </w:rPr>
            </w:pPr>
            <w:r w:rsidRPr="00A33264">
              <w:rPr>
                <w:szCs w:val="24"/>
                <w:lang w:val="en-GB"/>
              </w:rPr>
              <w:t>SA</w:t>
            </w:r>
          </w:p>
        </w:tc>
        <w:tc>
          <w:tcPr>
            <w:tcW w:w="737" w:type="dxa"/>
            <w:vAlign w:val="center"/>
          </w:tcPr>
          <w:p w14:paraId="3312DFE8" w14:textId="4E981A11"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5</w:t>
            </w:r>
          </w:p>
        </w:tc>
        <w:tc>
          <w:tcPr>
            <w:tcW w:w="737" w:type="dxa"/>
            <w:vAlign w:val="center"/>
          </w:tcPr>
          <w:p w14:paraId="7624A7B6" w14:textId="3C2CE0C8"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0</w:t>
            </w:r>
          </w:p>
        </w:tc>
        <w:tc>
          <w:tcPr>
            <w:tcW w:w="737" w:type="dxa"/>
            <w:vAlign w:val="center"/>
          </w:tcPr>
          <w:p w14:paraId="7742E88D" w14:textId="20B833FF"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5</w:t>
            </w:r>
          </w:p>
        </w:tc>
        <w:tc>
          <w:tcPr>
            <w:tcW w:w="737" w:type="dxa"/>
            <w:vAlign w:val="center"/>
          </w:tcPr>
          <w:p w14:paraId="5CE057BE" w14:textId="55AF8139"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15</w:t>
            </w:r>
          </w:p>
        </w:tc>
        <w:tc>
          <w:tcPr>
            <w:tcW w:w="737" w:type="dxa"/>
            <w:vAlign w:val="center"/>
          </w:tcPr>
          <w:p w14:paraId="2592EADE" w14:textId="18E97F59" w:rsidR="000B5D1C" w:rsidRPr="00CD6A84" w:rsidRDefault="00066B61"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2</w:t>
            </w:r>
          </w:p>
        </w:tc>
        <w:tc>
          <w:tcPr>
            <w:tcW w:w="737" w:type="dxa"/>
            <w:vAlign w:val="center"/>
          </w:tcPr>
          <w:p w14:paraId="10490E22" w14:textId="05D4FE71"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1</w:t>
            </w:r>
            <w:r w:rsidR="00066B61" w:rsidRPr="00CD6A84">
              <w:rPr>
                <w:szCs w:val="24"/>
                <w:lang w:val="en-GB"/>
              </w:rPr>
              <w:t>7</w:t>
            </w:r>
          </w:p>
        </w:tc>
        <w:tc>
          <w:tcPr>
            <w:tcW w:w="737" w:type="dxa"/>
            <w:vAlign w:val="center"/>
          </w:tcPr>
          <w:p w14:paraId="5DAFECC4" w14:textId="6EF774C2"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1</w:t>
            </w:r>
          </w:p>
        </w:tc>
        <w:tc>
          <w:tcPr>
            <w:tcW w:w="737" w:type="dxa"/>
            <w:vAlign w:val="center"/>
          </w:tcPr>
          <w:p w14:paraId="411B00CE" w14:textId="264732B6"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0</w:t>
            </w:r>
          </w:p>
        </w:tc>
        <w:tc>
          <w:tcPr>
            <w:tcW w:w="737" w:type="dxa"/>
            <w:vAlign w:val="center"/>
          </w:tcPr>
          <w:p w14:paraId="43FAC45D" w14:textId="147129E4"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1</w:t>
            </w:r>
          </w:p>
        </w:tc>
        <w:tc>
          <w:tcPr>
            <w:tcW w:w="737" w:type="dxa"/>
            <w:vAlign w:val="center"/>
          </w:tcPr>
          <w:p w14:paraId="064C0259" w14:textId="278A90A9"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2D02CCA7" w14:textId="09DC7C0A"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5F71DE9C" w14:textId="6A8F3A89"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2E75EC80" w14:textId="13C58EBC"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7CFEBE91" w14:textId="1D018A88"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53E1B93C" w14:textId="5F2C3AC7"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158C16AE" w14:textId="30C953AE"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szCs w:val="24"/>
                <w:lang w:val="en-GB"/>
              </w:rPr>
            </w:pPr>
            <w:r w:rsidRPr="00CD6A84">
              <w:rPr>
                <w:b/>
                <w:bCs/>
                <w:szCs w:val="24"/>
                <w:lang w:val="en-GB"/>
              </w:rPr>
              <w:t>2</w:t>
            </w:r>
            <w:r w:rsidR="00066B61" w:rsidRPr="00CD6A84">
              <w:rPr>
                <w:b/>
                <w:bCs/>
                <w:szCs w:val="24"/>
                <w:lang w:val="en-GB"/>
              </w:rPr>
              <w:t>3</w:t>
            </w:r>
          </w:p>
        </w:tc>
      </w:tr>
      <w:tr w:rsidR="00933805" w:rsidRPr="00A33264" w14:paraId="4F75F98A" w14:textId="77777777" w:rsidTr="00F23525">
        <w:trPr>
          <w:cantSplit/>
          <w:trHeight w:val="340"/>
        </w:trPr>
        <w:tc>
          <w:tcPr>
            <w:cnfStyle w:val="001000000000" w:firstRow="0" w:lastRow="0" w:firstColumn="1" w:lastColumn="0" w:oddVBand="0" w:evenVBand="0" w:oddHBand="0" w:evenHBand="0" w:firstRowFirstColumn="0" w:firstRowLastColumn="0" w:lastRowFirstColumn="0" w:lastRowLastColumn="0"/>
            <w:tcW w:w="2324" w:type="dxa"/>
          </w:tcPr>
          <w:p w14:paraId="7B973D33" w14:textId="77777777" w:rsidR="000B5D1C" w:rsidRPr="00A33264" w:rsidRDefault="000B5D1C" w:rsidP="000B5D1C">
            <w:pPr>
              <w:pStyle w:val="TableBody"/>
              <w:spacing w:before="0" w:after="0"/>
              <w:rPr>
                <w:szCs w:val="24"/>
                <w:lang w:val="en-GB"/>
              </w:rPr>
            </w:pPr>
            <w:r w:rsidRPr="00A33264">
              <w:rPr>
                <w:szCs w:val="24"/>
                <w:lang w:val="en-GB"/>
              </w:rPr>
              <w:t>Tas</w:t>
            </w:r>
          </w:p>
        </w:tc>
        <w:tc>
          <w:tcPr>
            <w:tcW w:w="737" w:type="dxa"/>
            <w:vAlign w:val="center"/>
          </w:tcPr>
          <w:p w14:paraId="7413CDF4" w14:textId="1F737609"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0</w:t>
            </w:r>
          </w:p>
        </w:tc>
        <w:tc>
          <w:tcPr>
            <w:tcW w:w="737" w:type="dxa"/>
            <w:vAlign w:val="center"/>
          </w:tcPr>
          <w:p w14:paraId="36D0F05E" w14:textId="2B83FE9A"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0</w:t>
            </w:r>
          </w:p>
        </w:tc>
        <w:tc>
          <w:tcPr>
            <w:tcW w:w="737" w:type="dxa"/>
            <w:vAlign w:val="center"/>
          </w:tcPr>
          <w:p w14:paraId="08A22131" w14:textId="01CB30CB"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0</w:t>
            </w:r>
          </w:p>
        </w:tc>
        <w:tc>
          <w:tcPr>
            <w:tcW w:w="737" w:type="dxa"/>
            <w:vAlign w:val="center"/>
          </w:tcPr>
          <w:p w14:paraId="4EDFFC83" w14:textId="6B1B7CDD"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1</w:t>
            </w:r>
          </w:p>
        </w:tc>
        <w:tc>
          <w:tcPr>
            <w:tcW w:w="737" w:type="dxa"/>
            <w:vAlign w:val="center"/>
          </w:tcPr>
          <w:p w14:paraId="01E711C6" w14:textId="18920F12"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1</w:t>
            </w:r>
          </w:p>
        </w:tc>
        <w:tc>
          <w:tcPr>
            <w:tcW w:w="737" w:type="dxa"/>
            <w:vAlign w:val="center"/>
          </w:tcPr>
          <w:p w14:paraId="18A186CA" w14:textId="3658D56B"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2</w:t>
            </w:r>
          </w:p>
        </w:tc>
        <w:tc>
          <w:tcPr>
            <w:tcW w:w="737" w:type="dxa"/>
            <w:vAlign w:val="center"/>
          </w:tcPr>
          <w:p w14:paraId="07BCAD29" w14:textId="09004656"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0</w:t>
            </w:r>
          </w:p>
        </w:tc>
        <w:tc>
          <w:tcPr>
            <w:tcW w:w="737" w:type="dxa"/>
            <w:vAlign w:val="center"/>
          </w:tcPr>
          <w:p w14:paraId="6C4BA3BB" w14:textId="6A970A43"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0</w:t>
            </w:r>
          </w:p>
        </w:tc>
        <w:tc>
          <w:tcPr>
            <w:tcW w:w="737" w:type="dxa"/>
            <w:vAlign w:val="center"/>
          </w:tcPr>
          <w:p w14:paraId="2CD532B9" w14:textId="3F718EF2"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0</w:t>
            </w:r>
          </w:p>
        </w:tc>
        <w:tc>
          <w:tcPr>
            <w:tcW w:w="737" w:type="dxa"/>
            <w:vAlign w:val="center"/>
          </w:tcPr>
          <w:p w14:paraId="0A07AB5E" w14:textId="3ED7C70D"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6345E58D" w14:textId="76FC00A1"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0B84391A" w14:textId="3CB1288F"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6A8F5CFB" w14:textId="736DCA64"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18EEEE6A" w14:textId="55FA535D"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213D1B32" w14:textId="7F5D0C7E"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404919F7" w14:textId="0285B541"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szCs w:val="24"/>
                <w:lang w:val="en-GB"/>
              </w:rPr>
            </w:pPr>
            <w:r w:rsidRPr="00CD6A84">
              <w:rPr>
                <w:b/>
                <w:bCs/>
                <w:szCs w:val="24"/>
                <w:lang w:val="en-GB"/>
              </w:rPr>
              <w:t>2</w:t>
            </w:r>
          </w:p>
        </w:tc>
      </w:tr>
      <w:tr w:rsidR="00933805" w:rsidRPr="00A33264" w14:paraId="50DB2E03" w14:textId="77777777" w:rsidTr="00F23525">
        <w:trPr>
          <w:cantSplit/>
          <w:trHeight w:val="340"/>
        </w:trPr>
        <w:tc>
          <w:tcPr>
            <w:cnfStyle w:val="001000000000" w:firstRow="0" w:lastRow="0" w:firstColumn="1" w:lastColumn="0" w:oddVBand="0" w:evenVBand="0" w:oddHBand="0" w:evenHBand="0" w:firstRowFirstColumn="0" w:firstRowLastColumn="0" w:lastRowFirstColumn="0" w:lastRowLastColumn="0"/>
            <w:tcW w:w="2324" w:type="dxa"/>
          </w:tcPr>
          <w:p w14:paraId="7BF2F0AE" w14:textId="77777777" w:rsidR="000B5D1C" w:rsidRPr="00A33264" w:rsidRDefault="000B5D1C" w:rsidP="000B5D1C">
            <w:pPr>
              <w:pStyle w:val="TableBody"/>
              <w:spacing w:before="0" w:after="0"/>
              <w:rPr>
                <w:szCs w:val="24"/>
                <w:lang w:val="en-GB"/>
              </w:rPr>
            </w:pPr>
            <w:r w:rsidRPr="00A33264">
              <w:rPr>
                <w:szCs w:val="24"/>
                <w:lang w:val="en-GB"/>
              </w:rPr>
              <w:t>Vic</w:t>
            </w:r>
          </w:p>
        </w:tc>
        <w:tc>
          <w:tcPr>
            <w:tcW w:w="737" w:type="dxa"/>
            <w:vAlign w:val="center"/>
          </w:tcPr>
          <w:p w14:paraId="32084357" w14:textId="5E874232"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33</w:t>
            </w:r>
          </w:p>
        </w:tc>
        <w:tc>
          <w:tcPr>
            <w:tcW w:w="737" w:type="dxa"/>
            <w:vAlign w:val="center"/>
          </w:tcPr>
          <w:p w14:paraId="020C2B77" w14:textId="0603723A"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0</w:t>
            </w:r>
          </w:p>
        </w:tc>
        <w:tc>
          <w:tcPr>
            <w:tcW w:w="737" w:type="dxa"/>
            <w:vAlign w:val="center"/>
          </w:tcPr>
          <w:p w14:paraId="27EC12F4" w14:textId="4D41E16D"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33</w:t>
            </w:r>
          </w:p>
        </w:tc>
        <w:tc>
          <w:tcPr>
            <w:tcW w:w="737" w:type="dxa"/>
            <w:vAlign w:val="center"/>
          </w:tcPr>
          <w:p w14:paraId="269FE041" w14:textId="737201F0"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67</w:t>
            </w:r>
          </w:p>
        </w:tc>
        <w:tc>
          <w:tcPr>
            <w:tcW w:w="737" w:type="dxa"/>
            <w:vAlign w:val="center"/>
          </w:tcPr>
          <w:p w14:paraId="5E6ADE46" w14:textId="1D77BFDD"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1</w:t>
            </w:r>
            <w:r w:rsidR="00066B61" w:rsidRPr="00CD6A84">
              <w:rPr>
                <w:szCs w:val="24"/>
                <w:lang w:val="en-GB"/>
              </w:rPr>
              <w:t>2</w:t>
            </w:r>
          </w:p>
        </w:tc>
        <w:tc>
          <w:tcPr>
            <w:tcW w:w="737" w:type="dxa"/>
            <w:vAlign w:val="center"/>
          </w:tcPr>
          <w:p w14:paraId="44DE1A44" w14:textId="5347753C"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7</w:t>
            </w:r>
            <w:r w:rsidR="00066B61" w:rsidRPr="00CD6A84">
              <w:rPr>
                <w:szCs w:val="24"/>
                <w:lang w:val="en-GB"/>
              </w:rPr>
              <w:t>9</w:t>
            </w:r>
          </w:p>
        </w:tc>
        <w:tc>
          <w:tcPr>
            <w:tcW w:w="737" w:type="dxa"/>
            <w:vAlign w:val="center"/>
          </w:tcPr>
          <w:p w14:paraId="17A27FB1" w14:textId="6AFF23ED"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2</w:t>
            </w:r>
          </w:p>
        </w:tc>
        <w:tc>
          <w:tcPr>
            <w:tcW w:w="737" w:type="dxa"/>
            <w:vAlign w:val="center"/>
          </w:tcPr>
          <w:p w14:paraId="50096CBC" w14:textId="591222CC"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0</w:t>
            </w:r>
          </w:p>
        </w:tc>
        <w:tc>
          <w:tcPr>
            <w:tcW w:w="737" w:type="dxa"/>
            <w:vAlign w:val="center"/>
          </w:tcPr>
          <w:p w14:paraId="149D546C" w14:textId="27CDD4F0"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2</w:t>
            </w:r>
          </w:p>
        </w:tc>
        <w:tc>
          <w:tcPr>
            <w:tcW w:w="737" w:type="dxa"/>
            <w:vAlign w:val="center"/>
          </w:tcPr>
          <w:p w14:paraId="72BC6AD4" w14:textId="2FB54BB0"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415B3EAD" w14:textId="592579F9"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64804FD5" w14:textId="0DC539E6"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2983882E" w14:textId="624AEA5E"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360C1278" w14:textId="6F0E12BB"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082D638F" w14:textId="09F17012"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50510FE2" w14:textId="22C750DE"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szCs w:val="24"/>
                <w:lang w:val="en-GB"/>
              </w:rPr>
            </w:pPr>
            <w:r w:rsidRPr="00CD6A84">
              <w:rPr>
                <w:b/>
                <w:bCs/>
                <w:szCs w:val="24"/>
                <w:lang w:val="en-GB"/>
              </w:rPr>
              <w:t>11</w:t>
            </w:r>
            <w:r w:rsidR="00066B61" w:rsidRPr="00CD6A84">
              <w:rPr>
                <w:b/>
                <w:bCs/>
                <w:szCs w:val="24"/>
                <w:lang w:val="en-GB"/>
              </w:rPr>
              <w:t>4</w:t>
            </w:r>
          </w:p>
        </w:tc>
      </w:tr>
      <w:tr w:rsidR="00933805" w:rsidRPr="00A33264" w14:paraId="0D0BCE7E" w14:textId="77777777" w:rsidTr="00F23525">
        <w:trPr>
          <w:cantSplit/>
          <w:trHeight w:val="340"/>
        </w:trPr>
        <w:tc>
          <w:tcPr>
            <w:cnfStyle w:val="001000000000" w:firstRow="0" w:lastRow="0" w:firstColumn="1" w:lastColumn="0" w:oddVBand="0" w:evenVBand="0" w:oddHBand="0" w:evenHBand="0" w:firstRowFirstColumn="0" w:firstRowLastColumn="0" w:lastRowFirstColumn="0" w:lastRowLastColumn="0"/>
            <w:tcW w:w="2324" w:type="dxa"/>
          </w:tcPr>
          <w:p w14:paraId="03810BED" w14:textId="77777777" w:rsidR="000B5D1C" w:rsidRPr="00A33264" w:rsidRDefault="000B5D1C" w:rsidP="000B5D1C">
            <w:pPr>
              <w:pStyle w:val="TableBody"/>
              <w:spacing w:before="0" w:after="0"/>
              <w:rPr>
                <w:szCs w:val="24"/>
                <w:lang w:val="en-GB"/>
              </w:rPr>
            </w:pPr>
            <w:r w:rsidRPr="00A33264">
              <w:rPr>
                <w:szCs w:val="24"/>
                <w:lang w:val="en-GB"/>
              </w:rPr>
              <w:t>WA</w:t>
            </w:r>
          </w:p>
        </w:tc>
        <w:tc>
          <w:tcPr>
            <w:tcW w:w="737" w:type="dxa"/>
            <w:vAlign w:val="center"/>
          </w:tcPr>
          <w:p w14:paraId="08B3269E" w14:textId="17D919CD"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5</w:t>
            </w:r>
          </w:p>
        </w:tc>
        <w:tc>
          <w:tcPr>
            <w:tcW w:w="737" w:type="dxa"/>
            <w:vAlign w:val="center"/>
          </w:tcPr>
          <w:p w14:paraId="5BDD329F" w14:textId="7EBF99E5"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0</w:t>
            </w:r>
          </w:p>
        </w:tc>
        <w:tc>
          <w:tcPr>
            <w:tcW w:w="737" w:type="dxa"/>
            <w:vAlign w:val="center"/>
          </w:tcPr>
          <w:p w14:paraId="4FEBD294" w14:textId="177FF0E3"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5</w:t>
            </w:r>
          </w:p>
        </w:tc>
        <w:tc>
          <w:tcPr>
            <w:tcW w:w="737" w:type="dxa"/>
            <w:vAlign w:val="center"/>
          </w:tcPr>
          <w:p w14:paraId="24FA6949" w14:textId="2248F056"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15</w:t>
            </w:r>
          </w:p>
        </w:tc>
        <w:tc>
          <w:tcPr>
            <w:tcW w:w="737" w:type="dxa"/>
            <w:vAlign w:val="center"/>
          </w:tcPr>
          <w:p w14:paraId="35A5D01D" w14:textId="6338CBBC"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1</w:t>
            </w:r>
          </w:p>
        </w:tc>
        <w:tc>
          <w:tcPr>
            <w:tcW w:w="737" w:type="dxa"/>
            <w:vAlign w:val="center"/>
          </w:tcPr>
          <w:p w14:paraId="352DC406" w14:textId="14ECE9DB"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16</w:t>
            </w:r>
          </w:p>
        </w:tc>
        <w:tc>
          <w:tcPr>
            <w:tcW w:w="737" w:type="dxa"/>
            <w:vAlign w:val="center"/>
          </w:tcPr>
          <w:p w14:paraId="37C5EBB4" w14:textId="5FD42204"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0</w:t>
            </w:r>
          </w:p>
        </w:tc>
        <w:tc>
          <w:tcPr>
            <w:tcW w:w="737" w:type="dxa"/>
            <w:vAlign w:val="center"/>
          </w:tcPr>
          <w:p w14:paraId="3EF023D8" w14:textId="6829DAC7"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0</w:t>
            </w:r>
          </w:p>
        </w:tc>
        <w:tc>
          <w:tcPr>
            <w:tcW w:w="737" w:type="dxa"/>
            <w:vAlign w:val="center"/>
          </w:tcPr>
          <w:p w14:paraId="1D9BEBF0" w14:textId="28BAF0A4"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0</w:t>
            </w:r>
          </w:p>
        </w:tc>
        <w:tc>
          <w:tcPr>
            <w:tcW w:w="737" w:type="dxa"/>
            <w:vAlign w:val="center"/>
          </w:tcPr>
          <w:p w14:paraId="01B72132" w14:textId="0E6517D1"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698127D2" w14:textId="574F6605"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1AE18706" w14:textId="1C09B765"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5905B297" w14:textId="3BCD4E8C"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4AA13AA6" w14:textId="4E4B14D2"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2653CC72" w14:textId="316A8C77"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77D6F898" w14:textId="26AE9015"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szCs w:val="24"/>
                <w:lang w:val="en-GB"/>
              </w:rPr>
            </w:pPr>
            <w:r w:rsidRPr="00CD6A84">
              <w:rPr>
                <w:b/>
                <w:bCs/>
                <w:szCs w:val="24"/>
                <w:lang w:val="en-GB"/>
              </w:rPr>
              <w:t>21</w:t>
            </w:r>
          </w:p>
        </w:tc>
      </w:tr>
      <w:tr w:rsidR="00933805" w:rsidRPr="00A33264" w14:paraId="1D474A8D" w14:textId="77777777" w:rsidTr="00F23525">
        <w:trPr>
          <w:cantSplit/>
          <w:trHeight w:val="340"/>
        </w:trPr>
        <w:tc>
          <w:tcPr>
            <w:cnfStyle w:val="001000000000" w:firstRow="0" w:lastRow="0" w:firstColumn="1" w:lastColumn="0" w:oddVBand="0" w:evenVBand="0" w:oddHBand="0" w:evenHBand="0" w:firstRowFirstColumn="0" w:firstRowLastColumn="0" w:lastRowFirstColumn="0" w:lastRowLastColumn="0"/>
            <w:tcW w:w="2324" w:type="dxa"/>
          </w:tcPr>
          <w:p w14:paraId="18FD6136" w14:textId="77777777" w:rsidR="000B5D1C" w:rsidRPr="00A33264" w:rsidRDefault="000B5D1C" w:rsidP="000B5D1C">
            <w:pPr>
              <w:pStyle w:val="TableBody"/>
              <w:spacing w:before="0" w:after="0"/>
              <w:rPr>
                <w:szCs w:val="24"/>
                <w:lang w:val="en-GB"/>
              </w:rPr>
            </w:pPr>
            <w:r w:rsidRPr="00A33264">
              <w:rPr>
                <w:szCs w:val="24"/>
                <w:lang w:val="en-GB"/>
              </w:rPr>
              <w:t>ACT</w:t>
            </w:r>
          </w:p>
        </w:tc>
        <w:tc>
          <w:tcPr>
            <w:tcW w:w="737" w:type="dxa"/>
            <w:vAlign w:val="center"/>
          </w:tcPr>
          <w:p w14:paraId="4B871940" w14:textId="11DA3A91"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3</w:t>
            </w:r>
          </w:p>
        </w:tc>
        <w:tc>
          <w:tcPr>
            <w:tcW w:w="737" w:type="dxa"/>
            <w:vAlign w:val="center"/>
          </w:tcPr>
          <w:p w14:paraId="18E094C7" w14:textId="7C058458"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0</w:t>
            </w:r>
          </w:p>
        </w:tc>
        <w:tc>
          <w:tcPr>
            <w:tcW w:w="737" w:type="dxa"/>
            <w:vAlign w:val="center"/>
          </w:tcPr>
          <w:p w14:paraId="7AB858AD" w14:textId="7AB32298"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3</w:t>
            </w:r>
          </w:p>
        </w:tc>
        <w:tc>
          <w:tcPr>
            <w:tcW w:w="737" w:type="dxa"/>
            <w:vAlign w:val="center"/>
          </w:tcPr>
          <w:p w14:paraId="0D2EE281" w14:textId="45432086"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15</w:t>
            </w:r>
          </w:p>
        </w:tc>
        <w:tc>
          <w:tcPr>
            <w:tcW w:w="737" w:type="dxa"/>
            <w:vAlign w:val="center"/>
          </w:tcPr>
          <w:p w14:paraId="5AB439DD" w14:textId="74786A65" w:rsidR="000B5D1C" w:rsidRPr="00CD6A84" w:rsidRDefault="00066B61"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1</w:t>
            </w:r>
          </w:p>
        </w:tc>
        <w:tc>
          <w:tcPr>
            <w:tcW w:w="737" w:type="dxa"/>
            <w:vAlign w:val="center"/>
          </w:tcPr>
          <w:p w14:paraId="4F1CCCAB" w14:textId="0E358E7B"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1</w:t>
            </w:r>
            <w:r w:rsidR="00066B61" w:rsidRPr="00CD6A84">
              <w:rPr>
                <w:szCs w:val="24"/>
                <w:lang w:val="en-GB"/>
              </w:rPr>
              <w:t>6</w:t>
            </w:r>
          </w:p>
        </w:tc>
        <w:tc>
          <w:tcPr>
            <w:tcW w:w="737" w:type="dxa"/>
            <w:vAlign w:val="center"/>
          </w:tcPr>
          <w:p w14:paraId="1EE49FDA" w14:textId="054FEA2C"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0</w:t>
            </w:r>
          </w:p>
        </w:tc>
        <w:tc>
          <w:tcPr>
            <w:tcW w:w="737" w:type="dxa"/>
            <w:vAlign w:val="center"/>
          </w:tcPr>
          <w:p w14:paraId="43D53EF8" w14:textId="65D743A4"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0</w:t>
            </w:r>
          </w:p>
        </w:tc>
        <w:tc>
          <w:tcPr>
            <w:tcW w:w="737" w:type="dxa"/>
            <w:vAlign w:val="center"/>
          </w:tcPr>
          <w:p w14:paraId="66DD8296" w14:textId="0E4AEA7C"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0</w:t>
            </w:r>
          </w:p>
        </w:tc>
        <w:tc>
          <w:tcPr>
            <w:tcW w:w="737" w:type="dxa"/>
            <w:vAlign w:val="center"/>
          </w:tcPr>
          <w:p w14:paraId="5AE7B42B" w14:textId="5F9B7257"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05F7C33F" w14:textId="697E6DE3"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0D09F167" w14:textId="324A8817"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517EA1A8" w14:textId="7053A009"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020C8E70" w14:textId="532F76A0"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36C12173" w14:textId="5EE6AD9E"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2A2D0C8D" w14:textId="36B5C110"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szCs w:val="24"/>
                <w:lang w:val="en-GB"/>
              </w:rPr>
            </w:pPr>
            <w:r w:rsidRPr="00CD6A84">
              <w:rPr>
                <w:b/>
                <w:bCs/>
                <w:szCs w:val="24"/>
                <w:lang w:val="en-GB"/>
              </w:rPr>
              <w:t>1</w:t>
            </w:r>
            <w:r w:rsidR="00066B61" w:rsidRPr="00CD6A84">
              <w:rPr>
                <w:b/>
                <w:bCs/>
                <w:szCs w:val="24"/>
                <w:lang w:val="en-GB"/>
              </w:rPr>
              <w:t>9</w:t>
            </w:r>
          </w:p>
        </w:tc>
      </w:tr>
      <w:tr w:rsidR="00933805" w:rsidRPr="00A33264" w14:paraId="05CD33E1" w14:textId="77777777" w:rsidTr="00F23525">
        <w:trPr>
          <w:cantSplit/>
          <w:trHeight w:val="340"/>
        </w:trPr>
        <w:tc>
          <w:tcPr>
            <w:cnfStyle w:val="001000000000" w:firstRow="0" w:lastRow="0" w:firstColumn="1" w:lastColumn="0" w:oddVBand="0" w:evenVBand="0" w:oddHBand="0" w:evenHBand="0" w:firstRowFirstColumn="0" w:firstRowLastColumn="0" w:lastRowFirstColumn="0" w:lastRowLastColumn="0"/>
            <w:tcW w:w="2324" w:type="dxa"/>
          </w:tcPr>
          <w:p w14:paraId="5303C815" w14:textId="77777777" w:rsidR="000B5D1C" w:rsidRPr="00A33264" w:rsidRDefault="000B5D1C" w:rsidP="000B5D1C">
            <w:pPr>
              <w:pStyle w:val="TableBody"/>
              <w:spacing w:before="0" w:after="0"/>
              <w:rPr>
                <w:szCs w:val="24"/>
                <w:lang w:val="en-GB"/>
              </w:rPr>
            </w:pPr>
            <w:r w:rsidRPr="00A33264">
              <w:rPr>
                <w:szCs w:val="24"/>
                <w:lang w:val="en-GB"/>
              </w:rPr>
              <w:t>NT</w:t>
            </w:r>
          </w:p>
        </w:tc>
        <w:tc>
          <w:tcPr>
            <w:tcW w:w="737" w:type="dxa"/>
            <w:vAlign w:val="center"/>
          </w:tcPr>
          <w:p w14:paraId="531FA4B2" w14:textId="381AE458"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3</w:t>
            </w:r>
          </w:p>
        </w:tc>
        <w:tc>
          <w:tcPr>
            <w:tcW w:w="737" w:type="dxa"/>
            <w:vAlign w:val="center"/>
          </w:tcPr>
          <w:p w14:paraId="7FFE1D0C" w14:textId="7AB6D0C4"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0</w:t>
            </w:r>
          </w:p>
        </w:tc>
        <w:tc>
          <w:tcPr>
            <w:tcW w:w="737" w:type="dxa"/>
            <w:vAlign w:val="center"/>
          </w:tcPr>
          <w:p w14:paraId="52AD5423" w14:textId="5273F65F"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3</w:t>
            </w:r>
          </w:p>
        </w:tc>
        <w:tc>
          <w:tcPr>
            <w:tcW w:w="737" w:type="dxa"/>
            <w:vAlign w:val="center"/>
          </w:tcPr>
          <w:p w14:paraId="5E81A971" w14:textId="45BF8E6D"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7</w:t>
            </w:r>
          </w:p>
        </w:tc>
        <w:tc>
          <w:tcPr>
            <w:tcW w:w="737" w:type="dxa"/>
            <w:vAlign w:val="center"/>
          </w:tcPr>
          <w:p w14:paraId="2F4E2F04" w14:textId="60C7C55C"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0</w:t>
            </w:r>
          </w:p>
        </w:tc>
        <w:tc>
          <w:tcPr>
            <w:tcW w:w="737" w:type="dxa"/>
            <w:vAlign w:val="center"/>
          </w:tcPr>
          <w:p w14:paraId="656E738F" w14:textId="6AEB4B7D"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7</w:t>
            </w:r>
          </w:p>
        </w:tc>
        <w:tc>
          <w:tcPr>
            <w:tcW w:w="737" w:type="dxa"/>
            <w:vAlign w:val="center"/>
          </w:tcPr>
          <w:p w14:paraId="59541D40" w14:textId="5FBBD7EB"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0</w:t>
            </w:r>
          </w:p>
        </w:tc>
        <w:tc>
          <w:tcPr>
            <w:tcW w:w="737" w:type="dxa"/>
            <w:vAlign w:val="center"/>
          </w:tcPr>
          <w:p w14:paraId="0AF2F419" w14:textId="44574696"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0</w:t>
            </w:r>
          </w:p>
        </w:tc>
        <w:tc>
          <w:tcPr>
            <w:tcW w:w="737" w:type="dxa"/>
            <w:vAlign w:val="center"/>
          </w:tcPr>
          <w:p w14:paraId="258B2060" w14:textId="633BB7C4"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szCs w:val="24"/>
                <w:lang w:val="en-GB"/>
              </w:rPr>
            </w:pPr>
            <w:r w:rsidRPr="00CD6A84">
              <w:rPr>
                <w:szCs w:val="24"/>
                <w:lang w:val="en-GB"/>
              </w:rPr>
              <w:t>0</w:t>
            </w:r>
          </w:p>
        </w:tc>
        <w:tc>
          <w:tcPr>
            <w:tcW w:w="737" w:type="dxa"/>
            <w:vAlign w:val="center"/>
          </w:tcPr>
          <w:p w14:paraId="6565CCAD" w14:textId="529F69E7"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0D6A05D5" w14:textId="48AEA526"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376E6EF5" w14:textId="6F0281A9"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22A377C9" w14:textId="4E352EF3"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74371822" w14:textId="6956F22C"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00A5C073" w14:textId="47957047"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71D4A50F" w14:textId="0505BACA"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szCs w:val="24"/>
                <w:lang w:val="en-GB"/>
              </w:rPr>
            </w:pPr>
            <w:r w:rsidRPr="00CD6A84">
              <w:rPr>
                <w:b/>
                <w:bCs/>
                <w:szCs w:val="24"/>
                <w:lang w:val="en-GB"/>
              </w:rPr>
              <w:t>10</w:t>
            </w:r>
          </w:p>
        </w:tc>
      </w:tr>
      <w:tr w:rsidR="00933805" w:rsidRPr="00A33264" w14:paraId="60AD5E15" w14:textId="77777777" w:rsidTr="00F23525">
        <w:trPr>
          <w:cantSplit/>
          <w:trHeight w:val="340"/>
        </w:trPr>
        <w:tc>
          <w:tcPr>
            <w:cnfStyle w:val="001000000000" w:firstRow="0" w:lastRow="0" w:firstColumn="1" w:lastColumn="0" w:oddVBand="0" w:evenVBand="0" w:oddHBand="0" w:evenHBand="0" w:firstRowFirstColumn="0" w:firstRowLastColumn="0" w:lastRowFirstColumn="0" w:lastRowLastColumn="0"/>
            <w:tcW w:w="2324" w:type="dxa"/>
          </w:tcPr>
          <w:p w14:paraId="2C4BEE52" w14:textId="037A4569" w:rsidR="000B5D1C" w:rsidRPr="00A33264" w:rsidRDefault="000B5D1C" w:rsidP="000B5D1C">
            <w:pPr>
              <w:pStyle w:val="TableBody"/>
              <w:spacing w:before="0" w:after="0"/>
              <w:rPr>
                <w:szCs w:val="24"/>
                <w:lang w:val="en-GB"/>
              </w:rPr>
            </w:pPr>
            <w:r w:rsidRPr="00A33264">
              <w:rPr>
                <w:szCs w:val="24"/>
                <w:lang w:val="en-GB"/>
              </w:rPr>
              <w:t xml:space="preserve">External </w:t>
            </w:r>
            <w:r w:rsidR="004364A0">
              <w:rPr>
                <w:szCs w:val="24"/>
                <w:lang w:val="en-GB"/>
              </w:rPr>
              <w:t>t</w:t>
            </w:r>
            <w:r w:rsidRPr="00A33264">
              <w:rPr>
                <w:szCs w:val="24"/>
                <w:lang w:val="en-GB"/>
              </w:rPr>
              <w:t>erritories</w:t>
            </w:r>
          </w:p>
        </w:tc>
        <w:tc>
          <w:tcPr>
            <w:tcW w:w="737" w:type="dxa"/>
            <w:vAlign w:val="center"/>
          </w:tcPr>
          <w:p w14:paraId="78028060" w14:textId="4B013C05"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1303D2BF" w14:textId="096858B2"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14B8A435" w14:textId="031F6615"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0A804F49" w14:textId="669BD6B1"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776E68AD" w14:textId="038844CF"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61B2A7C9" w14:textId="1DC47106"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1DDBBC70" w14:textId="1430B306"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11D8D62E" w14:textId="2B50975E"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469D4CBF" w14:textId="4DCBAEBD"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1B961168" w14:textId="19FB6E57"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67268A56" w14:textId="5DC4C5BD"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4C95F0FD" w14:textId="60E2BE19"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2F4AFB65" w14:textId="75A3A822"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6A9B113A" w14:textId="22762580"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59F0DF78" w14:textId="298970CD"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08B9F309" w14:textId="18B91F06"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r>
      <w:tr w:rsidR="00933805" w:rsidRPr="00A33264" w14:paraId="01E799D4" w14:textId="77777777" w:rsidTr="00F23525">
        <w:trPr>
          <w:cantSplit/>
          <w:trHeight w:val="340"/>
        </w:trPr>
        <w:tc>
          <w:tcPr>
            <w:cnfStyle w:val="001000000000" w:firstRow="0" w:lastRow="0" w:firstColumn="1" w:lastColumn="0" w:oddVBand="0" w:evenVBand="0" w:oddHBand="0" w:evenHBand="0" w:firstRowFirstColumn="0" w:firstRowLastColumn="0" w:lastRowFirstColumn="0" w:lastRowLastColumn="0"/>
            <w:tcW w:w="2324" w:type="dxa"/>
          </w:tcPr>
          <w:p w14:paraId="75FF4635" w14:textId="77777777" w:rsidR="000B5D1C" w:rsidRPr="00A33264" w:rsidRDefault="000B5D1C" w:rsidP="000B5D1C">
            <w:pPr>
              <w:pStyle w:val="TableBody"/>
              <w:spacing w:before="0" w:after="0"/>
              <w:rPr>
                <w:szCs w:val="24"/>
                <w:lang w:val="en-GB"/>
              </w:rPr>
            </w:pPr>
            <w:r w:rsidRPr="00A33264">
              <w:rPr>
                <w:szCs w:val="24"/>
                <w:lang w:val="en-GB"/>
              </w:rPr>
              <w:t>Overseas</w:t>
            </w:r>
          </w:p>
        </w:tc>
        <w:tc>
          <w:tcPr>
            <w:tcW w:w="737" w:type="dxa"/>
            <w:vAlign w:val="center"/>
          </w:tcPr>
          <w:p w14:paraId="5D3565C0" w14:textId="10E7E5A6"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648D5263" w14:textId="2B61DB30"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1C9E7F6D" w14:textId="642277A8"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078B3BD0" w14:textId="19556337"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03824B6B" w14:textId="7BCC0021"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38940BD5" w14:textId="5C2DF94F"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2296BA8E" w14:textId="6AC22756"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0B7F9AB4" w14:textId="356BEDB4"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395E98F3" w14:textId="088AD59B"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7D1E6689" w14:textId="51314C29"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125081D2" w14:textId="6B43AB37"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35910611" w14:textId="1E0C5385"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17A29D89" w14:textId="59ECD694"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54823EB3" w14:textId="6DF0CD9F"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23AC4021" w14:textId="4A0D2F24"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2225096F" w14:textId="76D664F2"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r>
      <w:tr w:rsidR="00537BC0" w:rsidRPr="00A33264" w14:paraId="18265866" w14:textId="77777777" w:rsidTr="00F23525">
        <w:trPr>
          <w:cantSplit/>
          <w:trHeight w:val="340"/>
        </w:trPr>
        <w:tc>
          <w:tcPr>
            <w:cnfStyle w:val="001000000000" w:firstRow="0" w:lastRow="0" w:firstColumn="1" w:lastColumn="0" w:oddVBand="0" w:evenVBand="0" w:oddHBand="0" w:evenHBand="0" w:firstRowFirstColumn="0" w:firstRowLastColumn="0" w:lastRowFirstColumn="0" w:lastRowLastColumn="0"/>
            <w:tcW w:w="2324" w:type="dxa"/>
          </w:tcPr>
          <w:p w14:paraId="2D051DD4" w14:textId="77777777" w:rsidR="000B5D1C" w:rsidRPr="00A33264" w:rsidRDefault="000B5D1C" w:rsidP="000B5D1C">
            <w:pPr>
              <w:pStyle w:val="TableBody"/>
              <w:spacing w:before="0" w:after="0"/>
              <w:rPr>
                <w:szCs w:val="24"/>
                <w:lang w:val="en-GB"/>
              </w:rPr>
            </w:pPr>
            <w:r w:rsidRPr="00A33264">
              <w:rPr>
                <w:szCs w:val="24"/>
                <w:lang w:val="en-GB"/>
              </w:rPr>
              <w:t>Total</w:t>
            </w:r>
          </w:p>
        </w:tc>
        <w:tc>
          <w:tcPr>
            <w:tcW w:w="737" w:type="dxa"/>
            <w:vAlign w:val="center"/>
          </w:tcPr>
          <w:p w14:paraId="38561041" w14:textId="47DB9007"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szCs w:val="24"/>
                <w:lang w:val="en-GB"/>
              </w:rPr>
            </w:pPr>
            <w:r w:rsidRPr="00CD6A84">
              <w:rPr>
                <w:rFonts w:eastAsia="Times New Roman"/>
                <w:b/>
                <w:bCs/>
                <w:szCs w:val="24"/>
                <w:lang w:val="en-GB" w:eastAsia="en-AU"/>
              </w:rPr>
              <w:t>74</w:t>
            </w:r>
          </w:p>
        </w:tc>
        <w:tc>
          <w:tcPr>
            <w:tcW w:w="737" w:type="dxa"/>
            <w:vAlign w:val="center"/>
          </w:tcPr>
          <w:p w14:paraId="58BA6DF8" w14:textId="4D3142AB"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szCs w:val="24"/>
                <w:lang w:val="en-GB"/>
              </w:rPr>
            </w:pPr>
            <w:r w:rsidRPr="00CD6A84">
              <w:rPr>
                <w:rFonts w:eastAsia="Times New Roman"/>
                <w:b/>
                <w:bCs/>
                <w:szCs w:val="24"/>
                <w:lang w:val="en-GB" w:eastAsia="en-AU"/>
              </w:rPr>
              <w:t>2</w:t>
            </w:r>
          </w:p>
        </w:tc>
        <w:tc>
          <w:tcPr>
            <w:tcW w:w="737" w:type="dxa"/>
            <w:vAlign w:val="center"/>
          </w:tcPr>
          <w:p w14:paraId="0319B391" w14:textId="75D78A10"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szCs w:val="24"/>
                <w:lang w:val="en-GB"/>
              </w:rPr>
            </w:pPr>
            <w:r w:rsidRPr="00CD6A84">
              <w:rPr>
                <w:rFonts w:eastAsia="Times New Roman"/>
                <w:b/>
                <w:bCs/>
                <w:szCs w:val="24"/>
                <w:lang w:val="en-GB" w:eastAsia="en-AU"/>
              </w:rPr>
              <w:t>76</w:t>
            </w:r>
          </w:p>
        </w:tc>
        <w:tc>
          <w:tcPr>
            <w:tcW w:w="737" w:type="dxa"/>
            <w:vAlign w:val="center"/>
          </w:tcPr>
          <w:p w14:paraId="0C0A6771" w14:textId="68D86FE3"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szCs w:val="24"/>
                <w:lang w:val="en-GB"/>
              </w:rPr>
            </w:pPr>
            <w:r w:rsidRPr="00CD6A84">
              <w:rPr>
                <w:rFonts w:eastAsia="Times New Roman"/>
                <w:b/>
                <w:bCs/>
                <w:szCs w:val="24"/>
                <w:lang w:val="en-GB" w:eastAsia="en-AU"/>
              </w:rPr>
              <w:t>198</w:t>
            </w:r>
          </w:p>
        </w:tc>
        <w:tc>
          <w:tcPr>
            <w:tcW w:w="737" w:type="dxa"/>
            <w:vAlign w:val="center"/>
          </w:tcPr>
          <w:p w14:paraId="062F2283" w14:textId="527E0F68"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szCs w:val="24"/>
                <w:lang w:val="en-GB"/>
              </w:rPr>
            </w:pPr>
            <w:r w:rsidRPr="00CD6A84">
              <w:rPr>
                <w:rFonts w:eastAsia="Times New Roman"/>
                <w:b/>
                <w:bCs/>
                <w:szCs w:val="24"/>
                <w:lang w:val="en-GB" w:eastAsia="en-AU"/>
              </w:rPr>
              <w:t>2</w:t>
            </w:r>
            <w:r w:rsidR="00066B61" w:rsidRPr="00CD6A84">
              <w:rPr>
                <w:rFonts w:eastAsia="Times New Roman"/>
                <w:b/>
                <w:bCs/>
                <w:szCs w:val="24"/>
                <w:lang w:val="en-GB" w:eastAsia="en-AU"/>
              </w:rPr>
              <w:t>5</w:t>
            </w:r>
          </w:p>
        </w:tc>
        <w:tc>
          <w:tcPr>
            <w:tcW w:w="737" w:type="dxa"/>
            <w:vAlign w:val="center"/>
          </w:tcPr>
          <w:p w14:paraId="594BB87F" w14:textId="32A10F36"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szCs w:val="24"/>
                <w:lang w:val="en-GB"/>
              </w:rPr>
            </w:pPr>
            <w:r w:rsidRPr="00CD6A84">
              <w:rPr>
                <w:rFonts w:eastAsia="Times New Roman"/>
                <w:b/>
                <w:bCs/>
                <w:szCs w:val="24"/>
                <w:lang w:val="en-GB" w:eastAsia="en-AU"/>
              </w:rPr>
              <w:t>22</w:t>
            </w:r>
            <w:r w:rsidR="00066B61" w:rsidRPr="00CD6A84">
              <w:rPr>
                <w:rFonts w:eastAsia="Times New Roman"/>
                <w:b/>
                <w:bCs/>
                <w:szCs w:val="24"/>
                <w:lang w:val="en-GB" w:eastAsia="en-AU"/>
              </w:rPr>
              <w:t>3</w:t>
            </w:r>
          </w:p>
        </w:tc>
        <w:tc>
          <w:tcPr>
            <w:tcW w:w="737" w:type="dxa"/>
            <w:vAlign w:val="center"/>
          </w:tcPr>
          <w:p w14:paraId="48F1C492" w14:textId="20408C48"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szCs w:val="24"/>
                <w:lang w:val="en-GB"/>
              </w:rPr>
            </w:pPr>
            <w:r w:rsidRPr="00CD6A84">
              <w:rPr>
                <w:rFonts w:eastAsia="Times New Roman"/>
                <w:b/>
                <w:bCs/>
                <w:szCs w:val="24"/>
                <w:lang w:val="en-GB" w:eastAsia="en-AU"/>
              </w:rPr>
              <w:t>3</w:t>
            </w:r>
          </w:p>
        </w:tc>
        <w:tc>
          <w:tcPr>
            <w:tcW w:w="737" w:type="dxa"/>
            <w:vAlign w:val="center"/>
          </w:tcPr>
          <w:p w14:paraId="7E0EDF37" w14:textId="67526159"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szCs w:val="24"/>
                <w:lang w:val="en-GB"/>
              </w:rPr>
            </w:pPr>
            <w:r w:rsidRPr="00CD6A84">
              <w:rPr>
                <w:rFonts w:eastAsia="Times New Roman"/>
                <w:b/>
                <w:bCs/>
                <w:szCs w:val="24"/>
                <w:lang w:val="en-GB" w:eastAsia="en-AU"/>
              </w:rPr>
              <w:t>0</w:t>
            </w:r>
          </w:p>
        </w:tc>
        <w:tc>
          <w:tcPr>
            <w:tcW w:w="737" w:type="dxa"/>
            <w:vAlign w:val="center"/>
          </w:tcPr>
          <w:p w14:paraId="1B963A71" w14:textId="5E6D8034"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szCs w:val="24"/>
                <w:lang w:val="en-GB"/>
              </w:rPr>
            </w:pPr>
            <w:r w:rsidRPr="00CD6A84">
              <w:rPr>
                <w:rFonts w:eastAsia="Times New Roman"/>
                <w:b/>
                <w:bCs/>
                <w:szCs w:val="24"/>
                <w:lang w:val="en-GB" w:eastAsia="en-AU"/>
              </w:rPr>
              <w:t>3</w:t>
            </w:r>
          </w:p>
        </w:tc>
        <w:tc>
          <w:tcPr>
            <w:tcW w:w="737" w:type="dxa"/>
            <w:vAlign w:val="center"/>
          </w:tcPr>
          <w:p w14:paraId="6D4CC575" w14:textId="19EB9532"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3540137D" w14:textId="7DC76D9C"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76387128" w14:textId="66C500B1"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6E5A080F" w14:textId="2EB86C6E"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0EF42375" w14:textId="7424818A"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47010AA8" w14:textId="378A7336" w:rsidR="000B5D1C" w:rsidRPr="00F86FC3" w:rsidRDefault="00CD6A84"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GB"/>
              </w:rPr>
            </w:pPr>
            <w:r w:rsidRPr="00CD6A84">
              <w:rPr>
                <w:szCs w:val="24"/>
                <w:lang w:val="en-GB"/>
              </w:rPr>
              <w:t>0</w:t>
            </w:r>
          </w:p>
        </w:tc>
        <w:tc>
          <w:tcPr>
            <w:tcW w:w="737" w:type="dxa"/>
            <w:vAlign w:val="center"/>
          </w:tcPr>
          <w:p w14:paraId="0E02AFFE" w14:textId="6791A7F7" w:rsidR="000B5D1C" w:rsidRPr="00CD6A84" w:rsidRDefault="000B5D1C" w:rsidP="005A19C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szCs w:val="24"/>
                <w:lang w:val="en-GB"/>
              </w:rPr>
            </w:pPr>
            <w:r w:rsidRPr="00CD6A84">
              <w:rPr>
                <w:rFonts w:eastAsia="Times New Roman"/>
                <w:b/>
                <w:bCs/>
                <w:szCs w:val="24"/>
                <w:lang w:val="en-GB" w:eastAsia="en-AU"/>
              </w:rPr>
              <w:t>30</w:t>
            </w:r>
            <w:r w:rsidR="00066B61" w:rsidRPr="00CD6A84">
              <w:rPr>
                <w:rFonts w:eastAsia="Times New Roman"/>
                <w:b/>
                <w:bCs/>
                <w:szCs w:val="24"/>
                <w:lang w:val="en-GB" w:eastAsia="en-AU"/>
              </w:rPr>
              <w:t>2</w:t>
            </w:r>
          </w:p>
        </w:tc>
      </w:tr>
    </w:tbl>
    <w:p w14:paraId="0842D448" w14:textId="77777777" w:rsidR="00C61B89" w:rsidRPr="00A33264" w:rsidRDefault="00C61B89" w:rsidP="00D7463A">
      <w:pPr>
        <w:rPr>
          <w:lang w:val="en-GB"/>
        </w:rPr>
      </w:pPr>
    </w:p>
    <w:p w14:paraId="53D529CD" w14:textId="77777777" w:rsidR="006B149D" w:rsidRPr="00A33264" w:rsidRDefault="006B149D" w:rsidP="00D7463A">
      <w:pPr>
        <w:pStyle w:val="Heading3"/>
        <w:rPr>
          <w:lang w:val="en-GB"/>
        </w:rPr>
        <w:sectPr w:rsidR="006B149D" w:rsidRPr="00A33264" w:rsidSect="00F23525">
          <w:footerReference w:type="default" r:id="rId86"/>
          <w:headerReference w:type="first" r:id="rId87"/>
          <w:footerReference w:type="first" r:id="rId88"/>
          <w:pgSz w:w="16838" w:h="11906" w:orient="landscape" w:code="9"/>
          <w:pgMar w:top="1361" w:right="1361" w:bottom="1361" w:left="1361" w:header="561" w:footer="374" w:gutter="0"/>
          <w:cols w:space="708"/>
          <w:titlePg/>
          <w:docGrid w:linePitch="360"/>
        </w:sectPr>
      </w:pPr>
      <w:bookmarkStart w:id="359" w:name="_Toc169592995"/>
    </w:p>
    <w:p w14:paraId="269FD1BC" w14:textId="01771CD7" w:rsidR="00D7463A" w:rsidRPr="00A33264" w:rsidRDefault="00D7463A" w:rsidP="00D7463A">
      <w:pPr>
        <w:pStyle w:val="Heading3"/>
        <w:rPr>
          <w:lang w:val="en-GB"/>
        </w:rPr>
      </w:pPr>
      <w:bookmarkStart w:id="360" w:name="_Toc174354210"/>
      <w:bookmarkStart w:id="361" w:name="_Toc175316914"/>
      <w:bookmarkStart w:id="362" w:name="_Toc176786405"/>
      <w:bookmarkStart w:id="363" w:name="_Toc180505687"/>
      <w:r w:rsidRPr="00A33264">
        <w:rPr>
          <w:lang w:val="en-GB"/>
        </w:rPr>
        <w:lastRenderedPageBreak/>
        <w:t>Executive remuneration policy</w:t>
      </w:r>
      <w:bookmarkEnd w:id="359"/>
      <w:bookmarkEnd w:id="360"/>
      <w:bookmarkEnd w:id="361"/>
      <w:bookmarkEnd w:id="362"/>
      <w:bookmarkEnd w:id="363"/>
    </w:p>
    <w:p w14:paraId="5F76DD4F" w14:textId="10543E15" w:rsidR="000175BD" w:rsidRPr="00A33264" w:rsidRDefault="000175BD" w:rsidP="000175BD">
      <w:pPr>
        <w:pStyle w:val="Heading4"/>
        <w:rPr>
          <w:lang w:val="en-GB"/>
        </w:rPr>
      </w:pPr>
      <w:r w:rsidRPr="00A33264">
        <w:rPr>
          <w:lang w:val="en-GB"/>
        </w:rPr>
        <w:t>Executive remuneration</w:t>
      </w:r>
    </w:p>
    <w:p w14:paraId="4F774777" w14:textId="6588D4D3" w:rsidR="000175BD" w:rsidRPr="00A33264" w:rsidRDefault="008662F5" w:rsidP="000175BD">
      <w:pPr>
        <w:rPr>
          <w:lang w:val="en-GB"/>
        </w:rPr>
      </w:pPr>
      <w:r w:rsidRPr="00A33264">
        <w:rPr>
          <w:lang w:val="en-GB"/>
        </w:rPr>
        <w:t>T</w:t>
      </w:r>
      <w:r w:rsidR="00A41EB0" w:rsidRPr="00A33264">
        <w:rPr>
          <w:lang w:val="en-GB"/>
        </w:rPr>
        <w:t xml:space="preserve">his section </w:t>
      </w:r>
      <w:r w:rsidRPr="00A33264">
        <w:rPr>
          <w:lang w:val="en-GB"/>
        </w:rPr>
        <w:t>outlines</w:t>
      </w:r>
      <w:r w:rsidR="00A41EB0" w:rsidRPr="00A33264">
        <w:rPr>
          <w:lang w:val="en-GB"/>
        </w:rPr>
        <w:t xml:space="preserve"> the NDIA’s remuneration practices, as well as the remuneration paid to the NDIA’s key management personnel, senior executives and other highly paid staff for the year ended 30 June 2024, in accordance with the PGPA Rule.</w:t>
      </w:r>
    </w:p>
    <w:p w14:paraId="110A33F0" w14:textId="761F88B7" w:rsidR="000175BD" w:rsidRPr="00A33264" w:rsidRDefault="000175BD" w:rsidP="000175BD">
      <w:pPr>
        <w:pStyle w:val="Heading4"/>
        <w:rPr>
          <w:lang w:val="en-GB"/>
        </w:rPr>
      </w:pPr>
      <w:r w:rsidRPr="00A33264">
        <w:rPr>
          <w:lang w:val="en-GB"/>
        </w:rPr>
        <w:t>Remuneration policies, practices and governance arrangements</w:t>
      </w:r>
    </w:p>
    <w:p w14:paraId="54043162" w14:textId="04C589C4" w:rsidR="00394EC2" w:rsidRPr="00A33264" w:rsidRDefault="00394EC2" w:rsidP="00394EC2">
      <w:pPr>
        <w:rPr>
          <w:lang w:val="en-GB"/>
        </w:rPr>
      </w:pPr>
      <w:bookmarkStart w:id="364" w:name="_Hlk174618843"/>
      <w:r w:rsidRPr="00A33264">
        <w:rPr>
          <w:lang w:val="en-GB"/>
        </w:rPr>
        <w:t xml:space="preserve">The Chair and members of the Board are remunerated as per the </w:t>
      </w:r>
      <w:r w:rsidRPr="00F86FC3">
        <w:rPr>
          <w:lang w:val="en-GB"/>
        </w:rPr>
        <w:t>Remuneration Tribunal (Remuneration and Allowances for Holders of Part-time Public Office) Determination (No. 2) 2023</w:t>
      </w:r>
      <w:r w:rsidRPr="00A33264">
        <w:rPr>
          <w:lang w:val="en-GB"/>
        </w:rPr>
        <w:t xml:space="preserve"> made under subsections 7(3) and (4) of the </w:t>
      </w:r>
      <w:r w:rsidRPr="00A33264">
        <w:rPr>
          <w:i/>
          <w:iCs/>
          <w:lang w:val="en-GB"/>
        </w:rPr>
        <w:t>Remuneration Tribunal Act 1973</w:t>
      </w:r>
      <w:r w:rsidR="004364A0">
        <w:rPr>
          <w:lang w:val="en-GB"/>
        </w:rPr>
        <w:t xml:space="preserve"> (Cth).</w:t>
      </w:r>
    </w:p>
    <w:p w14:paraId="315B4143" w14:textId="617F354F" w:rsidR="00394EC2" w:rsidRPr="00A33264" w:rsidRDefault="00394EC2" w:rsidP="00394EC2">
      <w:pPr>
        <w:rPr>
          <w:lang w:val="en-GB"/>
        </w:rPr>
      </w:pPr>
      <w:r w:rsidRPr="00A33264">
        <w:rPr>
          <w:lang w:val="en-GB"/>
        </w:rPr>
        <w:t xml:space="preserve">The CEO of the NDIA is remunerated as per the </w:t>
      </w:r>
      <w:r w:rsidRPr="00F86FC3">
        <w:rPr>
          <w:lang w:val="en-GB"/>
        </w:rPr>
        <w:t>Remuneration Tribunal (Remuneration and Allowances for Holders of Full-time Public Office) Determination (No. 2) 2023</w:t>
      </w:r>
      <w:r w:rsidRPr="00591C73">
        <w:rPr>
          <w:lang w:val="en-GB"/>
        </w:rPr>
        <w:t xml:space="preserve"> </w:t>
      </w:r>
      <w:r w:rsidRPr="00A33264">
        <w:rPr>
          <w:lang w:val="en-GB"/>
        </w:rPr>
        <w:t xml:space="preserve">made under subsections 7(3) and (4) of the </w:t>
      </w:r>
      <w:r w:rsidRPr="00A33264">
        <w:rPr>
          <w:i/>
          <w:iCs/>
          <w:lang w:val="en-GB"/>
        </w:rPr>
        <w:t>Remuneration Tribunal Act 1973</w:t>
      </w:r>
      <w:r w:rsidR="004364A0">
        <w:rPr>
          <w:i/>
          <w:iCs/>
          <w:lang w:val="en-GB"/>
        </w:rPr>
        <w:t xml:space="preserve"> </w:t>
      </w:r>
      <w:r w:rsidR="004364A0">
        <w:rPr>
          <w:lang w:val="en-GB"/>
        </w:rPr>
        <w:t>(Cth)</w:t>
      </w:r>
      <w:r w:rsidRPr="00A33264">
        <w:rPr>
          <w:lang w:val="en-GB"/>
        </w:rPr>
        <w:t>.</w:t>
      </w:r>
    </w:p>
    <w:bookmarkEnd w:id="364"/>
    <w:p w14:paraId="1336A4DB" w14:textId="21413CC1" w:rsidR="000175BD" w:rsidRPr="00A33264" w:rsidRDefault="00A41EB0" w:rsidP="00394EC2">
      <w:pPr>
        <w:rPr>
          <w:lang w:val="en-GB"/>
        </w:rPr>
      </w:pPr>
      <w:r w:rsidRPr="00A33264">
        <w:rPr>
          <w:lang w:val="en-GB"/>
        </w:rPr>
        <w:t xml:space="preserve">Other highly paid staff within the NDIA, excluding </w:t>
      </w:r>
      <w:r w:rsidR="00591C73">
        <w:rPr>
          <w:lang w:val="en-GB"/>
        </w:rPr>
        <w:t>SES</w:t>
      </w:r>
      <w:r w:rsidRPr="00A33264">
        <w:rPr>
          <w:lang w:val="en-GB"/>
        </w:rPr>
        <w:t xml:space="preserve"> employees, are remunerated in line with the NDIA Enterprise Agreement 2024</w:t>
      </w:r>
      <w:r w:rsidR="008662F5" w:rsidRPr="00A33264">
        <w:rPr>
          <w:lang w:val="en-GB"/>
        </w:rPr>
        <w:t>–</w:t>
      </w:r>
      <w:r w:rsidRPr="00A33264">
        <w:rPr>
          <w:lang w:val="en-GB"/>
        </w:rPr>
        <w:t>27</w:t>
      </w:r>
      <w:r w:rsidR="008662F5" w:rsidRPr="00A33264">
        <w:rPr>
          <w:lang w:val="en-GB"/>
        </w:rPr>
        <w:t>.</w:t>
      </w:r>
      <w:r w:rsidRPr="00A33264">
        <w:rPr>
          <w:lang w:val="en-GB"/>
        </w:rPr>
        <w:t xml:space="preserve"> This may include payment of a </w:t>
      </w:r>
      <w:r w:rsidR="008662F5" w:rsidRPr="00A33264">
        <w:rPr>
          <w:lang w:val="en-GB"/>
        </w:rPr>
        <w:t>h</w:t>
      </w:r>
      <w:r w:rsidRPr="00A33264">
        <w:rPr>
          <w:lang w:val="en-GB"/>
        </w:rPr>
        <w:t xml:space="preserve">igher </w:t>
      </w:r>
      <w:r w:rsidR="008662F5" w:rsidRPr="00A33264">
        <w:rPr>
          <w:lang w:val="en-GB"/>
        </w:rPr>
        <w:t>d</w:t>
      </w:r>
      <w:r w:rsidRPr="00A33264">
        <w:rPr>
          <w:lang w:val="en-GB"/>
        </w:rPr>
        <w:t xml:space="preserve">uties </w:t>
      </w:r>
      <w:r w:rsidR="008662F5" w:rsidRPr="00A33264">
        <w:rPr>
          <w:lang w:val="en-GB"/>
        </w:rPr>
        <w:t>a</w:t>
      </w:r>
      <w:r w:rsidRPr="00A33264">
        <w:rPr>
          <w:lang w:val="en-GB"/>
        </w:rPr>
        <w:t>llowance as a result of an employee performing higher duties or an individual flexibility arrangement. Remuneration-related policies that underpin the NDIA Enterprise Agreement 2024</w:t>
      </w:r>
      <w:r w:rsidR="008662F5" w:rsidRPr="00A33264">
        <w:rPr>
          <w:lang w:val="en-GB"/>
        </w:rPr>
        <w:t>–</w:t>
      </w:r>
      <w:r w:rsidRPr="00A33264">
        <w:rPr>
          <w:lang w:val="en-GB"/>
        </w:rPr>
        <w:t>27 include the Remuneration Policy and the Allowances and Reimbursement Policy.</w:t>
      </w:r>
    </w:p>
    <w:p w14:paraId="1540438C" w14:textId="3B0DD074" w:rsidR="001F01E7" w:rsidRPr="00A33264" w:rsidRDefault="001F01E7" w:rsidP="001F01E7">
      <w:pPr>
        <w:rPr>
          <w:lang w:val="en-GB"/>
        </w:rPr>
      </w:pPr>
      <w:r w:rsidRPr="00A33264">
        <w:rPr>
          <w:lang w:val="en-GB"/>
        </w:rPr>
        <w:t xml:space="preserve">NDIA SES employees are offered a remuneration and employment conditions package through an individual determination under the </w:t>
      </w:r>
      <w:r w:rsidRPr="00A33264">
        <w:rPr>
          <w:i/>
          <w:iCs/>
          <w:lang w:val="en-GB"/>
        </w:rPr>
        <w:t>Public Service Act 1999</w:t>
      </w:r>
      <w:r w:rsidRPr="00A33264">
        <w:rPr>
          <w:lang w:val="en-GB"/>
        </w:rPr>
        <w:t xml:space="preserve"> </w:t>
      </w:r>
      <w:r w:rsidR="004364A0">
        <w:rPr>
          <w:lang w:val="en-GB"/>
        </w:rPr>
        <w:t xml:space="preserve">(Cth) </w:t>
      </w:r>
      <w:r w:rsidRPr="00A33264">
        <w:rPr>
          <w:lang w:val="en-GB"/>
        </w:rPr>
        <w:t xml:space="preserve">(section 24.1). Packages follow the principles outlined in the NDIA’s Remuneration Policy and comply with the requirements of the Executive Remuneration Management Policy issued by the Australian Public Service Commission, including specific approval by the </w:t>
      </w:r>
      <w:r w:rsidR="004B676D" w:rsidRPr="00A33264">
        <w:rPr>
          <w:lang w:val="en-GB"/>
        </w:rPr>
        <w:t xml:space="preserve">Australian </w:t>
      </w:r>
      <w:r w:rsidRPr="00A33264">
        <w:rPr>
          <w:lang w:val="en-GB"/>
        </w:rPr>
        <w:t>Public Service Commissioner if required.</w:t>
      </w:r>
    </w:p>
    <w:p w14:paraId="6FCDA957" w14:textId="6A288A5E" w:rsidR="001F01E7" w:rsidRPr="00A33264" w:rsidRDefault="001F01E7" w:rsidP="001F01E7">
      <w:pPr>
        <w:rPr>
          <w:lang w:val="en-GB"/>
        </w:rPr>
      </w:pPr>
      <w:r w:rsidRPr="00A33264">
        <w:rPr>
          <w:lang w:val="en-GB"/>
        </w:rPr>
        <w:t>For the purpose of executive remuneration reporting, the scope includes salary and superannuation, as well as any additional allowances, salary payments and/or other remuneration benefits for key management personnel and other highly paid staff.</w:t>
      </w:r>
    </w:p>
    <w:p w14:paraId="687BD712" w14:textId="77777777" w:rsidR="00E70ACE" w:rsidRPr="00A33264" w:rsidRDefault="00E70ACE" w:rsidP="00255A26">
      <w:pPr>
        <w:pStyle w:val="Heading3"/>
        <w:rPr>
          <w:lang w:val="en-GB"/>
        </w:rPr>
        <w:sectPr w:rsidR="00E70ACE" w:rsidRPr="00A33264" w:rsidSect="00F23525">
          <w:footerReference w:type="default" r:id="rId89"/>
          <w:headerReference w:type="first" r:id="rId90"/>
          <w:footerReference w:type="first" r:id="rId91"/>
          <w:pgSz w:w="11906" w:h="16838" w:code="9"/>
          <w:pgMar w:top="1361" w:right="1361" w:bottom="1361" w:left="1361" w:header="561" w:footer="374" w:gutter="0"/>
          <w:cols w:space="708"/>
          <w:titlePg/>
          <w:docGrid w:linePitch="360"/>
        </w:sectPr>
      </w:pPr>
      <w:bookmarkStart w:id="365" w:name="_Toc169592996"/>
      <w:bookmarkStart w:id="366" w:name="_Toc174354211"/>
    </w:p>
    <w:p w14:paraId="1E42AF6B" w14:textId="6E19E751" w:rsidR="00D7463A" w:rsidRPr="00A33264" w:rsidRDefault="00255A26" w:rsidP="00255A26">
      <w:pPr>
        <w:pStyle w:val="Heading3"/>
        <w:rPr>
          <w:lang w:val="en-GB"/>
        </w:rPr>
      </w:pPr>
      <w:bookmarkStart w:id="367" w:name="_Toc175316915"/>
      <w:bookmarkStart w:id="368" w:name="_Toc176786406"/>
      <w:bookmarkStart w:id="369" w:name="_Toc180505688"/>
      <w:r w:rsidRPr="00A33264">
        <w:rPr>
          <w:lang w:val="en-GB"/>
        </w:rPr>
        <w:lastRenderedPageBreak/>
        <w:t>Executive remuneration</w:t>
      </w:r>
      <w:bookmarkEnd w:id="365"/>
      <w:bookmarkEnd w:id="366"/>
      <w:bookmarkEnd w:id="367"/>
      <w:bookmarkEnd w:id="368"/>
      <w:bookmarkEnd w:id="369"/>
    </w:p>
    <w:p w14:paraId="69F56259" w14:textId="58526A13" w:rsidR="00255A26" w:rsidRPr="00A33264" w:rsidRDefault="00255A26" w:rsidP="00255A26">
      <w:pPr>
        <w:pStyle w:val="Heading4"/>
        <w:rPr>
          <w:lang w:val="en-GB"/>
        </w:rPr>
      </w:pPr>
      <w:bookmarkStart w:id="370" w:name="_Toc169592997"/>
      <w:r w:rsidRPr="00A33264">
        <w:rPr>
          <w:lang w:val="en-GB"/>
        </w:rPr>
        <w:t>Key management personnel</w:t>
      </w:r>
      <w:bookmarkEnd w:id="370"/>
    </w:p>
    <w:p w14:paraId="7EA5D132" w14:textId="5EC4727B" w:rsidR="001651D3" w:rsidRPr="00A33264" w:rsidRDefault="001651D3" w:rsidP="001651D3">
      <w:pPr>
        <w:rPr>
          <w:lang w:val="en-GB"/>
        </w:rPr>
      </w:pPr>
      <w:r w:rsidRPr="00A33264">
        <w:rPr>
          <w:lang w:val="en-GB"/>
        </w:rPr>
        <w:t xml:space="preserve">During the reporting period ended 30 June 2024, the </w:t>
      </w:r>
      <w:r w:rsidR="00591C73">
        <w:rPr>
          <w:lang w:val="en-GB"/>
        </w:rPr>
        <w:t>NDIA</w:t>
      </w:r>
      <w:r w:rsidR="00591C73" w:rsidRPr="00A33264">
        <w:rPr>
          <w:lang w:val="en-GB"/>
        </w:rPr>
        <w:t xml:space="preserve"> </w:t>
      </w:r>
      <w:r w:rsidRPr="00A33264">
        <w:rPr>
          <w:lang w:val="en-GB"/>
        </w:rPr>
        <w:t>had 21 Board members and executives who met the definition of key management personnel (KMP). Their names and length</w:t>
      </w:r>
      <w:r w:rsidR="00591C73">
        <w:rPr>
          <w:lang w:val="en-GB"/>
        </w:rPr>
        <w:t>s</w:t>
      </w:r>
      <w:r w:rsidRPr="00A33264">
        <w:rPr>
          <w:lang w:val="en-GB"/>
        </w:rPr>
        <w:t xml:space="preserve"> of term as KMP are provided in </w:t>
      </w:r>
      <w:r w:rsidR="00591C73">
        <w:rPr>
          <w:lang w:val="en-GB"/>
        </w:rPr>
        <w:t>T</w:t>
      </w:r>
      <w:r w:rsidRPr="00A33264">
        <w:rPr>
          <w:lang w:val="en-GB"/>
        </w:rPr>
        <w:t xml:space="preserve">able </w:t>
      </w:r>
      <w:r w:rsidR="00A27A9C">
        <w:rPr>
          <w:lang w:val="en-GB"/>
        </w:rPr>
        <w:t>10</w:t>
      </w:r>
      <w:r w:rsidRPr="00A33264">
        <w:rPr>
          <w:lang w:val="en-GB"/>
        </w:rPr>
        <w:t>.</w:t>
      </w:r>
    </w:p>
    <w:p w14:paraId="1626057D" w14:textId="3168C5A1" w:rsidR="00255A26" w:rsidRPr="00A33264" w:rsidRDefault="008A1E8E" w:rsidP="00255A26">
      <w:pPr>
        <w:rPr>
          <w:u w:val="single"/>
          <w:lang w:val="en-GB"/>
        </w:rPr>
      </w:pPr>
      <w:r w:rsidRPr="00A33264">
        <w:rPr>
          <w:u w:val="single"/>
          <w:lang w:val="en-GB"/>
        </w:rPr>
        <w:t xml:space="preserve">Table </w:t>
      </w:r>
      <w:r w:rsidR="00A27A9C">
        <w:rPr>
          <w:u w:val="single"/>
          <w:lang w:val="en-GB"/>
        </w:rPr>
        <w:t>10</w:t>
      </w:r>
      <w:r w:rsidRPr="00A33264">
        <w:rPr>
          <w:u w:val="single"/>
          <w:lang w:val="en-GB"/>
        </w:rPr>
        <w:t>: Key management personnel</w:t>
      </w:r>
    </w:p>
    <w:tbl>
      <w:tblPr>
        <w:tblStyle w:val="GridTable4"/>
        <w:tblW w:w="9015" w:type="dxa"/>
        <w:tblCellMar>
          <w:top w:w="28" w:type="dxa"/>
          <w:left w:w="28" w:type="dxa"/>
          <w:bottom w:w="28" w:type="dxa"/>
          <w:right w:w="28" w:type="dxa"/>
        </w:tblCellMar>
        <w:tblLook w:val="0420" w:firstRow="1" w:lastRow="0" w:firstColumn="0" w:lastColumn="0" w:noHBand="0" w:noVBand="1"/>
      </w:tblPr>
      <w:tblGrid>
        <w:gridCol w:w="3397"/>
        <w:gridCol w:w="3119"/>
        <w:gridCol w:w="2499"/>
      </w:tblGrid>
      <w:tr w:rsidR="001651D3" w:rsidRPr="007A4A42" w14:paraId="3BAC6849" w14:textId="77777777" w:rsidTr="001C0A6D">
        <w:trPr>
          <w:cnfStyle w:val="100000000000" w:firstRow="1" w:lastRow="0" w:firstColumn="0" w:lastColumn="0" w:oddVBand="0" w:evenVBand="0" w:oddHBand="0" w:evenHBand="0" w:firstRowFirstColumn="0" w:firstRowLastColumn="0" w:lastRowFirstColumn="0" w:lastRowLastColumn="0"/>
          <w:cantSplit/>
        </w:trPr>
        <w:tc>
          <w:tcPr>
            <w:tcW w:w="3397" w:type="dxa"/>
            <w:tcBorders>
              <w:top w:val="single" w:sz="4" w:space="0" w:color="6B2876" w:themeColor="text1"/>
              <w:bottom w:val="single" w:sz="4" w:space="0" w:color="6B2876" w:themeColor="text1"/>
            </w:tcBorders>
            <w:vAlign w:val="center"/>
          </w:tcPr>
          <w:p w14:paraId="33D8F990" w14:textId="2320F265" w:rsidR="001651D3" w:rsidRPr="007A4A42" w:rsidRDefault="001651D3">
            <w:pPr>
              <w:pStyle w:val="TableBody"/>
              <w:rPr>
                <w:szCs w:val="24"/>
                <w:lang w:val="en-GB"/>
              </w:rPr>
            </w:pPr>
            <w:bookmarkStart w:id="371" w:name="ColumnTitle_Table10"/>
            <w:bookmarkEnd w:id="371"/>
            <w:r w:rsidRPr="007A4A42">
              <w:rPr>
                <w:szCs w:val="24"/>
                <w:lang w:val="en-GB"/>
              </w:rPr>
              <w:t>Name</w:t>
            </w:r>
          </w:p>
        </w:tc>
        <w:tc>
          <w:tcPr>
            <w:tcW w:w="3119" w:type="dxa"/>
            <w:tcBorders>
              <w:top w:val="single" w:sz="4" w:space="0" w:color="6B2876" w:themeColor="text1"/>
              <w:bottom w:val="single" w:sz="4" w:space="0" w:color="6B2876" w:themeColor="text1"/>
            </w:tcBorders>
          </w:tcPr>
          <w:p w14:paraId="2D0B7960" w14:textId="70F2F8C5" w:rsidR="001651D3" w:rsidRPr="007A4A42" w:rsidRDefault="001651D3">
            <w:pPr>
              <w:pStyle w:val="TableBody"/>
              <w:rPr>
                <w:szCs w:val="24"/>
                <w:lang w:val="en-GB"/>
              </w:rPr>
            </w:pPr>
            <w:r w:rsidRPr="007A4A42">
              <w:rPr>
                <w:szCs w:val="24"/>
                <w:lang w:val="en-GB"/>
              </w:rPr>
              <w:t>Position</w:t>
            </w:r>
          </w:p>
        </w:tc>
        <w:tc>
          <w:tcPr>
            <w:tcW w:w="2499" w:type="dxa"/>
            <w:tcBorders>
              <w:top w:val="single" w:sz="4" w:space="0" w:color="6B2876" w:themeColor="text1"/>
              <w:bottom w:val="single" w:sz="4" w:space="0" w:color="6B2876" w:themeColor="text1"/>
            </w:tcBorders>
          </w:tcPr>
          <w:p w14:paraId="25EACC4D" w14:textId="2FB63D99" w:rsidR="001651D3" w:rsidRPr="007A4A42" w:rsidRDefault="001651D3">
            <w:pPr>
              <w:pStyle w:val="TableBody"/>
              <w:rPr>
                <w:szCs w:val="24"/>
                <w:lang w:val="en-GB"/>
              </w:rPr>
            </w:pPr>
            <w:r w:rsidRPr="007A4A42">
              <w:rPr>
                <w:szCs w:val="24"/>
                <w:lang w:val="en-GB"/>
              </w:rPr>
              <w:t>Term as KMP</w:t>
            </w:r>
          </w:p>
        </w:tc>
      </w:tr>
      <w:tr w:rsidR="007A4A42" w:rsidRPr="007A4A42" w14:paraId="513BDAFE" w14:textId="77777777" w:rsidTr="001C0A6D">
        <w:trPr>
          <w:cnfStyle w:val="000000100000" w:firstRow="0" w:lastRow="0" w:firstColumn="0" w:lastColumn="0" w:oddVBand="0" w:evenVBand="0" w:oddHBand="1" w:evenHBand="0" w:firstRowFirstColumn="0" w:firstRowLastColumn="0" w:lastRowFirstColumn="0" w:lastRowLastColumn="0"/>
          <w:cantSplit/>
        </w:trPr>
        <w:tc>
          <w:tcPr>
            <w:tcW w:w="3397" w:type="dxa"/>
          </w:tcPr>
          <w:p w14:paraId="602988D7" w14:textId="73E3967F" w:rsidR="007A4A42" w:rsidRPr="007A4A42" w:rsidRDefault="007A4A42" w:rsidP="007A4A42">
            <w:pPr>
              <w:pStyle w:val="TableBody"/>
              <w:spacing w:before="120" w:after="120"/>
              <w:rPr>
                <w:szCs w:val="24"/>
                <w:lang w:val="en-GB"/>
              </w:rPr>
            </w:pPr>
            <w:r w:rsidRPr="003131F3">
              <w:rPr>
                <w:szCs w:val="24"/>
              </w:rPr>
              <w:t>Ms Meredith Allan</w:t>
            </w:r>
          </w:p>
        </w:tc>
        <w:tc>
          <w:tcPr>
            <w:tcW w:w="3119" w:type="dxa"/>
          </w:tcPr>
          <w:p w14:paraId="1B4F1689" w14:textId="76E48720" w:rsidR="007A4A42" w:rsidRPr="007A4A42" w:rsidRDefault="007A4A42" w:rsidP="007A4A42">
            <w:pPr>
              <w:pStyle w:val="TableBody"/>
              <w:spacing w:before="120" w:after="120"/>
              <w:rPr>
                <w:szCs w:val="24"/>
                <w:lang w:val="en-GB"/>
              </w:rPr>
            </w:pPr>
            <w:r w:rsidRPr="003131F3">
              <w:rPr>
                <w:szCs w:val="24"/>
              </w:rPr>
              <w:t xml:space="preserve">Board </w:t>
            </w:r>
            <w:r w:rsidR="008016B0">
              <w:rPr>
                <w:szCs w:val="24"/>
              </w:rPr>
              <w:t>m</w:t>
            </w:r>
            <w:r w:rsidRPr="003131F3">
              <w:rPr>
                <w:szCs w:val="24"/>
              </w:rPr>
              <w:t>ember</w:t>
            </w:r>
          </w:p>
        </w:tc>
        <w:tc>
          <w:tcPr>
            <w:tcW w:w="2499" w:type="dxa"/>
          </w:tcPr>
          <w:p w14:paraId="34739585" w14:textId="234795C5" w:rsidR="007A4A42" w:rsidRPr="007A4A42" w:rsidRDefault="007A4A42" w:rsidP="007A4A42">
            <w:pPr>
              <w:pStyle w:val="TableBody"/>
              <w:spacing w:before="120" w:after="120"/>
              <w:rPr>
                <w:szCs w:val="24"/>
                <w:lang w:val="en-GB"/>
              </w:rPr>
            </w:pPr>
            <w:r w:rsidRPr="003131F3">
              <w:rPr>
                <w:szCs w:val="24"/>
              </w:rPr>
              <w:t>Full year</w:t>
            </w:r>
          </w:p>
        </w:tc>
      </w:tr>
      <w:tr w:rsidR="007A4A42" w:rsidRPr="007A4A42" w14:paraId="5720D30F" w14:textId="77777777" w:rsidTr="001C0A6D">
        <w:trPr>
          <w:cantSplit/>
        </w:trPr>
        <w:tc>
          <w:tcPr>
            <w:tcW w:w="3397" w:type="dxa"/>
          </w:tcPr>
          <w:p w14:paraId="004D2DA6" w14:textId="0C496CA1" w:rsidR="007A4A42" w:rsidRPr="007A4A42" w:rsidRDefault="007A4A42" w:rsidP="007A4A42">
            <w:pPr>
              <w:pStyle w:val="TableBody"/>
              <w:spacing w:before="120" w:after="120"/>
              <w:rPr>
                <w:szCs w:val="24"/>
                <w:lang w:val="en-GB"/>
              </w:rPr>
            </w:pPr>
            <w:r w:rsidRPr="003131F3">
              <w:rPr>
                <w:szCs w:val="24"/>
              </w:rPr>
              <w:t xml:space="preserve">Mr John Dardaneliotis </w:t>
            </w:r>
          </w:p>
        </w:tc>
        <w:tc>
          <w:tcPr>
            <w:tcW w:w="3119" w:type="dxa"/>
          </w:tcPr>
          <w:p w14:paraId="25CA9A55" w14:textId="77D90998" w:rsidR="007A4A42" w:rsidRPr="007A4A42" w:rsidRDefault="007A4A42" w:rsidP="007A4A42">
            <w:pPr>
              <w:pStyle w:val="TableBody"/>
              <w:spacing w:before="120" w:after="120"/>
              <w:rPr>
                <w:szCs w:val="24"/>
                <w:lang w:val="en-GB"/>
              </w:rPr>
            </w:pPr>
            <w:r w:rsidRPr="003131F3">
              <w:rPr>
                <w:szCs w:val="24"/>
              </w:rPr>
              <w:t>Deputy CEO Integrity Transformation and Fraud Fusion Taskforce</w:t>
            </w:r>
          </w:p>
        </w:tc>
        <w:tc>
          <w:tcPr>
            <w:tcW w:w="2499" w:type="dxa"/>
          </w:tcPr>
          <w:p w14:paraId="2BDCF7F2" w14:textId="5C51F365" w:rsidR="007A4A42" w:rsidRPr="007A4A42" w:rsidRDefault="007A4A42" w:rsidP="007A4A42">
            <w:pPr>
              <w:pStyle w:val="TableBody"/>
              <w:spacing w:before="120" w:after="120"/>
              <w:rPr>
                <w:szCs w:val="24"/>
                <w:lang w:val="en-GB"/>
              </w:rPr>
            </w:pPr>
            <w:r w:rsidRPr="003131F3">
              <w:rPr>
                <w:szCs w:val="24"/>
              </w:rPr>
              <w:t>Full year</w:t>
            </w:r>
          </w:p>
        </w:tc>
      </w:tr>
      <w:tr w:rsidR="007A4A42" w:rsidRPr="007A4A42" w14:paraId="2062DAF8" w14:textId="77777777" w:rsidTr="001C0A6D">
        <w:trPr>
          <w:cnfStyle w:val="000000100000" w:firstRow="0" w:lastRow="0" w:firstColumn="0" w:lastColumn="0" w:oddVBand="0" w:evenVBand="0" w:oddHBand="1" w:evenHBand="0" w:firstRowFirstColumn="0" w:firstRowLastColumn="0" w:lastRowFirstColumn="0" w:lastRowLastColumn="0"/>
          <w:cantSplit/>
        </w:trPr>
        <w:tc>
          <w:tcPr>
            <w:tcW w:w="3397" w:type="dxa"/>
          </w:tcPr>
          <w:p w14:paraId="214DCE01" w14:textId="4EF3482D" w:rsidR="007A4A42" w:rsidRPr="007A4A42" w:rsidRDefault="007A4A42" w:rsidP="007A4A42">
            <w:pPr>
              <w:pStyle w:val="TableBody"/>
              <w:spacing w:before="120" w:after="120"/>
              <w:rPr>
                <w:szCs w:val="24"/>
                <w:lang w:val="en-GB"/>
              </w:rPr>
            </w:pPr>
            <w:r w:rsidRPr="003131F3">
              <w:rPr>
                <w:szCs w:val="24"/>
              </w:rPr>
              <w:t>Mr Asimakis (Mark) Darras</w:t>
            </w:r>
          </w:p>
        </w:tc>
        <w:tc>
          <w:tcPr>
            <w:tcW w:w="3119" w:type="dxa"/>
          </w:tcPr>
          <w:p w14:paraId="63D35FA7" w14:textId="20148C37" w:rsidR="007A4A42" w:rsidRPr="007A4A42" w:rsidRDefault="007A4A42" w:rsidP="007A4A42">
            <w:pPr>
              <w:spacing w:after="120"/>
              <w:rPr>
                <w:rFonts w:cs="Arial"/>
                <w:lang w:val="en-GB"/>
              </w:rPr>
            </w:pPr>
            <w:r w:rsidRPr="003131F3">
              <w:rPr>
                <w:rFonts w:cs="Arial"/>
              </w:rPr>
              <w:t xml:space="preserve">Board </w:t>
            </w:r>
            <w:r w:rsidR="00CC4A4F">
              <w:rPr>
                <w:rFonts w:cs="Arial"/>
              </w:rPr>
              <w:t>m</w:t>
            </w:r>
            <w:r w:rsidRPr="003131F3">
              <w:rPr>
                <w:rFonts w:cs="Arial"/>
              </w:rPr>
              <w:t>ember</w:t>
            </w:r>
          </w:p>
        </w:tc>
        <w:tc>
          <w:tcPr>
            <w:tcW w:w="2499" w:type="dxa"/>
          </w:tcPr>
          <w:p w14:paraId="40E4B0E3" w14:textId="287221B3" w:rsidR="007A4A42" w:rsidRPr="007A4A42" w:rsidRDefault="007A4A42" w:rsidP="007A4A42">
            <w:pPr>
              <w:spacing w:after="120"/>
              <w:rPr>
                <w:rFonts w:cs="Arial"/>
                <w:lang w:val="en-GB"/>
              </w:rPr>
            </w:pPr>
            <w:r w:rsidRPr="003131F3">
              <w:rPr>
                <w:rFonts w:cs="Arial"/>
              </w:rPr>
              <w:t>Part</w:t>
            </w:r>
            <w:r w:rsidR="003665AA">
              <w:rPr>
                <w:rFonts w:cs="Arial"/>
              </w:rPr>
              <w:t xml:space="preserve"> </w:t>
            </w:r>
            <w:r w:rsidRPr="003131F3">
              <w:rPr>
                <w:rFonts w:cs="Arial"/>
              </w:rPr>
              <w:t xml:space="preserve">year – </w:t>
            </w:r>
            <w:r w:rsidR="004364A0">
              <w:rPr>
                <w:rFonts w:cs="Arial"/>
              </w:rPr>
              <w:t>a</w:t>
            </w:r>
            <w:r w:rsidRPr="003131F3">
              <w:rPr>
                <w:rFonts w:cs="Arial"/>
              </w:rPr>
              <w:t>ppointed 24</w:t>
            </w:r>
            <w:r w:rsidR="004364A0">
              <w:rPr>
                <w:rFonts w:cs="Arial"/>
              </w:rPr>
              <w:t xml:space="preserve"> November </w:t>
            </w:r>
            <w:r w:rsidRPr="003131F3">
              <w:rPr>
                <w:rFonts w:cs="Arial"/>
              </w:rPr>
              <w:t>2023</w:t>
            </w:r>
          </w:p>
        </w:tc>
      </w:tr>
      <w:tr w:rsidR="007A4A42" w:rsidRPr="007A4A42" w14:paraId="08F32565" w14:textId="77777777" w:rsidTr="001C0A6D">
        <w:trPr>
          <w:cantSplit/>
        </w:trPr>
        <w:tc>
          <w:tcPr>
            <w:tcW w:w="3397" w:type="dxa"/>
          </w:tcPr>
          <w:p w14:paraId="0B772228" w14:textId="434339D4" w:rsidR="007A4A42" w:rsidRPr="007A4A42" w:rsidRDefault="007A4A42" w:rsidP="007A4A42">
            <w:pPr>
              <w:pStyle w:val="TableBody"/>
              <w:spacing w:before="120" w:after="120"/>
              <w:rPr>
                <w:szCs w:val="24"/>
                <w:lang w:val="en-GB"/>
              </w:rPr>
            </w:pPr>
            <w:r w:rsidRPr="003131F3">
              <w:rPr>
                <w:szCs w:val="24"/>
              </w:rPr>
              <w:t>Ms Maryanne Diamond AO</w:t>
            </w:r>
          </w:p>
        </w:tc>
        <w:tc>
          <w:tcPr>
            <w:tcW w:w="3119" w:type="dxa"/>
          </w:tcPr>
          <w:p w14:paraId="6B54492F" w14:textId="5E904112" w:rsidR="007A4A42" w:rsidRPr="007A4A42" w:rsidRDefault="007A4A42" w:rsidP="007A4A42">
            <w:pPr>
              <w:spacing w:after="120"/>
              <w:rPr>
                <w:rFonts w:cs="Arial"/>
                <w:lang w:val="en-GB"/>
              </w:rPr>
            </w:pPr>
            <w:r w:rsidRPr="003131F3">
              <w:rPr>
                <w:rFonts w:cs="Arial"/>
              </w:rPr>
              <w:t xml:space="preserve">Board </w:t>
            </w:r>
            <w:r w:rsidR="00CC4A4F">
              <w:rPr>
                <w:rFonts w:cs="Arial"/>
              </w:rPr>
              <w:t>m</w:t>
            </w:r>
            <w:r w:rsidRPr="003131F3">
              <w:rPr>
                <w:rFonts w:cs="Arial"/>
              </w:rPr>
              <w:t>ember</w:t>
            </w:r>
          </w:p>
        </w:tc>
        <w:tc>
          <w:tcPr>
            <w:tcW w:w="2499" w:type="dxa"/>
          </w:tcPr>
          <w:p w14:paraId="746605A3" w14:textId="115D8E1D" w:rsidR="007A4A42" w:rsidRPr="007A4A42" w:rsidRDefault="007A4A42" w:rsidP="007A4A42">
            <w:pPr>
              <w:spacing w:after="120"/>
              <w:rPr>
                <w:rFonts w:cs="Arial"/>
                <w:lang w:val="en-GB"/>
              </w:rPr>
            </w:pPr>
            <w:r w:rsidRPr="003131F3">
              <w:rPr>
                <w:rFonts w:cs="Arial"/>
              </w:rPr>
              <w:t>Full year</w:t>
            </w:r>
          </w:p>
        </w:tc>
      </w:tr>
      <w:tr w:rsidR="007A4A42" w:rsidRPr="007A4A42" w14:paraId="2297D1DC" w14:textId="77777777" w:rsidTr="001C0A6D">
        <w:trPr>
          <w:cnfStyle w:val="000000100000" w:firstRow="0" w:lastRow="0" w:firstColumn="0" w:lastColumn="0" w:oddVBand="0" w:evenVBand="0" w:oddHBand="1" w:evenHBand="0" w:firstRowFirstColumn="0" w:firstRowLastColumn="0" w:lastRowFirstColumn="0" w:lastRowLastColumn="0"/>
          <w:cantSplit/>
        </w:trPr>
        <w:tc>
          <w:tcPr>
            <w:tcW w:w="3397" w:type="dxa"/>
          </w:tcPr>
          <w:p w14:paraId="72EE4BCF" w14:textId="4D21AA1A" w:rsidR="007A4A42" w:rsidRPr="007A4A42" w:rsidRDefault="007A4A42" w:rsidP="007A4A42">
            <w:pPr>
              <w:pStyle w:val="TableBody"/>
              <w:spacing w:before="120" w:after="120"/>
              <w:rPr>
                <w:szCs w:val="24"/>
                <w:lang w:val="en-GB"/>
              </w:rPr>
            </w:pPr>
            <w:r w:rsidRPr="003131F3">
              <w:rPr>
                <w:szCs w:val="24"/>
              </w:rPr>
              <w:t>Ms Rebecca Falkingham PSM</w:t>
            </w:r>
          </w:p>
        </w:tc>
        <w:tc>
          <w:tcPr>
            <w:tcW w:w="3119" w:type="dxa"/>
          </w:tcPr>
          <w:p w14:paraId="5C95F945" w14:textId="1F8790CC" w:rsidR="007A4A42" w:rsidRPr="007A4A42" w:rsidRDefault="007A4A42" w:rsidP="007A4A42">
            <w:pPr>
              <w:spacing w:after="120"/>
              <w:rPr>
                <w:rFonts w:cs="Arial"/>
                <w:lang w:val="en-GB"/>
              </w:rPr>
            </w:pPr>
            <w:r w:rsidRPr="003131F3">
              <w:rPr>
                <w:rFonts w:cs="Arial"/>
              </w:rPr>
              <w:t>Chief Executive Officer</w:t>
            </w:r>
          </w:p>
        </w:tc>
        <w:tc>
          <w:tcPr>
            <w:tcW w:w="2499" w:type="dxa"/>
          </w:tcPr>
          <w:p w14:paraId="3ADF4646" w14:textId="2ECAA46C" w:rsidR="007A4A42" w:rsidRPr="007A4A42" w:rsidRDefault="007A4A42" w:rsidP="007A4A42">
            <w:pPr>
              <w:spacing w:after="120"/>
              <w:rPr>
                <w:rFonts w:cs="Arial"/>
                <w:lang w:val="en-GB"/>
              </w:rPr>
            </w:pPr>
            <w:r w:rsidRPr="003131F3">
              <w:rPr>
                <w:rFonts w:cs="Arial"/>
              </w:rPr>
              <w:t>Full year</w:t>
            </w:r>
          </w:p>
        </w:tc>
      </w:tr>
      <w:tr w:rsidR="007A4A42" w:rsidRPr="007A4A42" w14:paraId="1335A004" w14:textId="77777777" w:rsidTr="001C0A6D">
        <w:trPr>
          <w:cantSplit/>
        </w:trPr>
        <w:tc>
          <w:tcPr>
            <w:tcW w:w="3397" w:type="dxa"/>
          </w:tcPr>
          <w:p w14:paraId="355AA403" w14:textId="2F12938F" w:rsidR="007A4A42" w:rsidRPr="007A4A42" w:rsidRDefault="007A4A42" w:rsidP="007A4A42">
            <w:pPr>
              <w:pStyle w:val="TableBody"/>
              <w:spacing w:before="120" w:after="120"/>
              <w:rPr>
                <w:szCs w:val="24"/>
                <w:lang w:val="en-GB"/>
              </w:rPr>
            </w:pPr>
            <w:r w:rsidRPr="003131F3">
              <w:rPr>
                <w:szCs w:val="24"/>
              </w:rPr>
              <w:t>Mr Kurt Fearnley AO</w:t>
            </w:r>
          </w:p>
        </w:tc>
        <w:tc>
          <w:tcPr>
            <w:tcW w:w="3119" w:type="dxa"/>
          </w:tcPr>
          <w:p w14:paraId="161D9DC6" w14:textId="76B3A3FF" w:rsidR="007A4A42" w:rsidRPr="007A4A42" w:rsidRDefault="007A4A42" w:rsidP="007A4A42">
            <w:pPr>
              <w:spacing w:after="120"/>
              <w:rPr>
                <w:rFonts w:cs="Arial"/>
                <w:lang w:val="en-GB"/>
              </w:rPr>
            </w:pPr>
            <w:r w:rsidRPr="00F86FC3">
              <w:t>Chair</w:t>
            </w:r>
          </w:p>
        </w:tc>
        <w:tc>
          <w:tcPr>
            <w:tcW w:w="2499" w:type="dxa"/>
          </w:tcPr>
          <w:p w14:paraId="7152DEAE" w14:textId="64A75FAD" w:rsidR="007A4A42" w:rsidRPr="007A4A42" w:rsidRDefault="007A4A42" w:rsidP="007A4A42">
            <w:pPr>
              <w:spacing w:after="120"/>
              <w:rPr>
                <w:rFonts w:cs="Arial"/>
                <w:lang w:val="en-GB"/>
              </w:rPr>
            </w:pPr>
            <w:r w:rsidRPr="003131F3">
              <w:rPr>
                <w:rFonts w:cs="Arial"/>
              </w:rPr>
              <w:t>Full year</w:t>
            </w:r>
          </w:p>
        </w:tc>
      </w:tr>
      <w:tr w:rsidR="007A4A42" w:rsidRPr="007A4A42" w14:paraId="1B6475EF" w14:textId="77777777" w:rsidTr="001C0A6D">
        <w:trPr>
          <w:cnfStyle w:val="000000100000" w:firstRow="0" w:lastRow="0" w:firstColumn="0" w:lastColumn="0" w:oddVBand="0" w:evenVBand="0" w:oddHBand="1" w:evenHBand="0" w:firstRowFirstColumn="0" w:firstRowLastColumn="0" w:lastRowFirstColumn="0" w:lastRowLastColumn="0"/>
          <w:cantSplit/>
        </w:trPr>
        <w:tc>
          <w:tcPr>
            <w:tcW w:w="3397" w:type="dxa"/>
          </w:tcPr>
          <w:p w14:paraId="0B487506" w14:textId="040E5B60" w:rsidR="007A4A42" w:rsidRPr="007A4A42" w:rsidRDefault="007A4A42" w:rsidP="007A4A42">
            <w:pPr>
              <w:pStyle w:val="TableBody"/>
              <w:spacing w:before="120" w:after="120"/>
              <w:rPr>
                <w:szCs w:val="24"/>
                <w:lang w:val="en-GB"/>
              </w:rPr>
            </w:pPr>
            <w:r w:rsidRPr="003131F3">
              <w:rPr>
                <w:szCs w:val="24"/>
              </w:rPr>
              <w:t>Dr Richard Fejo</w:t>
            </w:r>
          </w:p>
        </w:tc>
        <w:tc>
          <w:tcPr>
            <w:tcW w:w="3119" w:type="dxa"/>
          </w:tcPr>
          <w:p w14:paraId="22D80308" w14:textId="7C7E8345" w:rsidR="007A4A42" w:rsidRPr="007A4A42" w:rsidRDefault="007A4A42" w:rsidP="007A4A42">
            <w:pPr>
              <w:spacing w:after="120"/>
              <w:rPr>
                <w:rFonts w:cs="Arial"/>
                <w:lang w:val="en-GB"/>
              </w:rPr>
            </w:pPr>
            <w:r w:rsidRPr="003131F3">
              <w:rPr>
                <w:rFonts w:cs="Arial"/>
              </w:rPr>
              <w:t xml:space="preserve">Board </w:t>
            </w:r>
            <w:r w:rsidR="00CC4A4F">
              <w:rPr>
                <w:rFonts w:cs="Arial"/>
              </w:rPr>
              <w:t>m</w:t>
            </w:r>
            <w:r w:rsidRPr="003131F3">
              <w:rPr>
                <w:rFonts w:cs="Arial"/>
              </w:rPr>
              <w:t>ember</w:t>
            </w:r>
          </w:p>
        </w:tc>
        <w:tc>
          <w:tcPr>
            <w:tcW w:w="2499" w:type="dxa"/>
          </w:tcPr>
          <w:p w14:paraId="75BE2A2A" w14:textId="24ACF643" w:rsidR="007A4A42" w:rsidRPr="007A4A42" w:rsidRDefault="007A4A42" w:rsidP="007A4A42">
            <w:pPr>
              <w:spacing w:after="120"/>
              <w:rPr>
                <w:rFonts w:cs="Arial"/>
                <w:lang w:val="en-GB"/>
              </w:rPr>
            </w:pPr>
            <w:r w:rsidRPr="003131F3">
              <w:rPr>
                <w:rFonts w:cs="Arial"/>
              </w:rPr>
              <w:t>Full year</w:t>
            </w:r>
          </w:p>
        </w:tc>
      </w:tr>
      <w:tr w:rsidR="007A4A42" w:rsidRPr="007A4A42" w14:paraId="6D8274B7" w14:textId="77777777" w:rsidTr="001C0A6D">
        <w:trPr>
          <w:cantSplit/>
        </w:trPr>
        <w:tc>
          <w:tcPr>
            <w:tcW w:w="3397" w:type="dxa"/>
          </w:tcPr>
          <w:p w14:paraId="6478CF3A" w14:textId="1A701BE5" w:rsidR="007A4A42" w:rsidRPr="007A4A42" w:rsidRDefault="007A4A42" w:rsidP="007A4A42">
            <w:pPr>
              <w:pStyle w:val="TableBody"/>
              <w:spacing w:before="120" w:after="120"/>
              <w:rPr>
                <w:szCs w:val="24"/>
                <w:lang w:val="en-GB"/>
              </w:rPr>
            </w:pPr>
            <w:r w:rsidRPr="003131F3">
              <w:rPr>
                <w:szCs w:val="24"/>
              </w:rPr>
              <w:t>Mr David Gifford</w:t>
            </w:r>
          </w:p>
        </w:tc>
        <w:tc>
          <w:tcPr>
            <w:tcW w:w="3119" w:type="dxa"/>
          </w:tcPr>
          <w:p w14:paraId="09B2D5F7" w14:textId="59EAD278" w:rsidR="007A4A42" w:rsidRPr="007A4A42" w:rsidRDefault="007A4A42" w:rsidP="007A4A42">
            <w:pPr>
              <w:spacing w:after="120"/>
              <w:rPr>
                <w:rFonts w:cs="Arial"/>
                <w:lang w:val="en-GB"/>
              </w:rPr>
            </w:pPr>
            <w:r w:rsidRPr="003131F3">
              <w:rPr>
                <w:rFonts w:cs="Arial"/>
              </w:rPr>
              <w:t>Scheme Actuary</w:t>
            </w:r>
          </w:p>
        </w:tc>
        <w:tc>
          <w:tcPr>
            <w:tcW w:w="2499" w:type="dxa"/>
          </w:tcPr>
          <w:p w14:paraId="2CC71BCE" w14:textId="20991ADD" w:rsidR="007A4A42" w:rsidRPr="007A4A42" w:rsidRDefault="007A4A42" w:rsidP="007A4A42">
            <w:pPr>
              <w:spacing w:after="120"/>
              <w:rPr>
                <w:rFonts w:cs="Arial"/>
                <w:lang w:val="en-GB"/>
              </w:rPr>
            </w:pPr>
            <w:r w:rsidRPr="003131F3">
              <w:rPr>
                <w:rFonts w:cs="Arial"/>
              </w:rPr>
              <w:t>Full year</w:t>
            </w:r>
          </w:p>
        </w:tc>
      </w:tr>
      <w:tr w:rsidR="007A4A42" w:rsidRPr="007A4A42" w14:paraId="7CD30A73" w14:textId="77777777" w:rsidTr="001C0A6D">
        <w:trPr>
          <w:cnfStyle w:val="000000100000" w:firstRow="0" w:lastRow="0" w:firstColumn="0" w:lastColumn="0" w:oddVBand="0" w:evenVBand="0" w:oddHBand="1" w:evenHBand="0" w:firstRowFirstColumn="0" w:firstRowLastColumn="0" w:lastRowFirstColumn="0" w:lastRowLastColumn="0"/>
          <w:cantSplit/>
        </w:trPr>
        <w:tc>
          <w:tcPr>
            <w:tcW w:w="3397" w:type="dxa"/>
          </w:tcPr>
          <w:p w14:paraId="661D0ECE" w14:textId="2CA85EE3" w:rsidR="007A4A42" w:rsidRPr="007A4A42" w:rsidRDefault="007A4A42" w:rsidP="007A4A42">
            <w:pPr>
              <w:pStyle w:val="TableBody"/>
              <w:spacing w:before="120" w:after="120"/>
              <w:rPr>
                <w:szCs w:val="24"/>
                <w:lang w:val="en-GB"/>
              </w:rPr>
            </w:pPr>
            <w:r w:rsidRPr="003131F3">
              <w:rPr>
                <w:szCs w:val="24"/>
              </w:rPr>
              <w:t>Dr Graeme Innes AM</w:t>
            </w:r>
          </w:p>
        </w:tc>
        <w:tc>
          <w:tcPr>
            <w:tcW w:w="3119" w:type="dxa"/>
          </w:tcPr>
          <w:p w14:paraId="03CDE994" w14:textId="4B45AD4C" w:rsidR="007A4A42" w:rsidRPr="007A4A42" w:rsidRDefault="007A4A42" w:rsidP="007A4A42">
            <w:pPr>
              <w:spacing w:after="120"/>
              <w:rPr>
                <w:rFonts w:cs="Arial"/>
                <w:lang w:val="en-GB"/>
              </w:rPr>
            </w:pPr>
            <w:r w:rsidRPr="003131F3">
              <w:rPr>
                <w:rFonts w:cs="Arial"/>
              </w:rPr>
              <w:t xml:space="preserve">Board </w:t>
            </w:r>
            <w:r w:rsidR="00CC4A4F">
              <w:rPr>
                <w:rFonts w:cs="Arial"/>
              </w:rPr>
              <w:t>m</w:t>
            </w:r>
            <w:r w:rsidRPr="003131F3">
              <w:rPr>
                <w:rFonts w:cs="Arial"/>
              </w:rPr>
              <w:t>ember</w:t>
            </w:r>
          </w:p>
        </w:tc>
        <w:tc>
          <w:tcPr>
            <w:tcW w:w="2499" w:type="dxa"/>
          </w:tcPr>
          <w:p w14:paraId="0D868618" w14:textId="6D077466" w:rsidR="007A4A42" w:rsidRPr="007A4A42" w:rsidRDefault="007A4A42" w:rsidP="007A4A42">
            <w:pPr>
              <w:spacing w:after="120"/>
              <w:rPr>
                <w:rFonts w:cs="Arial"/>
                <w:lang w:val="en-GB"/>
              </w:rPr>
            </w:pPr>
            <w:r w:rsidRPr="003131F3">
              <w:rPr>
                <w:rFonts w:cs="Arial"/>
              </w:rPr>
              <w:t>Full year</w:t>
            </w:r>
          </w:p>
        </w:tc>
      </w:tr>
      <w:tr w:rsidR="007A4A42" w:rsidRPr="007A4A42" w14:paraId="3CE5E5AE" w14:textId="77777777" w:rsidTr="001C0A6D">
        <w:trPr>
          <w:cantSplit/>
        </w:trPr>
        <w:tc>
          <w:tcPr>
            <w:tcW w:w="3397" w:type="dxa"/>
          </w:tcPr>
          <w:p w14:paraId="4D5AD902" w14:textId="52094FCF" w:rsidR="007A4A42" w:rsidRPr="007A4A42" w:rsidRDefault="007A4A42" w:rsidP="007A4A42">
            <w:pPr>
              <w:pStyle w:val="TableBody"/>
              <w:spacing w:before="120" w:after="120"/>
              <w:rPr>
                <w:szCs w:val="24"/>
                <w:lang w:val="en-GB"/>
              </w:rPr>
            </w:pPr>
            <w:r w:rsidRPr="003131F3">
              <w:rPr>
                <w:szCs w:val="24"/>
              </w:rPr>
              <w:t>Ms Penelope McKay</w:t>
            </w:r>
          </w:p>
        </w:tc>
        <w:tc>
          <w:tcPr>
            <w:tcW w:w="3119" w:type="dxa"/>
          </w:tcPr>
          <w:p w14:paraId="31440322" w14:textId="4A47A19F" w:rsidR="007A4A42" w:rsidRPr="007A4A42" w:rsidRDefault="007A4A42" w:rsidP="007A4A42">
            <w:pPr>
              <w:spacing w:after="120"/>
              <w:rPr>
                <w:rFonts w:cs="Arial"/>
                <w:lang w:val="en-GB"/>
              </w:rPr>
            </w:pPr>
            <w:r w:rsidRPr="003131F3">
              <w:rPr>
                <w:rFonts w:cs="Arial"/>
              </w:rPr>
              <w:t>Deputy CEO Partners, Providers and Home and Living</w:t>
            </w:r>
          </w:p>
        </w:tc>
        <w:tc>
          <w:tcPr>
            <w:tcW w:w="2499" w:type="dxa"/>
          </w:tcPr>
          <w:p w14:paraId="19390E4A" w14:textId="39104068" w:rsidR="007A4A42" w:rsidRPr="007A4A42" w:rsidRDefault="007A4A42" w:rsidP="007A4A42">
            <w:pPr>
              <w:spacing w:after="120"/>
              <w:rPr>
                <w:rFonts w:cs="Arial"/>
                <w:lang w:val="en-GB"/>
              </w:rPr>
            </w:pPr>
            <w:r w:rsidRPr="003131F3">
              <w:rPr>
                <w:rFonts w:cs="Arial"/>
              </w:rPr>
              <w:t>Full year</w:t>
            </w:r>
          </w:p>
        </w:tc>
      </w:tr>
      <w:tr w:rsidR="007A4A42" w:rsidRPr="007A4A42" w14:paraId="38995D9C" w14:textId="77777777" w:rsidTr="001C0A6D">
        <w:trPr>
          <w:cnfStyle w:val="000000100000" w:firstRow="0" w:lastRow="0" w:firstColumn="0" w:lastColumn="0" w:oddVBand="0" w:evenVBand="0" w:oddHBand="1" w:evenHBand="0" w:firstRowFirstColumn="0" w:firstRowLastColumn="0" w:lastRowFirstColumn="0" w:lastRowLastColumn="0"/>
          <w:cantSplit/>
        </w:trPr>
        <w:tc>
          <w:tcPr>
            <w:tcW w:w="3397" w:type="dxa"/>
          </w:tcPr>
          <w:p w14:paraId="69253A2D" w14:textId="3F83A1FC" w:rsidR="007A4A42" w:rsidRPr="007A4A42" w:rsidRDefault="007A4A42" w:rsidP="007A4A42">
            <w:pPr>
              <w:pStyle w:val="TableBody"/>
              <w:spacing w:before="120" w:after="120"/>
              <w:rPr>
                <w:szCs w:val="24"/>
                <w:lang w:val="en-GB"/>
              </w:rPr>
            </w:pPr>
            <w:r w:rsidRPr="003131F3">
              <w:rPr>
                <w:szCs w:val="24"/>
              </w:rPr>
              <w:t xml:space="preserve">Mrs Joan McKenna Kerr </w:t>
            </w:r>
          </w:p>
        </w:tc>
        <w:tc>
          <w:tcPr>
            <w:tcW w:w="3119" w:type="dxa"/>
          </w:tcPr>
          <w:p w14:paraId="5435CD1A" w14:textId="2A901E21" w:rsidR="007A4A42" w:rsidRPr="007A4A42" w:rsidRDefault="007A4A42" w:rsidP="007A4A42">
            <w:pPr>
              <w:spacing w:after="120"/>
              <w:rPr>
                <w:rFonts w:cs="Arial"/>
                <w:lang w:val="en-GB"/>
              </w:rPr>
            </w:pPr>
            <w:r w:rsidRPr="003131F3">
              <w:rPr>
                <w:rFonts w:cs="Arial"/>
              </w:rPr>
              <w:t xml:space="preserve">Board </w:t>
            </w:r>
            <w:r w:rsidR="00CC4A4F">
              <w:rPr>
                <w:rFonts w:cs="Arial"/>
              </w:rPr>
              <w:t>m</w:t>
            </w:r>
            <w:r w:rsidRPr="003131F3">
              <w:rPr>
                <w:rFonts w:cs="Arial"/>
              </w:rPr>
              <w:t>ember</w:t>
            </w:r>
          </w:p>
        </w:tc>
        <w:tc>
          <w:tcPr>
            <w:tcW w:w="2499" w:type="dxa"/>
          </w:tcPr>
          <w:p w14:paraId="2F0A48D8" w14:textId="29738B9D" w:rsidR="007A4A42" w:rsidRPr="007A4A42" w:rsidRDefault="007A4A42" w:rsidP="007A4A42">
            <w:pPr>
              <w:spacing w:after="120"/>
              <w:rPr>
                <w:rFonts w:cs="Arial"/>
                <w:lang w:val="en-GB"/>
              </w:rPr>
            </w:pPr>
            <w:r w:rsidRPr="003131F3">
              <w:rPr>
                <w:rFonts w:cs="Arial"/>
              </w:rPr>
              <w:t>Full year</w:t>
            </w:r>
          </w:p>
        </w:tc>
      </w:tr>
      <w:tr w:rsidR="007A4A42" w:rsidRPr="007A4A42" w14:paraId="244F1EF7" w14:textId="77777777" w:rsidTr="001C0A6D">
        <w:trPr>
          <w:cantSplit/>
        </w:trPr>
        <w:tc>
          <w:tcPr>
            <w:tcW w:w="3397" w:type="dxa"/>
          </w:tcPr>
          <w:p w14:paraId="7057A631" w14:textId="54987F30" w:rsidR="007A4A42" w:rsidRPr="007A4A42" w:rsidRDefault="007A4A42" w:rsidP="007A4A42">
            <w:pPr>
              <w:pStyle w:val="TableBody"/>
              <w:spacing w:before="120" w:after="120"/>
              <w:rPr>
                <w:szCs w:val="24"/>
                <w:lang w:val="en-GB"/>
              </w:rPr>
            </w:pPr>
            <w:r w:rsidRPr="003131F3">
              <w:rPr>
                <w:szCs w:val="24"/>
              </w:rPr>
              <w:t>Ms Corr</w:t>
            </w:r>
            <w:r w:rsidR="00C56323">
              <w:rPr>
                <w:szCs w:val="24"/>
              </w:rPr>
              <w:t>i</w:t>
            </w:r>
            <w:r w:rsidRPr="003131F3">
              <w:rPr>
                <w:szCs w:val="24"/>
              </w:rPr>
              <w:t xml:space="preserve"> McKenzie</w:t>
            </w:r>
          </w:p>
        </w:tc>
        <w:tc>
          <w:tcPr>
            <w:tcW w:w="3119" w:type="dxa"/>
          </w:tcPr>
          <w:p w14:paraId="6D8F863B" w14:textId="6B868B59" w:rsidR="007A4A42" w:rsidRPr="007A4A42" w:rsidRDefault="007A4A42" w:rsidP="007A4A42">
            <w:pPr>
              <w:spacing w:after="120"/>
              <w:rPr>
                <w:rFonts w:cs="Arial"/>
                <w:lang w:val="en-GB"/>
              </w:rPr>
            </w:pPr>
            <w:r w:rsidRPr="003131F3">
              <w:rPr>
                <w:rFonts w:cs="Arial"/>
              </w:rPr>
              <w:t>Deputy CEO Service Design and Improvement</w:t>
            </w:r>
          </w:p>
        </w:tc>
        <w:tc>
          <w:tcPr>
            <w:tcW w:w="2499" w:type="dxa"/>
          </w:tcPr>
          <w:p w14:paraId="361D7CF2" w14:textId="239CBE3C" w:rsidR="007A4A42" w:rsidRPr="007A4A42" w:rsidRDefault="007A4A42" w:rsidP="007A4A42">
            <w:pPr>
              <w:spacing w:after="120"/>
              <w:rPr>
                <w:rFonts w:cs="Arial"/>
                <w:lang w:val="en-GB"/>
              </w:rPr>
            </w:pPr>
            <w:r w:rsidRPr="003131F3">
              <w:rPr>
                <w:rFonts w:cs="Arial"/>
              </w:rPr>
              <w:t>Full year</w:t>
            </w:r>
          </w:p>
        </w:tc>
      </w:tr>
      <w:tr w:rsidR="007A4A42" w:rsidRPr="007A4A42" w14:paraId="4A4F17B6" w14:textId="77777777" w:rsidTr="001C0A6D">
        <w:trPr>
          <w:cnfStyle w:val="000000100000" w:firstRow="0" w:lastRow="0" w:firstColumn="0" w:lastColumn="0" w:oddVBand="0" w:evenVBand="0" w:oddHBand="1" w:evenHBand="0" w:firstRowFirstColumn="0" w:firstRowLastColumn="0" w:lastRowFirstColumn="0" w:lastRowLastColumn="0"/>
          <w:cantSplit/>
        </w:trPr>
        <w:tc>
          <w:tcPr>
            <w:tcW w:w="3397" w:type="dxa"/>
          </w:tcPr>
          <w:p w14:paraId="66CBCDD1" w14:textId="4F3AC2A9" w:rsidR="007A4A42" w:rsidRPr="007A4A42" w:rsidRDefault="007A4A42" w:rsidP="007A4A42">
            <w:pPr>
              <w:pStyle w:val="TableBody"/>
              <w:spacing w:before="120" w:after="120"/>
              <w:rPr>
                <w:szCs w:val="24"/>
                <w:lang w:val="en-GB"/>
              </w:rPr>
            </w:pPr>
            <w:r w:rsidRPr="003131F3">
              <w:rPr>
                <w:szCs w:val="24"/>
              </w:rPr>
              <w:lastRenderedPageBreak/>
              <w:t xml:space="preserve">Mr Scott McNaughton </w:t>
            </w:r>
          </w:p>
        </w:tc>
        <w:tc>
          <w:tcPr>
            <w:tcW w:w="3119" w:type="dxa"/>
          </w:tcPr>
          <w:p w14:paraId="33A3BA0C" w14:textId="1C4AB672" w:rsidR="007A4A42" w:rsidRPr="007A4A42" w:rsidRDefault="007A4A42" w:rsidP="007A4A42">
            <w:pPr>
              <w:spacing w:after="120"/>
              <w:rPr>
                <w:rFonts w:cs="Arial"/>
                <w:lang w:val="en-GB"/>
              </w:rPr>
            </w:pPr>
            <w:r w:rsidRPr="003131F3">
              <w:rPr>
                <w:rFonts w:cs="Arial"/>
              </w:rPr>
              <w:t>Deputy CEO Service Delivery</w:t>
            </w:r>
          </w:p>
        </w:tc>
        <w:tc>
          <w:tcPr>
            <w:tcW w:w="2499" w:type="dxa"/>
          </w:tcPr>
          <w:p w14:paraId="2B252026" w14:textId="79460036" w:rsidR="007A4A42" w:rsidRPr="007A4A42" w:rsidRDefault="007A4A42" w:rsidP="007A4A42">
            <w:pPr>
              <w:spacing w:after="120"/>
              <w:rPr>
                <w:rFonts w:cs="Arial"/>
                <w:lang w:val="en-GB"/>
              </w:rPr>
            </w:pPr>
            <w:r w:rsidRPr="003131F3">
              <w:rPr>
                <w:rFonts w:cs="Arial"/>
              </w:rPr>
              <w:t>Full year</w:t>
            </w:r>
          </w:p>
        </w:tc>
      </w:tr>
      <w:tr w:rsidR="007A4A42" w:rsidRPr="007A4A42" w14:paraId="1DE9DFA4" w14:textId="77777777" w:rsidTr="001C0A6D">
        <w:trPr>
          <w:cantSplit/>
        </w:trPr>
        <w:tc>
          <w:tcPr>
            <w:tcW w:w="3397" w:type="dxa"/>
          </w:tcPr>
          <w:p w14:paraId="004E5D70" w14:textId="0D831ECB" w:rsidR="007A4A42" w:rsidRPr="007A4A42" w:rsidRDefault="007A4A42" w:rsidP="007A4A42">
            <w:pPr>
              <w:pStyle w:val="TableBody"/>
              <w:spacing w:before="120" w:after="120"/>
              <w:rPr>
                <w:szCs w:val="24"/>
                <w:lang w:val="en-GB"/>
              </w:rPr>
            </w:pPr>
            <w:r w:rsidRPr="003131F3">
              <w:rPr>
                <w:szCs w:val="24"/>
              </w:rPr>
              <w:t>Ms Debbie Mitchell PSM</w:t>
            </w:r>
          </w:p>
        </w:tc>
        <w:tc>
          <w:tcPr>
            <w:tcW w:w="3119" w:type="dxa"/>
          </w:tcPr>
          <w:p w14:paraId="596339EC" w14:textId="7A40F8EE" w:rsidR="007A4A42" w:rsidRPr="007A4A42" w:rsidRDefault="007A4A42" w:rsidP="007A4A42">
            <w:pPr>
              <w:spacing w:after="120"/>
              <w:rPr>
                <w:rFonts w:cs="Arial"/>
                <w:lang w:val="en-GB"/>
              </w:rPr>
            </w:pPr>
            <w:r w:rsidRPr="003131F3">
              <w:rPr>
                <w:rFonts w:cs="Arial"/>
              </w:rPr>
              <w:t>Deputy CEO Governance, Risk and Legal</w:t>
            </w:r>
          </w:p>
        </w:tc>
        <w:tc>
          <w:tcPr>
            <w:tcW w:w="2499" w:type="dxa"/>
          </w:tcPr>
          <w:p w14:paraId="4EB20154" w14:textId="299AC297" w:rsidR="007A4A42" w:rsidRPr="007A4A42" w:rsidRDefault="007A4A42" w:rsidP="007A4A42">
            <w:pPr>
              <w:spacing w:after="120"/>
              <w:rPr>
                <w:rFonts w:cs="Arial"/>
                <w:lang w:val="en-GB"/>
              </w:rPr>
            </w:pPr>
            <w:r w:rsidRPr="003131F3">
              <w:rPr>
                <w:rFonts w:cs="Arial"/>
              </w:rPr>
              <w:t>Full year</w:t>
            </w:r>
          </w:p>
        </w:tc>
      </w:tr>
      <w:tr w:rsidR="007A4A42" w:rsidRPr="007A4A42" w14:paraId="64C89CEE" w14:textId="77777777" w:rsidTr="001C0A6D">
        <w:trPr>
          <w:cnfStyle w:val="000000100000" w:firstRow="0" w:lastRow="0" w:firstColumn="0" w:lastColumn="0" w:oddVBand="0" w:evenVBand="0" w:oddHBand="1" w:evenHBand="0" w:firstRowFirstColumn="0" w:firstRowLastColumn="0" w:lastRowFirstColumn="0" w:lastRowLastColumn="0"/>
          <w:cantSplit/>
        </w:trPr>
        <w:tc>
          <w:tcPr>
            <w:tcW w:w="3397" w:type="dxa"/>
          </w:tcPr>
          <w:p w14:paraId="142AB8F1" w14:textId="3127E5B6" w:rsidR="007A4A42" w:rsidRPr="007A4A42" w:rsidRDefault="007A4A42" w:rsidP="007A4A42">
            <w:pPr>
              <w:pStyle w:val="TableBody"/>
              <w:spacing w:before="120" w:after="120"/>
              <w:rPr>
                <w:szCs w:val="24"/>
                <w:lang w:val="en-GB"/>
              </w:rPr>
            </w:pPr>
            <w:r w:rsidRPr="003131F3">
              <w:rPr>
                <w:szCs w:val="24"/>
              </w:rPr>
              <w:t xml:space="preserve">Ms Janine Marie Mohamed </w:t>
            </w:r>
          </w:p>
        </w:tc>
        <w:tc>
          <w:tcPr>
            <w:tcW w:w="3119" w:type="dxa"/>
          </w:tcPr>
          <w:p w14:paraId="4605A488" w14:textId="62A43C33" w:rsidR="007A4A42" w:rsidRPr="007A4A42" w:rsidRDefault="007A4A42" w:rsidP="007A4A42">
            <w:pPr>
              <w:spacing w:after="120"/>
              <w:rPr>
                <w:rFonts w:cs="Arial"/>
                <w:lang w:val="en-GB"/>
              </w:rPr>
            </w:pPr>
            <w:r w:rsidRPr="003131F3">
              <w:rPr>
                <w:rFonts w:cs="Arial"/>
              </w:rPr>
              <w:t>Deputy CEO First Nations</w:t>
            </w:r>
          </w:p>
        </w:tc>
        <w:tc>
          <w:tcPr>
            <w:tcW w:w="2499" w:type="dxa"/>
          </w:tcPr>
          <w:p w14:paraId="6185CAF9" w14:textId="3162BEB8" w:rsidR="007A4A42" w:rsidRPr="007A4A42" w:rsidRDefault="007A4A42" w:rsidP="007A4A42">
            <w:pPr>
              <w:spacing w:after="120"/>
              <w:rPr>
                <w:rFonts w:cs="Arial"/>
                <w:lang w:val="en-GB"/>
              </w:rPr>
            </w:pPr>
            <w:r w:rsidRPr="003131F3">
              <w:rPr>
                <w:rFonts w:cs="Arial"/>
              </w:rPr>
              <w:t xml:space="preserve">Part-year – </w:t>
            </w:r>
            <w:r w:rsidR="004364A0">
              <w:rPr>
                <w:rFonts w:cs="Arial"/>
              </w:rPr>
              <w:t>a</w:t>
            </w:r>
            <w:r w:rsidRPr="003131F3">
              <w:rPr>
                <w:rFonts w:cs="Arial"/>
              </w:rPr>
              <w:t>ppointed 8</w:t>
            </w:r>
            <w:r w:rsidR="004364A0">
              <w:rPr>
                <w:rFonts w:cs="Arial"/>
              </w:rPr>
              <w:t xml:space="preserve"> April </w:t>
            </w:r>
            <w:r w:rsidRPr="003131F3">
              <w:rPr>
                <w:rFonts w:cs="Arial"/>
              </w:rPr>
              <w:t>2024</w:t>
            </w:r>
          </w:p>
        </w:tc>
      </w:tr>
      <w:tr w:rsidR="007A4A42" w:rsidRPr="007A4A42" w14:paraId="5AEF3983" w14:textId="77777777" w:rsidTr="001C0A6D">
        <w:trPr>
          <w:cantSplit/>
        </w:trPr>
        <w:tc>
          <w:tcPr>
            <w:tcW w:w="3397" w:type="dxa"/>
          </w:tcPr>
          <w:p w14:paraId="770C7E79" w14:textId="76376A85" w:rsidR="007A4A42" w:rsidRPr="007A4A42" w:rsidRDefault="007A4A42" w:rsidP="007A4A42">
            <w:pPr>
              <w:pStyle w:val="TableBody"/>
              <w:spacing w:before="120" w:after="120"/>
              <w:rPr>
                <w:szCs w:val="24"/>
                <w:lang w:val="en-GB"/>
              </w:rPr>
            </w:pPr>
            <w:r w:rsidRPr="003131F3">
              <w:rPr>
                <w:szCs w:val="24"/>
              </w:rPr>
              <w:t>Dr Denis Napthine AO</w:t>
            </w:r>
          </w:p>
        </w:tc>
        <w:tc>
          <w:tcPr>
            <w:tcW w:w="3119" w:type="dxa"/>
          </w:tcPr>
          <w:p w14:paraId="355CDEF2" w14:textId="36B573CB" w:rsidR="007A4A42" w:rsidRPr="007A4A42" w:rsidRDefault="007A4A42" w:rsidP="007A4A42">
            <w:pPr>
              <w:spacing w:after="120"/>
              <w:rPr>
                <w:rFonts w:cs="Arial"/>
                <w:lang w:val="en-GB"/>
              </w:rPr>
            </w:pPr>
            <w:r w:rsidRPr="003131F3">
              <w:rPr>
                <w:rFonts w:cs="Arial"/>
              </w:rPr>
              <w:t xml:space="preserve">Board </w:t>
            </w:r>
            <w:r w:rsidR="009714A8">
              <w:rPr>
                <w:rFonts w:cs="Arial"/>
              </w:rPr>
              <w:t>m</w:t>
            </w:r>
            <w:r w:rsidRPr="003131F3">
              <w:rPr>
                <w:rFonts w:cs="Arial"/>
              </w:rPr>
              <w:t>ember</w:t>
            </w:r>
          </w:p>
        </w:tc>
        <w:tc>
          <w:tcPr>
            <w:tcW w:w="2499" w:type="dxa"/>
          </w:tcPr>
          <w:p w14:paraId="46E1AE79" w14:textId="2A23F095" w:rsidR="007A4A42" w:rsidRPr="007A4A42" w:rsidRDefault="007A4A42" w:rsidP="007A4A42">
            <w:pPr>
              <w:spacing w:after="120"/>
              <w:rPr>
                <w:rFonts w:cs="Arial"/>
                <w:lang w:val="en-GB"/>
              </w:rPr>
            </w:pPr>
            <w:r w:rsidRPr="003131F3">
              <w:rPr>
                <w:rFonts w:cs="Arial"/>
              </w:rPr>
              <w:t>Full year</w:t>
            </w:r>
          </w:p>
        </w:tc>
      </w:tr>
      <w:tr w:rsidR="007A4A42" w:rsidRPr="007A4A42" w14:paraId="6E11EE45" w14:textId="77777777" w:rsidTr="001C0A6D">
        <w:trPr>
          <w:cnfStyle w:val="000000100000" w:firstRow="0" w:lastRow="0" w:firstColumn="0" w:lastColumn="0" w:oddVBand="0" w:evenVBand="0" w:oddHBand="1" w:evenHBand="0" w:firstRowFirstColumn="0" w:firstRowLastColumn="0" w:lastRowFirstColumn="0" w:lastRowLastColumn="0"/>
          <w:cantSplit/>
        </w:trPr>
        <w:tc>
          <w:tcPr>
            <w:tcW w:w="3397" w:type="dxa"/>
          </w:tcPr>
          <w:p w14:paraId="1CC10457" w14:textId="3FD14E9C" w:rsidR="007A4A42" w:rsidRPr="007A4A42" w:rsidRDefault="007A4A42" w:rsidP="007A4A42">
            <w:pPr>
              <w:pStyle w:val="TableBody"/>
              <w:spacing w:before="120" w:after="120"/>
              <w:rPr>
                <w:szCs w:val="24"/>
                <w:lang w:val="en-GB"/>
              </w:rPr>
            </w:pPr>
            <w:r w:rsidRPr="003131F3">
              <w:rPr>
                <w:szCs w:val="24"/>
              </w:rPr>
              <w:t>Ms Estelle Pearson</w:t>
            </w:r>
          </w:p>
        </w:tc>
        <w:tc>
          <w:tcPr>
            <w:tcW w:w="3119" w:type="dxa"/>
          </w:tcPr>
          <w:p w14:paraId="33D04517" w14:textId="5BC17F47" w:rsidR="007A4A42" w:rsidRPr="007A4A42" w:rsidRDefault="007A4A42" w:rsidP="007A4A42">
            <w:pPr>
              <w:spacing w:after="120"/>
              <w:rPr>
                <w:rFonts w:cs="Arial"/>
                <w:lang w:val="en-GB"/>
              </w:rPr>
            </w:pPr>
            <w:r w:rsidRPr="003131F3">
              <w:rPr>
                <w:rFonts w:cs="Arial"/>
              </w:rPr>
              <w:t>Board Member</w:t>
            </w:r>
          </w:p>
        </w:tc>
        <w:tc>
          <w:tcPr>
            <w:tcW w:w="2499" w:type="dxa"/>
          </w:tcPr>
          <w:p w14:paraId="57F741C5" w14:textId="66A30124" w:rsidR="007A4A42" w:rsidRPr="007A4A42" w:rsidRDefault="007A4A42" w:rsidP="007A4A42">
            <w:pPr>
              <w:spacing w:after="120"/>
              <w:rPr>
                <w:rFonts w:cs="Arial"/>
                <w:lang w:val="en-GB"/>
              </w:rPr>
            </w:pPr>
            <w:r w:rsidRPr="003131F3">
              <w:rPr>
                <w:rFonts w:cs="Arial"/>
              </w:rPr>
              <w:t xml:space="preserve">Part-year – </w:t>
            </w:r>
            <w:r w:rsidR="004364A0">
              <w:rPr>
                <w:rFonts w:cs="Arial"/>
              </w:rPr>
              <w:t>a</w:t>
            </w:r>
            <w:r w:rsidRPr="003131F3">
              <w:rPr>
                <w:rFonts w:cs="Arial"/>
              </w:rPr>
              <w:t>ppointed 11</w:t>
            </w:r>
            <w:r w:rsidR="004364A0">
              <w:rPr>
                <w:rFonts w:cs="Arial"/>
              </w:rPr>
              <w:t xml:space="preserve"> July </w:t>
            </w:r>
            <w:r w:rsidRPr="003131F3">
              <w:rPr>
                <w:rFonts w:cs="Arial"/>
              </w:rPr>
              <w:t>2023</w:t>
            </w:r>
          </w:p>
        </w:tc>
      </w:tr>
      <w:tr w:rsidR="007A4A42" w:rsidRPr="007A4A42" w14:paraId="415D5F28" w14:textId="77777777" w:rsidTr="001C0A6D">
        <w:trPr>
          <w:cantSplit/>
        </w:trPr>
        <w:tc>
          <w:tcPr>
            <w:tcW w:w="3397" w:type="dxa"/>
          </w:tcPr>
          <w:p w14:paraId="4A809575" w14:textId="15F997E1" w:rsidR="007A4A42" w:rsidRPr="007A4A42" w:rsidRDefault="007A4A42" w:rsidP="007A4A42">
            <w:pPr>
              <w:pStyle w:val="TableBody"/>
              <w:spacing w:before="120" w:after="120"/>
              <w:rPr>
                <w:szCs w:val="24"/>
                <w:lang w:val="en-GB"/>
              </w:rPr>
            </w:pPr>
            <w:r w:rsidRPr="003131F3">
              <w:rPr>
                <w:szCs w:val="24"/>
              </w:rPr>
              <w:t>Mr Samuel Porter</w:t>
            </w:r>
          </w:p>
        </w:tc>
        <w:tc>
          <w:tcPr>
            <w:tcW w:w="3119" w:type="dxa"/>
          </w:tcPr>
          <w:p w14:paraId="41F281D8" w14:textId="6AE199D2" w:rsidR="007A4A42" w:rsidRPr="007A4A42" w:rsidRDefault="007A4A42" w:rsidP="007A4A42">
            <w:pPr>
              <w:spacing w:after="120"/>
              <w:rPr>
                <w:rFonts w:cs="Arial"/>
                <w:lang w:val="en-GB"/>
              </w:rPr>
            </w:pPr>
            <w:r w:rsidRPr="003131F3">
              <w:rPr>
                <w:rFonts w:cs="Arial"/>
              </w:rPr>
              <w:t>Deputy CEO Enabling Services</w:t>
            </w:r>
            <w:r w:rsidR="00421CBC">
              <w:rPr>
                <w:rFonts w:cs="Arial"/>
              </w:rPr>
              <w:t xml:space="preserve"> </w:t>
            </w:r>
            <w:r w:rsidRPr="003131F3">
              <w:rPr>
                <w:rFonts w:cs="Arial"/>
              </w:rPr>
              <w:t>/</w:t>
            </w:r>
            <w:r w:rsidR="00421CBC">
              <w:rPr>
                <w:rFonts w:cs="Arial"/>
              </w:rPr>
              <w:t xml:space="preserve"> </w:t>
            </w:r>
            <w:r w:rsidRPr="003131F3">
              <w:rPr>
                <w:rFonts w:cs="Arial"/>
              </w:rPr>
              <w:t>Chief Operating Officer</w:t>
            </w:r>
          </w:p>
        </w:tc>
        <w:tc>
          <w:tcPr>
            <w:tcW w:w="2499" w:type="dxa"/>
          </w:tcPr>
          <w:p w14:paraId="0F6C1B3B" w14:textId="0FDE7FC8" w:rsidR="007A4A42" w:rsidRPr="007A4A42" w:rsidRDefault="007A4A42" w:rsidP="007A4A42">
            <w:pPr>
              <w:spacing w:after="120"/>
              <w:rPr>
                <w:rFonts w:cs="Arial"/>
                <w:lang w:val="en-GB"/>
              </w:rPr>
            </w:pPr>
            <w:r w:rsidRPr="003131F3">
              <w:rPr>
                <w:rFonts w:cs="Arial"/>
              </w:rPr>
              <w:t>Full year</w:t>
            </w:r>
          </w:p>
        </w:tc>
      </w:tr>
      <w:tr w:rsidR="007A4A42" w:rsidRPr="007A4A42" w14:paraId="69D9ED83" w14:textId="77777777" w:rsidTr="001C0A6D">
        <w:trPr>
          <w:cnfStyle w:val="000000100000" w:firstRow="0" w:lastRow="0" w:firstColumn="0" w:lastColumn="0" w:oddVBand="0" w:evenVBand="0" w:oddHBand="1" w:evenHBand="0" w:firstRowFirstColumn="0" w:firstRowLastColumn="0" w:lastRowFirstColumn="0" w:lastRowLastColumn="0"/>
          <w:cantSplit/>
        </w:trPr>
        <w:tc>
          <w:tcPr>
            <w:tcW w:w="3397" w:type="dxa"/>
          </w:tcPr>
          <w:p w14:paraId="778BFE73" w14:textId="65D8D5CC" w:rsidR="007A4A42" w:rsidRPr="007A4A42" w:rsidRDefault="007A4A42" w:rsidP="007A4A42">
            <w:pPr>
              <w:pStyle w:val="TableBody"/>
              <w:spacing w:before="120" w:after="120"/>
              <w:rPr>
                <w:szCs w:val="24"/>
                <w:lang w:val="en-GB"/>
              </w:rPr>
            </w:pPr>
            <w:r w:rsidRPr="003131F3">
              <w:rPr>
                <w:szCs w:val="24"/>
              </w:rPr>
              <w:t>Dr Peta Seaton AM</w:t>
            </w:r>
          </w:p>
        </w:tc>
        <w:tc>
          <w:tcPr>
            <w:tcW w:w="3119" w:type="dxa"/>
          </w:tcPr>
          <w:p w14:paraId="50AD6AFA" w14:textId="1AB487FB" w:rsidR="007A4A42" w:rsidRPr="007A4A42" w:rsidRDefault="007A4A42" w:rsidP="007A4A42">
            <w:pPr>
              <w:spacing w:after="120"/>
              <w:rPr>
                <w:rFonts w:cs="Arial"/>
                <w:lang w:val="en-GB"/>
              </w:rPr>
            </w:pPr>
            <w:r w:rsidRPr="003131F3">
              <w:rPr>
                <w:rFonts w:cs="Arial"/>
              </w:rPr>
              <w:t xml:space="preserve">Board </w:t>
            </w:r>
            <w:r w:rsidR="009714A8">
              <w:rPr>
                <w:rFonts w:cs="Arial"/>
              </w:rPr>
              <w:t>m</w:t>
            </w:r>
            <w:r w:rsidRPr="003131F3">
              <w:rPr>
                <w:rFonts w:cs="Arial"/>
              </w:rPr>
              <w:t>ember</w:t>
            </w:r>
          </w:p>
        </w:tc>
        <w:tc>
          <w:tcPr>
            <w:tcW w:w="2499" w:type="dxa"/>
          </w:tcPr>
          <w:p w14:paraId="27EDD38F" w14:textId="68D418D6" w:rsidR="007A4A42" w:rsidRPr="007A4A42" w:rsidRDefault="007A4A42" w:rsidP="007A4A42">
            <w:pPr>
              <w:spacing w:after="120"/>
              <w:rPr>
                <w:rFonts w:cs="Arial"/>
                <w:lang w:val="en-GB"/>
              </w:rPr>
            </w:pPr>
            <w:r w:rsidRPr="003131F3">
              <w:rPr>
                <w:rFonts w:cs="Arial"/>
              </w:rPr>
              <w:t>Full year</w:t>
            </w:r>
          </w:p>
        </w:tc>
      </w:tr>
      <w:tr w:rsidR="007A4A42" w:rsidRPr="007A4A42" w14:paraId="7FB09074" w14:textId="77777777" w:rsidTr="001C0A6D">
        <w:trPr>
          <w:cantSplit/>
        </w:trPr>
        <w:tc>
          <w:tcPr>
            <w:tcW w:w="3397" w:type="dxa"/>
          </w:tcPr>
          <w:p w14:paraId="2AEBD989" w14:textId="2BC9B950" w:rsidR="007A4A42" w:rsidRPr="007A4A42" w:rsidRDefault="007A4A42" w:rsidP="007A4A42">
            <w:pPr>
              <w:pStyle w:val="TableBody"/>
              <w:spacing w:before="120" w:after="120"/>
              <w:rPr>
                <w:szCs w:val="24"/>
                <w:lang w:val="en-GB"/>
              </w:rPr>
            </w:pPr>
            <w:r w:rsidRPr="003131F3">
              <w:rPr>
                <w:szCs w:val="24"/>
              </w:rPr>
              <w:t>Mr Matthew Swainson</w:t>
            </w:r>
          </w:p>
        </w:tc>
        <w:tc>
          <w:tcPr>
            <w:tcW w:w="3119" w:type="dxa"/>
          </w:tcPr>
          <w:p w14:paraId="35052587" w14:textId="74D6F74B" w:rsidR="007A4A42" w:rsidRPr="007A4A42" w:rsidRDefault="007A4A42" w:rsidP="007A4A42">
            <w:pPr>
              <w:spacing w:after="120"/>
              <w:rPr>
                <w:rFonts w:cs="Arial"/>
                <w:lang w:val="en-GB"/>
              </w:rPr>
            </w:pPr>
            <w:r w:rsidRPr="003131F3">
              <w:rPr>
                <w:rFonts w:cs="Arial"/>
              </w:rPr>
              <w:t>Acting Deputy CEO Governance, Risk and Legal</w:t>
            </w:r>
          </w:p>
        </w:tc>
        <w:tc>
          <w:tcPr>
            <w:tcW w:w="2499" w:type="dxa"/>
          </w:tcPr>
          <w:p w14:paraId="217D6DD5" w14:textId="57BF5E5D" w:rsidR="007A4A42" w:rsidRPr="007A4A42" w:rsidRDefault="007A4A42" w:rsidP="007A4A42">
            <w:pPr>
              <w:spacing w:after="120"/>
              <w:rPr>
                <w:rFonts w:cs="Arial"/>
                <w:lang w:val="en-GB"/>
              </w:rPr>
            </w:pPr>
            <w:r w:rsidRPr="003131F3">
              <w:rPr>
                <w:rFonts w:cs="Arial"/>
              </w:rPr>
              <w:t xml:space="preserve">Part-year – </w:t>
            </w:r>
            <w:r w:rsidR="004364A0">
              <w:rPr>
                <w:rFonts w:cs="Arial"/>
              </w:rPr>
              <w:t>a</w:t>
            </w:r>
            <w:r w:rsidRPr="003131F3">
              <w:rPr>
                <w:rFonts w:cs="Arial"/>
              </w:rPr>
              <w:t>ppointed 2</w:t>
            </w:r>
            <w:r w:rsidR="004364A0">
              <w:rPr>
                <w:rFonts w:cs="Arial"/>
              </w:rPr>
              <w:t xml:space="preserve"> April </w:t>
            </w:r>
            <w:r w:rsidRPr="003131F3">
              <w:rPr>
                <w:rFonts w:cs="Arial"/>
              </w:rPr>
              <w:t>2024</w:t>
            </w:r>
          </w:p>
        </w:tc>
      </w:tr>
      <w:tr w:rsidR="007A4A42" w:rsidRPr="007A4A42" w14:paraId="70963920" w14:textId="77777777" w:rsidTr="001C0A6D">
        <w:trPr>
          <w:cnfStyle w:val="000000100000" w:firstRow="0" w:lastRow="0" w:firstColumn="0" w:lastColumn="0" w:oddVBand="0" w:evenVBand="0" w:oddHBand="1" w:evenHBand="0" w:firstRowFirstColumn="0" w:firstRowLastColumn="0" w:lastRowFirstColumn="0" w:lastRowLastColumn="0"/>
          <w:cantSplit/>
        </w:trPr>
        <w:tc>
          <w:tcPr>
            <w:tcW w:w="3397" w:type="dxa"/>
          </w:tcPr>
          <w:p w14:paraId="780D2238" w14:textId="452BB063" w:rsidR="007A4A42" w:rsidRPr="007A4A42" w:rsidRDefault="007A4A42" w:rsidP="007A4A42">
            <w:pPr>
              <w:pStyle w:val="TableBody"/>
              <w:spacing w:before="120" w:after="120"/>
              <w:rPr>
                <w:szCs w:val="24"/>
                <w:lang w:val="en-GB"/>
              </w:rPr>
            </w:pPr>
            <w:r w:rsidRPr="003131F3">
              <w:rPr>
                <w:szCs w:val="24"/>
              </w:rPr>
              <w:t>Ms Leah van Poppel</w:t>
            </w:r>
          </w:p>
        </w:tc>
        <w:tc>
          <w:tcPr>
            <w:tcW w:w="3119" w:type="dxa"/>
          </w:tcPr>
          <w:p w14:paraId="14F8F95D" w14:textId="6F1798A6" w:rsidR="007A4A42" w:rsidRPr="007A4A42" w:rsidRDefault="007A4A42" w:rsidP="007A4A42">
            <w:pPr>
              <w:spacing w:after="120"/>
              <w:rPr>
                <w:rFonts w:cs="Arial"/>
                <w:lang w:val="en-GB"/>
              </w:rPr>
            </w:pPr>
            <w:r w:rsidRPr="003131F3">
              <w:rPr>
                <w:rFonts w:cs="Arial"/>
              </w:rPr>
              <w:t xml:space="preserve">Board </w:t>
            </w:r>
            <w:r w:rsidR="009714A8">
              <w:rPr>
                <w:rFonts w:cs="Arial"/>
              </w:rPr>
              <w:t>m</w:t>
            </w:r>
            <w:r w:rsidRPr="003131F3">
              <w:rPr>
                <w:rFonts w:cs="Arial"/>
              </w:rPr>
              <w:t>ember</w:t>
            </w:r>
          </w:p>
        </w:tc>
        <w:tc>
          <w:tcPr>
            <w:tcW w:w="2499" w:type="dxa"/>
          </w:tcPr>
          <w:p w14:paraId="2AE6BABA" w14:textId="7190E693" w:rsidR="007A4A42" w:rsidRPr="007A4A42" w:rsidRDefault="007A4A42" w:rsidP="007A4A42">
            <w:pPr>
              <w:spacing w:after="120"/>
              <w:rPr>
                <w:rFonts w:cs="Arial"/>
                <w:lang w:val="en-GB"/>
              </w:rPr>
            </w:pPr>
            <w:r w:rsidRPr="003131F3">
              <w:rPr>
                <w:rFonts w:cs="Arial"/>
              </w:rPr>
              <w:t>Full year</w:t>
            </w:r>
          </w:p>
        </w:tc>
      </w:tr>
    </w:tbl>
    <w:p w14:paraId="131C9EF6" w14:textId="77777777" w:rsidR="008A1E8E" w:rsidRPr="00A33264" w:rsidRDefault="008A1E8E" w:rsidP="00255A26">
      <w:pPr>
        <w:rPr>
          <w:lang w:val="en-GB"/>
        </w:rPr>
      </w:pPr>
    </w:p>
    <w:p w14:paraId="15F496F3" w14:textId="77777777" w:rsidR="0080564E" w:rsidRPr="00A33264" w:rsidRDefault="0080564E" w:rsidP="00255A26">
      <w:pPr>
        <w:pStyle w:val="Heading4"/>
        <w:rPr>
          <w:lang w:val="en-GB"/>
        </w:rPr>
        <w:sectPr w:rsidR="0080564E" w:rsidRPr="00A33264" w:rsidSect="00BF265E">
          <w:footerReference w:type="default" r:id="rId92"/>
          <w:headerReference w:type="first" r:id="rId93"/>
          <w:footerReference w:type="first" r:id="rId94"/>
          <w:pgSz w:w="11906" w:h="16838" w:code="9"/>
          <w:pgMar w:top="1701" w:right="1440" w:bottom="1440" w:left="1440" w:header="561" w:footer="374" w:gutter="0"/>
          <w:cols w:space="708"/>
          <w:titlePg/>
          <w:docGrid w:linePitch="360"/>
        </w:sectPr>
      </w:pPr>
      <w:bookmarkStart w:id="372" w:name="_Toc169592998"/>
    </w:p>
    <w:p w14:paraId="0EEC2469" w14:textId="60455D20" w:rsidR="00255A26" w:rsidRPr="00A33264" w:rsidRDefault="00255A26" w:rsidP="00255A26">
      <w:pPr>
        <w:pStyle w:val="Heading4"/>
        <w:rPr>
          <w:lang w:val="en-GB"/>
        </w:rPr>
      </w:pPr>
      <w:r w:rsidRPr="00A33264">
        <w:rPr>
          <w:lang w:val="en-GB"/>
        </w:rPr>
        <w:lastRenderedPageBreak/>
        <w:t>Information about remuneration of key management personnel</w:t>
      </w:r>
      <w:bookmarkEnd w:id="372"/>
    </w:p>
    <w:p w14:paraId="59D5B34C" w14:textId="601271D6" w:rsidR="001651D3" w:rsidRPr="00A33264" w:rsidRDefault="001651D3" w:rsidP="001651D3">
      <w:pPr>
        <w:rPr>
          <w:lang w:val="en-GB"/>
        </w:rPr>
      </w:pPr>
      <w:r w:rsidRPr="00A33264">
        <w:rPr>
          <w:lang w:val="en-GB"/>
        </w:rPr>
        <w:t xml:space="preserve">The remuneration received or due to be received for each of the NDIA’s key management personnel for 2023–24 is shown in </w:t>
      </w:r>
      <w:r w:rsidR="00591C73">
        <w:rPr>
          <w:lang w:val="en-GB"/>
        </w:rPr>
        <w:t>T</w:t>
      </w:r>
      <w:r w:rsidRPr="00A33264">
        <w:rPr>
          <w:lang w:val="en-GB"/>
        </w:rPr>
        <w:t xml:space="preserve">able </w:t>
      </w:r>
      <w:r w:rsidR="00A27A9C">
        <w:rPr>
          <w:lang w:val="en-GB"/>
        </w:rPr>
        <w:t>11</w:t>
      </w:r>
      <w:r w:rsidRPr="00A33264">
        <w:rPr>
          <w:lang w:val="en-GB"/>
        </w:rPr>
        <w:t>.</w:t>
      </w:r>
    </w:p>
    <w:p w14:paraId="08908A03" w14:textId="3EA5F715" w:rsidR="00255A26" w:rsidRPr="00A33264" w:rsidRDefault="0080564E" w:rsidP="00255A26">
      <w:pPr>
        <w:rPr>
          <w:u w:val="single"/>
          <w:lang w:val="en-GB"/>
        </w:rPr>
      </w:pPr>
      <w:r w:rsidRPr="00A33264">
        <w:rPr>
          <w:u w:val="single"/>
          <w:lang w:val="en-GB"/>
        </w:rPr>
        <w:t xml:space="preserve">Table </w:t>
      </w:r>
      <w:r w:rsidR="00A27A9C">
        <w:rPr>
          <w:u w:val="single"/>
          <w:lang w:val="en-GB"/>
        </w:rPr>
        <w:t>11</w:t>
      </w:r>
      <w:r w:rsidRPr="00A33264">
        <w:rPr>
          <w:u w:val="single"/>
          <w:lang w:val="en-GB"/>
        </w:rPr>
        <w:t>: Key management personnel remuneration</w:t>
      </w:r>
    </w:p>
    <w:tbl>
      <w:tblPr>
        <w:tblW w:w="13650" w:type="dxa"/>
        <w:tblInd w:w="132" w:type="dxa"/>
        <w:tblBorders>
          <w:top w:val="single" w:sz="18" w:space="0" w:color="6B2876" w:themeColor="text1"/>
          <w:left w:val="single" w:sz="18" w:space="0" w:color="6B2876" w:themeColor="text1"/>
          <w:bottom w:val="single" w:sz="18" w:space="0" w:color="6B2876" w:themeColor="text1"/>
          <w:right w:val="single" w:sz="18" w:space="0" w:color="6B2876" w:themeColor="text1"/>
          <w:insideH w:val="single" w:sz="18" w:space="0" w:color="6B2876" w:themeColor="text1"/>
          <w:insideV w:val="single" w:sz="18" w:space="0" w:color="6B2876" w:themeColor="text1"/>
        </w:tblBorders>
        <w:tblLayout w:type="fixed"/>
        <w:tblCellMar>
          <w:top w:w="28" w:type="dxa"/>
          <w:left w:w="28" w:type="dxa"/>
          <w:bottom w:w="28" w:type="dxa"/>
          <w:right w:w="28" w:type="dxa"/>
        </w:tblCellMar>
        <w:tblLook w:val="01E0" w:firstRow="1" w:lastRow="1" w:firstColumn="1" w:lastColumn="1" w:noHBand="0" w:noVBand="0"/>
      </w:tblPr>
      <w:tblGrid>
        <w:gridCol w:w="2134"/>
        <w:gridCol w:w="1842"/>
        <w:gridCol w:w="1134"/>
        <w:gridCol w:w="992"/>
        <w:gridCol w:w="1418"/>
        <w:gridCol w:w="1700"/>
        <w:gridCol w:w="992"/>
        <w:gridCol w:w="1134"/>
        <w:gridCol w:w="1134"/>
        <w:gridCol w:w="1170"/>
      </w:tblGrid>
      <w:tr w:rsidR="0080564E" w:rsidRPr="00A33264" w14:paraId="4EA8854A" w14:textId="77777777" w:rsidTr="004364A0">
        <w:trPr>
          <w:cantSplit/>
          <w:trHeight w:val="2600"/>
          <w:tblHeader/>
        </w:trPr>
        <w:tc>
          <w:tcPr>
            <w:tcW w:w="2134" w:type="dxa"/>
            <w:tcBorders>
              <w:top w:val="single" w:sz="4" w:space="0" w:color="auto"/>
              <w:left w:val="single" w:sz="4" w:space="0" w:color="auto"/>
              <w:bottom w:val="single" w:sz="4" w:space="0" w:color="auto"/>
              <w:right w:val="single" w:sz="4" w:space="0" w:color="F9F9F9" w:themeColor="background1"/>
            </w:tcBorders>
            <w:shd w:val="clear" w:color="auto" w:fill="6B2876" w:themeFill="text1"/>
            <w:textDirection w:val="btLr"/>
            <w:vAlign w:val="center"/>
            <w:hideMark/>
          </w:tcPr>
          <w:p w14:paraId="1EC1DA26" w14:textId="77777777" w:rsidR="0080564E" w:rsidRPr="00A33264" w:rsidRDefault="0080564E" w:rsidP="001C0A6D">
            <w:pPr>
              <w:spacing w:after="0"/>
              <w:ind w:left="113" w:right="113"/>
              <w:rPr>
                <w:b/>
                <w:color w:val="F9F9F9" w:themeColor="background1"/>
                <w:lang w:val="en-GB"/>
              </w:rPr>
            </w:pPr>
            <w:bookmarkStart w:id="373" w:name="ColumnTitle_Table11"/>
            <w:bookmarkEnd w:id="373"/>
            <w:r w:rsidRPr="00A33264">
              <w:rPr>
                <w:b/>
                <w:color w:val="F9F9F9" w:themeColor="background1"/>
                <w:lang w:val="en-GB"/>
              </w:rPr>
              <w:t>Name</w:t>
            </w:r>
          </w:p>
        </w:tc>
        <w:tc>
          <w:tcPr>
            <w:tcW w:w="1842" w:type="dxa"/>
            <w:tcBorders>
              <w:top w:val="single" w:sz="4" w:space="0" w:color="auto"/>
              <w:left w:val="single" w:sz="4" w:space="0" w:color="F9F9F9" w:themeColor="background1"/>
              <w:bottom w:val="single" w:sz="4" w:space="0" w:color="auto"/>
              <w:right w:val="single" w:sz="4" w:space="0" w:color="F9F9F9" w:themeColor="background1"/>
            </w:tcBorders>
            <w:shd w:val="clear" w:color="auto" w:fill="6B2876" w:themeFill="text1"/>
            <w:textDirection w:val="btLr"/>
            <w:vAlign w:val="center"/>
            <w:hideMark/>
          </w:tcPr>
          <w:p w14:paraId="0DDA98EF" w14:textId="77777777" w:rsidR="0080564E" w:rsidRPr="00A33264" w:rsidRDefault="0080564E" w:rsidP="001C0A6D">
            <w:pPr>
              <w:spacing w:after="0"/>
              <w:ind w:left="113" w:right="113"/>
              <w:rPr>
                <w:b/>
                <w:color w:val="F9F9F9" w:themeColor="background1"/>
                <w:lang w:val="en-GB"/>
              </w:rPr>
            </w:pPr>
            <w:r w:rsidRPr="00A33264">
              <w:rPr>
                <w:b/>
                <w:color w:val="F9F9F9" w:themeColor="background1"/>
                <w:lang w:val="en-GB"/>
              </w:rPr>
              <w:t>Position title</w:t>
            </w:r>
          </w:p>
        </w:tc>
        <w:tc>
          <w:tcPr>
            <w:tcW w:w="1134" w:type="dxa"/>
            <w:tcBorders>
              <w:top w:val="single" w:sz="4" w:space="0" w:color="auto"/>
              <w:left w:val="single" w:sz="4" w:space="0" w:color="F9F9F9" w:themeColor="background1"/>
              <w:bottom w:val="single" w:sz="4" w:space="0" w:color="auto"/>
              <w:right w:val="single" w:sz="4" w:space="0" w:color="F9F9F9" w:themeColor="background1"/>
            </w:tcBorders>
            <w:shd w:val="clear" w:color="auto" w:fill="6B2876" w:themeFill="text1"/>
            <w:textDirection w:val="btLr"/>
            <w:vAlign w:val="center"/>
            <w:hideMark/>
          </w:tcPr>
          <w:p w14:paraId="1629B3FC" w14:textId="77777777" w:rsidR="0080564E" w:rsidRPr="00A33264" w:rsidRDefault="0080564E" w:rsidP="001C0A6D">
            <w:pPr>
              <w:spacing w:after="0"/>
              <w:ind w:left="113" w:right="113"/>
              <w:rPr>
                <w:b/>
                <w:color w:val="F9F9F9" w:themeColor="background1"/>
                <w:lang w:val="en-GB"/>
              </w:rPr>
            </w:pPr>
            <w:r w:rsidRPr="00A33264">
              <w:rPr>
                <w:b/>
                <w:color w:val="F9F9F9" w:themeColor="background1"/>
                <w:lang w:val="en-GB"/>
              </w:rPr>
              <w:t>Short-term benefits Base salary</w:t>
            </w:r>
          </w:p>
        </w:tc>
        <w:tc>
          <w:tcPr>
            <w:tcW w:w="992" w:type="dxa"/>
            <w:tcBorders>
              <w:top w:val="single" w:sz="4" w:space="0" w:color="auto"/>
              <w:left w:val="single" w:sz="4" w:space="0" w:color="F9F9F9" w:themeColor="background1"/>
              <w:bottom w:val="single" w:sz="4" w:space="0" w:color="auto"/>
              <w:right w:val="single" w:sz="4" w:space="0" w:color="F9F9F9" w:themeColor="background1"/>
            </w:tcBorders>
            <w:shd w:val="clear" w:color="auto" w:fill="6B2876" w:themeFill="text1"/>
            <w:textDirection w:val="btLr"/>
            <w:vAlign w:val="center"/>
            <w:hideMark/>
          </w:tcPr>
          <w:p w14:paraId="58EA9600" w14:textId="77777777" w:rsidR="0080564E" w:rsidRPr="00A33264" w:rsidRDefault="0080564E" w:rsidP="001C0A6D">
            <w:pPr>
              <w:spacing w:after="0"/>
              <w:ind w:left="113" w:right="113"/>
              <w:rPr>
                <w:b/>
                <w:color w:val="F9F9F9" w:themeColor="background1"/>
                <w:lang w:val="en-GB"/>
              </w:rPr>
            </w:pPr>
            <w:r w:rsidRPr="00A33264">
              <w:rPr>
                <w:b/>
                <w:color w:val="F9F9F9" w:themeColor="background1"/>
                <w:lang w:val="en-GB"/>
              </w:rPr>
              <w:t>Short-term benefits Bonuses</w:t>
            </w:r>
          </w:p>
        </w:tc>
        <w:tc>
          <w:tcPr>
            <w:tcW w:w="1418" w:type="dxa"/>
            <w:tcBorders>
              <w:top w:val="single" w:sz="4" w:space="0" w:color="auto"/>
              <w:left w:val="single" w:sz="4" w:space="0" w:color="F9F9F9" w:themeColor="background1"/>
              <w:bottom w:val="single" w:sz="4" w:space="0" w:color="auto"/>
              <w:right w:val="single" w:sz="4" w:space="0" w:color="F9F9F9" w:themeColor="background1"/>
            </w:tcBorders>
            <w:shd w:val="clear" w:color="auto" w:fill="6B2876" w:themeFill="text1"/>
            <w:textDirection w:val="btLr"/>
            <w:vAlign w:val="center"/>
            <w:hideMark/>
          </w:tcPr>
          <w:p w14:paraId="3A895478" w14:textId="77777777" w:rsidR="0080564E" w:rsidRPr="00A33264" w:rsidRDefault="0080564E" w:rsidP="001C0A6D">
            <w:pPr>
              <w:spacing w:after="0"/>
              <w:ind w:left="113" w:right="113"/>
              <w:rPr>
                <w:b/>
                <w:color w:val="F9F9F9" w:themeColor="background1"/>
                <w:lang w:val="en-GB"/>
              </w:rPr>
            </w:pPr>
            <w:r w:rsidRPr="00A33264">
              <w:rPr>
                <w:b/>
                <w:color w:val="F9F9F9" w:themeColor="background1"/>
                <w:lang w:val="en-GB"/>
              </w:rPr>
              <w:t>Short-term benefits Other benefits and allowances</w:t>
            </w:r>
          </w:p>
        </w:tc>
        <w:tc>
          <w:tcPr>
            <w:tcW w:w="1700" w:type="dxa"/>
            <w:tcBorders>
              <w:top w:val="single" w:sz="4" w:space="0" w:color="auto"/>
              <w:left w:val="single" w:sz="4" w:space="0" w:color="F9F9F9" w:themeColor="background1"/>
              <w:bottom w:val="single" w:sz="4" w:space="0" w:color="auto"/>
              <w:right w:val="single" w:sz="4" w:space="0" w:color="F9F9F9" w:themeColor="background1"/>
            </w:tcBorders>
            <w:shd w:val="clear" w:color="auto" w:fill="6B2876" w:themeFill="text1"/>
            <w:textDirection w:val="btLr"/>
            <w:vAlign w:val="center"/>
            <w:hideMark/>
          </w:tcPr>
          <w:p w14:paraId="417A4A99" w14:textId="77777777" w:rsidR="0080564E" w:rsidRPr="00A33264" w:rsidRDefault="0080564E" w:rsidP="001C0A6D">
            <w:pPr>
              <w:spacing w:after="0"/>
              <w:ind w:left="113" w:right="113"/>
              <w:rPr>
                <w:b/>
                <w:color w:val="F9F9F9" w:themeColor="background1"/>
                <w:lang w:val="en-GB"/>
              </w:rPr>
            </w:pPr>
            <w:r w:rsidRPr="00A33264">
              <w:rPr>
                <w:b/>
                <w:color w:val="F9F9F9" w:themeColor="background1"/>
                <w:lang w:val="en-GB"/>
              </w:rPr>
              <w:t>Post-employment benefits Superannuation contributions</w:t>
            </w:r>
          </w:p>
        </w:tc>
        <w:tc>
          <w:tcPr>
            <w:tcW w:w="992" w:type="dxa"/>
            <w:tcBorders>
              <w:top w:val="single" w:sz="4" w:space="0" w:color="auto"/>
              <w:left w:val="single" w:sz="4" w:space="0" w:color="F9F9F9" w:themeColor="background1"/>
              <w:bottom w:val="single" w:sz="4" w:space="0" w:color="auto"/>
              <w:right w:val="single" w:sz="4" w:space="0" w:color="F9F9F9" w:themeColor="background1"/>
            </w:tcBorders>
            <w:shd w:val="clear" w:color="auto" w:fill="6B2876" w:themeFill="text1"/>
            <w:textDirection w:val="btLr"/>
            <w:vAlign w:val="center"/>
            <w:hideMark/>
          </w:tcPr>
          <w:p w14:paraId="0B8CA29B" w14:textId="69A0B813" w:rsidR="0080564E" w:rsidRPr="00A33264" w:rsidRDefault="0080564E" w:rsidP="001C0A6D">
            <w:pPr>
              <w:spacing w:after="0"/>
              <w:ind w:left="113" w:right="113"/>
              <w:rPr>
                <w:b/>
                <w:color w:val="F9F9F9" w:themeColor="background1"/>
                <w:lang w:val="en-GB"/>
              </w:rPr>
            </w:pPr>
            <w:r w:rsidRPr="00A33264">
              <w:rPr>
                <w:b/>
                <w:color w:val="F9F9F9" w:themeColor="background1"/>
                <w:lang w:val="en-GB"/>
              </w:rPr>
              <w:t>Other long-term benefits</w:t>
            </w:r>
            <w:r w:rsidR="000B030C">
              <w:rPr>
                <w:b/>
                <w:color w:val="F9F9F9" w:themeColor="background1"/>
                <w:lang w:val="en-GB"/>
              </w:rPr>
              <w:t xml:space="preserve"> – </w:t>
            </w:r>
            <w:r w:rsidR="00591C73">
              <w:rPr>
                <w:b/>
                <w:color w:val="F9F9F9" w:themeColor="background1"/>
                <w:lang w:val="en-GB"/>
              </w:rPr>
              <w:t>l</w:t>
            </w:r>
            <w:r w:rsidRPr="00A33264">
              <w:rPr>
                <w:b/>
                <w:color w:val="F9F9F9" w:themeColor="background1"/>
                <w:lang w:val="en-GB"/>
              </w:rPr>
              <w:t>ong service leave</w:t>
            </w:r>
          </w:p>
        </w:tc>
        <w:tc>
          <w:tcPr>
            <w:tcW w:w="1134" w:type="dxa"/>
            <w:tcBorders>
              <w:top w:val="single" w:sz="4" w:space="0" w:color="auto"/>
              <w:left w:val="single" w:sz="4" w:space="0" w:color="F9F9F9" w:themeColor="background1"/>
              <w:bottom w:val="single" w:sz="4" w:space="0" w:color="auto"/>
              <w:right w:val="single" w:sz="4" w:space="0" w:color="F9F9F9" w:themeColor="background1"/>
            </w:tcBorders>
            <w:shd w:val="clear" w:color="auto" w:fill="6B2876" w:themeFill="text1"/>
            <w:textDirection w:val="btLr"/>
            <w:vAlign w:val="center"/>
            <w:hideMark/>
          </w:tcPr>
          <w:p w14:paraId="2D46D1AD" w14:textId="79A80B02" w:rsidR="0080564E" w:rsidRPr="00A33264" w:rsidRDefault="0080564E" w:rsidP="001C0A6D">
            <w:pPr>
              <w:spacing w:after="0"/>
              <w:ind w:left="113" w:right="113"/>
              <w:rPr>
                <w:b/>
                <w:color w:val="F9F9F9" w:themeColor="background1"/>
                <w:lang w:val="en-GB"/>
              </w:rPr>
            </w:pPr>
            <w:r w:rsidRPr="00A33264">
              <w:rPr>
                <w:b/>
                <w:color w:val="F9F9F9" w:themeColor="background1"/>
                <w:lang w:val="en-GB"/>
              </w:rPr>
              <w:t>Other long-term benefits</w:t>
            </w:r>
          </w:p>
        </w:tc>
        <w:tc>
          <w:tcPr>
            <w:tcW w:w="1134" w:type="dxa"/>
            <w:tcBorders>
              <w:top w:val="single" w:sz="4" w:space="0" w:color="auto"/>
              <w:left w:val="single" w:sz="4" w:space="0" w:color="F9F9F9" w:themeColor="background1"/>
              <w:bottom w:val="single" w:sz="4" w:space="0" w:color="auto"/>
              <w:right w:val="single" w:sz="4" w:space="0" w:color="F9F9F9" w:themeColor="background1"/>
            </w:tcBorders>
            <w:shd w:val="clear" w:color="auto" w:fill="6B2876" w:themeFill="text1"/>
            <w:textDirection w:val="btLr"/>
            <w:vAlign w:val="center"/>
            <w:hideMark/>
          </w:tcPr>
          <w:p w14:paraId="10E6AAA0" w14:textId="77777777" w:rsidR="0080564E" w:rsidRPr="00A33264" w:rsidRDefault="0080564E" w:rsidP="001C0A6D">
            <w:pPr>
              <w:spacing w:after="0"/>
              <w:ind w:left="113" w:right="113"/>
              <w:rPr>
                <w:color w:val="F9F9F9" w:themeColor="background1"/>
                <w:lang w:val="en-GB"/>
              </w:rPr>
            </w:pPr>
            <w:r w:rsidRPr="00A33264">
              <w:rPr>
                <w:b/>
                <w:color w:val="F9F9F9" w:themeColor="background1"/>
                <w:lang w:val="en-GB"/>
              </w:rPr>
              <w:t>Termination benefits</w:t>
            </w:r>
          </w:p>
        </w:tc>
        <w:tc>
          <w:tcPr>
            <w:tcW w:w="1170" w:type="dxa"/>
            <w:tcBorders>
              <w:top w:val="single" w:sz="4" w:space="0" w:color="auto"/>
              <w:left w:val="single" w:sz="4" w:space="0" w:color="F9F9F9" w:themeColor="background1"/>
              <w:bottom w:val="single" w:sz="4" w:space="0" w:color="auto"/>
              <w:right w:val="single" w:sz="4" w:space="0" w:color="auto"/>
            </w:tcBorders>
            <w:shd w:val="clear" w:color="auto" w:fill="6B2876" w:themeFill="text1"/>
            <w:textDirection w:val="btLr"/>
            <w:vAlign w:val="center"/>
            <w:hideMark/>
          </w:tcPr>
          <w:p w14:paraId="7C2C6841" w14:textId="77777777" w:rsidR="0080564E" w:rsidRPr="00A33264" w:rsidRDefault="0080564E" w:rsidP="001C0A6D">
            <w:pPr>
              <w:spacing w:after="0"/>
              <w:ind w:left="113" w:right="113"/>
              <w:rPr>
                <w:color w:val="F9F9F9" w:themeColor="background1"/>
                <w:lang w:val="en-GB"/>
              </w:rPr>
            </w:pPr>
            <w:r w:rsidRPr="00A33264">
              <w:rPr>
                <w:b/>
                <w:color w:val="F9F9F9" w:themeColor="background1"/>
                <w:lang w:val="en-GB"/>
              </w:rPr>
              <w:t>Total remuneration</w:t>
            </w:r>
          </w:p>
        </w:tc>
      </w:tr>
      <w:tr w:rsidR="0080564E" w:rsidRPr="00A33264" w14:paraId="705B28A0" w14:textId="77777777" w:rsidTr="004364A0">
        <w:trPr>
          <w:trHeight w:val="289"/>
        </w:trPr>
        <w:tc>
          <w:tcPr>
            <w:tcW w:w="2134" w:type="dxa"/>
            <w:tcBorders>
              <w:top w:val="single" w:sz="4"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320E5581" w14:textId="77777777" w:rsidR="0080564E" w:rsidRPr="00A33264" w:rsidRDefault="0080564E" w:rsidP="0080564E">
            <w:pPr>
              <w:rPr>
                <w:lang w:val="en-GB"/>
              </w:rPr>
            </w:pPr>
            <w:r w:rsidRPr="00A33264">
              <w:rPr>
                <w:lang w:val="en-GB"/>
              </w:rPr>
              <w:t>Ms Meredith Allan</w:t>
            </w:r>
          </w:p>
        </w:tc>
        <w:tc>
          <w:tcPr>
            <w:tcW w:w="1842" w:type="dxa"/>
            <w:tcBorders>
              <w:top w:val="single" w:sz="4" w:space="0" w:color="auto"/>
              <w:left w:val="single" w:sz="8" w:space="0" w:color="6B2876" w:themeColor="text1"/>
              <w:bottom w:val="single" w:sz="8" w:space="0" w:color="6B2876" w:themeColor="text1"/>
              <w:right w:val="single" w:sz="8" w:space="0" w:color="6B2876" w:themeColor="text1"/>
            </w:tcBorders>
            <w:shd w:val="clear" w:color="auto" w:fill="F7EEF7"/>
            <w:hideMark/>
          </w:tcPr>
          <w:p w14:paraId="6AF305BC" w14:textId="1C7748A0" w:rsidR="0080564E" w:rsidRPr="00A33264" w:rsidRDefault="0080564E" w:rsidP="0080564E">
            <w:pPr>
              <w:rPr>
                <w:lang w:val="en-GB"/>
              </w:rPr>
            </w:pPr>
            <w:r w:rsidRPr="00A33264">
              <w:rPr>
                <w:lang w:val="en-GB"/>
              </w:rPr>
              <w:t xml:space="preserve">Board </w:t>
            </w:r>
            <w:r w:rsidR="0001689B">
              <w:rPr>
                <w:lang w:val="en-GB"/>
              </w:rPr>
              <w:t>m</w:t>
            </w:r>
            <w:r w:rsidRPr="00A33264">
              <w:rPr>
                <w:lang w:val="en-GB"/>
              </w:rPr>
              <w:t>ember</w:t>
            </w:r>
          </w:p>
        </w:tc>
        <w:tc>
          <w:tcPr>
            <w:tcW w:w="1134" w:type="dxa"/>
            <w:tcBorders>
              <w:top w:val="single" w:sz="4" w:space="0" w:color="auto"/>
              <w:left w:val="single" w:sz="8" w:space="0" w:color="6B2876" w:themeColor="text1"/>
              <w:bottom w:val="single" w:sz="8" w:space="0" w:color="6B2876" w:themeColor="text1"/>
              <w:right w:val="single" w:sz="8" w:space="0" w:color="6B2876" w:themeColor="text1"/>
            </w:tcBorders>
            <w:shd w:val="clear" w:color="auto" w:fill="F7EEF7"/>
            <w:hideMark/>
          </w:tcPr>
          <w:p w14:paraId="082FEF44" w14:textId="77777777" w:rsidR="0080564E" w:rsidRPr="00A33264" w:rsidRDefault="0080564E" w:rsidP="00FD3D46">
            <w:pPr>
              <w:jc w:val="right"/>
              <w:rPr>
                <w:lang w:val="en-GB"/>
              </w:rPr>
            </w:pPr>
            <w:r w:rsidRPr="00A33264">
              <w:rPr>
                <w:lang w:val="en-GB"/>
              </w:rPr>
              <w:t>83,712</w:t>
            </w:r>
          </w:p>
        </w:tc>
        <w:tc>
          <w:tcPr>
            <w:tcW w:w="992" w:type="dxa"/>
            <w:tcBorders>
              <w:top w:val="single" w:sz="4" w:space="0" w:color="auto"/>
              <w:left w:val="single" w:sz="8" w:space="0" w:color="6B2876" w:themeColor="text1"/>
              <w:bottom w:val="single" w:sz="8" w:space="0" w:color="6B2876" w:themeColor="text1"/>
              <w:right w:val="single" w:sz="8" w:space="0" w:color="6B2876" w:themeColor="text1"/>
            </w:tcBorders>
            <w:shd w:val="clear" w:color="auto" w:fill="F7EEF7"/>
            <w:hideMark/>
          </w:tcPr>
          <w:p w14:paraId="31FAC1D2" w14:textId="4736885A" w:rsidR="0080564E" w:rsidRPr="00A33264" w:rsidRDefault="0080564E" w:rsidP="00FD3D46">
            <w:pPr>
              <w:jc w:val="right"/>
              <w:rPr>
                <w:lang w:val="en-GB"/>
              </w:rPr>
            </w:pPr>
            <w:r w:rsidRPr="00A33264">
              <w:rPr>
                <w:lang w:val="en-GB"/>
              </w:rPr>
              <w:t>0</w:t>
            </w:r>
          </w:p>
        </w:tc>
        <w:tc>
          <w:tcPr>
            <w:tcW w:w="1418" w:type="dxa"/>
            <w:tcBorders>
              <w:top w:val="single" w:sz="4" w:space="0" w:color="auto"/>
              <w:left w:val="single" w:sz="8" w:space="0" w:color="6B2876" w:themeColor="text1"/>
              <w:bottom w:val="single" w:sz="8" w:space="0" w:color="6B2876" w:themeColor="text1"/>
              <w:right w:val="single" w:sz="8" w:space="0" w:color="6B2876" w:themeColor="text1"/>
            </w:tcBorders>
            <w:shd w:val="clear" w:color="auto" w:fill="F7EEF7"/>
            <w:hideMark/>
          </w:tcPr>
          <w:p w14:paraId="7BEA5F04" w14:textId="6986DF26" w:rsidR="0080564E" w:rsidRPr="00A33264" w:rsidRDefault="0080564E" w:rsidP="00FD3D46">
            <w:pPr>
              <w:jc w:val="right"/>
              <w:rPr>
                <w:lang w:val="en-GB"/>
              </w:rPr>
            </w:pPr>
            <w:r w:rsidRPr="00A33264">
              <w:rPr>
                <w:lang w:val="en-GB"/>
              </w:rPr>
              <w:t>0</w:t>
            </w:r>
          </w:p>
        </w:tc>
        <w:tc>
          <w:tcPr>
            <w:tcW w:w="1700" w:type="dxa"/>
            <w:tcBorders>
              <w:top w:val="single" w:sz="4" w:space="0" w:color="auto"/>
              <w:left w:val="single" w:sz="8" w:space="0" w:color="6B2876" w:themeColor="text1"/>
              <w:bottom w:val="single" w:sz="8" w:space="0" w:color="6B2876" w:themeColor="text1"/>
              <w:right w:val="single" w:sz="8" w:space="0" w:color="6B2876" w:themeColor="text1"/>
            </w:tcBorders>
            <w:shd w:val="clear" w:color="auto" w:fill="F7EEF7"/>
            <w:hideMark/>
          </w:tcPr>
          <w:p w14:paraId="694C1277" w14:textId="74EE6BDF" w:rsidR="0080564E" w:rsidRPr="00A33264" w:rsidRDefault="0080564E" w:rsidP="00FD3D46">
            <w:pPr>
              <w:jc w:val="right"/>
              <w:rPr>
                <w:lang w:val="en-GB"/>
              </w:rPr>
            </w:pPr>
            <w:r w:rsidRPr="00A33264">
              <w:rPr>
                <w:lang w:val="en-GB"/>
              </w:rPr>
              <w:t>12,89</w:t>
            </w:r>
            <w:r w:rsidR="009023D0">
              <w:rPr>
                <w:lang w:val="en-GB"/>
              </w:rPr>
              <w:t>1</w:t>
            </w:r>
          </w:p>
        </w:tc>
        <w:tc>
          <w:tcPr>
            <w:tcW w:w="992" w:type="dxa"/>
            <w:tcBorders>
              <w:top w:val="single" w:sz="4" w:space="0" w:color="auto"/>
              <w:left w:val="single" w:sz="8" w:space="0" w:color="6B2876" w:themeColor="text1"/>
              <w:bottom w:val="single" w:sz="8" w:space="0" w:color="6B2876" w:themeColor="text1"/>
              <w:right w:val="single" w:sz="8" w:space="0" w:color="6B2876" w:themeColor="text1"/>
            </w:tcBorders>
            <w:shd w:val="clear" w:color="auto" w:fill="F7EEF7"/>
            <w:hideMark/>
          </w:tcPr>
          <w:p w14:paraId="266D3C5E" w14:textId="05FCBD34" w:rsidR="0080564E" w:rsidRPr="00A33264" w:rsidRDefault="0080564E" w:rsidP="00FD3D46">
            <w:pPr>
              <w:jc w:val="right"/>
              <w:rPr>
                <w:lang w:val="en-GB"/>
              </w:rPr>
            </w:pPr>
            <w:r w:rsidRPr="00A33264">
              <w:rPr>
                <w:lang w:val="en-GB"/>
              </w:rPr>
              <w:t>0</w:t>
            </w:r>
          </w:p>
        </w:tc>
        <w:tc>
          <w:tcPr>
            <w:tcW w:w="1134" w:type="dxa"/>
            <w:tcBorders>
              <w:top w:val="single" w:sz="4" w:space="0" w:color="auto"/>
              <w:left w:val="single" w:sz="8" w:space="0" w:color="6B2876" w:themeColor="text1"/>
              <w:bottom w:val="single" w:sz="8" w:space="0" w:color="6B2876" w:themeColor="text1"/>
              <w:right w:val="single" w:sz="8" w:space="0" w:color="6B2876" w:themeColor="text1"/>
            </w:tcBorders>
            <w:shd w:val="clear" w:color="auto" w:fill="F7EEF7"/>
            <w:hideMark/>
          </w:tcPr>
          <w:p w14:paraId="47B1B385" w14:textId="4B2B87F5" w:rsidR="0080564E" w:rsidRPr="00A33264" w:rsidRDefault="0080564E" w:rsidP="00FD3D46">
            <w:pPr>
              <w:jc w:val="right"/>
              <w:rPr>
                <w:lang w:val="en-GB"/>
              </w:rPr>
            </w:pPr>
            <w:r w:rsidRPr="00A33264">
              <w:rPr>
                <w:lang w:val="en-GB"/>
              </w:rPr>
              <w:t>0</w:t>
            </w:r>
          </w:p>
        </w:tc>
        <w:tc>
          <w:tcPr>
            <w:tcW w:w="1134" w:type="dxa"/>
            <w:tcBorders>
              <w:top w:val="single" w:sz="4" w:space="0" w:color="auto"/>
              <w:left w:val="single" w:sz="8" w:space="0" w:color="6B2876" w:themeColor="text1"/>
              <w:bottom w:val="single" w:sz="8" w:space="0" w:color="6B2876" w:themeColor="text1"/>
              <w:right w:val="single" w:sz="8" w:space="0" w:color="6B2876" w:themeColor="text1"/>
            </w:tcBorders>
            <w:shd w:val="clear" w:color="auto" w:fill="F7EEF7"/>
            <w:hideMark/>
          </w:tcPr>
          <w:p w14:paraId="0740D933" w14:textId="1FD2632C" w:rsidR="0080564E" w:rsidRPr="00A33264" w:rsidRDefault="0080564E" w:rsidP="00FD3D46">
            <w:pPr>
              <w:jc w:val="right"/>
              <w:rPr>
                <w:lang w:val="en-GB"/>
              </w:rPr>
            </w:pPr>
            <w:r w:rsidRPr="00A33264">
              <w:rPr>
                <w:lang w:val="en-GB"/>
              </w:rPr>
              <w:t>0</w:t>
            </w:r>
          </w:p>
        </w:tc>
        <w:tc>
          <w:tcPr>
            <w:tcW w:w="1170" w:type="dxa"/>
            <w:tcBorders>
              <w:top w:val="single" w:sz="4" w:space="0" w:color="auto"/>
              <w:left w:val="single" w:sz="8" w:space="0" w:color="6B2876" w:themeColor="text1"/>
              <w:bottom w:val="single" w:sz="8" w:space="0" w:color="6B2876" w:themeColor="text1"/>
              <w:right w:val="single" w:sz="8" w:space="0" w:color="6B2876" w:themeColor="text1"/>
            </w:tcBorders>
            <w:shd w:val="clear" w:color="auto" w:fill="F7EEF7"/>
            <w:hideMark/>
          </w:tcPr>
          <w:p w14:paraId="5DD931DF" w14:textId="77777777" w:rsidR="0080564E" w:rsidRPr="00A33264" w:rsidRDefault="0080564E" w:rsidP="00FD3D46">
            <w:pPr>
              <w:jc w:val="right"/>
              <w:rPr>
                <w:b/>
                <w:bCs/>
                <w:lang w:val="en-GB"/>
              </w:rPr>
            </w:pPr>
            <w:r w:rsidRPr="00A33264">
              <w:rPr>
                <w:lang w:val="en-GB"/>
              </w:rPr>
              <w:t>96,603</w:t>
            </w:r>
          </w:p>
        </w:tc>
      </w:tr>
      <w:tr w:rsidR="0080564E" w:rsidRPr="00A33264" w14:paraId="3A9F050F" w14:textId="77777777" w:rsidTr="004364A0">
        <w:trPr>
          <w:trHeight w:val="289"/>
        </w:trPr>
        <w:tc>
          <w:tcPr>
            <w:tcW w:w="2134"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7432828D" w14:textId="77777777" w:rsidR="0080564E" w:rsidRPr="00A33264" w:rsidRDefault="0080564E" w:rsidP="0080564E">
            <w:pPr>
              <w:rPr>
                <w:lang w:val="en-GB"/>
              </w:rPr>
            </w:pPr>
            <w:r w:rsidRPr="00A33264">
              <w:rPr>
                <w:lang w:val="en-GB"/>
              </w:rPr>
              <w:t xml:space="preserve">Mr John Dardaneliotis </w:t>
            </w:r>
          </w:p>
        </w:tc>
        <w:tc>
          <w:tcPr>
            <w:tcW w:w="1842"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50C741F3" w14:textId="77777777" w:rsidR="0080564E" w:rsidRPr="00A33264" w:rsidRDefault="0080564E" w:rsidP="0080564E">
            <w:pPr>
              <w:rPr>
                <w:lang w:val="en-GB"/>
              </w:rPr>
            </w:pPr>
            <w:r w:rsidRPr="00A33264">
              <w:rPr>
                <w:lang w:val="en-GB"/>
              </w:rPr>
              <w:t>Deputy CEO Integrity Transformation and Fraud Fusion Taskforce</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0739E252" w14:textId="77777777" w:rsidR="0080564E" w:rsidRPr="00A33264" w:rsidRDefault="0080564E" w:rsidP="00FD3D46">
            <w:pPr>
              <w:jc w:val="right"/>
              <w:rPr>
                <w:lang w:val="en-GB"/>
              </w:rPr>
            </w:pPr>
            <w:r w:rsidRPr="00A33264">
              <w:rPr>
                <w:lang w:val="en-GB"/>
              </w:rPr>
              <w:t>441,250</w:t>
            </w:r>
          </w:p>
        </w:tc>
        <w:tc>
          <w:tcPr>
            <w:tcW w:w="992"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52AC0B80" w14:textId="7F117210" w:rsidR="0080564E" w:rsidRPr="00A33264" w:rsidRDefault="0080564E" w:rsidP="00FD3D46">
            <w:pPr>
              <w:jc w:val="right"/>
              <w:rPr>
                <w:lang w:val="en-GB"/>
              </w:rPr>
            </w:pPr>
            <w:r w:rsidRPr="00A33264">
              <w:rPr>
                <w:lang w:val="en-GB"/>
              </w:rPr>
              <w:t>0</w:t>
            </w:r>
          </w:p>
        </w:tc>
        <w:tc>
          <w:tcPr>
            <w:tcW w:w="1418"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2D4211AE" w14:textId="79AD48DD" w:rsidR="0080564E" w:rsidRPr="00A33264" w:rsidRDefault="0080564E" w:rsidP="00FD3D46">
            <w:pPr>
              <w:jc w:val="right"/>
              <w:rPr>
                <w:lang w:val="en-GB"/>
              </w:rPr>
            </w:pPr>
            <w:r w:rsidRPr="00A33264">
              <w:rPr>
                <w:lang w:val="en-GB"/>
              </w:rPr>
              <w:t>2,64</w:t>
            </w:r>
            <w:r w:rsidR="009023D0">
              <w:rPr>
                <w:lang w:val="en-GB"/>
              </w:rPr>
              <w:t>3</w:t>
            </w:r>
          </w:p>
        </w:tc>
        <w:tc>
          <w:tcPr>
            <w:tcW w:w="1700"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5AAD146E" w14:textId="77777777" w:rsidR="0080564E" w:rsidRPr="00A33264" w:rsidRDefault="0080564E" w:rsidP="00FD3D46">
            <w:pPr>
              <w:jc w:val="right"/>
              <w:rPr>
                <w:lang w:val="en-GB"/>
              </w:rPr>
            </w:pPr>
            <w:r w:rsidRPr="00A33264">
              <w:rPr>
                <w:lang w:val="en-GB"/>
              </w:rPr>
              <w:t>76,112</w:t>
            </w:r>
          </w:p>
        </w:tc>
        <w:tc>
          <w:tcPr>
            <w:tcW w:w="992"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3CF5A018" w14:textId="77777777" w:rsidR="0080564E" w:rsidRPr="00A33264" w:rsidRDefault="0080564E" w:rsidP="00FD3D46">
            <w:pPr>
              <w:jc w:val="right"/>
              <w:rPr>
                <w:lang w:val="en-GB"/>
              </w:rPr>
            </w:pPr>
            <w:r w:rsidRPr="00A33264">
              <w:rPr>
                <w:lang w:val="en-GB"/>
              </w:rPr>
              <w:t>10,878</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360B9448" w14:textId="3832C178" w:rsidR="0080564E" w:rsidRPr="00A33264" w:rsidRDefault="0080564E" w:rsidP="00FD3D46">
            <w:pPr>
              <w:jc w:val="right"/>
              <w:rPr>
                <w:lang w:val="en-GB"/>
              </w:rPr>
            </w:pPr>
            <w:r w:rsidRPr="00A33264">
              <w:rPr>
                <w:lang w:val="en-GB"/>
              </w:rPr>
              <w:t>0</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754466A5" w14:textId="7C2D27A7" w:rsidR="0080564E" w:rsidRPr="00A33264" w:rsidRDefault="0080564E" w:rsidP="00FD3D46">
            <w:pPr>
              <w:jc w:val="right"/>
              <w:rPr>
                <w:lang w:val="en-GB"/>
              </w:rPr>
            </w:pPr>
            <w:r w:rsidRPr="00A33264">
              <w:rPr>
                <w:lang w:val="en-GB"/>
              </w:rPr>
              <w:t>0</w:t>
            </w:r>
          </w:p>
        </w:tc>
        <w:tc>
          <w:tcPr>
            <w:tcW w:w="1170"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5C22B5A3" w14:textId="77777777" w:rsidR="0080564E" w:rsidRPr="00A33264" w:rsidRDefault="0080564E" w:rsidP="00FD3D46">
            <w:pPr>
              <w:jc w:val="right"/>
              <w:rPr>
                <w:b/>
                <w:bCs/>
                <w:lang w:val="en-GB"/>
              </w:rPr>
            </w:pPr>
            <w:r w:rsidRPr="00A33264">
              <w:rPr>
                <w:lang w:val="en-GB"/>
              </w:rPr>
              <w:t>530,883</w:t>
            </w:r>
          </w:p>
        </w:tc>
      </w:tr>
      <w:tr w:rsidR="0080564E" w:rsidRPr="00A33264" w14:paraId="2228C89B" w14:textId="77777777" w:rsidTr="004364A0">
        <w:trPr>
          <w:trHeight w:val="289"/>
        </w:trPr>
        <w:tc>
          <w:tcPr>
            <w:tcW w:w="2134"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0191D7EF" w14:textId="41DAA29D" w:rsidR="0080564E" w:rsidRPr="00A33264" w:rsidRDefault="0080564E" w:rsidP="0080564E">
            <w:pPr>
              <w:rPr>
                <w:lang w:val="en-GB"/>
              </w:rPr>
            </w:pPr>
            <w:r w:rsidRPr="00A33264">
              <w:rPr>
                <w:lang w:val="en-GB"/>
              </w:rPr>
              <w:t xml:space="preserve">Mr Asimakis </w:t>
            </w:r>
            <w:r w:rsidR="009023D0">
              <w:rPr>
                <w:lang w:val="en-GB"/>
              </w:rPr>
              <w:t xml:space="preserve">(Mark) </w:t>
            </w:r>
            <w:r w:rsidRPr="00A33264">
              <w:rPr>
                <w:lang w:val="en-GB"/>
              </w:rPr>
              <w:t>Darras</w:t>
            </w:r>
          </w:p>
        </w:tc>
        <w:tc>
          <w:tcPr>
            <w:tcW w:w="1842"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5315AA3D" w14:textId="4431482C" w:rsidR="0080564E" w:rsidRPr="00A33264" w:rsidRDefault="0080564E" w:rsidP="0080564E">
            <w:pPr>
              <w:rPr>
                <w:lang w:val="en-GB"/>
              </w:rPr>
            </w:pPr>
            <w:r w:rsidRPr="00A33264">
              <w:rPr>
                <w:lang w:val="en-GB"/>
              </w:rPr>
              <w:t xml:space="preserve">Board </w:t>
            </w:r>
            <w:r w:rsidR="00BF6B6E">
              <w:rPr>
                <w:lang w:val="en-GB"/>
              </w:rPr>
              <w:t>m</w:t>
            </w:r>
            <w:r w:rsidRPr="00A33264">
              <w:rPr>
                <w:lang w:val="en-GB"/>
              </w:rPr>
              <w:t>ember</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0130CBC5" w14:textId="77777777" w:rsidR="0080564E" w:rsidRPr="00A33264" w:rsidRDefault="0080564E" w:rsidP="00FD3D46">
            <w:pPr>
              <w:jc w:val="right"/>
              <w:rPr>
                <w:lang w:val="en-GB"/>
              </w:rPr>
            </w:pPr>
            <w:r w:rsidRPr="00A33264">
              <w:rPr>
                <w:lang w:val="en-GB"/>
              </w:rPr>
              <w:t>47,720</w:t>
            </w:r>
          </w:p>
        </w:tc>
        <w:tc>
          <w:tcPr>
            <w:tcW w:w="992"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4805E8D5" w14:textId="3FED8FF1" w:rsidR="0080564E" w:rsidRPr="00A33264" w:rsidRDefault="0080564E" w:rsidP="00FD3D46">
            <w:pPr>
              <w:jc w:val="right"/>
              <w:rPr>
                <w:lang w:val="en-GB"/>
              </w:rPr>
            </w:pPr>
            <w:r w:rsidRPr="00A33264">
              <w:rPr>
                <w:lang w:val="en-GB"/>
              </w:rPr>
              <w:t>0</w:t>
            </w:r>
          </w:p>
        </w:tc>
        <w:tc>
          <w:tcPr>
            <w:tcW w:w="1418"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25C209ED" w14:textId="6BE8037E" w:rsidR="0080564E" w:rsidRPr="00A33264" w:rsidRDefault="0080564E" w:rsidP="00FD3D46">
            <w:pPr>
              <w:jc w:val="right"/>
              <w:rPr>
                <w:lang w:val="en-GB"/>
              </w:rPr>
            </w:pPr>
            <w:r w:rsidRPr="00A33264">
              <w:rPr>
                <w:lang w:val="en-GB"/>
              </w:rPr>
              <w:t>0</w:t>
            </w:r>
          </w:p>
        </w:tc>
        <w:tc>
          <w:tcPr>
            <w:tcW w:w="1700"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2003802C" w14:textId="77777777" w:rsidR="0080564E" w:rsidRPr="00A33264" w:rsidRDefault="0080564E" w:rsidP="00FD3D46">
            <w:pPr>
              <w:jc w:val="right"/>
              <w:rPr>
                <w:lang w:val="en-GB"/>
              </w:rPr>
            </w:pPr>
            <w:r w:rsidRPr="00A33264">
              <w:rPr>
                <w:lang w:val="en-GB"/>
              </w:rPr>
              <w:t>6,931</w:t>
            </w:r>
          </w:p>
        </w:tc>
        <w:tc>
          <w:tcPr>
            <w:tcW w:w="992"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4158DEDE" w14:textId="70608E38" w:rsidR="0080564E" w:rsidRPr="00A33264" w:rsidRDefault="0080564E" w:rsidP="00FD3D46">
            <w:pPr>
              <w:jc w:val="right"/>
              <w:rPr>
                <w:lang w:val="en-GB"/>
              </w:rPr>
            </w:pPr>
            <w:r w:rsidRPr="00A33264">
              <w:rPr>
                <w:lang w:val="en-GB"/>
              </w:rPr>
              <w:t>0</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096ABE0C" w14:textId="48B51DCB" w:rsidR="0080564E" w:rsidRPr="00A33264" w:rsidRDefault="0080564E" w:rsidP="00FD3D46">
            <w:pPr>
              <w:jc w:val="right"/>
              <w:rPr>
                <w:lang w:val="en-GB"/>
              </w:rPr>
            </w:pPr>
            <w:r w:rsidRPr="00A33264">
              <w:rPr>
                <w:lang w:val="en-GB"/>
              </w:rPr>
              <w:t>0</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5F098C34" w14:textId="6CD8C4BB" w:rsidR="0080564E" w:rsidRPr="00A33264" w:rsidRDefault="0080564E" w:rsidP="00FD3D46">
            <w:pPr>
              <w:jc w:val="right"/>
              <w:rPr>
                <w:lang w:val="en-GB"/>
              </w:rPr>
            </w:pPr>
            <w:r w:rsidRPr="00A33264">
              <w:rPr>
                <w:lang w:val="en-GB"/>
              </w:rPr>
              <w:t>0</w:t>
            </w:r>
          </w:p>
        </w:tc>
        <w:tc>
          <w:tcPr>
            <w:tcW w:w="1170"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0C54896D" w14:textId="77777777" w:rsidR="0080564E" w:rsidRPr="00A33264" w:rsidRDefault="0080564E" w:rsidP="00FD3D46">
            <w:pPr>
              <w:jc w:val="right"/>
              <w:rPr>
                <w:b/>
                <w:bCs/>
                <w:lang w:val="en-GB"/>
              </w:rPr>
            </w:pPr>
            <w:r w:rsidRPr="00A33264">
              <w:rPr>
                <w:lang w:val="en-GB"/>
              </w:rPr>
              <w:t>54,651</w:t>
            </w:r>
          </w:p>
        </w:tc>
      </w:tr>
      <w:tr w:rsidR="0080564E" w:rsidRPr="00A33264" w14:paraId="03287BC1" w14:textId="77777777" w:rsidTr="004364A0">
        <w:trPr>
          <w:trHeight w:val="289"/>
        </w:trPr>
        <w:tc>
          <w:tcPr>
            <w:tcW w:w="2134"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11A4AA05" w14:textId="77777777" w:rsidR="0080564E" w:rsidRPr="00A33264" w:rsidRDefault="0080564E" w:rsidP="0080564E">
            <w:pPr>
              <w:rPr>
                <w:lang w:val="en-GB"/>
              </w:rPr>
            </w:pPr>
            <w:r w:rsidRPr="00A33264">
              <w:rPr>
                <w:lang w:val="en-GB"/>
              </w:rPr>
              <w:lastRenderedPageBreak/>
              <w:t>Ms Maryanne Diamond AO</w:t>
            </w:r>
          </w:p>
        </w:tc>
        <w:tc>
          <w:tcPr>
            <w:tcW w:w="1842"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751B2EC5" w14:textId="77E7B050" w:rsidR="0080564E" w:rsidRPr="00A33264" w:rsidRDefault="0080564E" w:rsidP="0080564E">
            <w:pPr>
              <w:rPr>
                <w:lang w:val="en-GB"/>
              </w:rPr>
            </w:pPr>
            <w:r w:rsidRPr="00A33264">
              <w:rPr>
                <w:lang w:val="en-GB"/>
              </w:rPr>
              <w:t xml:space="preserve">Board </w:t>
            </w:r>
            <w:r w:rsidR="00BF6B6E">
              <w:rPr>
                <w:lang w:val="en-GB"/>
              </w:rPr>
              <w:t>m</w:t>
            </w:r>
            <w:r w:rsidRPr="00A33264">
              <w:rPr>
                <w:lang w:val="en-GB"/>
              </w:rPr>
              <w:t>ember</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2EDE3B2C" w14:textId="77777777" w:rsidR="0080564E" w:rsidRPr="00A33264" w:rsidRDefault="0080564E" w:rsidP="00FD3D46">
            <w:pPr>
              <w:jc w:val="right"/>
              <w:rPr>
                <w:lang w:val="en-GB"/>
              </w:rPr>
            </w:pPr>
            <w:r w:rsidRPr="00A33264">
              <w:rPr>
                <w:lang w:val="en-GB"/>
              </w:rPr>
              <w:t>83,664</w:t>
            </w:r>
          </w:p>
        </w:tc>
        <w:tc>
          <w:tcPr>
            <w:tcW w:w="992"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1E90C75A" w14:textId="0606ABBC" w:rsidR="0080564E" w:rsidRPr="00A33264" w:rsidRDefault="0080564E" w:rsidP="00FD3D46">
            <w:pPr>
              <w:jc w:val="right"/>
              <w:rPr>
                <w:lang w:val="en-GB"/>
              </w:rPr>
            </w:pPr>
            <w:r w:rsidRPr="00A33264">
              <w:rPr>
                <w:lang w:val="en-GB"/>
              </w:rPr>
              <w:t>0</w:t>
            </w:r>
          </w:p>
        </w:tc>
        <w:tc>
          <w:tcPr>
            <w:tcW w:w="1418"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333C7C4C" w14:textId="4925463F" w:rsidR="0080564E" w:rsidRPr="00A33264" w:rsidRDefault="0080564E" w:rsidP="00FD3D46">
            <w:pPr>
              <w:jc w:val="right"/>
              <w:rPr>
                <w:lang w:val="en-GB"/>
              </w:rPr>
            </w:pPr>
            <w:r w:rsidRPr="00A33264">
              <w:rPr>
                <w:lang w:val="en-GB"/>
              </w:rPr>
              <w:t>0</w:t>
            </w:r>
          </w:p>
        </w:tc>
        <w:tc>
          <w:tcPr>
            <w:tcW w:w="1700"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327936B8" w14:textId="77777777" w:rsidR="0080564E" w:rsidRPr="00A33264" w:rsidRDefault="0080564E" w:rsidP="00FD3D46">
            <w:pPr>
              <w:jc w:val="right"/>
              <w:rPr>
                <w:lang w:val="en-GB"/>
              </w:rPr>
            </w:pPr>
            <w:r w:rsidRPr="00A33264">
              <w:rPr>
                <w:lang w:val="en-GB"/>
              </w:rPr>
              <w:t>12,840</w:t>
            </w:r>
          </w:p>
        </w:tc>
        <w:tc>
          <w:tcPr>
            <w:tcW w:w="992"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6F34F2C7" w14:textId="13455720" w:rsidR="0080564E" w:rsidRPr="00A33264" w:rsidRDefault="0080564E" w:rsidP="00FD3D46">
            <w:pPr>
              <w:jc w:val="right"/>
              <w:rPr>
                <w:lang w:val="en-GB"/>
              </w:rPr>
            </w:pPr>
            <w:r w:rsidRPr="00A33264">
              <w:rPr>
                <w:lang w:val="en-GB"/>
              </w:rPr>
              <w:t>0</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5D52B680" w14:textId="55B90209" w:rsidR="0080564E" w:rsidRPr="00A33264" w:rsidRDefault="0080564E" w:rsidP="00FD3D46">
            <w:pPr>
              <w:jc w:val="right"/>
              <w:rPr>
                <w:lang w:val="en-GB"/>
              </w:rPr>
            </w:pPr>
            <w:r w:rsidRPr="00A33264">
              <w:rPr>
                <w:lang w:val="en-GB"/>
              </w:rPr>
              <w:t>0</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4930303B" w14:textId="481FA0C7" w:rsidR="0080564E" w:rsidRPr="00A33264" w:rsidRDefault="0080564E" w:rsidP="00FD3D46">
            <w:pPr>
              <w:jc w:val="right"/>
              <w:rPr>
                <w:lang w:val="en-GB"/>
              </w:rPr>
            </w:pPr>
            <w:r w:rsidRPr="00A33264">
              <w:rPr>
                <w:lang w:val="en-GB"/>
              </w:rPr>
              <w:t>0</w:t>
            </w:r>
          </w:p>
        </w:tc>
        <w:tc>
          <w:tcPr>
            <w:tcW w:w="1170"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58B71835" w14:textId="77777777" w:rsidR="0080564E" w:rsidRPr="00A33264" w:rsidRDefault="0080564E" w:rsidP="00FD3D46">
            <w:pPr>
              <w:jc w:val="right"/>
              <w:rPr>
                <w:b/>
                <w:bCs/>
                <w:lang w:val="en-GB"/>
              </w:rPr>
            </w:pPr>
            <w:r w:rsidRPr="00A33264">
              <w:rPr>
                <w:lang w:val="en-GB"/>
              </w:rPr>
              <w:t>96,504</w:t>
            </w:r>
          </w:p>
        </w:tc>
      </w:tr>
      <w:tr w:rsidR="0080564E" w:rsidRPr="00A33264" w14:paraId="527150F0" w14:textId="77777777" w:rsidTr="004364A0">
        <w:trPr>
          <w:trHeight w:val="289"/>
        </w:trPr>
        <w:tc>
          <w:tcPr>
            <w:tcW w:w="2134"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43204E11" w14:textId="77777777" w:rsidR="0080564E" w:rsidRPr="00A33264" w:rsidRDefault="0080564E" w:rsidP="0080564E">
            <w:pPr>
              <w:rPr>
                <w:lang w:val="en-GB"/>
              </w:rPr>
            </w:pPr>
            <w:r w:rsidRPr="00A33264">
              <w:rPr>
                <w:lang w:val="en-GB"/>
              </w:rPr>
              <w:t>Ms Rebecca Falkingham PSM</w:t>
            </w:r>
          </w:p>
        </w:tc>
        <w:tc>
          <w:tcPr>
            <w:tcW w:w="1842"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495FA96F" w14:textId="77777777" w:rsidR="0080564E" w:rsidRPr="00A33264" w:rsidRDefault="0080564E" w:rsidP="0080564E">
            <w:pPr>
              <w:rPr>
                <w:lang w:val="en-GB"/>
              </w:rPr>
            </w:pPr>
            <w:r w:rsidRPr="00A33264">
              <w:rPr>
                <w:lang w:val="en-GB"/>
              </w:rPr>
              <w:t>Chief Executive Officer</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75F3EE33" w14:textId="77777777" w:rsidR="0080564E" w:rsidRPr="00A33264" w:rsidRDefault="0080564E" w:rsidP="00FD3D46">
            <w:pPr>
              <w:jc w:val="right"/>
              <w:rPr>
                <w:lang w:val="en-GB"/>
              </w:rPr>
            </w:pPr>
            <w:r w:rsidRPr="00A33264">
              <w:rPr>
                <w:lang w:val="en-GB"/>
              </w:rPr>
              <w:t>763,172</w:t>
            </w:r>
          </w:p>
        </w:tc>
        <w:tc>
          <w:tcPr>
            <w:tcW w:w="992"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2A06036E" w14:textId="14AA6A2B" w:rsidR="0080564E" w:rsidRPr="00A33264" w:rsidRDefault="0080564E" w:rsidP="00FD3D46">
            <w:pPr>
              <w:jc w:val="right"/>
              <w:rPr>
                <w:lang w:val="en-GB"/>
              </w:rPr>
            </w:pPr>
            <w:r w:rsidRPr="00A33264">
              <w:rPr>
                <w:lang w:val="en-GB"/>
              </w:rPr>
              <w:t>0</w:t>
            </w:r>
          </w:p>
        </w:tc>
        <w:tc>
          <w:tcPr>
            <w:tcW w:w="1418"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43BE51D3" w14:textId="2A77D21C" w:rsidR="0080564E" w:rsidRPr="00A33264" w:rsidRDefault="0080564E" w:rsidP="00FD3D46">
            <w:pPr>
              <w:jc w:val="right"/>
              <w:rPr>
                <w:lang w:val="en-GB"/>
              </w:rPr>
            </w:pPr>
            <w:r w:rsidRPr="00A33264">
              <w:rPr>
                <w:lang w:val="en-GB"/>
              </w:rPr>
              <w:t>0</w:t>
            </w:r>
          </w:p>
        </w:tc>
        <w:tc>
          <w:tcPr>
            <w:tcW w:w="1700"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7755F4B3" w14:textId="77777777" w:rsidR="0080564E" w:rsidRPr="00A33264" w:rsidRDefault="0080564E" w:rsidP="00FD3D46">
            <w:pPr>
              <w:jc w:val="right"/>
              <w:rPr>
                <w:lang w:val="en-GB"/>
              </w:rPr>
            </w:pPr>
            <w:r w:rsidRPr="00A33264">
              <w:rPr>
                <w:lang w:val="en-GB"/>
              </w:rPr>
              <w:t>27,467</w:t>
            </w:r>
          </w:p>
        </w:tc>
        <w:tc>
          <w:tcPr>
            <w:tcW w:w="992"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37996A31" w14:textId="77777777" w:rsidR="0080564E" w:rsidRPr="00A33264" w:rsidRDefault="0080564E" w:rsidP="00FD3D46">
            <w:pPr>
              <w:jc w:val="right"/>
              <w:rPr>
                <w:lang w:val="en-GB"/>
              </w:rPr>
            </w:pPr>
            <w:r w:rsidRPr="00A33264">
              <w:rPr>
                <w:lang w:val="en-GB"/>
              </w:rPr>
              <w:t>18,050</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138BBAB0" w14:textId="6EA35B9C" w:rsidR="0080564E" w:rsidRPr="00A33264" w:rsidRDefault="0080564E" w:rsidP="00FD3D46">
            <w:pPr>
              <w:jc w:val="right"/>
              <w:rPr>
                <w:lang w:val="en-GB"/>
              </w:rPr>
            </w:pPr>
            <w:r w:rsidRPr="00A33264">
              <w:rPr>
                <w:lang w:val="en-GB"/>
              </w:rPr>
              <w:t>0</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7285A017" w14:textId="72081B12" w:rsidR="0080564E" w:rsidRPr="00A33264" w:rsidRDefault="0080564E" w:rsidP="00FD3D46">
            <w:pPr>
              <w:jc w:val="right"/>
              <w:rPr>
                <w:lang w:val="en-GB"/>
              </w:rPr>
            </w:pPr>
            <w:r w:rsidRPr="00A33264">
              <w:rPr>
                <w:lang w:val="en-GB"/>
              </w:rPr>
              <w:t>0</w:t>
            </w:r>
          </w:p>
        </w:tc>
        <w:tc>
          <w:tcPr>
            <w:tcW w:w="1170"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0B5B8E5E" w14:textId="77777777" w:rsidR="0080564E" w:rsidRPr="00A33264" w:rsidRDefault="0080564E" w:rsidP="00FD3D46">
            <w:pPr>
              <w:jc w:val="right"/>
              <w:rPr>
                <w:b/>
                <w:bCs/>
                <w:lang w:val="en-GB"/>
              </w:rPr>
            </w:pPr>
            <w:r w:rsidRPr="00A33264">
              <w:rPr>
                <w:lang w:val="en-GB"/>
              </w:rPr>
              <w:t>808,689</w:t>
            </w:r>
          </w:p>
        </w:tc>
      </w:tr>
      <w:tr w:rsidR="0080564E" w:rsidRPr="00A33264" w14:paraId="6199434A" w14:textId="77777777" w:rsidTr="004364A0">
        <w:trPr>
          <w:trHeight w:val="289"/>
        </w:trPr>
        <w:tc>
          <w:tcPr>
            <w:tcW w:w="2134"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603AE825" w14:textId="77777777" w:rsidR="0080564E" w:rsidRPr="00A33264" w:rsidRDefault="0080564E" w:rsidP="0080564E">
            <w:pPr>
              <w:rPr>
                <w:lang w:val="en-GB"/>
              </w:rPr>
            </w:pPr>
            <w:r w:rsidRPr="00A33264">
              <w:rPr>
                <w:lang w:val="en-GB"/>
              </w:rPr>
              <w:t>Mr Kurt Fearnley AO</w:t>
            </w:r>
          </w:p>
        </w:tc>
        <w:tc>
          <w:tcPr>
            <w:tcW w:w="1842"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4EE8AEEE" w14:textId="07D1340F" w:rsidR="0080564E" w:rsidRPr="00A33264" w:rsidRDefault="009023D0" w:rsidP="0080564E">
            <w:pPr>
              <w:rPr>
                <w:lang w:val="en-GB"/>
              </w:rPr>
            </w:pPr>
            <w:r>
              <w:rPr>
                <w:lang w:val="en-GB"/>
              </w:rPr>
              <w:t>Chair</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4F8BB1FB" w14:textId="77777777" w:rsidR="0080564E" w:rsidRPr="00A33264" w:rsidRDefault="0080564E" w:rsidP="00FD3D46">
            <w:pPr>
              <w:jc w:val="right"/>
              <w:rPr>
                <w:lang w:val="en-GB"/>
              </w:rPr>
            </w:pPr>
            <w:r w:rsidRPr="00A33264">
              <w:rPr>
                <w:lang w:val="en-GB"/>
              </w:rPr>
              <w:t>149,765</w:t>
            </w:r>
          </w:p>
        </w:tc>
        <w:tc>
          <w:tcPr>
            <w:tcW w:w="992"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3D37DC00" w14:textId="6AFC3FF2" w:rsidR="0080564E" w:rsidRPr="00A33264" w:rsidRDefault="0080564E" w:rsidP="00FD3D46">
            <w:pPr>
              <w:jc w:val="right"/>
              <w:rPr>
                <w:lang w:val="en-GB"/>
              </w:rPr>
            </w:pPr>
            <w:r w:rsidRPr="00A33264">
              <w:rPr>
                <w:lang w:val="en-GB"/>
              </w:rPr>
              <w:t>0</w:t>
            </w:r>
          </w:p>
        </w:tc>
        <w:tc>
          <w:tcPr>
            <w:tcW w:w="1418"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22FFC278" w14:textId="77777777" w:rsidR="0080564E" w:rsidRPr="00A33264" w:rsidRDefault="0080564E" w:rsidP="00FD3D46">
            <w:pPr>
              <w:jc w:val="right"/>
              <w:rPr>
                <w:lang w:val="en-GB"/>
              </w:rPr>
            </w:pPr>
            <w:r w:rsidRPr="00A33264">
              <w:rPr>
                <w:lang w:val="en-GB"/>
              </w:rPr>
              <w:t>621</w:t>
            </w:r>
          </w:p>
        </w:tc>
        <w:tc>
          <w:tcPr>
            <w:tcW w:w="1700"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48D44099" w14:textId="77777777" w:rsidR="0080564E" w:rsidRPr="00A33264" w:rsidRDefault="0080564E" w:rsidP="00FD3D46">
            <w:pPr>
              <w:jc w:val="right"/>
              <w:rPr>
                <w:lang w:val="en-GB"/>
              </w:rPr>
            </w:pPr>
            <w:r w:rsidRPr="00A33264">
              <w:rPr>
                <w:lang w:val="en-GB"/>
              </w:rPr>
              <w:t>24,105</w:t>
            </w:r>
          </w:p>
        </w:tc>
        <w:tc>
          <w:tcPr>
            <w:tcW w:w="992"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11BF009B" w14:textId="3319B2EB" w:rsidR="0080564E" w:rsidRPr="00A33264" w:rsidRDefault="0080564E" w:rsidP="00FD3D46">
            <w:pPr>
              <w:jc w:val="right"/>
              <w:rPr>
                <w:lang w:val="en-GB"/>
              </w:rPr>
            </w:pPr>
            <w:r w:rsidRPr="00A33264">
              <w:rPr>
                <w:lang w:val="en-GB"/>
              </w:rPr>
              <w:t>0</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6786F7AC" w14:textId="3B811143" w:rsidR="0080564E" w:rsidRPr="00A33264" w:rsidRDefault="0080564E" w:rsidP="00FD3D46">
            <w:pPr>
              <w:jc w:val="right"/>
              <w:rPr>
                <w:lang w:val="en-GB"/>
              </w:rPr>
            </w:pPr>
            <w:r w:rsidRPr="00A33264">
              <w:rPr>
                <w:lang w:val="en-GB"/>
              </w:rPr>
              <w:t>0</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3FD8789F" w14:textId="0934027B" w:rsidR="0080564E" w:rsidRPr="00A33264" w:rsidRDefault="0080564E" w:rsidP="00FD3D46">
            <w:pPr>
              <w:jc w:val="right"/>
              <w:rPr>
                <w:lang w:val="en-GB"/>
              </w:rPr>
            </w:pPr>
            <w:r w:rsidRPr="00A33264">
              <w:rPr>
                <w:lang w:val="en-GB"/>
              </w:rPr>
              <w:t>0</w:t>
            </w:r>
          </w:p>
        </w:tc>
        <w:tc>
          <w:tcPr>
            <w:tcW w:w="1170"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6E983E41" w14:textId="77777777" w:rsidR="0080564E" w:rsidRPr="00A33264" w:rsidRDefault="0080564E" w:rsidP="00FD3D46">
            <w:pPr>
              <w:jc w:val="right"/>
              <w:rPr>
                <w:b/>
                <w:bCs/>
                <w:lang w:val="en-GB"/>
              </w:rPr>
            </w:pPr>
            <w:r w:rsidRPr="00A33264">
              <w:rPr>
                <w:lang w:val="en-GB"/>
              </w:rPr>
              <w:t>174,491</w:t>
            </w:r>
          </w:p>
        </w:tc>
      </w:tr>
      <w:tr w:rsidR="0080564E" w:rsidRPr="00A33264" w14:paraId="337E9CDB" w14:textId="77777777" w:rsidTr="004364A0">
        <w:trPr>
          <w:trHeight w:val="289"/>
        </w:trPr>
        <w:tc>
          <w:tcPr>
            <w:tcW w:w="2134"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4FB75B81" w14:textId="340BC719" w:rsidR="0080564E" w:rsidRPr="00A33264" w:rsidRDefault="000A7E21" w:rsidP="0080564E">
            <w:pPr>
              <w:rPr>
                <w:lang w:val="en-GB"/>
              </w:rPr>
            </w:pPr>
            <w:r w:rsidRPr="00A33264">
              <w:rPr>
                <w:lang w:val="en-GB"/>
              </w:rPr>
              <w:t>D</w:t>
            </w:r>
            <w:r w:rsidR="0080564E" w:rsidRPr="00A33264">
              <w:rPr>
                <w:lang w:val="en-GB"/>
              </w:rPr>
              <w:t>r Richard Fejo</w:t>
            </w:r>
          </w:p>
        </w:tc>
        <w:tc>
          <w:tcPr>
            <w:tcW w:w="1842"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483E33BD" w14:textId="2B41737D" w:rsidR="0080564E" w:rsidRPr="00A33264" w:rsidRDefault="0080564E" w:rsidP="0080564E">
            <w:pPr>
              <w:rPr>
                <w:lang w:val="en-GB"/>
              </w:rPr>
            </w:pPr>
            <w:r w:rsidRPr="00A33264">
              <w:rPr>
                <w:lang w:val="en-GB"/>
              </w:rPr>
              <w:t xml:space="preserve">Board </w:t>
            </w:r>
            <w:r w:rsidR="00BF6B6E">
              <w:rPr>
                <w:lang w:val="en-GB"/>
              </w:rPr>
              <w:t>m</w:t>
            </w:r>
            <w:r w:rsidRPr="00A33264">
              <w:rPr>
                <w:lang w:val="en-GB"/>
              </w:rPr>
              <w:t>ember</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1553A544" w14:textId="77777777" w:rsidR="0080564E" w:rsidRPr="00A33264" w:rsidRDefault="0080564E" w:rsidP="00FD3D46">
            <w:pPr>
              <w:jc w:val="right"/>
              <w:rPr>
                <w:lang w:val="en-GB"/>
              </w:rPr>
            </w:pPr>
            <w:r w:rsidRPr="00A33264">
              <w:rPr>
                <w:lang w:val="en-GB"/>
              </w:rPr>
              <w:t>75,009</w:t>
            </w:r>
          </w:p>
        </w:tc>
        <w:tc>
          <w:tcPr>
            <w:tcW w:w="992"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44F7DFBE" w14:textId="070162B0" w:rsidR="0080564E" w:rsidRPr="00A33264" w:rsidRDefault="0080564E" w:rsidP="00FD3D46">
            <w:pPr>
              <w:jc w:val="right"/>
              <w:rPr>
                <w:lang w:val="en-GB"/>
              </w:rPr>
            </w:pPr>
            <w:r w:rsidRPr="00A33264">
              <w:rPr>
                <w:lang w:val="en-GB"/>
              </w:rPr>
              <w:t>0</w:t>
            </w:r>
          </w:p>
        </w:tc>
        <w:tc>
          <w:tcPr>
            <w:tcW w:w="1418"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744F6525" w14:textId="039978F1" w:rsidR="0080564E" w:rsidRPr="00A33264" w:rsidRDefault="0080564E" w:rsidP="00FD3D46">
            <w:pPr>
              <w:jc w:val="right"/>
              <w:rPr>
                <w:lang w:val="en-GB"/>
              </w:rPr>
            </w:pPr>
            <w:r w:rsidRPr="00A33264">
              <w:rPr>
                <w:lang w:val="en-GB"/>
              </w:rPr>
              <w:t>0</w:t>
            </w:r>
          </w:p>
        </w:tc>
        <w:tc>
          <w:tcPr>
            <w:tcW w:w="1700"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24E83694" w14:textId="77777777" w:rsidR="0080564E" w:rsidRPr="00A33264" w:rsidRDefault="0080564E" w:rsidP="00FD3D46">
            <w:pPr>
              <w:jc w:val="right"/>
              <w:rPr>
                <w:lang w:val="en-GB"/>
              </w:rPr>
            </w:pPr>
            <w:r w:rsidRPr="00A33264">
              <w:rPr>
                <w:lang w:val="en-GB"/>
              </w:rPr>
              <w:t>11,552</w:t>
            </w:r>
          </w:p>
        </w:tc>
        <w:tc>
          <w:tcPr>
            <w:tcW w:w="992"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7B82823C" w14:textId="2FA2EFAB" w:rsidR="0080564E" w:rsidRPr="00A33264" w:rsidRDefault="0080564E" w:rsidP="00FD3D46">
            <w:pPr>
              <w:jc w:val="right"/>
              <w:rPr>
                <w:lang w:val="en-GB"/>
              </w:rPr>
            </w:pPr>
            <w:r w:rsidRPr="00A33264">
              <w:rPr>
                <w:lang w:val="en-GB"/>
              </w:rPr>
              <w:t>0</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58CB3A05" w14:textId="71E314D4" w:rsidR="0080564E" w:rsidRPr="00A33264" w:rsidRDefault="0080564E" w:rsidP="00FD3D46">
            <w:pPr>
              <w:jc w:val="right"/>
              <w:rPr>
                <w:lang w:val="en-GB"/>
              </w:rPr>
            </w:pPr>
            <w:r w:rsidRPr="00A33264">
              <w:rPr>
                <w:lang w:val="en-GB"/>
              </w:rPr>
              <w:t>0</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077DC655" w14:textId="2FA7D4DE" w:rsidR="0080564E" w:rsidRPr="00A33264" w:rsidRDefault="0080564E" w:rsidP="00FD3D46">
            <w:pPr>
              <w:jc w:val="right"/>
              <w:rPr>
                <w:lang w:val="en-GB"/>
              </w:rPr>
            </w:pPr>
            <w:r w:rsidRPr="00A33264">
              <w:rPr>
                <w:lang w:val="en-GB"/>
              </w:rPr>
              <w:t>0</w:t>
            </w:r>
          </w:p>
        </w:tc>
        <w:tc>
          <w:tcPr>
            <w:tcW w:w="1170"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7F2E6FA9" w14:textId="77777777" w:rsidR="0080564E" w:rsidRPr="00A33264" w:rsidRDefault="0080564E" w:rsidP="00FD3D46">
            <w:pPr>
              <w:jc w:val="right"/>
              <w:rPr>
                <w:b/>
                <w:bCs/>
                <w:lang w:val="en-GB"/>
              </w:rPr>
            </w:pPr>
            <w:r w:rsidRPr="00A33264">
              <w:rPr>
                <w:lang w:val="en-GB"/>
              </w:rPr>
              <w:t>86,561</w:t>
            </w:r>
          </w:p>
        </w:tc>
      </w:tr>
      <w:tr w:rsidR="0080564E" w:rsidRPr="00A33264" w14:paraId="37CE403A" w14:textId="77777777" w:rsidTr="004364A0">
        <w:trPr>
          <w:trHeight w:val="289"/>
        </w:trPr>
        <w:tc>
          <w:tcPr>
            <w:tcW w:w="2134"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1B545E25" w14:textId="77777777" w:rsidR="0080564E" w:rsidRPr="00A33264" w:rsidRDefault="0080564E" w:rsidP="0080564E">
            <w:pPr>
              <w:rPr>
                <w:lang w:val="en-GB"/>
              </w:rPr>
            </w:pPr>
            <w:r w:rsidRPr="00A33264">
              <w:rPr>
                <w:lang w:val="en-GB"/>
              </w:rPr>
              <w:t>Mr David Gifford</w:t>
            </w:r>
          </w:p>
        </w:tc>
        <w:tc>
          <w:tcPr>
            <w:tcW w:w="1842"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0EAC6A17" w14:textId="77777777" w:rsidR="0080564E" w:rsidRPr="00A33264" w:rsidRDefault="0080564E" w:rsidP="0080564E">
            <w:pPr>
              <w:rPr>
                <w:lang w:val="en-GB"/>
              </w:rPr>
            </w:pPr>
            <w:r w:rsidRPr="00A33264">
              <w:rPr>
                <w:lang w:val="en-GB"/>
              </w:rPr>
              <w:t>Scheme Actuary</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076EB420" w14:textId="7FC6DAF8" w:rsidR="0080564E" w:rsidRPr="00A33264" w:rsidRDefault="0080564E" w:rsidP="00FD3D46">
            <w:pPr>
              <w:jc w:val="right"/>
              <w:rPr>
                <w:lang w:val="en-GB"/>
              </w:rPr>
            </w:pPr>
            <w:r w:rsidRPr="00A33264">
              <w:rPr>
                <w:lang w:val="en-GB"/>
              </w:rPr>
              <w:t>397,34</w:t>
            </w:r>
            <w:r w:rsidR="009023D0">
              <w:rPr>
                <w:lang w:val="en-GB"/>
              </w:rPr>
              <w:t>7</w:t>
            </w:r>
          </w:p>
        </w:tc>
        <w:tc>
          <w:tcPr>
            <w:tcW w:w="992"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3D00D2D8" w14:textId="67F83408" w:rsidR="0080564E" w:rsidRPr="00A33264" w:rsidRDefault="0080564E" w:rsidP="00FD3D46">
            <w:pPr>
              <w:jc w:val="right"/>
              <w:rPr>
                <w:lang w:val="en-GB"/>
              </w:rPr>
            </w:pPr>
            <w:r w:rsidRPr="00A33264">
              <w:rPr>
                <w:lang w:val="en-GB"/>
              </w:rPr>
              <w:t>0</w:t>
            </w:r>
          </w:p>
        </w:tc>
        <w:tc>
          <w:tcPr>
            <w:tcW w:w="1418"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63A56A2E" w14:textId="77777777" w:rsidR="0080564E" w:rsidRPr="00A33264" w:rsidRDefault="0080564E" w:rsidP="00FD3D46">
            <w:pPr>
              <w:jc w:val="right"/>
              <w:rPr>
                <w:lang w:val="en-GB"/>
              </w:rPr>
            </w:pPr>
            <w:r w:rsidRPr="00A33264">
              <w:rPr>
                <w:lang w:val="en-GB"/>
              </w:rPr>
              <w:t>49,840</w:t>
            </w:r>
          </w:p>
        </w:tc>
        <w:tc>
          <w:tcPr>
            <w:tcW w:w="1700"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5BE74C03" w14:textId="77777777" w:rsidR="0080564E" w:rsidRPr="00A33264" w:rsidRDefault="0080564E" w:rsidP="00FD3D46">
            <w:pPr>
              <w:jc w:val="right"/>
              <w:rPr>
                <w:lang w:val="en-GB"/>
              </w:rPr>
            </w:pPr>
            <w:r w:rsidRPr="00A33264">
              <w:rPr>
                <w:lang w:val="en-GB"/>
              </w:rPr>
              <w:t>47,884</w:t>
            </w:r>
          </w:p>
        </w:tc>
        <w:tc>
          <w:tcPr>
            <w:tcW w:w="992"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535BFF1B" w14:textId="0ACB4CCA" w:rsidR="0080564E" w:rsidRPr="00A33264" w:rsidRDefault="0080564E" w:rsidP="00FD3D46">
            <w:pPr>
              <w:jc w:val="right"/>
              <w:rPr>
                <w:lang w:val="en-GB"/>
              </w:rPr>
            </w:pPr>
            <w:r w:rsidRPr="00A33264">
              <w:rPr>
                <w:lang w:val="en-GB"/>
              </w:rPr>
              <w:t>9,90</w:t>
            </w:r>
            <w:r w:rsidR="009023D0">
              <w:rPr>
                <w:lang w:val="en-GB"/>
              </w:rPr>
              <w:t>7</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0B569DDB" w14:textId="527CFFDB" w:rsidR="0080564E" w:rsidRPr="00A33264" w:rsidRDefault="0080564E" w:rsidP="00FD3D46">
            <w:pPr>
              <w:jc w:val="right"/>
              <w:rPr>
                <w:lang w:val="en-GB"/>
              </w:rPr>
            </w:pPr>
            <w:r w:rsidRPr="00A33264">
              <w:rPr>
                <w:lang w:val="en-GB"/>
              </w:rPr>
              <w:t>0</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14F29561" w14:textId="527E1CFE" w:rsidR="0080564E" w:rsidRPr="00A33264" w:rsidRDefault="0080564E" w:rsidP="00FD3D46">
            <w:pPr>
              <w:jc w:val="right"/>
              <w:rPr>
                <w:lang w:val="en-GB"/>
              </w:rPr>
            </w:pPr>
            <w:r w:rsidRPr="00A33264">
              <w:rPr>
                <w:lang w:val="en-GB"/>
              </w:rPr>
              <w:t>0</w:t>
            </w:r>
          </w:p>
        </w:tc>
        <w:tc>
          <w:tcPr>
            <w:tcW w:w="1170"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39597445" w14:textId="77777777" w:rsidR="0080564E" w:rsidRPr="00A33264" w:rsidRDefault="0080564E" w:rsidP="00FD3D46">
            <w:pPr>
              <w:jc w:val="right"/>
              <w:rPr>
                <w:b/>
                <w:bCs/>
                <w:lang w:val="en-GB"/>
              </w:rPr>
            </w:pPr>
            <w:r w:rsidRPr="00A33264">
              <w:rPr>
                <w:lang w:val="en-GB"/>
              </w:rPr>
              <w:t>504,978</w:t>
            </w:r>
          </w:p>
        </w:tc>
      </w:tr>
      <w:tr w:rsidR="0080564E" w:rsidRPr="00A33264" w14:paraId="3788C865" w14:textId="77777777" w:rsidTr="004364A0">
        <w:trPr>
          <w:trHeight w:val="289"/>
        </w:trPr>
        <w:tc>
          <w:tcPr>
            <w:tcW w:w="2134"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7E82BDA5" w14:textId="739CC672" w:rsidR="0080564E" w:rsidRPr="00A33264" w:rsidRDefault="00B969E8" w:rsidP="0080564E">
            <w:pPr>
              <w:rPr>
                <w:lang w:val="en-GB"/>
              </w:rPr>
            </w:pPr>
            <w:r w:rsidRPr="00A33264">
              <w:rPr>
                <w:lang w:val="en-GB"/>
              </w:rPr>
              <w:t>D</w:t>
            </w:r>
            <w:r w:rsidR="0080564E" w:rsidRPr="00A33264">
              <w:rPr>
                <w:lang w:val="en-GB"/>
              </w:rPr>
              <w:t>r Graeme Innes A</w:t>
            </w:r>
            <w:r w:rsidR="00877A07" w:rsidRPr="00A33264">
              <w:rPr>
                <w:lang w:val="en-GB"/>
              </w:rPr>
              <w:t>M</w:t>
            </w:r>
          </w:p>
        </w:tc>
        <w:tc>
          <w:tcPr>
            <w:tcW w:w="1842"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78B25534" w14:textId="37B91A4C" w:rsidR="0080564E" w:rsidRPr="00A33264" w:rsidRDefault="0080564E" w:rsidP="0080564E">
            <w:pPr>
              <w:rPr>
                <w:lang w:val="en-GB"/>
              </w:rPr>
            </w:pPr>
            <w:r w:rsidRPr="00A33264">
              <w:rPr>
                <w:lang w:val="en-GB"/>
              </w:rPr>
              <w:t xml:space="preserve">Board </w:t>
            </w:r>
            <w:r w:rsidR="00BF6B6E">
              <w:rPr>
                <w:lang w:val="en-GB"/>
              </w:rPr>
              <w:t>m</w:t>
            </w:r>
            <w:r w:rsidRPr="00A33264">
              <w:rPr>
                <w:lang w:val="en-GB"/>
              </w:rPr>
              <w:t>ember</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6C7BAC3E" w14:textId="77777777" w:rsidR="0080564E" w:rsidRPr="00A33264" w:rsidRDefault="0080564E" w:rsidP="00FD3D46">
            <w:pPr>
              <w:jc w:val="right"/>
              <w:rPr>
                <w:lang w:val="en-GB"/>
              </w:rPr>
            </w:pPr>
            <w:r w:rsidRPr="00A33264">
              <w:rPr>
                <w:lang w:val="en-GB"/>
              </w:rPr>
              <w:t>92,173</w:t>
            </w:r>
          </w:p>
        </w:tc>
        <w:tc>
          <w:tcPr>
            <w:tcW w:w="992"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5F8BA635" w14:textId="353BD3ED" w:rsidR="0080564E" w:rsidRPr="00A33264" w:rsidRDefault="0080564E" w:rsidP="00FD3D46">
            <w:pPr>
              <w:jc w:val="right"/>
              <w:rPr>
                <w:lang w:val="en-GB"/>
              </w:rPr>
            </w:pPr>
            <w:r w:rsidRPr="00A33264">
              <w:rPr>
                <w:lang w:val="en-GB"/>
              </w:rPr>
              <w:t>0</w:t>
            </w:r>
          </w:p>
        </w:tc>
        <w:tc>
          <w:tcPr>
            <w:tcW w:w="1418"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0B741773" w14:textId="1234116F" w:rsidR="0080564E" w:rsidRPr="00A33264" w:rsidRDefault="0080564E" w:rsidP="00FD3D46">
            <w:pPr>
              <w:jc w:val="right"/>
              <w:rPr>
                <w:lang w:val="en-GB"/>
              </w:rPr>
            </w:pPr>
            <w:r w:rsidRPr="00A33264">
              <w:rPr>
                <w:lang w:val="en-GB"/>
              </w:rPr>
              <w:t>0</w:t>
            </w:r>
          </w:p>
        </w:tc>
        <w:tc>
          <w:tcPr>
            <w:tcW w:w="1700"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7FB4423B" w14:textId="77777777" w:rsidR="0080564E" w:rsidRPr="00A33264" w:rsidRDefault="0080564E" w:rsidP="00FD3D46">
            <w:pPr>
              <w:jc w:val="right"/>
              <w:rPr>
                <w:lang w:val="en-GB"/>
              </w:rPr>
            </w:pPr>
            <w:r w:rsidRPr="00A33264">
              <w:rPr>
                <w:lang w:val="en-GB"/>
              </w:rPr>
              <w:t>14,557</w:t>
            </w:r>
          </w:p>
        </w:tc>
        <w:tc>
          <w:tcPr>
            <w:tcW w:w="992"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415DDF20" w14:textId="39D444AA" w:rsidR="0080564E" w:rsidRPr="00A33264" w:rsidRDefault="0080564E" w:rsidP="00FD3D46">
            <w:pPr>
              <w:jc w:val="right"/>
              <w:rPr>
                <w:lang w:val="en-GB"/>
              </w:rPr>
            </w:pPr>
            <w:r w:rsidRPr="00A33264">
              <w:rPr>
                <w:lang w:val="en-GB"/>
              </w:rPr>
              <w:t>0</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494594AF" w14:textId="7EEC7088" w:rsidR="0080564E" w:rsidRPr="00A33264" w:rsidRDefault="0080564E" w:rsidP="00FD3D46">
            <w:pPr>
              <w:jc w:val="right"/>
              <w:rPr>
                <w:lang w:val="en-GB"/>
              </w:rPr>
            </w:pPr>
            <w:r w:rsidRPr="00A33264">
              <w:rPr>
                <w:lang w:val="en-GB"/>
              </w:rPr>
              <w:t>0</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0D65D10C" w14:textId="2FC22DA5" w:rsidR="0080564E" w:rsidRPr="00A33264" w:rsidRDefault="0080564E" w:rsidP="00FD3D46">
            <w:pPr>
              <w:jc w:val="right"/>
              <w:rPr>
                <w:lang w:val="en-GB"/>
              </w:rPr>
            </w:pPr>
            <w:r w:rsidRPr="00A33264">
              <w:rPr>
                <w:lang w:val="en-GB"/>
              </w:rPr>
              <w:t>0</w:t>
            </w:r>
          </w:p>
        </w:tc>
        <w:tc>
          <w:tcPr>
            <w:tcW w:w="1170"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16117A2D" w14:textId="77777777" w:rsidR="0080564E" w:rsidRPr="00A33264" w:rsidRDefault="0080564E" w:rsidP="00FD3D46">
            <w:pPr>
              <w:jc w:val="right"/>
              <w:rPr>
                <w:b/>
                <w:bCs/>
                <w:lang w:val="en-GB"/>
              </w:rPr>
            </w:pPr>
            <w:r w:rsidRPr="00A33264">
              <w:rPr>
                <w:lang w:val="en-GB"/>
              </w:rPr>
              <w:t>106,730</w:t>
            </w:r>
          </w:p>
        </w:tc>
      </w:tr>
      <w:tr w:rsidR="0080564E" w:rsidRPr="00A33264" w14:paraId="7F588A66" w14:textId="77777777" w:rsidTr="00133885">
        <w:trPr>
          <w:cantSplit/>
          <w:trHeight w:val="289"/>
        </w:trPr>
        <w:tc>
          <w:tcPr>
            <w:tcW w:w="2134"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157C9F70" w14:textId="77777777" w:rsidR="0080564E" w:rsidRPr="00A33264" w:rsidRDefault="0080564E" w:rsidP="0080564E">
            <w:pPr>
              <w:rPr>
                <w:lang w:val="en-GB"/>
              </w:rPr>
            </w:pPr>
            <w:r w:rsidRPr="00A33264">
              <w:rPr>
                <w:lang w:val="en-GB"/>
              </w:rPr>
              <w:lastRenderedPageBreak/>
              <w:t>Ms Penelope McKay</w:t>
            </w:r>
          </w:p>
        </w:tc>
        <w:tc>
          <w:tcPr>
            <w:tcW w:w="1842"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68FD4FDF" w14:textId="77777777" w:rsidR="0080564E" w:rsidRPr="00A33264" w:rsidRDefault="0080564E" w:rsidP="0080564E">
            <w:pPr>
              <w:rPr>
                <w:lang w:val="en-GB"/>
              </w:rPr>
            </w:pPr>
            <w:r w:rsidRPr="00A33264">
              <w:rPr>
                <w:lang w:val="en-GB"/>
              </w:rPr>
              <w:t>Deputy CEO Partners, Providers and Home and Living</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58EE0317" w14:textId="77777777" w:rsidR="0080564E" w:rsidRPr="00A33264" w:rsidRDefault="0080564E" w:rsidP="00FD3D46">
            <w:pPr>
              <w:jc w:val="right"/>
              <w:rPr>
                <w:lang w:val="en-GB"/>
              </w:rPr>
            </w:pPr>
            <w:r w:rsidRPr="00A33264">
              <w:rPr>
                <w:lang w:val="en-GB"/>
              </w:rPr>
              <w:t>448,699</w:t>
            </w:r>
          </w:p>
        </w:tc>
        <w:tc>
          <w:tcPr>
            <w:tcW w:w="992"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3DF96478" w14:textId="0A6D7E1A" w:rsidR="0080564E" w:rsidRPr="00A33264" w:rsidRDefault="0080564E" w:rsidP="00FD3D46">
            <w:pPr>
              <w:jc w:val="right"/>
              <w:rPr>
                <w:lang w:val="en-GB"/>
              </w:rPr>
            </w:pPr>
            <w:r w:rsidRPr="00A33264">
              <w:rPr>
                <w:lang w:val="en-GB"/>
              </w:rPr>
              <w:t>0</w:t>
            </w:r>
          </w:p>
        </w:tc>
        <w:tc>
          <w:tcPr>
            <w:tcW w:w="1418"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239024A4" w14:textId="02E4099A" w:rsidR="0080564E" w:rsidRPr="00A33264" w:rsidRDefault="0080564E" w:rsidP="00FD3D46">
            <w:pPr>
              <w:jc w:val="right"/>
              <w:rPr>
                <w:lang w:val="en-GB"/>
              </w:rPr>
            </w:pPr>
            <w:r w:rsidRPr="00A33264">
              <w:rPr>
                <w:lang w:val="en-GB"/>
              </w:rPr>
              <w:t>0</w:t>
            </w:r>
          </w:p>
        </w:tc>
        <w:tc>
          <w:tcPr>
            <w:tcW w:w="1700"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6BDA6145" w14:textId="77777777" w:rsidR="0080564E" w:rsidRPr="00A33264" w:rsidRDefault="0080564E" w:rsidP="00FD3D46">
            <w:pPr>
              <w:jc w:val="right"/>
              <w:rPr>
                <w:lang w:val="en-GB"/>
              </w:rPr>
            </w:pPr>
            <w:r w:rsidRPr="00A33264">
              <w:rPr>
                <w:lang w:val="en-GB"/>
              </w:rPr>
              <w:t>81,554</w:t>
            </w:r>
          </w:p>
        </w:tc>
        <w:tc>
          <w:tcPr>
            <w:tcW w:w="992"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33D28F06" w14:textId="77777777" w:rsidR="0080564E" w:rsidRPr="00A33264" w:rsidRDefault="0080564E" w:rsidP="00FD3D46">
            <w:pPr>
              <w:jc w:val="right"/>
              <w:rPr>
                <w:lang w:val="en-GB"/>
              </w:rPr>
            </w:pPr>
            <w:r w:rsidRPr="00A33264">
              <w:rPr>
                <w:lang w:val="en-GB"/>
              </w:rPr>
              <w:t>11,436</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2FC5B5DE" w14:textId="0DC0EA3E" w:rsidR="0080564E" w:rsidRPr="00A33264" w:rsidRDefault="0080564E" w:rsidP="00FD3D46">
            <w:pPr>
              <w:jc w:val="right"/>
              <w:rPr>
                <w:lang w:val="en-GB"/>
              </w:rPr>
            </w:pPr>
            <w:r w:rsidRPr="00A33264">
              <w:rPr>
                <w:lang w:val="en-GB"/>
              </w:rPr>
              <w:t>0</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4EDED393" w14:textId="793D673B" w:rsidR="0080564E" w:rsidRPr="00A33264" w:rsidRDefault="0080564E" w:rsidP="00FD3D46">
            <w:pPr>
              <w:jc w:val="right"/>
              <w:rPr>
                <w:lang w:val="en-GB"/>
              </w:rPr>
            </w:pPr>
            <w:r w:rsidRPr="00A33264">
              <w:rPr>
                <w:lang w:val="en-GB"/>
              </w:rPr>
              <w:t>0</w:t>
            </w:r>
          </w:p>
        </w:tc>
        <w:tc>
          <w:tcPr>
            <w:tcW w:w="1170"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556784A5" w14:textId="77777777" w:rsidR="0080564E" w:rsidRPr="00A33264" w:rsidRDefault="0080564E" w:rsidP="00FD3D46">
            <w:pPr>
              <w:jc w:val="right"/>
              <w:rPr>
                <w:b/>
                <w:bCs/>
                <w:lang w:val="en-GB"/>
              </w:rPr>
            </w:pPr>
            <w:r w:rsidRPr="00A33264">
              <w:rPr>
                <w:lang w:val="en-GB"/>
              </w:rPr>
              <w:t>541,689</w:t>
            </w:r>
          </w:p>
        </w:tc>
      </w:tr>
      <w:tr w:rsidR="0080564E" w:rsidRPr="00A33264" w14:paraId="2EF641F8" w14:textId="77777777" w:rsidTr="004364A0">
        <w:trPr>
          <w:trHeight w:val="289"/>
        </w:trPr>
        <w:tc>
          <w:tcPr>
            <w:tcW w:w="2134"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02C270CE" w14:textId="344D9C0D" w:rsidR="0080564E" w:rsidRPr="00A33264" w:rsidRDefault="0080564E" w:rsidP="0080564E">
            <w:pPr>
              <w:rPr>
                <w:lang w:val="en-GB"/>
              </w:rPr>
            </w:pPr>
            <w:r w:rsidRPr="00A33264">
              <w:rPr>
                <w:lang w:val="en-GB"/>
              </w:rPr>
              <w:t>Mrs Joan Mc</w:t>
            </w:r>
            <w:r w:rsidR="009023D0">
              <w:rPr>
                <w:lang w:val="en-GB"/>
              </w:rPr>
              <w:t>K</w:t>
            </w:r>
            <w:r w:rsidRPr="00A33264">
              <w:rPr>
                <w:lang w:val="en-GB"/>
              </w:rPr>
              <w:t xml:space="preserve">enna Kerr </w:t>
            </w:r>
          </w:p>
        </w:tc>
        <w:tc>
          <w:tcPr>
            <w:tcW w:w="1842"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786E4B26" w14:textId="5AB27E40" w:rsidR="0080564E" w:rsidRPr="00A33264" w:rsidRDefault="0080564E" w:rsidP="0080564E">
            <w:pPr>
              <w:rPr>
                <w:lang w:val="en-GB"/>
              </w:rPr>
            </w:pPr>
            <w:r w:rsidRPr="00A33264">
              <w:rPr>
                <w:lang w:val="en-GB"/>
              </w:rPr>
              <w:t xml:space="preserve">Board </w:t>
            </w:r>
            <w:r w:rsidR="00BF6B6E">
              <w:rPr>
                <w:lang w:val="en-GB"/>
              </w:rPr>
              <w:t>m</w:t>
            </w:r>
            <w:r w:rsidRPr="00A33264">
              <w:rPr>
                <w:lang w:val="en-GB"/>
              </w:rPr>
              <w:t>ember</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3A45F97A" w14:textId="77777777" w:rsidR="0080564E" w:rsidRPr="00A33264" w:rsidRDefault="0080564E" w:rsidP="00FD3D46">
            <w:pPr>
              <w:jc w:val="right"/>
              <w:rPr>
                <w:lang w:val="en-GB"/>
              </w:rPr>
            </w:pPr>
            <w:r w:rsidRPr="00A33264">
              <w:rPr>
                <w:lang w:val="en-GB"/>
              </w:rPr>
              <w:t>75,009</w:t>
            </w:r>
          </w:p>
        </w:tc>
        <w:tc>
          <w:tcPr>
            <w:tcW w:w="992"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298093DD" w14:textId="6C72502D" w:rsidR="0080564E" w:rsidRPr="00A33264" w:rsidRDefault="0080564E" w:rsidP="00FD3D46">
            <w:pPr>
              <w:jc w:val="right"/>
              <w:rPr>
                <w:lang w:val="en-GB"/>
              </w:rPr>
            </w:pPr>
            <w:r w:rsidRPr="00A33264">
              <w:rPr>
                <w:lang w:val="en-GB"/>
              </w:rPr>
              <w:t>0</w:t>
            </w:r>
          </w:p>
        </w:tc>
        <w:tc>
          <w:tcPr>
            <w:tcW w:w="1418"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44B55742" w14:textId="1C8A4618" w:rsidR="0080564E" w:rsidRPr="00A33264" w:rsidRDefault="0080564E" w:rsidP="00FD3D46">
            <w:pPr>
              <w:jc w:val="right"/>
              <w:rPr>
                <w:lang w:val="en-GB"/>
              </w:rPr>
            </w:pPr>
            <w:r w:rsidRPr="00A33264">
              <w:rPr>
                <w:lang w:val="en-GB"/>
              </w:rPr>
              <w:t>0</w:t>
            </w:r>
          </w:p>
        </w:tc>
        <w:tc>
          <w:tcPr>
            <w:tcW w:w="1700"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7BE14DDF" w14:textId="77777777" w:rsidR="0080564E" w:rsidRPr="00A33264" w:rsidRDefault="0080564E" w:rsidP="00FD3D46">
            <w:pPr>
              <w:jc w:val="right"/>
              <w:rPr>
                <w:lang w:val="en-GB"/>
              </w:rPr>
            </w:pPr>
            <w:r w:rsidRPr="00A33264">
              <w:rPr>
                <w:lang w:val="en-GB"/>
              </w:rPr>
              <w:t>11,552</w:t>
            </w:r>
          </w:p>
        </w:tc>
        <w:tc>
          <w:tcPr>
            <w:tcW w:w="992"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0D756E7C" w14:textId="14C2DA1B" w:rsidR="0080564E" w:rsidRPr="00A33264" w:rsidRDefault="0080564E" w:rsidP="00FD3D46">
            <w:pPr>
              <w:jc w:val="right"/>
              <w:rPr>
                <w:lang w:val="en-GB"/>
              </w:rPr>
            </w:pPr>
            <w:r w:rsidRPr="00A33264">
              <w:rPr>
                <w:lang w:val="en-GB"/>
              </w:rPr>
              <w:t>0</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6D1C31EF" w14:textId="3BFD3D9B" w:rsidR="0080564E" w:rsidRPr="00A33264" w:rsidRDefault="0080564E" w:rsidP="00FD3D46">
            <w:pPr>
              <w:jc w:val="right"/>
              <w:rPr>
                <w:lang w:val="en-GB"/>
              </w:rPr>
            </w:pPr>
            <w:r w:rsidRPr="00A33264">
              <w:rPr>
                <w:lang w:val="en-GB"/>
              </w:rPr>
              <w:t>0</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6DB48213" w14:textId="6171959A" w:rsidR="0080564E" w:rsidRPr="00A33264" w:rsidRDefault="0080564E" w:rsidP="00FD3D46">
            <w:pPr>
              <w:jc w:val="right"/>
              <w:rPr>
                <w:lang w:val="en-GB"/>
              </w:rPr>
            </w:pPr>
            <w:r w:rsidRPr="00A33264">
              <w:rPr>
                <w:lang w:val="en-GB"/>
              </w:rPr>
              <w:t>0</w:t>
            </w:r>
          </w:p>
        </w:tc>
        <w:tc>
          <w:tcPr>
            <w:tcW w:w="1170"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40EF149A" w14:textId="77777777" w:rsidR="0080564E" w:rsidRPr="00A33264" w:rsidRDefault="0080564E" w:rsidP="00FD3D46">
            <w:pPr>
              <w:jc w:val="right"/>
              <w:rPr>
                <w:b/>
                <w:bCs/>
                <w:lang w:val="en-GB"/>
              </w:rPr>
            </w:pPr>
            <w:r w:rsidRPr="00A33264">
              <w:rPr>
                <w:lang w:val="en-GB"/>
              </w:rPr>
              <w:t>86,561</w:t>
            </w:r>
          </w:p>
        </w:tc>
      </w:tr>
      <w:tr w:rsidR="0080564E" w:rsidRPr="00A33264" w14:paraId="3A59FCEF" w14:textId="77777777" w:rsidTr="004364A0">
        <w:trPr>
          <w:trHeight w:val="289"/>
        </w:trPr>
        <w:tc>
          <w:tcPr>
            <w:tcW w:w="2134"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384DA1C2" w14:textId="49D5D719" w:rsidR="0080564E" w:rsidRPr="00A33264" w:rsidRDefault="0080564E" w:rsidP="0080564E">
            <w:pPr>
              <w:rPr>
                <w:lang w:val="en-GB"/>
              </w:rPr>
            </w:pPr>
            <w:r w:rsidRPr="00A33264">
              <w:rPr>
                <w:lang w:val="en-GB"/>
              </w:rPr>
              <w:t>Ms Corr</w:t>
            </w:r>
            <w:r w:rsidR="002813D2">
              <w:rPr>
                <w:lang w:val="en-GB"/>
              </w:rPr>
              <w:t>i</w:t>
            </w:r>
            <w:r w:rsidRPr="00A33264">
              <w:rPr>
                <w:lang w:val="en-GB"/>
              </w:rPr>
              <w:t xml:space="preserve"> McKenzie</w:t>
            </w:r>
          </w:p>
        </w:tc>
        <w:tc>
          <w:tcPr>
            <w:tcW w:w="1842"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15436114" w14:textId="77777777" w:rsidR="0080564E" w:rsidRPr="00A33264" w:rsidRDefault="0080564E" w:rsidP="0080564E">
            <w:pPr>
              <w:rPr>
                <w:lang w:val="en-GB"/>
              </w:rPr>
            </w:pPr>
            <w:r w:rsidRPr="00A33264">
              <w:rPr>
                <w:lang w:val="en-GB"/>
              </w:rPr>
              <w:t>Deputy CEO Service Design and Improvement</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54EFE853" w14:textId="77777777" w:rsidR="0080564E" w:rsidRPr="00A33264" w:rsidRDefault="0080564E" w:rsidP="00FD3D46">
            <w:pPr>
              <w:jc w:val="right"/>
              <w:rPr>
                <w:lang w:val="en-GB"/>
              </w:rPr>
            </w:pPr>
            <w:r w:rsidRPr="00A33264">
              <w:rPr>
                <w:lang w:val="en-GB"/>
              </w:rPr>
              <w:t>435,189</w:t>
            </w:r>
          </w:p>
        </w:tc>
        <w:tc>
          <w:tcPr>
            <w:tcW w:w="992"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12B08A80" w14:textId="3B5FBF82" w:rsidR="0080564E" w:rsidRPr="00A33264" w:rsidRDefault="00B15934" w:rsidP="00FD3D46">
            <w:pPr>
              <w:jc w:val="right"/>
              <w:rPr>
                <w:lang w:val="en-GB"/>
              </w:rPr>
            </w:pPr>
            <w:r w:rsidRPr="00A33264">
              <w:rPr>
                <w:lang w:val="en-GB"/>
              </w:rPr>
              <w:t>0</w:t>
            </w:r>
          </w:p>
        </w:tc>
        <w:tc>
          <w:tcPr>
            <w:tcW w:w="1418"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19BE1BE1" w14:textId="3C601DFA" w:rsidR="0080564E" w:rsidRPr="00A33264" w:rsidRDefault="0080564E" w:rsidP="00FD3D46">
            <w:pPr>
              <w:jc w:val="right"/>
              <w:rPr>
                <w:lang w:val="en-GB"/>
              </w:rPr>
            </w:pPr>
            <w:r w:rsidRPr="00A33264">
              <w:rPr>
                <w:lang w:val="en-GB"/>
              </w:rPr>
              <w:t>0</w:t>
            </w:r>
          </w:p>
        </w:tc>
        <w:tc>
          <w:tcPr>
            <w:tcW w:w="1700"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2D40563D" w14:textId="77777777" w:rsidR="0080564E" w:rsidRPr="00A33264" w:rsidRDefault="0080564E" w:rsidP="00FD3D46">
            <w:pPr>
              <w:jc w:val="right"/>
              <w:rPr>
                <w:lang w:val="en-GB"/>
              </w:rPr>
            </w:pPr>
            <w:r w:rsidRPr="00A33264">
              <w:rPr>
                <w:lang w:val="en-GB"/>
              </w:rPr>
              <w:t>48,404</w:t>
            </w:r>
          </w:p>
        </w:tc>
        <w:tc>
          <w:tcPr>
            <w:tcW w:w="992"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1839314A" w14:textId="77777777" w:rsidR="0080564E" w:rsidRPr="00A33264" w:rsidRDefault="0080564E" w:rsidP="00FD3D46">
            <w:pPr>
              <w:jc w:val="right"/>
              <w:rPr>
                <w:lang w:val="en-GB"/>
              </w:rPr>
            </w:pPr>
            <w:r w:rsidRPr="00A33264">
              <w:rPr>
                <w:lang w:val="en-GB"/>
              </w:rPr>
              <w:t>11,309</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6524902A" w14:textId="33A65CF0" w:rsidR="0080564E" w:rsidRPr="00A33264" w:rsidRDefault="0080564E" w:rsidP="00FD3D46">
            <w:pPr>
              <w:jc w:val="right"/>
              <w:rPr>
                <w:lang w:val="en-GB"/>
              </w:rPr>
            </w:pPr>
            <w:r w:rsidRPr="00A33264">
              <w:rPr>
                <w:lang w:val="en-GB"/>
              </w:rPr>
              <w:t>0</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46BB8282" w14:textId="556F7CDD" w:rsidR="0080564E" w:rsidRPr="00A33264" w:rsidRDefault="0080564E" w:rsidP="00FD3D46">
            <w:pPr>
              <w:jc w:val="right"/>
              <w:rPr>
                <w:lang w:val="en-GB"/>
              </w:rPr>
            </w:pPr>
            <w:r w:rsidRPr="00A33264">
              <w:rPr>
                <w:lang w:val="en-GB"/>
              </w:rPr>
              <w:t>0</w:t>
            </w:r>
          </w:p>
        </w:tc>
        <w:tc>
          <w:tcPr>
            <w:tcW w:w="1170"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228A9A9B" w14:textId="77777777" w:rsidR="0080564E" w:rsidRPr="00A33264" w:rsidRDefault="0080564E" w:rsidP="00FD3D46">
            <w:pPr>
              <w:jc w:val="right"/>
              <w:rPr>
                <w:b/>
                <w:bCs/>
                <w:lang w:val="en-GB"/>
              </w:rPr>
            </w:pPr>
            <w:r w:rsidRPr="00A33264">
              <w:rPr>
                <w:lang w:val="en-GB"/>
              </w:rPr>
              <w:t>494,902</w:t>
            </w:r>
          </w:p>
        </w:tc>
      </w:tr>
      <w:tr w:rsidR="0080564E" w:rsidRPr="00A33264" w14:paraId="139703BF" w14:textId="77777777" w:rsidTr="004364A0">
        <w:trPr>
          <w:trHeight w:val="289"/>
        </w:trPr>
        <w:tc>
          <w:tcPr>
            <w:tcW w:w="2134"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29492163" w14:textId="77777777" w:rsidR="0080564E" w:rsidRPr="00A33264" w:rsidRDefault="0080564E" w:rsidP="0080564E">
            <w:pPr>
              <w:rPr>
                <w:lang w:val="en-GB"/>
              </w:rPr>
            </w:pPr>
            <w:r w:rsidRPr="00A33264">
              <w:rPr>
                <w:lang w:val="en-GB"/>
              </w:rPr>
              <w:t xml:space="preserve">Mr Scott McNaughton </w:t>
            </w:r>
          </w:p>
        </w:tc>
        <w:tc>
          <w:tcPr>
            <w:tcW w:w="1842"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75928E28" w14:textId="77777777" w:rsidR="0080564E" w:rsidRPr="00A33264" w:rsidRDefault="0080564E" w:rsidP="0080564E">
            <w:pPr>
              <w:rPr>
                <w:lang w:val="en-GB"/>
              </w:rPr>
            </w:pPr>
            <w:r w:rsidRPr="00A33264">
              <w:rPr>
                <w:lang w:val="en-GB"/>
              </w:rPr>
              <w:t>Deputy CEO Service Delivery</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12648168" w14:textId="77777777" w:rsidR="0080564E" w:rsidRPr="00A33264" w:rsidRDefault="0080564E" w:rsidP="00FD3D46">
            <w:pPr>
              <w:jc w:val="right"/>
              <w:rPr>
                <w:lang w:val="en-GB"/>
              </w:rPr>
            </w:pPr>
            <w:r w:rsidRPr="00A33264">
              <w:rPr>
                <w:lang w:val="en-GB"/>
              </w:rPr>
              <w:t>385,564</w:t>
            </w:r>
          </w:p>
        </w:tc>
        <w:tc>
          <w:tcPr>
            <w:tcW w:w="992"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34C52369" w14:textId="1190B65E" w:rsidR="0080564E" w:rsidRPr="00A33264" w:rsidRDefault="0080564E" w:rsidP="00FD3D46">
            <w:pPr>
              <w:jc w:val="right"/>
              <w:rPr>
                <w:lang w:val="en-GB"/>
              </w:rPr>
            </w:pPr>
            <w:r w:rsidRPr="00A33264">
              <w:rPr>
                <w:lang w:val="en-GB"/>
              </w:rPr>
              <w:t>0</w:t>
            </w:r>
          </w:p>
        </w:tc>
        <w:tc>
          <w:tcPr>
            <w:tcW w:w="1418"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09EC4891" w14:textId="7391C10C" w:rsidR="0080564E" w:rsidRPr="00A33264" w:rsidRDefault="0080564E" w:rsidP="00FD3D46">
            <w:pPr>
              <w:jc w:val="right"/>
              <w:rPr>
                <w:lang w:val="en-GB"/>
              </w:rPr>
            </w:pPr>
            <w:r w:rsidRPr="00A33264">
              <w:rPr>
                <w:lang w:val="en-GB"/>
              </w:rPr>
              <w:t>0</w:t>
            </w:r>
          </w:p>
        </w:tc>
        <w:tc>
          <w:tcPr>
            <w:tcW w:w="1700"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48A898D9" w14:textId="77777777" w:rsidR="0080564E" w:rsidRPr="00A33264" w:rsidRDefault="0080564E" w:rsidP="00FD3D46">
            <w:pPr>
              <w:jc w:val="right"/>
              <w:rPr>
                <w:lang w:val="en-GB"/>
              </w:rPr>
            </w:pPr>
            <w:r w:rsidRPr="00A33264">
              <w:rPr>
                <w:lang w:val="en-GB"/>
              </w:rPr>
              <w:t>70,333</w:t>
            </w:r>
          </w:p>
        </w:tc>
        <w:tc>
          <w:tcPr>
            <w:tcW w:w="992"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06FCA330" w14:textId="77777777" w:rsidR="0080564E" w:rsidRPr="00A33264" w:rsidRDefault="0080564E" w:rsidP="00FD3D46">
            <w:pPr>
              <w:jc w:val="right"/>
              <w:rPr>
                <w:lang w:val="en-GB"/>
              </w:rPr>
            </w:pPr>
            <w:r w:rsidRPr="00A33264">
              <w:rPr>
                <w:lang w:val="en-GB"/>
              </w:rPr>
              <w:t>10,073</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250D2090" w14:textId="78819906" w:rsidR="0080564E" w:rsidRPr="00A33264" w:rsidRDefault="0080564E" w:rsidP="00FD3D46">
            <w:pPr>
              <w:jc w:val="right"/>
              <w:rPr>
                <w:lang w:val="en-GB"/>
              </w:rPr>
            </w:pPr>
            <w:r w:rsidRPr="00A33264">
              <w:rPr>
                <w:lang w:val="en-GB"/>
              </w:rPr>
              <w:t>0</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03A6E9AA" w14:textId="70B1DF8D" w:rsidR="0080564E" w:rsidRPr="00A33264" w:rsidRDefault="0080564E" w:rsidP="00FD3D46">
            <w:pPr>
              <w:jc w:val="right"/>
              <w:rPr>
                <w:lang w:val="en-GB"/>
              </w:rPr>
            </w:pPr>
            <w:r w:rsidRPr="00A33264">
              <w:rPr>
                <w:lang w:val="en-GB"/>
              </w:rPr>
              <w:t>0</w:t>
            </w:r>
          </w:p>
        </w:tc>
        <w:tc>
          <w:tcPr>
            <w:tcW w:w="1170"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355EDED3" w14:textId="77777777" w:rsidR="0080564E" w:rsidRPr="00A33264" w:rsidRDefault="0080564E" w:rsidP="00FD3D46">
            <w:pPr>
              <w:jc w:val="right"/>
              <w:rPr>
                <w:b/>
                <w:bCs/>
                <w:lang w:val="en-GB"/>
              </w:rPr>
            </w:pPr>
            <w:r w:rsidRPr="00A33264">
              <w:rPr>
                <w:lang w:val="en-GB"/>
              </w:rPr>
              <w:t>465,970</w:t>
            </w:r>
          </w:p>
        </w:tc>
      </w:tr>
      <w:tr w:rsidR="0080564E" w:rsidRPr="00A33264" w14:paraId="039A5F81" w14:textId="77777777" w:rsidTr="004364A0">
        <w:trPr>
          <w:trHeight w:val="289"/>
        </w:trPr>
        <w:tc>
          <w:tcPr>
            <w:tcW w:w="2134"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2377679E" w14:textId="77777777" w:rsidR="0080564E" w:rsidRPr="00A33264" w:rsidRDefault="0080564E" w:rsidP="0080564E">
            <w:pPr>
              <w:rPr>
                <w:lang w:val="en-GB"/>
              </w:rPr>
            </w:pPr>
            <w:r w:rsidRPr="00A33264">
              <w:rPr>
                <w:lang w:val="en-GB"/>
              </w:rPr>
              <w:lastRenderedPageBreak/>
              <w:t>Ms Debbie Mitchell</w:t>
            </w:r>
          </w:p>
        </w:tc>
        <w:tc>
          <w:tcPr>
            <w:tcW w:w="1842"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36CED8D6" w14:textId="77777777" w:rsidR="0080564E" w:rsidRPr="00A33264" w:rsidRDefault="0080564E" w:rsidP="0080564E">
            <w:pPr>
              <w:rPr>
                <w:lang w:val="en-GB"/>
              </w:rPr>
            </w:pPr>
            <w:r w:rsidRPr="00A33264">
              <w:rPr>
                <w:lang w:val="en-GB"/>
              </w:rPr>
              <w:t>Deputy CEO Governance, Risk and Legal</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38616BAD" w14:textId="77777777" w:rsidR="0080564E" w:rsidRPr="00A33264" w:rsidRDefault="0080564E" w:rsidP="00FD3D46">
            <w:pPr>
              <w:jc w:val="right"/>
              <w:rPr>
                <w:lang w:val="en-GB"/>
              </w:rPr>
            </w:pPr>
            <w:r w:rsidRPr="00A33264">
              <w:rPr>
                <w:lang w:val="en-GB"/>
              </w:rPr>
              <w:t>437,231</w:t>
            </w:r>
          </w:p>
        </w:tc>
        <w:tc>
          <w:tcPr>
            <w:tcW w:w="992"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0C6C8ED6" w14:textId="5B19DB1F" w:rsidR="0080564E" w:rsidRPr="00A33264" w:rsidRDefault="0080564E" w:rsidP="00FD3D46">
            <w:pPr>
              <w:jc w:val="right"/>
              <w:rPr>
                <w:lang w:val="en-GB"/>
              </w:rPr>
            </w:pPr>
            <w:r w:rsidRPr="00A33264">
              <w:rPr>
                <w:lang w:val="en-GB"/>
              </w:rPr>
              <w:t>0</w:t>
            </w:r>
          </w:p>
        </w:tc>
        <w:tc>
          <w:tcPr>
            <w:tcW w:w="1418"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3BB06A0E" w14:textId="353E60B9" w:rsidR="0080564E" w:rsidRPr="00A33264" w:rsidRDefault="0080564E" w:rsidP="00FD3D46">
            <w:pPr>
              <w:jc w:val="right"/>
              <w:rPr>
                <w:lang w:val="en-GB"/>
              </w:rPr>
            </w:pPr>
            <w:r w:rsidRPr="00A33264">
              <w:rPr>
                <w:lang w:val="en-GB"/>
              </w:rPr>
              <w:t>0</w:t>
            </w:r>
          </w:p>
        </w:tc>
        <w:tc>
          <w:tcPr>
            <w:tcW w:w="1700"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79E16B68" w14:textId="2068812E" w:rsidR="0080564E" w:rsidRPr="00A33264" w:rsidRDefault="0080564E" w:rsidP="00FD3D46">
            <w:pPr>
              <w:jc w:val="right"/>
              <w:rPr>
                <w:lang w:val="en-GB"/>
              </w:rPr>
            </w:pPr>
            <w:r w:rsidRPr="00A33264">
              <w:rPr>
                <w:lang w:val="en-GB"/>
              </w:rPr>
              <w:t>62,68</w:t>
            </w:r>
            <w:r w:rsidR="009023D0">
              <w:rPr>
                <w:lang w:val="en-GB"/>
              </w:rPr>
              <w:t>7</w:t>
            </w:r>
          </w:p>
        </w:tc>
        <w:tc>
          <w:tcPr>
            <w:tcW w:w="992"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57E26A31" w14:textId="77777777" w:rsidR="0080564E" w:rsidRPr="00A33264" w:rsidRDefault="0080564E" w:rsidP="00FD3D46">
            <w:pPr>
              <w:jc w:val="right"/>
              <w:rPr>
                <w:lang w:val="en-GB"/>
              </w:rPr>
            </w:pPr>
            <w:r w:rsidRPr="00A33264">
              <w:rPr>
                <w:lang w:val="en-GB"/>
              </w:rPr>
              <w:t>10,902</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2410CBEB" w14:textId="7812F511" w:rsidR="0080564E" w:rsidRPr="00A33264" w:rsidRDefault="0080564E" w:rsidP="00FD3D46">
            <w:pPr>
              <w:jc w:val="right"/>
              <w:rPr>
                <w:lang w:val="en-GB"/>
              </w:rPr>
            </w:pPr>
            <w:r w:rsidRPr="00A33264">
              <w:rPr>
                <w:lang w:val="en-GB"/>
              </w:rPr>
              <w:t>0</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336BC259" w14:textId="4B5301C4" w:rsidR="0080564E" w:rsidRPr="00A33264" w:rsidRDefault="0080564E" w:rsidP="00FD3D46">
            <w:pPr>
              <w:jc w:val="right"/>
              <w:rPr>
                <w:lang w:val="en-GB"/>
              </w:rPr>
            </w:pPr>
            <w:r w:rsidRPr="00A33264">
              <w:rPr>
                <w:lang w:val="en-GB"/>
              </w:rPr>
              <w:t>0</w:t>
            </w:r>
          </w:p>
        </w:tc>
        <w:tc>
          <w:tcPr>
            <w:tcW w:w="1170"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480BB137" w14:textId="77777777" w:rsidR="0080564E" w:rsidRPr="00A33264" w:rsidRDefault="0080564E" w:rsidP="00FD3D46">
            <w:pPr>
              <w:jc w:val="right"/>
              <w:rPr>
                <w:b/>
                <w:bCs/>
                <w:lang w:val="en-GB"/>
              </w:rPr>
            </w:pPr>
            <w:r w:rsidRPr="00A33264">
              <w:rPr>
                <w:lang w:val="en-GB"/>
              </w:rPr>
              <w:t>510,820</w:t>
            </w:r>
          </w:p>
        </w:tc>
      </w:tr>
      <w:tr w:rsidR="0080564E" w:rsidRPr="00A33264" w14:paraId="588A8E2D" w14:textId="77777777" w:rsidTr="004364A0">
        <w:trPr>
          <w:trHeight w:val="289"/>
        </w:trPr>
        <w:tc>
          <w:tcPr>
            <w:tcW w:w="2134"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544E8724" w14:textId="64308F1C" w:rsidR="0080564E" w:rsidRPr="00A33264" w:rsidRDefault="009023D0" w:rsidP="0080564E">
            <w:pPr>
              <w:rPr>
                <w:lang w:val="en-GB"/>
              </w:rPr>
            </w:pPr>
            <w:r>
              <w:rPr>
                <w:lang w:val="en-GB"/>
              </w:rPr>
              <w:t>Dr</w:t>
            </w:r>
            <w:r w:rsidR="0080564E" w:rsidRPr="00A33264">
              <w:rPr>
                <w:lang w:val="en-GB"/>
              </w:rPr>
              <w:t xml:space="preserve"> Janine Marie Mohamed </w:t>
            </w:r>
          </w:p>
        </w:tc>
        <w:tc>
          <w:tcPr>
            <w:tcW w:w="1842"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63A36185" w14:textId="77777777" w:rsidR="0080564E" w:rsidRPr="00A33264" w:rsidRDefault="0080564E" w:rsidP="0080564E">
            <w:pPr>
              <w:rPr>
                <w:lang w:val="en-GB"/>
              </w:rPr>
            </w:pPr>
            <w:r w:rsidRPr="00A33264">
              <w:rPr>
                <w:lang w:val="en-GB"/>
              </w:rPr>
              <w:t>Deputy CEO First Nations</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0DE1054F" w14:textId="35EF175D" w:rsidR="0080564E" w:rsidRPr="00A33264" w:rsidRDefault="0080564E" w:rsidP="00FD3D46">
            <w:pPr>
              <w:jc w:val="right"/>
              <w:rPr>
                <w:lang w:val="en-GB"/>
              </w:rPr>
            </w:pPr>
            <w:r w:rsidRPr="00A33264">
              <w:rPr>
                <w:lang w:val="en-GB"/>
              </w:rPr>
              <w:t>77,91</w:t>
            </w:r>
            <w:r w:rsidR="009023D0">
              <w:rPr>
                <w:lang w:val="en-GB"/>
              </w:rPr>
              <w:t>1</w:t>
            </w:r>
          </w:p>
        </w:tc>
        <w:tc>
          <w:tcPr>
            <w:tcW w:w="992"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0C9560F3" w14:textId="0C41CD1F" w:rsidR="0080564E" w:rsidRPr="00A33264" w:rsidRDefault="0080564E" w:rsidP="00FD3D46">
            <w:pPr>
              <w:jc w:val="right"/>
              <w:rPr>
                <w:lang w:val="en-GB"/>
              </w:rPr>
            </w:pPr>
            <w:r w:rsidRPr="00A33264">
              <w:rPr>
                <w:lang w:val="en-GB"/>
              </w:rPr>
              <w:t>0</w:t>
            </w:r>
          </w:p>
        </w:tc>
        <w:tc>
          <w:tcPr>
            <w:tcW w:w="1418"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59B4F50F" w14:textId="69E6489B" w:rsidR="0080564E" w:rsidRPr="00A33264" w:rsidRDefault="0080564E" w:rsidP="00FD3D46">
            <w:pPr>
              <w:jc w:val="right"/>
              <w:rPr>
                <w:lang w:val="en-GB"/>
              </w:rPr>
            </w:pPr>
            <w:r w:rsidRPr="00A33264">
              <w:rPr>
                <w:lang w:val="en-GB"/>
              </w:rPr>
              <w:t>0</w:t>
            </w:r>
          </w:p>
        </w:tc>
        <w:tc>
          <w:tcPr>
            <w:tcW w:w="1700"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0E2A35CA" w14:textId="77777777" w:rsidR="0080564E" w:rsidRPr="00A33264" w:rsidRDefault="0080564E" w:rsidP="00FD3D46">
            <w:pPr>
              <w:jc w:val="right"/>
              <w:rPr>
                <w:lang w:val="en-GB"/>
              </w:rPr>
            </w:pPr>
            <w:r w:rsidRPr="00A33264">
              <w:rPr>
                <w:lang w:val="en-GB"/>
              </w:rPr>
              <w:t>14,936</w:t>
            </w:r>
          </w:p>
        </w:tc>
        <w:tc>
          <w:tcPr>
            <w:tcW w:w="992"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045E4B19" w14:textId="77777777" w:rsidR="0080564E" w:rsidRPr="00A33264" w:rsidRDefault="0080564E" w:rsidP="00FD3D46">
            <w:pPr>
              <w:jc w:val="right"/>
              <w:rPr>
                <w:lang w:val="en-GB"/>
              </w:rPr>
            </w:pPr>
            <w:r w:rsidRPr="00A33264">
              <w:rPr>
                <w:lang w:val="en-GB"/>
              </w:rPr>
              <w:t>1,859</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3073A0DA" w14:textId="33E8664C" w:rsidR="0080564E" w:rsidRPr="00A33264" w:rsidRDefault="0080564E" w:rsidP="00FD3D46">
            <w:pPr>
              <w:jc w:val="right"/>
              <w:rPr>
                <w:lang w:val="en-GB"/>
              </w:rPr>
            </w:pPr>
            <w:r w:rsidRPr="00A33264">
              <w:rPr>
                <w:lang w:val="en-GB"/>
              </w:rPr>
              <w:t>0</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5EEE8976" w14:textId="771456BC" w:rsidR="0080564E" w:rsidRPr="00A33264" w:rsidRDefault="0080564E" w:rsidP="00FD3D46">
            <w:pPr>
              <w:jc w:val="right"/>
              <w:rPr>
                <w:lang w:val="en-GB"/>
              </w:rPr>
            </w:pPr>
            <w:r w:rsidRPr="00A33264">
              <w:rPr>
                <w:lang w:val="en-GB"/>
              </w:rPr>
              <w:t>0</w:t>
            </w:r>
          </w:p>
        </w:tc>
        <w:tc>
          <w:tcPr>
            <w:tcW w:w="1170"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001C4B8A" w14:textId="77777777" w:rsidR="0080564E" w:rsidRPr="00A33264" w:rsidRDefault="0080564E" w:rsidP="00FD3D46">
            <w:pPr>
              <w:jc w:val="right"/>
              <w:rPr>
                <w:b/>
                <w:bCs/>
                <w:lang w:val="en-GB"/>
              </w:rPr>
            </w:pPr>
            <w:r w:rsidRPr="00A33264">
              <w:rPr>
                <w:lang w:val="en-GB"/>
              </w:rPr>
              <w:t>94,706</w:t>
            </w:r>
          </w:p>
        </w:tc>
      </w:tr>
      <w:tr w:rsidR="0080564E" w:rsidRPr="00A33264" w14:paraId="67CD9520" w14:textId="77777777" w:rsidTr="004364A0">
        <w:trPr>
          <w:trHeight w:val="289"/>
        </w:trPr>
        <w:tc>
          <w:tcPr>
            <w:tcW w:w="2134"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567D3229" w14:textId="77777777" w:rsidR="0080564E" w:rsidRPr="00A33264" w:rsidRDefault="0080564E" w:rsidP="0080564E">
            <w:pPr>
              <w:rPr>
                <w:lang w:val="en-GB"/>
              </w:rPr>
            </w:pPr>
            <w:r w:rsidRPr="00A33264">
              <w:rPr>
                <w:lang w:val="en-GB"/>
              </w:rPr>
              <w:t>Dr Denis Napthine AO</w:t>
            </w:r>
          </w:p>
        </w:tc>
        <w:tc>
          <w:tcPr>
            <w:tcW w:w="1842"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1BFA20A5" w14:textId="4716D44B" w:rsidR="0080564E" w:rsidRPr="00A33264" w:rsidRDefault="0080564E" w:rsidP="0080564E">
            <w:pPr>
              <w:rPr>
                <w:lang w:val="en-GB"/>
              </w:rPr>
            </w:pPr>
            <w:r w:rsidRPr="00A33264">
              <w:rPr>
                <w:lang w:val="en-GB"/>
              </w:rPr>
              <w:t xml:space="preserve">Board </w:t>
            </w:r>
            <w:r w:rsidR="00BF6B6E">
              <w:rPr>
                <w:lang w:val="en-GB"/>
              </w:rPr>
              <w:t>m</w:t>
            </w:r>
            <w:r w:rsidRPr="00A33264">
              <w:rPr>
                <w:lang w:val="en-GB"/>
              </w:rPr>
              <w:t>ember</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65C313EF" w14:textId="77777777" w:rsidR="0080564E" w:rsidRPr="00A33264" w:rsidRDefault="0080564E" w:rsidP="00FD3D46">
            <w:pPr>
              <w:jc w:val="right"/>
              <w:rPr>
                <w:lang w:val="en-GB"/>
              </w:rPr>
            </w:pPr>
            <w:r w:rsidRPr="00A33264">
              <w:rPr>
                <w:lang w:val="en-GB"/>
              </w:rPr>
              <w:t>60,835</w:t>
            </w:r>
          </w:p>
        </w:tc>
        <w:tc>
          <w:tcPr>
            <w:tcW w:w="992"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07E0A84C" w14:textId="4EB03B8C" w:rsidR="0080564E" w:rsidRPr="00A33264" w:rsidRDefault="0080564E" w:rsidP="00FD3D46">
            <w:pPr>
              <w:jc w:val="right"/>
              <w:rPr>
                <w:lang w:val="en-GB"/>
              </w:rPr>
            </w:pPr>
            <w:r w:rsidRPr="00A33264">
              <w:rPr>
                <w:lang w:val="en-GB"/>
              </w:rPr>
              <w:t>0</w:t>
            </w:r>
          </w:p>
        </w:tc>
        <w:tc>
          <w:tcPr>
            <w:tcW w:w="1418"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50A5115F" w14:textId="04FE6EB9" w:rsidR="0080564E" w:rsidRPr="00A33264" w:rsidRDefault="0080564E" w:rsidP="00FD3D46">
            <w:pPr>
              <w:jc w:val="right"/>
              <w:rPr>
                <w:lang w:val="en-GB"/>
              </w:rPr>
            </w:pPr>
            <w:r w:rsidRPr="00A33264">
              <w:rPr>
                <w:lang w:val="en-GB"/>
              </w:rPr>
              <w:t>0</w:t>
            </w:r>
          </w:p>
        </w:tc>
        <w:tc>
          <w:tcPr>
            <w:tcW w:w="1700"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67985854" w14:textId="77777777" w:rsidR="0080564E" w:rsidRPr="00A33264" w:rsidRDefault="0080564E" w:rsidP="00FD3D46">
            <w:pPr>
              <w:jc w:val="right"/>
              <w:rPr>
                <w:lang w:val="en-GB"/>
              </w:rPr>
            </w:pPr>
            <w:r w:rsidRPr="00A33264">
              <w:rPr>
                <w:lang w:val="en-GB"/>
              </w:rPr>
              <w:t>9,369</w:t>
            </w:r>
          </w:p>
        </w:tc>
        <w:tc>
          <w:tcPr>
            <w:tcW w:w="992"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5A818128" w14:textId="285FF753" w:rsidR="0080564E" w:rsidRPr="00A33264" w:rsidRDefault="0080564E" w:rsidP="00FD3D46">
            <w:pPr>
              <w:jc w:val="right"/>
              <w:rPr>
                <w:lang w:val="en-GB"/>
              </w:rPr>
            </w:pPr>
            <w:r w:rsidRPr="00A33264">
              <w:rPr>
                <w:lang w:val="en-GB"/>
              </w:rPr>
              <w:t>0</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3544B1ED" w14:textId="30446530" w:rsidR="0080564E" w:rsidRPr="00A33264" w:rsidRDefault="0080564E" w:rsidP="00FD3D46">
            <w:pPr>
              <w:jc w:val="right"/>
              <w:rPr>
                <w:lang w:val="en-GB"/>
              </w:rPr>
            </w:pPr>
            <w:r w:rsidRPr="00A33264">
              <w:rPr>
                <w:lang w:val="en-GB"/>
              </w:rPr>
              <w:t>0</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276A9522" w14:textId="2CF54159" w:rsidR="0080564E" w:rsidRPr="00A33264" w:rsidRDefault="0080564E" w:rsidP="00FD3D46">
            <w:pPr>
              <w:jc w:val="right"/>
              <w:rPr>
                <w:lang w:val="en-GB"/>
              </w:rPr>
            </w:pPr>
            <w:r w:rsidRPr="00A33264">
              <w:rPr>
                <w:lang w:val="en-GB"/>
              </w:rPr>
              <w:t>0</w:t>
            </w:r>
          </w:p>
        </w:tc>
        <w:tc>
          <w:tcPr>
            <w:tcW w:w="1170"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3EE8107E" w14:textId="77777777" w:rsidR="0080564E" w:rsidRPr="00A33264" w:rsidRDefault="0080564E" w:rsidP="00FD3D46">
            <w:pPr>
              <w:jc w:val="right"/>
              <w:rPr>
                <w:b/>
                <w:bCs/>
                <w:lang w:val="en-GB"/>
              </w:rPr>
            </w:pPr>
            <w:r w:rsidRPr="00A33264">
              <w:rPr>
                <w:lang w:val="en-GB"/>
              </w:rPr>
              <w:t>70,204</w:t>
            </w:r>
          </w:p>
        </w:tc>
      </w:tr>
      <w:tr w:rsidR="0080564E" w:rsidRPr="00A33264" w14:paraId="7874C31D" w14:textId="77777777" w:rsidTr="004364A0">
        <w:trPr>
          <w:trHeight w:val="289"/>
        </w:trPr>
        <w:tc>
          <w:tcPr>
            <w:tcW w:w="2134"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54DEE748" w14:textId="77777777" w:rsidR="0080564E" w:rsidRPr="00A33264" w:rsidRDefault="0080564E" w:rsidP="0080564E">
            <w:pPr>
              <w:rPr>
                <w:lang w:val="en-GB"/>
              </w:rPr>
            </w:pPr>
            <w:r w:rsidRPr="00A33264">
              <w:rPr>
                <w:lang w:val="en-GB"/>
              </w:rPr>
              <w:t>Ms Estelle Pearson</w:t>
            </w:r>
          </w:p>
        </w:tc>
        <w:tc>
          <w:tcPr>
            <w:tcW w:w="1842"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065B9C43" w14:textId="5E1547E1" w:rsidR="0080564E" w:rsidRPr="00A33264" w:rsidRDefault="0080564E" w:rsidP="0080564E">
            <w:pPr>
              <w:rPr>
                <w:lang w:val="en-GB"/>
              </w:rPr>
            </w:pPr>
            <w:r w:rsidRPr="00A33264">
              <w:rPr>
                <w:lang w:val="en-GB"/>
              </w:rPr>
              <w:t xml:space="preserve">Board </w:t>
            </w:r>
            <w:r w:rsidR="00BF6B6E">
              <w:rPr>
                <w:lang w:val="en-GB"/>
              </w:rPr>
              <w:t>m</w:t>
            </w:r>
            <w:r w:rsidRPr="00A33264">
              <w:rPr>
                <w:lang w:val="en-GB"/>
              </w:rPr>
              <w:t>ember</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0386676C" w14:textId="77777777" w:rsidR="0080564E" w:rsidRPr="00A33264" w:rsidRDefault="0080564E" w:rsidP="00FD3D46">
            <w:pPr>
              <w:jc w:val="right"/>
              <w:rPr>
                <w:lang w:val="en-GB"/>
              </w:rPr>
            </w:pPr>
            <w:r w:rsidRPr="00A33264">
              <w:rPr>
                <w:lang w:val="en-GB"/>
              </w:rPr>
              <w:t>95,138</w:t>
            </w:r>
          </w:p>
        </w:tc>
        <w:tc>
          <w:tcPr>
            <w:tcW w:w="992"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563A4CBC" w14:textId="64726039" w:rsidR="0080564E" w:rsidRPr="00A33264" w:rsidRDefault="0080564E" w:rsidP="00FD3D46">
            <w:pPr>
              <w:jc w:val="right"/>
              <w:rPr>
                <w:lang w:val="en-GB"/>
              </w:rPr>
            </w:pPr>
            <w:r w:rsidRPr="00A33264">
              <w:rPr>
                <w:lang w:val="en-GB"/>
              </w:rPr>
              <w:t>0</w:t>
            </w:r>
          </w:p>
        </w:tc>
        <w:tc>
          <w:tcPr>
            <w:tcW w:w="1418"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159EB279" w14:textId="11B96F01" w:rsidR="0080564E" w:rsidRPr="00A33264" w:rsidRDefault="0080564E" w:rsidP="00FD3D46">
            <w:pPr>
              <w:jc w:val="right"/>
              <w:rPr>
                <w:lang w:val="en-GB"/>
              </w:rPr>
            </w:pPr>
            <w:r w:rsidRPr="00A33264">
              <w:rPr>
                <w:lang w:val="en-GB"/>
              </w:rPr>
              <w:t>0</w:t>
            </w:r>
          </w:p>
        </w:tc>
        <w:tc>
          <w:tcPr>
            <w:tcW w:w="1700"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04318E33" w14:textId="77777777" w:rsidR="0080564E" w:rsidRPr="00A33264" w:rsidRDefault="0080564E" w:rsidP="00FD3D46">
            <w:pPr>
              <w:jc w:val="right"/>
              <w:rPr>
                <w:lang w:val="en-GB"/>
              </w:rPr>
            </w:pPr>
            <w:r w:rsidRPr="00A33264">
              <w:rPr>
                <w:lang w:val="en-GB"/>
              </w:rPr>
              <w:t>15,012</w:t>
            </w:r>
          </w:p>
        </w:tc>
        <w:tc>
          <w:tcPr>
            <w:tcW w:w="992"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7C28DD84" w14:textId="78B5EFFE" w:rsidR="0080564E" w:rsidRPr="00A33264" w:rsidRDefault="0080564E" w:rsidP="00FD3D46">
            <w:pPr>
              <w:jc w:val="right"/>
              <w:rPr>
                <w:lang w:val="en-GB"/>
              </w:rPr>
            </w:pPr>
            <w:r w:rsidRPr="00A33264">
              <w:rPr>
                <w:lang w:val="en-GB"/>
              </w:rPr>
              <w:t>0</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46C70A7D" w14:textId="775253ED" w:rsidR="0080564E" w:rsidRPr="00A33264" w:rsidRDefault="0080564E" w:rsidP="00FD3D46">
            <w:pPr>
              <w:jc w:val="right"/>
              <w:rPr>
                <w:lang w:val="en-GB"/>
              </w:rPr>
            </w:pPr>
            <w:r w:rsidRPr="00A33264">
              <w:rPr>
                <w:lang w:val="en-GB"/>
              </w:rPr>
              <w:t>0</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5CEA28DD" w14:textId="0C90F577" w:rsidR="0080564E" w:rsidRPr="00A33264" w:rsidRDefault="0080564E" w:rsidP="00FD3D46">
            <w:pPr>
              <w:jc w:val="right"/>
              <w:rPr>
                <w:lang w:val="en-GB"/>
              </w:rPr>
            </w:pPr>
            <w:r w:rsidRPr="00A33264">
              <w:rPr>
                <w:lang w:val="en-GB"/>
              </w:rPr>
              <w:t>0</w:t>
            </w:r>
          </w:p>
        </w:tc>
        <w:tc>
          <w:tcPr>
            <w:tcW w:w="1170"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1E2E7CC1" w14:textId="77777777" w:rsidR="0080564E" w:rsidRPr="00A33264" w:rsidRDefault="0080564E" w:rsidP="00FD3D46">
            <w:pPr>
              <w:jc w:val="right"/>
              <w:rPr>
                <w:b/>
                <w:bCs/>
                <w:lang w:val="en-GB"/>
              </w:rPr>
            </w:pPr>
            <w:r w:rsidRPr="00A33264">
              <w:rPr>
                <w:lang w:val="en-GB"/>
              </w:rPr>
              <w:t>110,150</w:t>
            </w:r>
          </w:p>
        </w:tc>
      </w:tr>
      <w:tr w:rsidR="0080564E" w:rsidRPr="00A33264" w14:paraId="271CA2E0" w14:textId="77777777" w:rsidTr="004364A0">
        <w:trPr>
          <w:trHeight w:val="289"/>
        </w:trPr>
        <w:tc>
          <w:tcPr>
            <w:tcW w:w="2134"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326E28EC" w14:textId="77777777" w:rsidR="0080564E" w:rsidRPr="00A33264" w:rsidRDefault="0080564E" w:rsidP="0080564E">
            <w:pPr>
              <w:rPr>
                <w:lang w:val="en-GB"/>
              </w:rPr>
            </w:pPr>
            <w:r w:rsidRPr="00A33264">
              <w:rPr>
                <w:lang w:val="en-GB"/>
              </w:rPr>
              <w:t>Mr Samuel Porter</w:t>
            </w:r>
          </w:p>
        </w:tc>
        <w:tc>
          <w:tcPr>
            <w:tcW w:w="1842"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4724A31A" w14:textId="30601DBB" w:rsidR="0080564E" w:rsidRPr="00A33264" w:rsidRDefault="0080564E" w:rsidP="0080564E">
            <w:pPr>
              <w:rPr>
                <w:lang w:val="en-GB"/>
              </w:rPr>
            </w:pPr>
            <w:r w:rsidRPr="00A33264">
              <w:rPr>
                <w:lang w:val="en-GB"/>
              </w:rPr>
              <w:t>Deputy CEO Enabling Services</w:t>
            </w:r>
            <w:r w:rsidR="00591C73">
              <w:rPr>
                <w:lang w:val="en-GB"/>
              </w:rPr>
              <w:t xml:space="preserve"> </w:t>
            </w:r>
            <w:r w:rsidRPr="00A33264">
              <w:rPr>
                <w:lang w:val="en-GB"/>
              </w:rPr>
              <w:t>/</w:t>
            </w:r>
            <w:r w:rsidR="00591C73">
              <w:rPr>
                <w:lang w:val="en-GB"/>
              </w:rPr>
              <w:t xml:space="preserve"> </w:t>
            </w:r>
            <w:r w:rsidRPr="00A33264">
              <w:rPr>
                <w:lang w:val="en-GB"/>
              </w:rPr>
              <w:t>Chief Operating Officer</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6391ED37" w14:textId="77777777" w:rsidR="0080564E" w:rsidRPr="00A33264" w:rsidRDefault="0080564E" w:rsidP="00FD3D46">
            <w:pPr>
              <w:jc w:val="right"/>
              <w:rPr>
                <w:lang w:val="en-GB"/>
              </w:rPr>
            </w:pPr>
            <w:r w:rsidRPr="00A33264">
              <w:rPr>
                <w:lang w:val="en-GB"/>
              </w:rPr>
              <w:t>499,391</w:t>
            </w:r>
          </w:p>
        </w:tc>
        <w:tc>
          <w:tcPr>
            <w:tcW w:w="992"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70464FD6" w14:textId="3EAF8D7A" w:rsidR="0080564E" w:rsidRPr="00A33264" w:rsidRDefault="0080564E" w:rsidP="00FD3D46">
            <w:pPr>
              <w:jc w:val="right"/>
              <w:rPr>
                <w:lang w:val="en-GB"/>
              </w:rPr>
            </w:pPr>
            <w:r w:rsidRPr="00A33264">
              <w:rPr>
                <w:lang w:val="en-GB"/>
              </w:rPr>
              <w:t>0</w:t>
            </w:r>
          </w:p>
        </w:tc>
        <w:tc>
          <w:tcPr>
            <w:tcW w:w="1418"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5471C46B" w14:textId="1B42FB39" w:rsidR="0080564E" w:rsidRPr="00A33264" w:rsidRDefault="0080564E" w:rsidP="00FD3D46">
            <w:pPr>
              <w:jc w:val="right"/>
              <w:rPr>
                <w:lang w:val="en-GB"/>
              </w:rPr>
            </w:pPr>
            <w:r w:rsidRPr="00A33264">
              <w:rPr>
                <w:lang w:val="en-GB"/>
              </w:rPr>
              <w:t>0</w:t>
            </w:r>
          </w:p>
        </w:tc>
        <w:tc>
          <w:tcPr>
            <w:tcW w:w="1700"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2B892A7E" w14:textId="77777777" w:rsidR="0080564E" w:rsidRPr="00A33264" w:rsidRDefault="0080564E" w:rsidP="00FD3D46">
            <w:pPr>
              <w:jc w:val="right"/>
              <w:rPr>
                <w:lang w:val="en-GB"/>
              </w:rPr>
            </w:pPr>
            <w:r w:rsidRPr="00A33264">
              <w:rPr>
                <w:lang w:val="en-GB"/>
              </w:rPr>
              <w:t>44,307</w:t>
            </w:r>
          </w:p>
        </w:tc>
        <w:tc>
          <w:tcPr>
            <w:tcW w:w="992"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482FF3A6" w14:textId="77777777" w:rsidR="0080564E" w:rsidRPr="00A33264" w:rsidRDefault="0080564E" w:rsidP="00FD3D46">
            <w:pPr>
              <w:jc w:val="right"/>
              <w:rPr>
                <w:lang w:val="en-GB"/>
              </w:rPr>
            </w:pPr>
            <w:r w:rsidRPr="00A33264">
              <w:rPr>
                <w:lang w:val="en-GB"/>
              </w:rPr>
              <w:t>12,407</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72A2F2E8" w14:textId="3B2FDB5D" w:rsidR="0080564E" w:rsidRPr="00A33264" w:rsidRDefault="0080564E" w:rsidP="00FD3D46">
            <w:pPr>
              <w:jc w:val="right"/>
              <w:rPr>
                <w:lang w:val="en-GB"/>
              </w:rPr>
            </w:pPr>
            <w:r w:rsidRPr="00A33264">
              <w:rPr>
                <w:lang w:val="en-GB"/>
              </w:rPr>
              <w:t>0</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704D92AF" w14:textId="71337ED5" w:rsidR="0080564E" w:rsidRPr="00A33264" w:rsidRDefault="00B15934" w:rsidP="00FD3D46">
            <w:pPr>
              <w:jc w:val="right"/>
              <w:rPr>
                <w:lang w:val="en-GB"/>
              </w:rPr>
            </w:pPr>
            <w:r w:rsidRPr="00A33264">
              <w:rPr>
                <w:lang w:val="en-GB"/>
              </w:rPr>
              <w:t>0</w:t>
            </w:r>
          </w:p>
        </w:tc>
        <w:tc>
          <w:tcPr>
            <w:tcW w:w="1170"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6B012CB2" w14:textId="77777777" w:rsidR="0080564E" w:rsidRPr="00A33264" w:rsidRDefault="0080564E" w:rsidP="00FD3D46">
            <w:pPr>
              <w:jc w:val="right"/>
              <w:rPr>
                <w:b/>
                <w:bCs/>
                <w:lang w:val="en-GB"/>
              </w:rPr>
            </w:pPr>
            <w:r w:rsidRPr="00A33264">
              <w:rPr>
                <w:lang w:val="en-GB"/>
              </w:rPr>
              <w:t>556,105</w:t>
            </w:r>
          </w:p>
        </w:tc>
      </w:tr>
      <w:tr w:rsidR="0080564E" w:rsidRPr="00A33264" w14:paraId="7CEEA4EE" w14:textId="77777777" w:rsidTr="004364A0">
        <w:trPr>
          <w:trHeight w:val="289"/>
        </w:trPr>
        <w:tc>
          <w:tcPr>
            <w:tcW w:w="2134"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10A128BF" w14:textId="48EB313C" w:rsidR="0080564E" w:rsidRPr="00A33264" w:rsidRDefault="00B969E8" w:rsidP="0080564E">
            <w:pPr>
              <w:rPr>
                <w:lang w:val="en-GB"/>
              </w:rPr>
            </w:pPr>
            <w:r w:rsidRPr="00A33264">
              <w:rPr>
                <w:lang w:val="en-GB"/>
              </w:rPr>
              <w:lastRenderedPageBreak/>
              <w:t>Dr</w:t>
            </w:r>
            <w:r w:rsidR="0080564E" w:rsidRPr="00A33264">
              <w:rPr>
                <w:lang w:val="en-GB"/>
              </w:rPr>
              <w:t xml:space="preserve"> Peta Seaton</w:t>
            </w:r>
            <w:r w:rsidR="00877A07" w:rsidRPr="00A33264">
              <w:rPr>
                <w:lang w:val="en-GB"/>
              </w:rPr>
              <w:t xml:space="preserve"> AM</w:t>
            </w:r>
          </w:p>
        </w:tc>
        <w:tc>
          <w:tcPr>
            <w:tcW w:w="1842"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11A4D1CD" w14:textId="71C78A88" w:rsidR="0080564E" w:rsidRPr="00A33264" w:rsidRDefault="0080564E" w:rsidP="0080564E">
            <w:pPr>
              <w:rPr>
                <w:lang w:val="en-GB"/>
              </w:rPr>
            </w:pPr>
            <w:r w:rsidRPr="00A33264">
              <w:rPr>
                <w:lang w:val="en-GB"/>
              </w:rPr>
              <w:t xml:space="preserve">Board </w:t>
            </w:r>
            <w:r w:rsidR="00BF6B6E">
              <w:rPr>
                <w:lang w:val="en-GB"/>
              </w:rPr>
              <w:t>m</w:t>
            </w:r>
            <w:r w:rsidRPr="00A33264">
              <w:rPr>
                <w:lang w:val="en-GB"/>
              </w:rPr>
              <w:t>ember</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7B11519A" w14:textId="77777777" w:rsidR="0080564E" w:rsidRPr="00A33264" w:rsidRDefault="0080564E" w:rsidP="00FD3D46">
            <w:pPr>
              <w:jc w:val="right"/>
              <w:rPr>
                <w:lang w:val="en-GB"/>
              </w:rPr>
            </w:pPr>
            <w:r w:rsidRPr="00A33264">
              <w:rPr>
                <w:lang w:val="en-GB"/>
              </w:rPr>
              <w:t>58,572</w:t>
            </w:r>
          </w:p>
        </w:tc>
        <w:tc>
          <w:tcPr>
            <w:tcW w:w="992"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6274809F" w14:textId="1D181C54" w:rsidR="0080564E" w:rsidRPr="00A33264" w:rsidRDefault="0080564E" w:rsidP="00FD3D46">
            <w:pPr>
              <w:jc w:val="right"/>
              <w:rPr>
                <w:lang w:val="en-GB"/>
              </w:rPr>
            </w:pPr>
            <w:r w:rsidRPr="00A33264">
              <w:rPr>
                <w:lang w:val="en-GB"/>
              </w:rPr>
              <w:t>0</w:t>
            </w:r>
          </w:p>
        </w:tc>
        <w:tc>
          <w:tcPr>
            <w:tcW w:w="1418"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2A774162" w14:textId="72616BB1" w:rsidR="0080564E" w:rsidRPr="00A33264" w:rsidRDefault="0080564E" w:rsidP="00FD3D46">
            <w:pPr>
              <w:jc w:val="right"/>
              <w:rPr>
                <w:lang w:val="en-GB"/>
              </w:rPr>
            </w:pPr>
            <w:r w:rsidRPr="00A33264">
              <w:rPr>
                <w:lang w:val="en-GB"/>
              </w:rPr>
              <w:t>49</w:t>
            </w:r>
            <w:r w:rsidR="009023D0">
              <w:rPr>
                <w:lang w:val="en-GB"/>
              </w:rPr>
              <w:t>2</w:t>
            </w:r>
          </w:p>
        </w:tc>
        <w:tc>
          <w:tcPr>
            <w:tcW w:w="1700"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3C141C7A" w14:textId="77777777" w:rsidR="0080564E" w:rsidRPr="00A33264" w:rsidRDefault="0080564E" w:rsidP="00FD3D46">
            <w:pPr>
              <w:jc w:val="right"/>
              <w:rPr>
                <w:lang w:val="en-GB"/>
              </w:rPr>
            </w:pPr>
            <w:r w:rsidRPr="00A33264">
              <w:rPr>
                <w:lang w:val="en-GB"/>
              </w:rPr>
              <w:t>9,020</w:t>
            </w:r>
          </w:p>
        </w:tc>
        <w:tc>
          <w:tcPr>
            <w:tcW w:w="992"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6A953FEC" w14:textId="6A4BA526" w:rsidR="0080564E" w:rsidRPr="00A33264" w:rsidRDefault="0080564E" w:rsidP="00FD3D46">
            <w:pPr>
              <w:jc w:val="right"/>
              <w:rPr>
                <w:lang w:val="en-GB"/>
              </w:rPr>
            </w:pPr>
            <w:r w:rsidRPr="00A33264">
              <w:rPr>
                <w:lang w:val="en-GB"/>
              </w:rPr>
              <w:t>0</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7AC22523" w14:textId="6FC75E42" w:rsidR="0080564E" w:rsidRPr="00A33264" w:rsidRDefault="0080564E" w:rsidP="00FD3D46">
            <w:pPr>
              <w:jc w:val="right"/>
              <w:rPr>
                <w:lang w:val="en-GB"/>
              </w:rPr>
            </w:pPr>
            <w:r w:rsidRPr="00A33264">
              <w:rPr>
                <w:lang w:val="en-GB"/>
              </w:rPr>
              <w:t>0</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051798D8" w14:textId="75A35C2B" w:rsidR="0080564E" w:rsidRPr="00A33264" w:rsidRDefault="0080564E" w:rsidP="00FD3D46">
            <w:pPr>
              <w:jc w:val="right"/>
              <w:rPr>
                <w:lang w:val="en-GB"/>
              </w:rPr>
            </w:pPr>
            <w:r w:rsidRPr="00A33264">
              <w:rPr>
                <w:lang w:val="en-GB"/>
              </w:rPr>
              <w:t>0</w:t>
            </w:r>
          </w:p>
        </w:tc>
        <w:tc>
          <w:tcPr>
            <w:tcW w:w="1170"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754F43F3" w14:textId="77777777" w:rsidR="0080564E" w:rsidRPr="00A33264" w:rsidRDefault="0080564E" w:rsidP="00FD3D46">
            <w:pPr>
              <w:jc w:val="right"/>
              <w:rPr>
                <w:b/>
                <w:bCs/>
                <w:lang w:val="en-GB"/>
              </w:rPr>
            </w:pPr>
            <w:r w:rsidRPr="00A33264">
              <w:rPr>
                <w:lang w:val="en-GB"/>
              </w:rPr>
              <w:t>68,084</w:t>
            </w:r>
          </w:p>
        </w:tc>
      </w:tr>
      <w:tr w:rsidR="0080564E" w:rsidRPr="00A33264" w14:paraId="1B6013C4" w14:textId="77777777" w:rsidTr="004364A0">
        <w:trPr>
          <w:trHeight w:val="289"/>
        </w:trPr>
        <w:tc>
          <w:tcPr>
            <w:tcW w:w="2134"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6A3A2EC7" w14:textId="77777777" w:rsidR="0080564E" w:rsidRPr="00A33264" w:rsidRDefault="0080564E" w:rsidP="0080564E">
            <w:pPr>
              <w:rPr>
                <w:lang w:val="en-GB"/>
              </w:rPr>
            </w:pPr>
            <w:r w:rsidRPr="00A33264">
              <w:rPr>
                <w:lang w:val="en-GB"/>
              </w:rPr>
              <w:t>Mr Matthew Swainson</w:t>
            </w:r>
          </w:p>
        </w:tc>
        <w:tc>
          <w:tcPr>
            <w:tcW w:w="1842"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55216CEC" w14:textId="77777777" w:rsidR="0080564E" w:rsidRPr="00A33264" w:rsidRDefault="0080564E" w:rsidP="0080564E">
            <w:pPr>
              <w:rPr>
                <w:lang w:val="en-GB"/>
              </w:rPr>
            </w:pPr>
            <w:r w:rsidRPr="00A33264">
              <w:rPr>
                <w:lang w:val="en-GB"/>
              </w:rPr>
              <w:t>Acting Deputy Chief Executive Officer Governance, Risk and Legal</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7E5C7166" w14:textId="77777777" w:rsidR="0080564E" w:rsidRPr="00A33264" w:rsidRDefault="0080564E" w:rsidP="00FD3D46">
            <w:pPr>
              <w:jc w:val="right"/>
              <w:rPr>
                <w:lang w:val="en-GB"/>
              </w:rPr>
            </w:pPr>
            <w:r w:rsidRPr="00A33264">
              <w:rPr>
                <w:lang w:val="en-GB"/>
              </w:rPr>
              <w:t>96,019</w:t>
            </w:r>
          </w:p>
        </w:tc>
        <w:tc>
          <w:tcPr>
            <w:tcW w:w="992"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3B7743D3" w14:textId="31D897ED" w:rsidR="0080564E" w:rsidRPr="00A33264" w:rsidRDefault="0080564E" w:rsidP="00FD3D46">
            <w:pPr>
              <w:jc w:val="right"/>
              <w:rPr>
                <w:lang w:val="en-GB"/>
              </w:rPr>
            </w:pPr>
            <w:r w:rsidRPr="00A33264">
              <w:rPr>
                <w:lang w:val="en-GB"/>
              </w:rPr>
              <w:t>0</w:t>
            </w:r>
          </w:p>
        </w:tc>
        <w:tc>
          <w:tcPr>
            <w:tcW w:w="1418"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6971D389" w14:textId="5DACBA43" w:rsidR="0080564E" w:rsidRPr="00A33264" w:rsidRDefault="0080564E" w:rsidP="00FD3D46">
            <w:pPr>
              <w:jc w:val="right"/>
              <w:rPr>
                <w:lang w:val="en-GB"/>
              </w:rPr>
            </w:pPr>
            <w:r w:rsidRPr="00A33264">
              <w:rPr>
                <w:lang w:val="en-GB"/>
              </w:rPr>
              <w:t>0</w:t>
            </w:r>
          </w:p>
        </w:tc>
        <w:tc>
          <w:tcPr>
            <w:tcW w:w="1700"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4ECD1F76" w14:textId="77777777" w:rsidR="0080564E" w:rsidRPr="00A33264" w:rsidRDefault="0080564E" w:rsidP="00FD3D46">
            <w:pPr>
              <w:jc w:val="right"/>
              <w:rPr>
                <w:lang w:val="en-GB"/>
              </w:rPr>
            </w:pPr>
            <w:r w:rsidRPr="00A33264">
              <w:rPr>
                <w:lang w:val="en-GB"/>
              </w:rPr>
              <w:t>11,801</w:t>
            </w:r>
          </w:p>
        </w:tc>
        <w:tc>
          <w:tcPr>
            <w:tcW w:w="992"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2E3CD2E7" w14:textId="77777777" w:rsidR="0080564E" w:rsidRPr="00A33264" w:rsidRDefault="0080564E" w:rsidP="00FD3D46">
            <w:pPr>
              <w:jc w:val="right"/>
              <w:rPr>
                <w:lang w:val="en-GB"/>
              </w:rPr>
            </w:pPr>
            <w:r w:rsidRPr="00A33264">
              <w:rPr>
                <w:lang w:val="en-GB"/>
              </w:rPr>
              <w:t>2,494</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6E73A402" w14:textId="331AD2A1" w:rsidR="0080564E" w:rsidRPr="00A33264" w:rsidRDefault="0080564E" w:rsidP="00FD3D46">
            <w:pPr>
              <w:jc w:val="right"/>
              <w:rPr>
                <w:lang w:val="en-GB"/>
              </w:rPr>
            </w:pPr>
            <w:r w:rsidRPr="00A33264">
              <w:rPr>
                <w:lang w:val="en-GB"/>
              </w:rPr>
              <w:t>0</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6567D47D" w14:textId="0F753F6D" w:rsidR="0080564E" w:rsidRPr="00A33264" w:rsidRDefault="0080564E" w:rsidP="00FD3D46">
            <w:pPr>
              <w:jc w:val="right"/>
              <w:rPr>
                <w:lang w:val="en-GB"/>
              </w:rPr>
            </w:pPr>
            <w:r w:rsidRPr="00A33264">
              <w:rPr>
                <w:lang w:val="en-GB"/>
              </w:rPr>
              <w:t>0</w:t>
            </w:r>
          </w:p>
        </w:tc>
        <w:tc>
          <w:tcPr>
            <w:tcW w:w="1170" w:type="dxa"/>
            <w:tcBorders>
              <w:top w:val="single" w:sz="8" w:space="0" w:color="6B2876" w:themeColor="text1"/>
              <w:left w:val="single" w:sz="8" w:space="0" w:color="6B2876" w:themeColor="text1"/>
              <w:bottom w:val="single" w:sz="8" w:space="0" w:color="6B2876" w:themeColor="text1"/>
              <w:right w:val="single" w:sz="8" w:space="0" w:color="6B2876" w:themeColor="text1"/>
            </w:tcBorders>
            <w:hideMark/>
          </w:tcPr>
          <w:p w14:paraId="5B4FB1AD" w14:textId="77777777" w:rsidR="0080564E" w:rsidRPr="00A33264" w:rsidRDefault="0080564E" w:rsidP="00FD3D46">
            <w:pPr>
              <w:jc w:val="right"/>
              <w:rPr>
                <w:b/>
                <w:bCs/>
                <w:lang w:val="en-GB"/>
              </w:rPr>
            </w:pPr>
            <w:r w:rsidRPr="00A33264">
              <w:rPr>
                <w:lang w:val="en-GB"/>
              </w:rPr>
              <w:t>110,314</w:t>
            </w:r>
          </w:p>
        </w:tc>
      </w:tr>
      <w:tr w:rsidR="0080564E" w:rsidRPr="00A33264" w14:paraId="0A3C9004" w14:textId="77777777" w:rsidTr="004364A0">
        <w:trPr>
          <w:trHeight w:val="289"/>
        </w:trPr>
        <w:tc>
          <w:tcPr>
            <w:tcW w:w="2134"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4FE2F87B" w14:textId="1E6D608F" w:rsidR="0080564E" w:rsidRPr="00A33264" w:rsidRDefault="0080564E" w:rsidP="0080564E">
            <w:pPr>
              <w:rPr>
                <w:lang w:val="en-GB"/>
              </w:rPr>
            </w:pPr>
            <w:r w:rsidRPr="00A33264">
              <w:rPr>
                <w:lang w:val="en-GB"/>
              </w:rPr>
              <w:t xml:space="preserve">Ms Leah </w:t>
            </w:r>
            <w:r w:rsidR="009023D0">
              <w:rPr>
                <w:lang w:val="en-GB"/>
              </w:rPr>
              <w:t>v</w:t>
            </w:r>
            <w:r w:rsidRPr="00A33264">
              <w:rPr>
                <w:lang w:val="en-GB"/>
              </w:rPr>
              <w:t>an Poppel</w:t>
            </w:r>
          </w:p>
        </w:tc>
        <w:tc>
          <w:tcPr>
            <w:tcW w:w="1842"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51635BF4" w14:textId="02D6BBDC" w:rsidR="0080564E" w:rsidRPr="00A33264" w:rsidRDefault="0080564E" w:rsidP="0080564E">
            <w:pPr>
              <w:rPr>
                <w:lang w:val="en-GB"/>
              </w:rPr>
            </w:pPr>
            <w:r w:rsidRPr="00A33264">
              <w:rPr>
                <w:lang w:val="en-GB"/>
              </w:rPr>
              <w:t xml:space="preserve">Board </w:t>
            </w:r>
            <w:r w:rsidR="00BF6B6E">
              <w:rPr>
                <w:lang w:val="en-GB"/>
              </w:rPr>
              <w:t>m</w:t>
            </w:r>
            <w:r w:rsidRPr="00A33264">
              <w:rPr>
                <w:lang w:val="en-GB"/>
              </w:rPr>
              <w:t>ember</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6BCB6E3D" w14:textId="77777777" w:rsidR="0080564E" w:rsidRPr="00A33264" w:rsidRDefault="0080564E" w:rsidP="00FD3D46">
            <w:pPr>
              <w:jc w:val="right"/>
              <w:rPr>
                <w:lang w:val="en-GB"/>
              </w:rPr>
            </w:pPr>
            <w:r w:rsidRPr="00A33264">
              <w:rPr>
                <w:lang w:val="en-GB"/>
              </w:rPr>
              <w:t>161,291</w:t>
            </w:r>
          </w:p>
        </w:tc>
        <w:tc>
          <w:tcPr>
            <w:tcW w:w="992"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765108C0" w14:textId="749D0C37" w:rsidR="0080564E" w:rsidRPr="00A33264" w:rsidRDefault="0080564E" w:rsidP="00FD3D46">
            <w:pPr>
              <w:jc w:val="right"/>
              <w:rPr>
                <w:lang w:val="en-GB"/>
              </w:rPr>
            </w:pPr>
            <w:r w:rsidRPr="00A33264">
              <w:rPr>
                <w:lang w:val="en-GB"/>
              </w:rPr>
              <w:t>0</w:t>
            </w:r>
          </w:p>
        </w:tc>
        <w:tc>
          <w:tcPr>
            <w:tcW w:w="1418"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1DC9B1DA" w14:textId="77777777" w:rsidR="0080564E" w:rsidRPr="00A33264" w:rsidRDefault="0080564E" w:rsidP="00FD3D46">
            <w:pPr>
              <w:jc w:val="right"/>
              <w:rPr>
                <w:lang w:val="en-GB"/>
              </w:rPr>
            </w:pPr>
            <w:r w:rsidRPr="00A33264">
              <w:rPr>
                <w:lang w:val="en-GB"/>
              </w:rPr>
              <w:t>2,245</w:t>
            </w:r>
          </w:p>
        </w:tc>
        <w:tc>
          <w:tcPr>
            <w:tcW w:w="1700"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5DB8B4A9" w14:textId="77777777" w:rsidR="0080564E" w:rsidRPr="00A33264" w:rsidRDefault="0080564E" w:rsidP="00FD3D46">
            <w:pPr>
              <w:jc w:val="right"/>
              <w:rPr>
                <w:lang w:val="en-GB"/>
              </w:rPr>
            </w:pPr>
            <w:r w:rsidRPr="00A33264">
              <w:rPr>
                <w:lang w:val="en-GB"/>
              </w:rPr>
              <w:t>25,184</w:t>
            </w:r>
          </w:p>
        </w:tc>
        <w:tc>
          <w:tcPr>
            <w:tcW w:w="992"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11F7A7A4" w14:textId="0EBC684E" w:rsidR="0080564E" w:rsidRPr="00A33264" w:rsidRDefault="0080564E" w:rsidP="00FD3D46">
            <w:pPr>
              <w:jc w:val="right"/>
              <w:rPr>
                <w:lang w:val="en-GB"/>
              </w:rPr>
            </w:pPr>
            <w:r w:rsidRPr="00A33264">
              <w:rPr>
                <w:lang w:val="en-GB"/>
              </w:rPr>
              <w:t>0</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64E6F5CC" w14:textId="53B4C4A4" w:rsidR="0080564E" w:rsidRPr="00A33264" w:rsidRDefault="0080564E" w:rsidP="00FD3D46">
            <w:pPr>
              <w:jc w:val="right"/>
              <w:rPr>
                <w:lang w:val="en-GB"/>
              </w:rPr>
            </w:pPr>
            <w:r w:rsidRPr="00A33264">
              <w:rPr>
                <w:lang w:val="en-GB"/>
              </w:rPr>
              <w:t>0</w:t>
            </w:r>
          </w:p>
        </w:tc>
        <w:tc>
          <w:tcPr>
            <w:tcW w:w="1134"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0B708E4C" w14:textId="6F5D195A" w:rsidR="0080564E" w:rsidRPr="00A33264" w:rsidRDefault="0080564E" w:rsidP="00FD3D46">
            <w:pPr>
              <w:jc w:val="right"/>
              <w:rPr>
                <w:lang w:val="en-GB"/>
              </w:rPr>
            </w:pPr>
            <w:r w:rsidRPr="00A33264">
              <w:rPr>
                <w:lang w:val="en-GB"/>
              </w:rPr>
              <w:t>0</w:t>
            </w:r>
          </w:p>
        </w:tc>
        <w:tc>
          <w:tcPr>
            <w:tcW w:w="1170" w:type="dxa"/>
            <w:tcBorders>
              <w:top w:val="single" w:sz="8" w:space="0" w:color="6B2876" w:themeColor="text1"/>
              <w:left w:val="single" w:sz="8" w:space="0" w:color="6B2876" w:themeColor="text1"/>
              <w:bottom w:val="single" w:sz="8" w:space="0" w:color="6B2876" w:themeColor="text1"/>
              <w:right w:val="single" w:sz="8" w:space="0" w:color="6B2876" w:themeColor="text1"/>
            </w:tcBorders>
            <w:shd w:val="clear" w:color="auto" w:fill="F7EEF7"/>
            <w:hideMark/>
          </w:tcPr>
          <w:p w14:paraId="780F9E65" w14:textId="77777777" w:rsidR="0080564E" w:rsidRPr="00A33264" w:rsidRDefault="0080564E" w:rsidP="00FD3D46">
            <w:pPr>
              <w:jc w:val="right"/>
              <w:rPr>
                <w:b/>
                <w:bCs/>
                <w:lang w:val="en-GB"/>
              </w:rPr>
            </w:pPr>
            <w:r w:rsidRPr="00A33264">
              <w:rPr>
                <w:lang w:val="en-GB"/>
              </w:rPr>
              <w:t>188,720</w:t>
            </w:r>
          </w:p>
        </w:tc>
      </w:tr>
    </w:tbl>
    <w:p w14:paraId="081505F3" w14:textId="77777777" w:rsidR="004364A0" w:rsidRDefault="004364A0" w:rsidP="004364A0">
      <w:pPr>
        <w:pStyle w:val="Tablenote"/>
      </w:pPr>
      <w:bookmarkStart w:id="374" w:name="_Toc169592999"/>
      <w:r>
        <w:t xml:space="preserve">Note: </w:t>
      </w:r>
      <w:r w:rsidRPr="001651D3">
        <w:t>All data is calculated on an accrual basis.</w:t>
      </w:r>
    </w:p>
    <w:p w14:paraId="3AC73D89" w14:textId="7D121A5B" w:rsidR="00255A26" w:rsidRPr="00A33264" w:rsidRDefault="00255A26" w:rsidP="00255A26">
      <w:pPr>
        <w:pStyle w:val="Heading4"/>
        <w:rPr>
          <w:lang w:val="en-GB"/>
        </w:rPr>
      </w:pPr>
      <w:r w:rsidRPr="00A33264">
        <w:rPr>
          <w:lang w:val="en-GB"/>
        </w:rPr>
        <w:t>Senior executives</w:t>
      </w:r>
      <w:bookmarkEnd w:id="374"/>
    </w:p>
    <w:p w14:paraId="051A57C8" w14:textId="651E2025" w:rsidR="001651D3" w:rsidRPr="00A33264" w:rsidRDefault="001651D3" w:rsidP="001651D3">
      <w:pPr>
        <w:rPr>
          <w:lang w:val="en-GB"/>
        </w:rPr>
      </w:pPr>
      <w:r w:rsidRPr="00A33264">
        <w:rPr>
          <w:lang w:val="en-GB"/>
        </w:rPr>
        <w:t xml:space="preserve">The NDIA’s senior executives </w:t>
      </w:r>
      <w:r w:rsidR="00C80315">
        <w:rPr>
          <w:lang w:val="en-GB"/>
        </w:rPr>
        <w:t>include</w:t>
      </w:r>
      <w:r w:rsidRPr="00A33264">
        <w:rPr>
          <w:lang w:val="en-GB"/>
        </w:rPr>
        <w:t>:</w:t>
      </w:r>
    </w:p>
    <w:p w14:paraId="5EA65481" w14:textId="4FC40F3F" w:rsidR="001651D3" w:rsidRPr="00A33264" w:rsidRDefault="001651D3" w:rsidP="001651D3">
      <w:pPr>
        <w:pStyle w:val="Bullet1"/>
        <w:rPr>
          <w:lang w:val="en-GB"/>
        </w:rPr>
      </w:pPr>
      <w:r w:rsidRPr="00A33264">
        <w:rPr>
          <w:lang w:val="en-GB"/>
        </w:rPr>
        <w:t xml:space="preserve">any official classified as Senior Executive Band 1, Band 2 or Band 3 under the </w:t>
      </w:r>
      <w:r w:rsidRPr="001A59E8">
        <w:rPr>
          <w:i/>
          <w:iCs/>
          <w:lang w:val="en-GB"/>
        </w:rPr>
        <w:t>Public Service Classification Rules 2000</w:t>
      </w:r>
      <w:r w:rsidRPr="00A33264">
        <w:rPr>
          <w:lang w:val="en-GB"/>
        </w:rPr>
        <w:t xml:space="preserve"> </w:t>
      </w:r>
    </w:p>
    <w:p w14:paraId="2E04CDF1" w14:textId="2F89BBA1" w:rsidR="001651D3" w:rsidRPr="00A33264" w:rsidRDefault="001651D3" w:rsidP="001651D3">
      <w:pPr>
        <w:pStyle w:val="Bullet1"/>
        <w:rPr>
          <w:lang w:val="en-GB"/>
        </w:rPr>
      </w:pPr>
      <w:r w:rsidRPr="00A33264">
        <w:rPr>
          <w:lang w:val="en-GB"/>
        </w:rPr>
        <w:t>any official with a position equivalent to Senior Executive Band 1, Band 2 or Band 3, including contractors and consultants prescribed as officials.</w:t>
      </w:r>
    </w:p>
    <w:p w14:paraId="2113BF9A" w14:textId="1479A2AE" w:rsidR="001651D3" w:rsidRPr="00A33264" w:rsidRDefault="001651D3" w:rsidP="001651D3">
      <w:pPr>
        <w:rPr>
          <w:lang w:val="en-GB"/>
        </w:rPr>
      </w:pPr>
      <w:r w:rsidRPr="00A33264">
        <w:rPr>
          <w:lang w:val="en-GB"/>
        </w:rPr>
        <w:lastRenderedPageBreak/>
        <w:t xml:space="preserve">The average remuneration received or due to be received for each of the NDIA’s senior executives who are not key management personnel for the year ended 30 June 2024 is shown in </w:t>
      </w:r>
      <w:r w:rsidR="00591C73">
        <w:rPr>
          <w:lang w:val="en-GB"/>
        </w:rPr>
        <w:t>T</w:t>
      </w:r>
      <w:r w:rsidRPr="00A33264">
        <w:rPr>
          <w:lang w:val="en-GB"/>
        </w:rPr>
        <w:t xml:space="preserve">able </w:t>
      </w:r>
      <w:r w:rsidR="00A27A9C">
        <w:rPr>
          <w:lang w:val="en-GB"/>
        </w:rPr>
        <w:t>12</w:t>
      </w:r>
      <w:r w:rsidRPr="00A33264">
        <w:rPr>
          <w:lang w:val="en-GB"/>
        </w:rPr>
        <w:t>.</w:t>
      </w:r>
    </w:p>
    <w:p w14:paraId="6645CA33" w14:textId="1962B5F8" w:rsidR="00255A26" w:rsidRPr="00A33264" w:rsidRDefault="0080564E" w:rsidP="00255A26">
      <w:pPr>
        <w:rPr>
          <w:u w:val="single"/>
          <w:lang w:val="en-GB"/>
        </w:rPr>
      </w:pPr>
      <w:r w:rsidRPr="00A33264">
        <w:rPr>
          <w:u w:val="single"/>
          <w:lang w:val="en-GB"/>
        </w:rPr>
        <w:t xml:space="preserve">Table </w:t>
      </w:r>
      <w:r w:rsidR="00A27A9C">
        <w:rPr>
          <w:u w:val="single"/>
          <w:lang w:val="en-GB"/>
        </w:rPr>
        <w:t>12</w:t>
      </w:r>
      <w:r w:rsidRPr="00A33264">
        <w:rPr>
          <w:u w:val="single"/>
          <w:lang w:val="en-GB"/>
        </w:rPr>
        <w:t>: Senior executive remuneration</w:t>
      </w:r>
    </w:p>
    <w:tbl>
      <w:tblPr>
        <w:tblW w:w="13528" w:type="dxa"/>
        <w:tblInd w:w="13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28" w:type="dxa"/>
          <w:left w:w="28" w:type="dxa"/>
          <w:bottom w:w="28" w:type="dxa"/>
          <w:right w:w="28" w:type="dxa"/>
        </w:tblCellMar>
        <w:tblLook w:val="01E0" w:firstRow="1" w:lastRow="1" w:firstColumn="1" w:lastColumn="1" w:noHBand="0" w:noVBand="0"/>
      </w:tblPr>
      <w:tblGrid>
        <w:gridCol w:w="2515"/>
        <w:gridCol w:w="1418"/>
        <w:gridCol w:w="992"/>
        <w:gridCol w:w="851"/>
        <w:gridCol w:w="1275"/>
        <w:gridCol w:w="1418"/>
        <w:gridCol w:w="1134"/>
        <w:gridCol w:w="1417"/>
        <w:gridCol w:w="1204"/>
        <w:gridCol w:w="1304"/>
      </w:tblGrid>
      <w:tr w:rsidR="0080564E" w:rsidRPr="00A33264" w14:paraId="1F8890B8" w14:textId="77777777" w:rsidTr="00F23525">
        <w:trPr>
          <w:cantSplit/>
          <w:trHeight w:val="2733"/>
          <w:tblHeader/>
        </w:trPr>
        <w:tc>
          <w:tcPr>
            <w:tcW w:w="2515" w:type="dxa"/>
            <w:tcBorders>
              <w:top w:val="single" w:sz="4" w:space="0" w:color="auto"/>
              <w:left w:val="single" w:sz="4" w:space="0" w:color="auto"/>
              <w:bottom w:val="single" w:sz="4" w:space="0" w:color="auto"/>
              <w:right w:val="single" w:sz="4" w:space="0" w:color="F9F9F9" w:themeColor="background1"/>
            </w:tcBorders>
            <w:shd w:val="clear" w:color="auto" w:fill="6B2876" w:themeFill="text1"/>
            <w:textDirection w:val="btLr"/>
            <w:vAlign w:val="center"/>
            <w:hideMark/>
          </w:tcPr>
          <w:p w14:paraId="13DD0E22" w14:textId="49156FB0" w:rsidR="0080564E" w:rsidRPr="00A33264" w:rsidRDefault="0080564E" w:rsidP="00D14422">
            <w:pPr>
              <w:spacing w:after="0" w:line="240" w:lineRule="auto"/>
              <w:ind w:left="113" w:right="113"/>
              <w:rPr>
                <w:b/>
                <w:color w:val="F9F9F9" w:themeColor="background1"/>
                <w:lang w:val="en-GB"/>
              </w:rPr>
            </w:pPr>
            <w:bookmarkStart w:id="375" w:name="ColumnTitle_Table12"/>
            <w:bookmarkEnd w:id="375"/>
            <w:r w:rsidRPr="00A33264">
              <w:rPr>
                <w:b/>
                <w:color w:val="F9F9F9" w:themeColor="background1"/>
                <w:lang w:val="en-GB"/>
              </w:rPr>
              <w:t xml:space="preserve">Senior executive remuneration </w:t>
            </w:r>
            <w:r w:rsidR="00083688">
              <w:rPr>
                <w:b/>
                <w:color w:val="F9F9F9" w:themeColor="background1"/>
                <w:lang w:val="en-GB"/>
              </w:rPr>
              <w:t>–</w:t>
            </w:r>
            <w:r w:rsidRPr="00A33264">
              <w:rPr>
                <w:b/>
                <w:color w:val="F9F9F9" w:themeColor="background1"/>
                <w:lang w:val="en-GB"/>
              </w:rPr>
              <w:t xml:space="preserve"> total remuneration bands</w:t>
            </w:r>
          </w:p>
        </w:tc>
        <w:tc>
          <w:tcPr>
            <w:tcW w:w="1418" w:type="dxa"/>
            <w:tcBorders>
              <w:top w:val="single" w:sz="4" w:space="0" w:color="auto"/>
              <w:left w:val="single" w:sz="4" w:space="0" w:color="F9F9F9" w:themeColor="background1"/>
              <w:bottom w:val="single" w:sz="4" w:space="0" w:color="auto"/>
              <w:right w:val="single" w:sz="4" w:space="0" w:color="F9F9F9" w:themeColor="background1"/>
            </w:tcBorders>
            <w:shd w:val="clear" w:color="auto" w:fill="6B2876" w:themeFill="text1"/>
            <w:textDirection w:val="btLr"/>
            <w:vAlign w:val="center"/>
            <w:hideMark/>
          </w:tcPr>
          <w:p w14:paraId="2273F409" w14:textId="14E12559" w:rsidR="0080564E" w:rsidRPr="00A33264" w:rsidRDefault="004167F7" w:rsidP="00D14422">
            <w:pPr>
              <w:spacing w:after="0" w:line="240" w:lineRule="auto"/>
              <w:ind w:left="113" w:right="113"/>
              <w:rPr>
                <w:b/>
                <w:color w:val="F9F9F9" w:themeColor="background1"/>
                <w:lang w:val="en-GB"/>
              </w:rPr>
            </w:pPr>
            <w:r>
              <w:rPr>
                <w:b/>
                <w:color w:val="F9F9F9" w:themeColor="background1"/>
                <w:lang w:val="en-GB"/>
              </w:rPr>
              <w:t xml:space="preserve">Senior executive </w:t>
            </w:r>
            <w:r w:rsidR="000645BC">
              <w:rPr>
                <w:b/>
                <w:color w:val="F9F9F9" w:themeColor="background1"/>
                <w:lang w:val="en-GB"/>
              </w:rPr>
              <w:t xml:space="preserve">remuneration </w:t>
            </w:r>
            <w:r w:rsidR="00672240">
              <w:rPr>
                <w:b/>
                <w:color w:val="F9F9F9" w:themeColor="background1"/>
                <w:lang w:val="en-GB"/>
              </w:rPr>
              <w:t>–</w:t>
            </w:r>
            <w:r w:rsidR="000645BC">
              <w:rPr>
                <w:b/>
                <w:color w:val="F9F9F9" w:themeColor="background1"/>
                <w:lang w:val="en-GB"/>
              </w:rPr>
              <w:t xml:space="preserve"> </w:t>
            </w:r>
            <w:r w:rsidR="0080564E" w:rsidRPr="00A33264">
              <w:rPr>
                <w:b/>
                <w:color w:val="F9F9F9" w:themeColor="background1"/>
                <w:lang w:val="en-GB"/>
              </w:rPr>
              <w:t>Number of senior executives</w:t>
            </w:r>
          </w:p>
        </w:tc>
        <w:tc>
          <w:tcPr>
            <w:tcW w:w="992" w:type="dxa"/>
            <w:tcBorders>
              <w:top w:val="single" w:sz="4" w:space="0" w:color="auto"/>
              <w:left w:val="single" w:sz="4" w:space="0" w:color="F9F9F9" w:themeColor="background1"/>
              <w:bottom w:val="single" w:sz="4" w:space="0" w:color="auto"/>
              <w:right w:val="single" w:sz="4" w:space="0" w:color="F9F9F9" w:themeColor="background1"/>
            </w:tcBorders>
            <w:shd w:val="clear" w:color="auto" w:fill="6B2876" w:themeFill="text1"/>
            <w:textDirection w:val="btLr"/>
            <w:vAlign w:val="center"/>
            <w:hideMark/>
          </w:tcPr>
          <w:p w14:paraId="5565D443" w14:textId="085ED0C3" w:rsidR="0080564E" w:rsidRPr="00A33264" w:rsidRDefault="0080564E" w:rsidP="00D14422">
            <w:pPr>
              <w:spacing w:after="0" w:line="240" w:lineRule="auto"/>
              <w:ind w:left="113" w:right="113"/>
              <w:rPr>
                <w:b/>
                <w:color w:val="F9F9F9" w:themeColor="background1"/>
                <w:lang w:val="en-GB"/>
              </w:rPr>
            </w:pPr>
            <w:r w:rsidRPr="00A33264">
              <w:rPr>
                <w:b/>
                <w:color w:val="F9F9F9" w:themeColor="background1"/>
                <w:lang w:val="en-GB"/>
              </w:rPr>
              <w:t xml:space="preserve">Short-term benefits </w:t>
            </w:r>
            <w:r w:rsidR="00672240">
              <w:rPr>
                <w:b/>
                <w:color w:val="F9F9F9" w:themeColor="background1"/>
                <w:lang w:val="en-GB"/>
              </w:rPr>
              <w:t>–</w:t>
            </w:r>
            <w:r w:rsidRPr="00A33264">
              <w:rPr>
                <w:b/>
                <w:color w:val="F9F9F9" w:themeColor="background1"/>
                <w:lang w:val="en-GB"/>
              </w:rPr>
              <w:t xml:space="preserve"> average base salary</w:t>
            </w:r>
          </w:p>
        </w:tc>
        <w:tc>
          <w:tcPr>
            <w:tcW w:w="851" w:type="dxa"/>
            <w:tcBorders>
              <w:top w:val="single" w:sz="4" w:space="0" w:color="auto"/>
              <w:left w:val="single" w:sz="4" w:space="0" w:color="F9F9F9" w:themeColor="background1"/>
              <w:bottom w:val="single" w:sz="4" w:space="0" w:color="auto"/>
              <w:right w:val="single" w:sz="4" w:space="0" w:color="F9F9F9" w:themeColor="background1"/>
            </w:tcBorders>
            <w:shd w:val="clear" w:color="auto" w:fill="6B2876" w:themeFill="text1"/>
            <w:textDirection w:val="btLr"/>
            <w:vAlign w:val="center"/>
            <w:hideMark/>
          </w:tcPr>
          <w:p w14:paraId="3E8CE3C2" w14:textId="3E0BB980" w:rsidR="0080564E" w:rsidRPr="00A33264" w:rsidRDefault="0080564E" w:rsidP="00D14422">
            <w:pPr>
              <w:spacing w:after="0" w:line="240" w:lineRule="auto"/>
              <w:ind w:left="113" w:right="113"/>
              <w:rPr>
                <w:b/>
                <w:color w:val="F9F9F9" w:themeColor="background1"/>
                <w:lang w:val="en-GB"/>
              </w:rPr>
            </w:pPr>
            <w:r w:rsidRPr="00A33264">
              <w:rPr>
                <w:b/>
                <w:color w:val="F9F9F9" w:themeColor="background1"/>
                <w:lang w:val="en-GB"/>
              </w:rPr>
              <w:t xml:space="preserve">Short-term benefits </w:t>
            </w:r>
            <w:r w:rsidR="00672240">
              <w:rPr>
                <w:b/>
                <w:color w:val="F9F9F9" w:themeColor="background1"/>
                <w:lang w:val="en-GB"/>
              </w:rPr>
              <w:t>–</w:t>
            </w:r>
            <w:r w:rsidRPr="00A33264">
              <w:rPr>
                <w:b/>
                <w:color w:val="F9F9F9" w:themeColor="background1"/>
                <w:lang w:val="en-GB"/>
              </w:rPr>
              <w:t xml:space="preserve"> average bonuses</w:t>
            </w:r>
          </w:p>
        </w:tc>
        <w:tc>
          <w:tcPr>
            <w:tcW w:w="1275" w:type="dxa"/>
            <w:tcBorders>
              <w:top w:val="single" w:sz="4" w:space="0" w:color="auto"/>
              <w:left w:val="single" w:sz="4" w:space="0" w:color="F9F9F9" w:themeColor="background1"/>
              <w:bottom w:val="single" w:sz="4" w:space="0" w:color="auto"/>
              <w:right w:val="single" w:sz="4" w:space="0" w:color="F9F9F9" w:themeColor="background1"/>
            </w:tcBorders>
            <w:shd w:val="clear" w:color="auto" w:fill="6B2876" w:themeFill="text1"/>
            <w:textDirection w:val="btLr"/>
            <w:vAlign w:val="center"/>
            <w:hideMark/>
          </w:tcPr>
          <w:p w14:paraId="3E0A6603" w14:textId="77793D45" w:rsidR="0080564E" w:rsidRPr="00A33264" w:rsidRDefault="0080564E" w:rsidP="00D14422">
            <w:pPr>
              <w:spacing w:after="0" w:line="240" w:lineRule="auto"/>
              <w:ind w:left="113" w:right="113"/>
              <w:rPr>
                <w:b/>
                <w:color w:val="F9F9F9" w:themeColor="background1"/>
                <w:lang w:val="en-GB"/>
              </w:rPr>
            </w:pPr>
            <w:r w:rsidRPr="00A33264">
              <w:rPr>
                <w:b/>
                <w:color w:val="F9F9F9" w:themeColor="background1"/>
                <w:lang w:val="en-GB"/>
              </w:rPr>
              <w:t xml:space="preserve">Short-term benefits </w:t>
            </w:r>
            <w:r w:rsidR="00672240">
              <w:rPr>
                <w:b/>
                <w:color w:val="F9F9F9" w:themeColor="background1"/>
                <w:lang w:val="en-GB"/>
              </w:rPr>
              <w:t>–</w:t>
            </w:r>
            <w:r w:rsidRPr="00A33264">
              <w:rPr>
                <w:b/>
                <w:color w:val="F9F9F9" w:themeColor="background1"/>
                <w:lang w:val="en-GB"/>
              </w:rPr>
              <w:t xml:space="preserve"> average other benefits and allowances</w:t>
            </w:r>
          </w:p>
        </w:tc>
        <w:tc>
          <w:tcPr>
            <w:tcW w:w="1418" w:type="dxa"/>
            <w:tcBorders>
              <w:top w:val="single" w:sz="4" w:space="0" w:color="auto"/>
              <w:left w:val="single" w:sz="4" w:space="0" w:color="F9F9F9" w:themeColor="background1"/>
              <w:bottom w:val="single" w:sz="4" w:space="0" w:color="auto"/>
              <w:right w:val="single" w:sz="4" w:space="0" w:color="F9F9F9" w:themeColor="background1"/>
            </w:tcBorders>
            <w:shd w:val="clear" w:color="auto" w:fill="6B2876" w:themeFill="text1"/>
            <w:textDirection w:val="btLr"/>
            <w:vAlign w:val="center"/>
            <w:hideMark/>
          </w:tcPr>
          <w:p w14:paraId="2FF86771" w14:textId="1A3ACC53" w:rsidR="0080564E" w:rsidRPr="00A33264" w:rsidRDefault="0080564E" w:rsidP="00D14422">
            <w:pPr>
              <w:spacing w:after="0" w:line="240" w:lineRule="auto"/>
              <w:ind w:left="113" w:right="113"/>
              <w:rPr>
                <w:b/>
                <w:color w:val="F9F9F9" w:themeColor="background1"/>
                <w:lang w:val="en-GB"/>
              </w:rPr>
            </w:pPr>
            <w:r w:rsidRPr="00A33264">
              <w:rPr>
                <w:b/>
                <w:color w:val="F9F9F9" w:themeColor="background1"/>
                <w:lang w:val="en-GB"/>
              </w:rPr>
              <w:t xml:space="preserve">Post-employment benefits </w:t>
            </w:r>
            <w:r w:rsidR="00672240">
              <w:rPr>
                <w:b/>
                <w:color w:val="F9F9F9" w:themeColor="background1"/>
                <w:lang w:val="en-GB"/>
              </w:rPr>
              <w:t>–</w:t>
            </w:r>
            <w:r w:rsidRPr="00A33264">
              <w:rPr>
                <w:b/>
                <w:color w:val="F9F9F9" w:themeColor="background1"/>
                <w:lang w:val="en-GB"/>
              </w:rPr>
              <w:t xml:space="preserve"> average superannuation contributions</w:t>
            </w:r>
          </w:p>
        </w:tc>
        <w:tc>
          <w:tcPr>
            <w:tcW w:w="1134" w:type="dxa"/>
            <w:tcBorders>
              <w:top w:val="single" w:sz="4" w:space="0" w:color="auto"/>
              <w:left w:val="single" w:sz="4" w:space="0" w:color="F9F9F9" w:themeColor="background1"/>
              <w:bottom w:val="single" w:sz="4" w:space="0" w:color="auto"/>
              <w:right w:val="single" w:sz="4" w:space="0" w:color="F9F9F9" w:themeColor="background1"/>
            </w:tcBorders>
            <w:shd w:val="clear" w:color="auto" w:fill="6B2876" w:themeFill="text1"/>
            <w:textDirection w:val="btLr"/>
            <w:vAlign w:val="center"/>
            <w:hideMark/>
          </w:tcPr>
          <w:p w14:paraId="67A53889" w14:textId="663B72C2" w:rsidR="0080564E" w:rsidRPr="00A33264" w:rsidRDefault="0080564E" w:rsidP="00D14422">
            <w:pPr>
              <w:spacing w:after="0" w:line="240" w:lineRule="auto"/>
              <w:ind w:left="113" w:right="113"/>
              <w:rPr>
                <w:b/>
                <w:color w:val="F9F9F9" w:themeColor="background1"/>
                <w:lang w:val="en-GB"/>
              </w:rPr>
            </w:pPr>
            <w:r w:rsidRPr="00A33264">
              <w:rPr>
                <w:b/>
                <w:color w:val="F9F9F9" w:themeColor="background1"/>
                <w:lang w:val="en-GB"/>
              </w:rPr>
              <w:t xml:space="preserve">Other long-term benefits </w:t>
            </w:r>
            <w:r w:rsidR="00672240">
              <w:rPr>
                <w:b/>
                <w:color w:val="F9F9F9" w:themeColor="background1"/>
                <w:lang w:val="en-GB"/>
              </w:rPr>
              <w:t>–</w:t>
            </w:r>
            <w:r w:rsidRPr="00A33264">
              <w:rPr>
                <w:b/>
                <w:color w:val="F9F9F9" w:themeColor="background1"/>
                <w:lang w:val="en-GB"/>
              </w:rPr>
              <w:t xml:space="preserve"> average long service leave</w:t>
            </w:r>
          </w:p>
        </w:tc>
        <w:tc>
          <w:tcPr>
            <w:tcW w:w="1417" w:type="dxa"/>
            <w:tcBorders>
              <w:top w:val="single" w:sz="4" w:space="0" w:color="auto"/>
              <w:left w:val="single" w:sz="4" w:space="0" w:color="F9F9F9" w:themeColor="background1"/>
              <w:bottom w:val="single" w:sz="4" w:space="0" w:color="auto"/>
              <w:right w:val="single" w:sz="4" w:space="0" w:color="F9F9F9" w:themeColor="background1"/>
            </w:tcBorders>
            <w:shd w:val="clear" w:color="auto" w:fill="6B2876" w:themeFill="text1"/>
            <w:textDirection w:val="btLr"/>
            <w:vAlign w:val="center"/>
            <w:hideMark/>
          </w:tcPr>
          <w:p w14:paraId="4876BB7B" w14:textId="6A9397AE" w:rsidR="0080564E" w:rsidRPr="00A33264" w:rsidRDefault="0080564E" w:rsidP="00D14422">
            <w:pPr>
              <w:spacing w:after="0" w:line="240" w:lineRule="auto"/>
              <w:ind w:left="113" w:right="113"/>
              <w:rPr>
                <w:b/>
                <w:color w:val="F9F9F9" w:themeColor="background1"/>
                <w:lang w:val="en-GB"/>
              </w:rPr>
            </w:pPr>
            <w:r w:rsidRPr="00A33264">
              <w:rPr>
                <w:b/>
                <w:color w:val="F9F9F9" w:themeColor="background1"/>
                <w:lang w:val="en-GB"/>
              </w:rPr>
              <w:t xml:space="preserve">Other long-term benefits </w:t>
            </w:r>
            <w:r w:rsidR="00672240">
              <w:rPr>
                <w:b/>
                <w:color w:val="F9F9F9" w:themeColor="background1"/>
                <w:lang w:val="en-GB"/>
              </w:rPr>
              <w:t>–</w:t>
            </w:r>
            <w:r w:rsidRPr="00A33264">
              <w:rPr>
                <w:b/>
                <w:color w:val="F9F9F9" w:themeColor="background1"/>
                <w:lang w:val="en-GB"/>
              </w:rPr>
              <w:t xml:space="preserve"> </w:t>
            </w:r>
            <w:r w:rsidR="00591C73">
              <w:rPr>
                <w:b/>
                <w:color w:val="F9F9F9" w:themeColor="background1"/>
                <w:lang w:val="en-GB"/>
              </w:rPr>
              <w:t>a</w:t>
            </w:r>
            <w:r w:rsidRPr="00A33264">
              <w:rPr>
                <w:b/>
                <w:color w:val="F9F9F9" w:themeColor="background1"/>
                <w:lang w:val="en-GB"/>
              </w:rPr>
              <w:t>verage other long-term benefits</w:t>
            </w:r>
          </w:p>
        </w:tc>
        <w:tc>
          <w:tcPr>
            <w:tcW w:w="1204" w:type="dxa"/>
            <w:tcBorders>
              <w:top w:val="single" w:sz="4" w:space="0" w:color="auto"/>
              <w:left w:val="single" w:sz="4" w:space="0" w:color="F9F9F9" w:themeColor="background1"/>
              <w:bottom w:val="single" w:sz="4" w:space="0" w:color="auto"/>
              <w:right w:val="single" w:sz="4" w:space="0" w:color="F9F9F9" w:themeColor="background1"/>
            </w:tcBorders>
            <w:shd w:val="clear" w:color="auto" w:fill="6B2876" w:themeFill="text1"/>
            <w:textDirection w:val="btLr"/>
            <w:vAlign w:val="center"/>
            <w:hideMark/>
          </w:tcPr>
          <w:p w14:paraId="0E03441D" w14:textId="364B1DC7" w:rsidR="0080564E" w:rsidRPr="00A33264" w:rsidRDefault="0080564E" w:rsidP="00D14422">
            <w:pPr>
              <w:spacing w:after="0" w:line="240" w:lineRule="auto"/>
              <w:ind w:left="113" w:right="113"/>
              <w:rPr>
                <w:b/>
                <w:color w:val="F9F9F9" w:themeColor="background1"/>
                <w:lang w:val="en-GB"/>
              </w:rPr>
            </w:pPr>
            <w:r w:rsidRPr="00A33264">
              <w:rPr>
                <w:b/>
                <w:color w:val="F9F9F9" w:themeColor="background1"/>
                <w:lang w:val="en-GB"/>
              </w:rPr>
              <w:t xml:space="preserve">Termination benefits </w:t>
            </w:r>
            <w:r w:rsidR="00A92707">
              <w:rPr>
                <w:b/>
                <w:color w:val="F9F9F9" w:themeColor="background1"/>
                <w:lang w:val="en-GB"/>
              </w:rPr>
              <w:t>–</w:t>
            </w:r>
            <w:r w:rsidRPr="00A33264">
              <w:rPr>
                <w:b/>
                <w:color w:val="F9F9F9" w:themeColor="background1"/>
                <w:lang w:val="en-GB"/>
              </w:rPr>
              <w:t xml:space="preserve"> average termination benefits</w:t>
            </w:r>
          </w:p>
        </w:tc>
        <w:tc>
          <w:tcPr>
            <w:tcW w:w="1304" w:type="dxa"/>
            <w:tcBorders>
              <w:top w:val="single" w:sz="4" w:space="0" w:color="auto"/>
              <w:left w:val="single" w:sz="4" w:space="0" w:color="F9F9F9" w:themeColor="background1"/>
              <w:bottom w:val="single" w:sz="4" w:space="0" w:color="auto"/>
              <w:right w:val="single" w:sz="4" w:space="0" w:color="auto"/>
            </w:tcBorders>
            <w:shd w:val="clear" w:color="auto" w:fill="6B2876" w:themeFill="text1"/>
            <w:textDirection w:val="btLr"/>
            <w:vAlign w:val="center"/>
            <w:hideMark/>
          </w:tcPr>
          <w:p w14:paraId="2E58CBA0" w14:textId="0463CEB9" w:rsidR="0080564E" w:rsidRPr="00A33264" w:rsidRDefault="0080564E" w:rsidP="00D14422">
            <w:pPr>
              <w:spacing w:after="0" w:line="240" w:lineRule="auto"/>
              <w:ind w:left="113" w:right="113"/>
              <w:rPr>
                <w:b/>
                <w:color w:val="F9F9F9" w:themeColor="background1"/>
                <w:lang w:val="en-GB"/>
              </w:rPr>
            </w:pPr>
            <w:r w:rsidRPr="00A33264">
              <w:rPr>
                <w:b/>
                <w:color w:val="F9F9F9" w:themeColor="background1"/>
                <w:lang w:val="en-GB"/>
              </w:rPr>
              <w:t xml:space="preserve">Total remuneration </w:t>
            </w:r>
            <w:r w:rsidR="00A92707">
              <w:rPr>
                <w:b/>
                <w:color w:val="F9F9F9" w:themeColor="background1"/>
                <w:lang w:val="en-GB"/>
              </w:rPr>
              <w:t>–</w:t>
            </w:r>
            <w:r w:rsidRPr="00A33264">
              <w:rPr>
                <w:b/>
                <w:color w:val="F9F9F9" w:themeColor="background1"/>
                <w:lang w:val="en-GB"/>
              </w:rPr>
              <w:t xml:space="preserve"> average total remuneration</w:t>
            </w:r>
          </w:p>
        </w:tc>
      </w:tr>
      <w:tr w:rsidR="0080564E" w:rsidRPr="00A33264" w14:paraId="3ADCB57F" w14:textId="77777777" w:rsidTr="00F23525">
        <w:trPr>
          <w:trHeight w:val="454"/>
        </w:trPr>
        <w:tc>
          <w:tcPr>
            <w:tcW w:w="2515"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7998E316" w14:textId="6878FF31" w:rsidR="0080564E" w:rsidRPr="00A33264" w:rsidRDefault="0080564E" w:rsidP="001C0A6D">
            <w:pPr>
              <w:spacing w:after="0"/>
              <w:rPr>
                <w:lang w:val="en-GB"/>
              </w:rPr>
            </w:pPr>
            <w:r w:rsidRPr="00A33264">
              <w:rPr>
                <w:lang w:val="en-GB"/>
              </w:rPr>
              <w:t>$0 to $220,000</w:t>
            </w:r>
          </w:p>
        </w:tc>
        <w:tc>
          <w:tcPr>
            <w:tcW w:w="1418"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794CAC57" w14:textId="77777777" w:rsidR="0080564E" w:rsidRPr="00A33264" w:rsidRDefault="0080564E" w:rsidP="001C0A6D">
            <w:pPr>
              <w:spacing w:after="0"/>
              <w:jc w:val="right"/>
              <w:rPr>
                <w:lang w:val="en-GB"/>
              </w:rPr>
            </w:pPr>
            <w:r w:rsidRPr="00A33264">
              <w:rPr>
                <w:lang w:val="en-GB"/>
              </w:rPr>
              <w:t>94</w:t>
            </w:r>
          </w:p>
        </w:tc>
        <w:tc>
          <w:tcPr>
            <w:tcW w:w="992"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0D7C6E6F" w14:textId="77777777" w:rsidR="0080564E" w:rsidRPr="00A33264" w:rsidRDefault="0080564E" w:rsidP="001C0A6D">
            <w:pPr>
              <w:spacing w:after="0"/>
              <w:jc w:val="right"/>
              <w:rPr>
                <w:lang w:val="en-GB"/>
              </w:rPr>
            </w:pPr>
            <w:r w:rsidRPr="00A33264">
              <w:rPr>
                <w:lang w:val="en-GB"/>
              </w:rPr>
              <w:t>80,461</w:t>
            </w:r>
          </w:p>
        </w:tc>
        <w:tc>
          <w:tcPr>
            <w:tcW w:w="851"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79A5504B" w14:textId="317D49C8" w:rsidR="0080564E" w:rsidRPr="00A33264" w:rsidRDefault="0080564E" w:rsidP="001C0A6D">
            <w:pPr>
              <w:spacing w:after="0"/>
              <w:jc w:val="right"/>
              <w:rPr>
                <w:lang w:val="en-GB"/>
              </w:rPr>
            </w:pPr>
            <w:r w:rsidRPr="00A33264">
              <w:rPr>
                <w:lang w:val="en-GB"/>
              </w:rPr>
              <w:t>0</w:t>
            </w:r>
          </w:p>
        </w:tc>
        <w:tc>
          <w:tcPr>
            <w:tcW w:w="1275"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56064162" w14:textId="77777777" w:rsidR="0080564E" w:rsidRPr="00A33264" w:rsidRDefault="0080564E" w:rsidP="001C0A6D">
            <w:pPr>
              <w:spacing w:after="0"/>
              <w:jc w:val="right"/>
              <w:rPr>
                <w:lang w:val="en-GB"/>
              </w:rPr>
            </w:pPr>
            <w:r w:rsidRPr="00A33264">
              <w:rPr>
                <w:lang w:val="en-GB"/>
              </w:rPr>
              <w:t>552</w:t>
            </w:r>
          </w:p>
        </w:tc>
        <w:tc>
          <w:tcPr>
            <w:tcW w:w="1418"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49073B6C" w14:textId="77777777" w:rsidR="0080564E" w:rsidRPr="00A33264" w:rsidRDefault="0080564E" w:rsidP="001C0A6D">
            <w:pPr>
              <w:spacing w:after="0"/>
              <w:jc w:val="right"/>
              <w:rPr>
                <w:lang w:val="en-GB"/>
              </w:rPr>
            </w:pPr>
            <w:r w:rsidRPr="00A33264">
              <w:rPr>
                <w:lang w:val="en-GB"/>
              </w:rPr>
              <w:t>11,051</w:t>
            </w:r>
          </w:p>
        </w:tc>
        <w:tc>
          <w:tcPr>
            <w:tcW w:w="1134"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357F6A83" w14:textId="77777777" w:rsidR="0080564E" w:rsidRPr="00A33264" w:rsidRDefault="0080564E" w:rsidP="001C0A6D">
            <w:pPr>
              <w:spacing w:after="0"/>
              <w:jc w:val="right"/>
              <w:rPr>
                <w:lang w:val="en-GB"/>
              </w:rPr>
            </w:pPr>
            <w:r w:rsidRPr="00A33264">
              <w:rPr>
                <w:lang w:val="en-GB"/>
              </w:rPr>
              <w:t>2,035</w:t>
            </w:r>
          </w:p>
        </w:tc>
        <w:tc>
          <w:tcPr>
            <w:tcW w:w="1417"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7425F9FB" w14:textId="265BACBF" w:rsidR="0080564E" w:rsidRPr="00A33264" w:rsidRDefault="0080564E" w:rsidP="001C0A6D">
            <w:pPr>
              <w:spacing w:after="0"/>
              <w:jc w:val="right"/>
              <w:rPr>
                <w:lang w:val="en-GB"/>
              </w:rPr>
            </w:pPr>
            <w:r w:rsidRPr="00A33264">
              <w:rPr>
                <w:lang w:val="en-GB"/>
              </w:rPr>
              <w:t>0</w:t>
            </w:r>
          </w:p>
        </w:tc>
        <w:tc>
          <w:tcPr>
            <w:tcW w:w="1204"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6FF3FC94" w14:textId="0381ED6D" w:rsidR="0080564E" w:rsidRPr="00A33264" w:rsidRDefault="0080564E" w:rsidP="001C0A6D">
            <w:pPr>
              <w:spacing w:after="0"/>
              <w:jc w:val="right"/>
              <w:rPr>
                <w:lang w:val="en-GB"/>
              </w:rPr>
            </w:pPr>
            <w:r w:rsidRPr="00A33264">
              <w:rPr>
                <w:lang w:val="en-GB"/>
              </w:rPr>
              <w:t>0</w:t>
            </w:r>
          </w:p>
        </w:tc>
        <w:tc>
          <w:tcPr>
            <w:tcW w:w="1304"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7E2DB744" w14:textId="77777777" w:rsidR="0080564E" w:rsidRPr="00A33264" w:rsidRDefault="0080564E" w:rsidP="001C0A6D">
            <w:pPr>
              <w:spacing w:after="0"/>
              <w:jc w:val="right"/>
              <w:rPr>
                <w:lang w:val="en-GB"/>
              </w:rPr>
            </w:pPr>
            <w:r w:rsidRPr="00A33264">
              <w:rPr>
                <w:lang w:val="en-GB"/>
              </w:rPr>
              <w:t>94,099</w:t>
            </w:r>
          </w:p>
        </w:tc>
      </w:tr>
      <w:tr w:rsidR="0080564E" w:rsidRPr="00A33264" w14:paraId="72ED49DA" w14:textId="77777777" w:rsidTr="00F23525">
        <w:trPr>
          <w:trHeight w:val="454"/>
        </w:trPr>
        <w:tc>
          <w:tcPr>
            <w:tcW w:w="2515" w:type="dxa"/>
            <w:tcBorders>
              <w:top w:val="single" w:sz="4" w:space="0" w:color="auto"/>
              <w:left w:val="single" w:sz="4" w:space="0" w:color="auto"/>
              <w:bottom w:val="single" w:sz="4" w:space="0" w:color="auto"/>
              <w:right w:val="single" w:sz="4" w:space="0" w:color="auto"/>
            </w:tcBorders>
            <w:vAlign w:val="center"/>
            <w:hideMark/>
          </w:tcPr>
          <w:p w14:paraId="65519FE7" w14:textId="04E2DE29" w:rsidR="0080564E" w:rsidRPr="00A33264" w:rsidRDefault="0080564E" w:rsidP="001C0A6D">
            <w:pPr>
              <w:spacing w:after="0"/>
              <w:rPr>
                <w:lang w:val="en-GB"/>
              </w:rPr>
            </w:pPr>
            <w:r w:rsidRPr="00A33264">
              <w:rPr>
                <w:lang w:val="en-GB"/>
              </w:rPr>
              <w:t>$220,001 to $245,000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7705AFB" w14:textId="77777777" w:rsidR="0080564E" w:rsidRPr="00A33264" w:rsidRDefault="0080564E" w:rsidP="001C0A6D">
            <w:pPr>
              <w:spacing w:after="0"/>
              <w:jc w:val="right"/>
              <w:rPr>
                <w:lang w:val="en-GB"/>
              </w:rPr>
            </w:pPr>
            <w:r w:rsidRPr="00A33264">
              <w:rPr>
                <w:lang w:val="en-GB"/>
              </w:rPr>
              <w:t>9</w:t>
            </w:r>
          </w:p>
        </w:tc>
        <w:tc>
          <w:tcPr>
            <w:tcW w:w="992" w:type="dxa"/>
            <w:tcBorders>
              <w:top w:val="single" w:sz="4" w:space="0" w:color="auto"/>
              <w:left w:val="single" w:sz="4" w:space="0" w:color="auto"/>
              <w:bottom w:val="single" w:sz="4" w:space="0" w:color="auto"/>
              <w:right w:val="single" w:sz="4" w:space="0" w:color="auto"/>
            </w:tcBorders>
            <w:vAlign w:val="center"/>
            <w:hideMark/>
          </w:tcPr>
          <w:p w14:paraId="7C5EFE89" w14:textId="77777777" w:rsidR="0080564E" w:rsidRPr="00A33264" w:rsidRDefault="0080564E" w:rsidP="001C0A6D">
            <w:pPr>
              <w:spacing w:after="0"/>
              <w:jc w:val="right"/>
              <w:rPr>
                <w:lang w:val="en-GB"/>
              </w:rPr>
            </w:pPr>
            <w:r w:rsidRPr="00A33264">
              <w:rPr>
                <w:lang w:val="en-GB"/>
              </w:rPr>
              <w:t>199,767</w:t>
            </w:r>
          </w:p>
        </w:tc>
        <w:tc>
          <w:tcPr>
            <w:tcW w:w="851" w:type="dxa"/>
            <w:tcBorders>
              <w:top w:val="single" w:sz="4" w:space="0" w:color="auto"/>
              <w:left w:val="single" w:sz="4" w:space="0" w:color="auto"/>
              <w:bottom w:val="single" w:sz="4" w:space="0" w:color="auto"/>
              <w:right w:val="single" w:sz="4" w:space="0" w:color="auto"/>
            </w:tcBorders>
            <w:vAlign w:val="center"/>
            <w:hideMark/>
          </w:tcPr>
          <w:p w14:paraId="6357C62D" w14:textId="23FE2D41" w:rsidR="0080564E" w:rsidRPr="00A33264" w:rsidRDefault="0080564E" w:rsidP="001C0A6D">
            <w:pPr>
              <w:spacing w:after="0"/>
              <w:jc w:val="right"/>
              <w:rPr>
                <w:lang w:val="en-GB"/>
              </w:rPr>
            </w:pPr>
            <w:r w:rsidRPr="00A33264">
              <w:rPr>
                <w:lang w:val="en-GB"/>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95AA8A8" w14:textId="77777777" w:rsidR="0080564E" w:rsidRPr="00A33264" w:rsidRDefault="0080564E" w:rsidP="001C0A6D">
            <w:pPr>
              <w:spacing w:after="0"/>
              <w:jc w:val="right"/>
              <w:rPr>
                <w:lang w:val="en-GB"/>
              </w:rPr>
            </w:pPr>
            <w:r w:rsidRPr="00A33264">
              <w:rPr>
                <w:lang w:val="en-GB"/>
              </w:rPr>
              <w:t>746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604F59E" w14:textId="77777777" w:rsidR="0080564E" w:rsidRPr="00A33264" w:rsidRDefault="0080564E" w:rsidP="001C0A6D">
            <w:pPr>
              <w:spacing w:after="0"/>
              <w:jc w:val="right"/>
              <w:rPr>
                <w:lang w:val="en-GB"/>
              </w:rPr>
            </w:pPr>
            <w:r w:rsidRPr="00A33264">
              <w:rPr>
                <w:lang w:val="en-GB"/>
              </w:rPr>
              <w:t>26,695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4F9E44" w14:textId="77777777" w:rsidR="0080564E" w:rsidRPr="00A33264" w:rsidRDefault="0080564E" w:rsidP="001C0A6D">
            <w:pPr>
              <w:spacing w:after="0"/>
              <w:jc w:val="right"/>
              <w:rPr>
                <w:lang w:val="en-GB"/>
              </w:rPr>
            </w:pPr>
            <w:r w:rsidRPr="00A33264">
              <w:rPr>
                <w:lang w:val="en-GB"/>
              </w:rPr>
              <w:t>5,243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47777CF" w14:textId="3BABE1F3" w:rsidR="0080564E" w:rsidRPr="00A33264" w:rsidRDefault="0080564E" w:rsidP="001C0A6D">
            <w:pPr>
              <w:spacing w:after="0"/>
              <w:jc w:val="right"/>
              <w:rPr>
                <w:lang w:val="en-GB"/>
              </w:rPr>
            </w:pPr>
            <w:r w:rsidRPr="00A33264">
              <w:rPr>
                <w:lang w:val="en-GB"/>
              </w:rPr>
              <w:t>0</w:t>
            </w:r>
          </w:p>
        </w:tc>
        <w:tc>
          <w:tcPr>
            <w:tcW w:w="1204" w:type="dxa"/>
            <w:tcBorders>
              <w:top w:val="single" w:sz="4" w:space="0" w:color="auto"/>
              <w:left w:val="single" w:sz="4" w:space="0" w:color="auto"/>
              <w:bottom w:val="single" w:sz="4" w:space="0" w:color="auto"/>
              <w:right w:val="single" w:sz="4" w:space="0" w:color="auto"/>
            </w:tcBorders>
            <w:vAlign w:val="center"/>
            <w:hideMark/>
          </w:tcPr>
          <w:p w14:paraId="263C29A0" w14:textId="5A0005BE" w:rsidR="0080564E" w:rsidRPr="00A33264" w:rsidRDefault="0080564E" w:rsidP="001C0A6D">
            <w:pPr>
              <w:spacing w:after="0"/>
              <w:jc w:val="right"/>
              <w:rPr>
                <w:lang w:val="en-GB"/>
              </w:rPr>
            </w:pPr>
            <w:r w:rsidRPr="00A33264">
              <w:rPr>
                <w:lang w:val="en-GB"/>
              </w:rPr>
              <w:t>0</w:t>
            </w:r>
          </w:p>
        </w:tc>
        <w:tc>
          <w:tcPr>
            <w:tcW w:w="1304" w:type="dxa"/>
            <w:tcBorders>
              <w:top w:val="single" w:sz="4" w:space="0" w:color="auto"/>
              <w:left w:val="single" w:sz="4" w:space="0" w:color="auto"/>
              <w:bottom w:val="single" w:sz="4" w:space="0" w:color="auto"/>
              <w:right w:val="single" w:sz="4" w:space="0" w:color="auto"/>
            </w:tcBorders>
            <w:vAlign w:val="center"/>
            <w:hideMark/>
          </w:tcPr>
          <w:p w14:paraId="6D15A87A" w14:textId="77777777" w:rsidR="0080564E" w:rsidRPr="00A33264" w:rsidRDefault="0080564E" w:rsidP="001C0A6D">
            <w:pPr>
              <w:spacing w:after="0"/>
              <w:jc w:val="right"/>
              <w:rPr>
                <w:lang w:val="en-GB"/>
              </w:rPr>
            </w:pPr>
            <w:r w:rsidRPr="00A33264">
              <w:rPr>
                <w:lang w:val="en-GB"/>
              </w:rPr>
              <w:t>232,451</w:t>
            </w:r>
          </w:p>
        </w:tc>
      </w:tr>
      <w:tr w:rsidR="0080564E" w:rsidRPr="00A33264" w14:paraId="5CF8602F" w14:textId="77777777" w:rsidTr="00F23525">
        <w:trPr>
          <w:trHeight w:val="454"/>
        </w:trPr>
        <w:tc>
          <w:tcPr>
            <w:tcW w:w="2515"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2220A3A2" w14:textId="0E7178D4" w:rsidR="0080564E" w:rsidRPr="00A33264" w:rsidRDefault="0080564E" w:rsidP="001C0A6D">
            <w:pPr>
              <w:spacing w:after="0"/>
              <w:rPr>
                <w:lang w:val="en-GB"/>
              </w:rPr>
            </w:pPr>
            <w:r w:rsidRPr="00A33264">
              <w:rPr>
                <w:lang w:val="en-GB"/>
              </w:rPr>
              <w:t>$245,001 to $270,000</w:t>
            </w:r>
          </w:p>
        </w:tc>
        <w:tc>
          <w:tcPr>
            <w:tcW w:w="1418"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59324FD2" w14:textId="77777777" w:rsidR="0080564E" w:rsidRPr="00A33264" w:rsidRDefault="0080564E" w:rsidP="001C0A6D">
            <w:pPr>
              <w:spacing w:after="0"/>
              <w:jc w:val="right"/>
              <w:rPr>
                <w:lang w:val="en-GB"/>
              </w:rPr>
            </w:pPr>
            <w:r w:rsidRPr="00A33264">
              <w:rPr>
                <w:lang w:val="en-GB"/>
              </w:rPr>
              <w:t>15</w:t>
            </w:r>
          </w:p>
        </w:tc>
        <w:tc>
          <w:tcPr>
            <w:tcW w:w="992"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7A2D208C" w14:textId="77777777" w:rsidR="0080564E" w:rsidRPr="00A33264" w:rsidRDefault="0080564E" w:rsidP="001C0A6D">
            <w:pPr>
              <w:spacing w:after="0"/>
              <w:jc w:val="right"/>
              <w:rPr>
                <w:lang w:val="en-GB"/>
              </w:rPr>
            </w:pPr>
            <w:r w:rsidRPr="00A33264">
              <w:rPr>
                <w:lang w:val="en-GB"/>
              </w:rPr>
              <w:t>220,100</w:t>
            </w:r>
          </w:p>
        </w:tc>
        <w:tc>
          <w:tcPr>
            <w:tcW w:w="851"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3046A554" w14:textId="4573F2C2" w:rsidR="0080564E" w:rsidRPr="00A33264" w:rsidRDefault="0080564E" w:rsidP="001C0A6D">
            <w:pPr>
              <w:spacing w:after="0"/>
              <w:jc w:val="right"/>
              <w:rPr>
                <w:lang w:val="en-GB"/>
              </w:rPr>
            </w:pPr>
            <w:r w:rsidRPr="00A33264">
              <w:rPr>
                <w:lang w:val="en-GB"/>
              </w:rPr>
              <w:t>0</w:t>
            </w:r>
          </w:p>
        </w:tc>
        <w:tc>
          <w:tcPr>
            <w:tcW w:w="1275"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214154C5" w14:textId="77777777" w:rsidR="0080564E" w:rsidRPr="00A33264" w:rsidRDefault="0080564E" w:rsidP="001C0A6D">
            <w:pPr>
              <w:spacing w:after="0"/>
              <w:jc w:val="right"/>
              <w:rPr>
                <w:lang w:val="en-GB"/>
              </w:rPr>
            </w:pPr>
            <w:r w:rsidRPr="00A33264">
              <w:rPr>
                <w:lang w:val="en-GB"/>
              </w:rPr>
              <w:t>1,923</w:t>
            </w:r>
          </w:p>
        </w:tc>
        <w:tc>
          <w:tcPr>
            <w:tcW w:w="1418"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625DC775" w14:textId="77777777" w:rsidR="0080564E" w:rsidRPr="00A33264" w:rsidRDefault="0080564E" w:rsidP="001C0A6D">
            <w:pPr>
              <w:spacing w:after="0"/>
              <w:jc w:val="right"/>
              <w:rPr>
                <w:lang w:val="en-GB"/>
              </w:rPr>
            </w:pPr>
            <w:r w:rsidRPr="00A33264">
              <w:rPr>
                <w:lang w:val="en-GB"/>
              </w:rPr>
              <w:t>30,557</w:t>
            </w:r>
          </w:p>
        </w:tc>
        <w:tc>
          <w:tcPr>
            <w:tcW w:w="1134"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42B9AEB1" w14:textId="77777777" w:rsidR="0080564E" w:rsidRPr="00A33264" w:rsidRDefault="0080564E" w:rsidP="001C0A6D">
            <w:pPr>
              <w:spacing w:after="0"/>
              <w:jc w:val="right"/>
              <w:rPr>
                <w:lang w:val="en-GB"/>
              </w:rPr>
            </w:pPr>
            <w:r w:rsidRPr="00A33264">
              <w:rPr>
                <w:lang w:val="en-GB"/>
              </w:rPr>
              <w:t>5,534</w:t>
            </w:r>
          </w:p>
        </w:tc>
        <w:tc>
          <w:tcPr>
            <w:tcW w:w="1417"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686F9850" w14:textId="6828A433" w:rsidR="0080564E" w:rsidRPr="00A33264" w:rsidRDefault="0080564E" w:rsidP="001C0A6D">
            <w:pPr>
              <w:spacing w:after="0"/>
              <w:jc w:val="right"/>
              <w:rPr>
                <w:lang w:val="en-GB"/>
              </w:rPr>
            </w:pPr>
            <w:r w:rsidRPr="00A33264">
              <w:rPr>
                <w:lang w:val="en-GB"/>
              </w:rPr>
              <w:t>0</w:t>
            </w:r>
          </w:p>
        </w:tc>
        <w:tc>
          <w:tcPr>
            <w:tcW w:w="1204"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1C331101" w14:textId="6559CE6C" w:rsidR="0080564E" w:rsidRPr="00A33264" w:rsidRDefault="0080564E" w:rsidP="001C0A6D">
            <w:pPr>
              <w:spacing w:after="0"/>
              <w:jc w:val="right"/>
              <w:rPr>
                <w:lang w:val="en-GB"/>
              </w:rPr>
            </w:pPr>
            <w:r w:rsidRPr="00A33264">
              <w:rPr>
                <w:lang w:val="en-GB"/>
              </w:rPr>
              <w:t>0</w:t>
            </w:r>
          </w:p>
        </w:tc>
        <w:tc>
          <w:tcPr>
            <w:tcW w:w="1304"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6E2001F7" w14:textId="1C0C7A8F" w:rsidR="0080564E" w:rsidRPr="00A33264" w:rsidRDefault="0080564E" w:rsidP="001C0A6D">
            <w:pPr>
              <w:spacing w:after="0"/>
              <w:jc w:val="right"/>
              <w:rPr>
                <w:lang w:val="en-GB"/>
              </w:rPr>
            </w:pPr>
            <w:r w:rsidRPr="00A33264">
              <w:rPr>
                <w:lang w:val="en-GB"/>
              </w:rPr>
              <w:t>258,11</w:t>
            </w:r>
            <w:r w:rsidR="009023D0">
              <w:rPr>
                <w:lang w:val="en-GB"/>
              </w:rPr>
              <w:t>4</w:t>
            </w:r>
          </w:p>
        </w:tc>
      </w:tr>
      <w:tr w:rsidR="0080564E" w:rsidRPr="00A33264" w14:paraId="62E11F06" w14:textId="77777777" w:rsidTr="00F23525">
        <w:trPr>
          <w:trHeight w:val="454"/>
        </w:trPr>
        <w:tc>
          <w:tcPr>
            <w:tcW w:w="2515" w:type="dxa"/>
            <w:tcBorders>
              <w:top w:val="single" w:sz="4" w:space="0" w:color="auto"/>
              <w:left w:val="single" w:sz="4" w:space="0" w:color="auto"/>
              <w:bottom w:val="single" w:sz="4" w:space="0" w:color="auto"/>
              <w:right w:val="single" w:sz="4" w:space="0" w:color="auto"/>
            </w:tcBorders>
            <w:vAlign w:val="center"/>
            <w:hideMark/>
          </w:tcPr>
          <w:p w14:paraId="62FCD87D" w14:textId="32351DC1" w:rsidR="0080564E" w:rsidRPr="00A33264" w:rsidRDefault="0080564E" w:rsidP="001C0A6D">
            <w:pPr>
              <w:spacing w:after="0"/>
              <w:rPr>
                <w:lang w:val="en-GB"/>
              </w:rPr>
            </w:pPr>
            <w:r w:rsidRPr="00A33264">
              <w:rPr>
                <w:lang w:val="en-GB"/>
              </w:rPr>
              <w:t>$270,001 to $295,000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90A2022" w14:textId="77777777" w:rsidR="0080564E" w:rsidRPr="00A33264" w:rsidRDefault="0080564E" w:rsidP="001C0A6D">
            <w:pPr>
              <w:spacing w:after="0"/>
              <w:jc w:val="right"/>
              <w:rPr>
                <w:lang w:val="en-GB"/>
              </w:rPr>
            </w:pPr>
            <w:r w:rsidRPr="00A33264">
              <w:rPr>
                <w:lang w:val="en-GB"/>
              </w:rPr>
              <w:t>11</w:t>
            </w:r>
          </w:p>
        </w:tc>
        <w:tc>
          <w:tcPr>
            <w:tcW w:w="992" w:type="dxa"/>
            <w:tcBorders>
              <w:top w:val="single" w:sz="4" w:space="0" w:color="auto"/>
              <w:left w:val="single" w:sz="4" w:space="0" w:color="auto"/>
              <w:bottom w:val="single" w:sz="4" w:space="0" w:color="auto"/>
              <w:right w:val="single" w:sz="4" w:space="0" w:color="auto"/>
            </w:tcBorders>
            <w:vAlign w:val="center"/>
            <w:hideMark/>
          </w:tcPr>
          <w:p w14:paraId="347F8155" w14:textId="77777777" w:rsidR="0080564E" w:rsidRPr="00A33264" w:rsidRDefault="0080564E" w:rsidP="001C0A6D">
            <w:pPr>
              <w:spacing w:after="0"/>
              <w:jc w:val="right"/>
              <w:rPr>
                <w:lang w:val="en-GB"/>
              </w:rPr>
            </w:pPr>
            <w:r w:rsidRPr="00A33264">
              <w:rPr>
                <w:lang w:val="en-GB"/>
              </w:rPr>
              <w:t>242,493</w:t>
            </w:r>
          </w:p>
        </w:tc>
        <w:tc>
          <w:tcPr>
            <w:tcW w:w="851" w:type="dxa"/>
            <w:tcBorders>
              <w:top w:val="single" w:sz="4" w:space="0" w:color="auto"/>
              <w:left w:val="single" w:sz="4" w:space="0" w:color="auto"/>
              <w:bottom w:val="single" w:sz="4" w:space="0" w:color="auto"/>
              <w:right w:val="single" w:sz="4" w:space="0" w:color="auto"/>
            </w:tcBorders>
            <w:vAlign w:val="center"/>
            <w:hideMark/>
          </w:tcPr>
          <w:p w14:paraId="1A917093" w14:textId="61F4D443" w:rsidR="0080564E" w:rsidRPr="00A33264" w:rsidRDefault="0080564E" w:rsidP="001C0A6D">
            <w:pPr>
              <w:spacing w:after="0"/>
              <w:jc w:val="right"/>
              <w:rPr>
                <w:lang w:val="en-GB"/>
              </w:rPr>
            </w:pPr>
            <w:r w:rsidRPr="00A33264">
              <w:rPr>
                <w:lang w:val="en-GB"/>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9870F2" w14:textId="77777777" w:rsidR="0080564E" w:rsidRPr="00A33264" w:rsidRDefault="0080564E" w:rsidP="001C0A6D">
            <w:pPr>
              <w:spacing w:after="0"/>
              <w:jc w:val="right"/>
              <w:rPr>
                <w:lang w:val="en-GB"/>
              </w:rPr>
            </w:pPr>
            <w:r w:rsidRPr="00A33264">
              <w:rPr>
                <w:lang w:val="en-GB"/>
              </w:rPr>
              <w:t>4,719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B31E0EF" w14:textId="77777777" w:rsidR="0080564E" w:rsidRPr="00A33264" w:rsidRDefault="0080564E" w:rsidP="001C0A6D">
            <w:pPr>
              <w:spacing w:after="0"/>
              <w:jc w:val="right"/>
              <w:rPr>
                <w:lang w:val="en-GB"/>
              </w:rPr>
            </w:pPr>
            <w:r w:rsidRPr="00A33264">
              <w:rPr>
                <w:lang w:val="en-GB"/>
              </w:rPr>
              <w:t>33,829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8F15AD" w14:textId="77777777" w:rsidR="0080564E" w:rsidRPr="00A33264" w:rsidRDefault="0080564E" w:rsidP="001C0A6D">
            <w:pPr>
              <w:spacing w:after="0"/>
              <w:jc w:val="right"/>
              <w:rPr>
                <w:lang w:val="en-GB"/>
              </w:rPr>
            </w:pPr>
            <w:r w:rsidRPr="00A33264">
              <w:rPr>
                <w:lang w:val="en-GB"/>
              </w:rPr>
              <w:t>6,109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33F7A91" w14:textId="25C3DDB4" w:rsidR="0080564E" w:rsidRPr="00A33264" w:rsidRDefault="0080564E" w:rsidP="001C0A6D">
            <w:pPr>
              <w:spacing w:after="0"/>
              <w:jc w:val="right"/>
              <w:rPr>
                <w:lang w:val="en-GB"/>
              </w:rPr>
            </w:pPr>
            <w:r w:rsidRPr="00A33264">
              <w:rPr>
                <w:lang w:val="en-GB"/>
              </w:rPr>
              <w:t>0</w:t>
            </w:r>
          </w:p>
        </w:tc>
        <w:tc>
          <w:tcPr>
            <w:tcW w:w="1204" w:type="dxa"/>
            <w:tcBorders>
              <w:top w:val="single" w:sz="4" w:space="0" w:color="auto"/>
              <w:left w:val="single" w:sz="4" w:space="0" w:color="auto"/>
              <w:bottom w:val="single" w:sz="4" w:space="0" w:color="auto"/>
              <w:right w:val="single" w:sz="4" w:space="0" w:color="auto"/>
            </w:tcBorders>
            <w:vAlign w:val="center"/>
            <w:hideMark/>
          </w:tcPr>
          <w:p w14:paraId="454DFC18" w14:textId="46ADE403" w:rsidR="0080564E" w:rsidRPr="00A33264" w:rsidRDefault="0080564E" w:rsidP="001C0A6D">
            <w:pPr>
              <w:spacing w:after="0"/>
              <w:jc w:val="right"/>
              <w:rPr>
                <w:lang w:val="en-GB"/>
              </w:rPr>
            </w:pPr>
            <w:r w:rsidRPr="00A33264">
              <w:rPr>
                <w:lang w:val="en-GB"/>
              </w:rPr>
              <w:t>0</w:t>
            </w:r>
          </w:p>
        </w:tc>
        <w:tc>
          <w:tcPr>
            <w:tcW w:w="1304" w:type="dxa"/>
            <w:tcBorders>
              <w:top w:val="single" w:sz="4" w:space="0" w:color="auto"/>
              <w:left w:val="single" w:sz="4" w:space="0" w:color="auto"/>
              <w:bottom w:val="single" w:sz="4" w:space="0" w:color="auto"/>
              <w:right w:val="single" w:sz="4" w:space="0" w:color="auto"/>
            </w:tcBorders>
            <w:vAlign w:val="center"/>
            <w:hideMark/>
          </w:tcPr>
          <w:p w14:paraId="5BCD0261" w14:textId="25C67B38" w:rsidR="0080564E" w:rsidRPr="00A33264" w:rsidRDefault="0080564E" w:rsidP="001C0A6D">
            <w:pPr>
              <w:spacing w:after="0"/>
              <w:jc w:val="right"/>
              <w:rPr>
                <w:lang w:val="en-GB"/>
              </w:rPr>
            </w:pPr>
            <w:r w:rsidRPr="00A33264">
              <w:rPr>
                <w:lang w:val="en-GB"/>
              </w:rPr>
              <w:t>287,15</w:t>
            </w:r>
            <w:r w:rsidR="009023D0">
              <w:rPr>
                <w:lang w:val="en-GB"/>
              </w:rPr>
              <w:t>0</w:t>
            </w:r>
          </w:p>
        </w:tc>
      </w:tr>
      <w:tr w:rsidR="0080564E" w:rsidRPr="00A33264" w14:paraId="364C2C28" w14:textId="77777777" w:rsidTr="00F23525">
        <w:trPr>
          <w:trHeight w:val="454"/>
        </w:trPr>
        <w:tc>
          <w:tcPr>
            <w:tcW w:w="2515"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741EE6BB" w14:textId="3AC34C8E" w:rsidR="0080564E" w:rsidRPr="00A33264" w:rsidRDefault="0080564E" w:rsidP="001C0A6D">
            <w:pPr>
              <w:spacing w:after="0"/>
              <w:rPr>
                <w:lang w:val="en-GB"/>
              </w:rPr>
            </w:pPr>
            <w:r w:rsidRPr="00A33264">
              <w:rPr>
                <w:lang w:val="en-GB"/>
              </w:rPr>
              <w:t>$295,001 to $320,000</w:t>
            </w:r>
          </w:p>
        </w:tc>
        <w:tc>
          <w:tcPr>
            <w:tcW w:w="1418"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60869256" w14:textId="77777777" w:rsidR="0080564E" w:rsidRPr="00A33264" w:rsidRDefault="0080564E" w:rsidP="001C0A6D">
            <w:pPr>
              <w:spacing w:after="0"/>
              <w:jc w:val="right"/>
              <w:rPr>
                <w:lang w:val="en-GB"/>
              </w:rPr>
            </w:pPr>
            <w:r w:rsidRPr="00A33264">
              <w:rPr>
                <w:lang w:val="en-GB"/>
              </w:rPr>
              <w:t>12</w:t>
            </w:r>
          </w:p>
        </w:tc>
        <w:tc>
          <w:tcPr>
            <w:tcW w:w="992"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25A8D791" w14:textId="77777777" w:rsidR="0080564E" w:rsidRPr="00A33264" w:rsidRDefault="0080564E" w:rsidP="001C0A6D">
            <w:pPr>
              <w:spacing w:after="0"/>
              <w:jc w:val="right"/>
              <w:rPr>
                <w:lang w:val="en-GB"/>
              </w:rPr>
            </w:pPr>
            <w:r w:rsidRPr="00A33264">
              <w:rPr>
                <w:lang w:val="en-GB"/>
              </w:rPr>
              <w:t>261,477</w:t>
            </w:r>
          </w:p>
        </w:tc>
        <w:tc>
          <w:tcPr>
            <w:tcW w:w="851"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5962A5D9" w14:textId="2DB8E15C" w:rsidR="0080564E" w:rsidRPr="00A33264" w:rsidRDefault="0080564E" w:rsidP="001C0A6D">
            <w:pPr>
              <w:spacing w:after="0"/>
              <w:jc w:val="right"/>
              <w:rPr>
                <w:lang w:val="en-GB"/>
              </w:rPr>
            </w:pPr>
            <w:r w:rsidRPr="00A33264">
              <w:rPr>
                <w:lang w:val="en-GB"/>
              </w:rPr>
              <w:t>0</w:t>
            </w:r>
          </w:p>
        </w:tc>
        <w:tc>
          <w:tcPr>
            <w:tcW w:w="1275"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38815D4F" w14:textId="77777777" w:rsidR="0080564E" w:rsidRPr="00A33264" w:rsidRDefault="0080564E" w:rsidP="001C0A6D">
            <w:pPr>
              <w:spacing w:after="0"/>
              <w:jc w:val="right"/>
              <w:rPr>
                <w:lang w:val="en-GB"/>
              </w:rPr>
            </w:pPr>
            <w:r w:rsidRPr="00A33264">
              <w:rPr>
                <w:lang w:val="en-GB"/>
              </w:rPr>
              <w:t>1,863</w:t>
            </w:r>
          </w:p>
        </w:tc>
        <w:tc>
          <w:tcPr>
            <w:tcW w:w="1418"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55E5739E" w14:textId="77777777" w:rsidR="0080564E" w:rsidRPr="00A33264" w:rsidRDefault="0080564E" w:rsidP="001C0A6D">
            <w:pPr>
              <w:spacing w:after="0"/>
              <w:jc w:val="right"/>
              <w:rPr>
                <w:lang w:val="en-GB"/>
              </w:rPr>
            </w:pPr>
            <w:r w:rsidRPr="00A33264">
              <w:rPr>
                <w:lang w:val="en-GB"/>
              </w:rPr>
              <w:t>37,496</w:t>
            </w:r>
          </w:p>
        </w:tc>
        <w:tc>
          <w:tcPr>
            <w:tcW w:w="1134"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5E915F05" w14:textId="77777777" w:rsidR="0080564E" w:rsidRPr="00A33264" w:rsidRDefault="0080564E" w:rsidP="001C0A6D">
            <w:pPr>
              <w:spacing w:after="0"/>
              <w:jc w:val="right"/>
              <w:rPr>
                <w:lang w:val="en-GB"/>
              </w:rPr>
            </w:pPr>
            <w:r w:rsidRPr="00A33264">
              <w:rPr>
                <w:lang w:val="en-GB"/>
              </w:rPr>
              <w:t>6,628</w:t>
            </w:r>
          </w:p>
        </w:tc>
        <w:tc>
          <w:tcPr>
            <w:tcW w:w="1417"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09F72EDE" w14:textId="04162907" w:rsidR="0080564E" w:rsidRPr="00A33264" w:rsidRDefault="0080564E" w:rsidP="001C0A6D">
            <w:pPr>
              <w:spacing w:after="0"/>
              <w:jc w:val="right"/>
              <w:rPr>
                <w:lang w:val="en-GB"/>
              </w:rPr>
            </w:pPr>
            <w:r w:rsidRPr="00A33264">
              <w:rPr>
                <w:lang w:val="en-GB"/>
              </w:rPr>
              <w:t>0</w:t>
            </w:r>
          </w:p>
        </w:tc>
        <w:tc>
          <w:tcPr>
            <w:tcW w:w="1204"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6ACDAB46" w14:textId="1F1BAD17" w:rsidR="0080564E" w:rsidRPr="00A33264" w:rsidRDefault="0080564E" w:rsidP="001C0A6D">
            <w:pPr>
              <w:spacing w:after="0"/>
              <w:jc w:val="right"/>
              <w:rPr>
                <w:lang w:val="en-GB"/>
              </w:rPr>
            </w:pPr>
            <w:r w:rsidRPr="00A33264">
              <w:rPr>
                <w:lang w:val="en-GB"/>
              </w:rPr>
              <w:t>0</w:t>
            </w:r>
          </w:p>
        </w:tc>
        <w:tc>
          <w:tcPr>
            <w:tcW w:w="1304"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6F309835" w14:textId="77777777" w:rsidR="0080564E" w:rsidRPr="00A33264" w:rsidRDefault="0080564E" w:rsidP="001C0A6D">
            <w:pPr>
              <w:spacing w:after="0"/>
              <w:jc w:val="right"/>
              <w:rPr>
                <w:lang w:val="en-GB"/>
              </w:rPr>
            </w:pPr>
            <w:r w:rsidRPr="00A33264">
              <w:rPr>
                <w:lang w:val="en-GB"/>
              </w:rPr>
              <w:t>307,464</w:t>
            </w:r>
          </w:p>
        </w:tc>
      </w:tr>
      <w:tr w:rsidR="0080564E" w:rsidRPr="00A33264" w14:paraId="0608AFD2" w14:textId="77777777" w:rsidTr="00F23525">
        <w:trPr>
          <w:trHeight w:val="454"/>
        </w:trPr>
        <w:tc>
          <w:tcPr>
            <w:tcW w:w="2515" w:type="dxa"/>
            <w:tcBorders>
              <w:top w:val="single" w:sz="4" w:space="0" w:color="auto"/>
              <w:left w:val="single" w:sz="4" w:space="0" w:color="auto"/>
              <w:bottom w:val="single" w:sz="4" w:space="0" w:color="auto"/>
              <w:right w:val="single" w:sz="4" w:space="0" w:color="auto"/>
            </w:tcBorders>
            <w:vAlign w:val="center"/>
            <w:hideMark/>
          </w:tcPr>
          <w:p w14:paraId="6B713EAB" w14:textId="715CBC73" w:rsidR="0080564E" w:rsidRPr="00A33264" w:rsidRDefault="0080564E" w:rsidP="001C0A6D">
            <w:pPr>
              <w:spacing w:after="0"/>
              <w:rPr>
                <w:lang w:val="en-GB"/>
              </w:rPr>
            </w:pPr>
            <w:r w:rsidRPr="00A33264">
              <w:rPr>
                <w:lang w:val="en-GB"/>
              </w:rPr>
              <w:t>$320,001 to $345,000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27E2413" w14:textId="77777777" w:rsidR="0080564E" w:rsidRPr="00A33264" w:rsidRDefault="0080564E" w:rsidP="001C0A6D">
            <w:pPr>
              <w:spacing w:after="0"/>
              <w:jc w:val="right"/>
              <w:rPr>
                <w:lang w:val="en-GB"/>
              </w:rPr>
            </w:pPr>
            <w:r w:rsidRPr="00A33264">
              <w:rPr>
                <w:lang w:val="en-GB"/>
              </w:rPr>
              <w:t>7</w:t>
            </w:r>
          </w:p>
        </w:tc>
        <w:tc>
          <w:tcPr>
            <w:tcW w:w="992" w:type="dxa"/>
            <w:tcBorders>
              <w:top w:val="single" w:sz="4" w:space="0" w:color="auto"/>
              <w:left w:val="single" w:sz="4" w:space="0" w:color="auto"/>
              <w:bottom w:val="single" w:sz="4" w:space="0" w:color="auto"/>
              <w:right w:val="single" w:sz="4" w:space="0" w:color="auto"/>
            </w:tcBorders>
            <w:vAlign w:val="center"/>
            <w:hideMark/>
          </w:tcPr>
          <w:p w14:paraId="6C3AD3C7" w14:textId="77777777" w:rsidR="0080564E" w:rsidRPr="00A33264" w:rsidRDefault="0080564E" w:rsidP="001C0A6D">
            <w:pPr>
              <w:spacing w:after="0"/>
              <w:jc w:val="right"/>
              <w:rPr>
                <w:lang w:val="en-GB"/>
              </w:rPr>
            </w:pPr>
            <w:r w:rsidRPr="00A33264">
              <w:rPr>
                <w:lang w:val="en-GB"/>
              </w:rPr>
              <w:t>279,103</w:t>
            </w:r>
          </w:p>
        </w:tc>
        <w:tc>
          <w:tcPr>
            <w:tcW w:w="851" w:type="dxa"/>
            <w:tcBorders>
              <w:top w:val="single" w:sz="4" w:space="0" w:color="auto"/>
              <w:left w:val="single" w:sz="4" w:space="0" w:color="auto"/>
              <w:bottom w:val="single" w:sz="4" w:space="0" w:color="auto"/>
              <w:right w:val="single" w:sz="4" w:space="0" w:color="auto"/>
            </w:tcBorders>
            <w:vAlign w:val="center"/>
            <w:hideMark/>
          </w:tcPr>
          <w:p w14:paraId="27DB6245" w14:textId="281F7FD6" w:rsidR="0080564E" w:rsidRPr="00A33264" w:rsidRDefault="0080564E" w:rsidP="001C0A6D">
            <w:pPr>
              <w:spacing w:after="0"/>
              <w:jc w:val="right"/>
              <w:rPr>
                <w:lang w:val="en-GB"/>
              </w:rPr>
            </w:pPr>
            <w:r w:rsidRPr="00A33264">
              <w:rPr>
                <w:lang w:val="en-GB"/>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655B6FA" w14:textId="77777777" w:rsidR="0080564E" w:rsidRPr="00A33264" w:rsidRDefault="0080564E" w:rsidP="001C0A6D">
            <w:pPr>
              <w:spacing w:after="0"/>
              <w:jc w:val="right"/>
              <w:rPr>
                <w:lang w:val="en-GB"/>
              </w:rPr>
            </w:pPr>
            <w:r w:rsidRPr="00A33264">
              <w:rPr>
                <w:lang w:val="en-GB"/>
              </w:rPr>
              <w:t>4,906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1595A5B" w14:textId="77777777" w:rsidR="0080564E" w:rsidRPr="00A33264" w:rsidRDefault="0080564E" w:rsidP="001C0A6D">
            <w:pPr>
              <w:spacing w:after="0"/>
              <w:jc w:val="right"/>
              <w:rPr>
                <w:lang w:val="en-GB"/>
              </w:rPr>
            </w:pPr>
            <w:r w:rsidRPr="00A33264">
              <w:rPr>
                <w:lang w:val="en-GB"/>
              </w:rPr>
              <w:t>38,489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EC1E1E" w14:textId="77777777" w:rsidR="0080564E" w:rsidRPr="00A33264" w:rsidRDefault="0080564E" w:rsidP="001C0A6D">
            <w:pPr>
              <w:spacing w:after="0"/>
              <w:jc w:val="right"/>
              <w:rPr>
                <w:lang w:val="en-GB"/>
              </w:rPr>
            </w:pPr>
            <w:r w:rsidRPr="00A33264">
              <w:rPr>
                <w:lang w:val="en-GB"/>
              </w:rPr>
              <w:t>7,132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C4C1C32" w14:textId="1F85A187" w:rsidR="0080564E" w:rsidRPr="00A33264" w:rsidRDefault="0080564E" w:rsidP="001C0A6D">
            <w:pPr>
              <w:spacing w:after="0"/>
              <w:jc w:val="right"/>
              <w:rPr>
                <w:lang w:val="en-GB"/>
              </w:rPr>
            </w:pPr>
            <w:r w:rsidRPr="00A33264">
              <w:rPr>
                <w:lang w:val="en-GB"/>
              </w:rPr>
              <w:t>0</w:t>
            </w:r>
          </w:p>
        </w:tc>
        <w:tc>
          <w:tcPr>
            <w:tcW w:w="1204" w:type="dxa"/>
            <w:tcBorders>
              <w:top w:val="single" w:sz="4" w:space="0" w:color="auto"/>
              <w:left w:val="single" w:sz="4" w:space="0" w:color="auto"/>
              <w:bottom w:val="single" w:sz="4" w:space="0" w:color="auto"/>
              <w:right w:val="single" w:sz="4" w:space="0" w:color="auto"/>
            </w:tcBorders>
            <w:vAlign w:val="center"/>
            <w:hideMark/>
          </w:tcPr>
          <w:p w14:paraId="1EE285F4" w14:textId="64A02C08" w:rsidR="0080564E" w:rsidRPr="00A33264" w:rsidRDefault="0080564E" w:rsidP="001C0A6D">
            <w:pPr>
              <w:spacing w:after="0"/>
              <w:jc w:val="right"/>
              <w:rPr>
                <w:lang w:val="en-GB"/>
              </w:rPr>
            </w:pPr>
            <w:r w:rsidRPr="00A33264">
              <w:rPr>
                <w:lang w:val="en-GB"/>
              </w:rPr>
              <w:t>0</w:t>
            </w:r>
          </w:p>
        </w:tc>
        <w:tc>
          <w:tcPr>
            <w:tcW w:w="1304" w:type="dxa"/>
            <w:tcBorders>
              <w:top w:val="single" w:sz="4" w:space="0" w:color="auto"/>
              <w:left w:val="single" w:sz="4" w:space="0" w:color="auto"/>
              <w:bottom w:val="single" w:sz="4" w:space="0" w:color="auto"/>
              <w:right w:val="single" w:sz="4" w:space="0" w:color="auto"/>
            </w:tcBorders>
            <w:vAlign w:val="center"/>
            <w:hideMark/>
          </w:tcPr>
          <w:p w14:paraId="7339A8AB" w14:textId="77777777" w:rsidR="0080564E" w:rsidRPr="00A33264" w:rsidRDefault="0080564E" w:rsidP="001C0A6D">
            <w:pPr>
              <w:spacing w:after="0"/>
              <w:jc w:val="right"/>
              <w:rPr>
                <w:lang w:val="en-GB"/>
              </w:rPr>
            </w:pPr>
            <w:r w:rsidRPr="00A33264">
              <w:rPr>
                <w:lang w:val="en-GB"/>
              </w:rPr>
              <w:t>329,630</w:t>
            </w:r>
          </w:p>
        </w:tc>
      </w:tr>
      <w:tr w:rsidR="0080564E" w:rsidRPr="00A33264" w14:paraId="29761211" w14:textId="77777777" w:rsidTr="00F23525">
        <w:trPr>
          <w:trHeight w:val="454"/>
        </w:trPr>
        <w:tc>
          <w:tcPr>
            <w:tcW w:w="2515"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3F5739FB" w14:textId="0DB671F4" w:rsidR="0080564E" w:rsidRPr="00A33264" w:rsidRDefault="0080564E" w:rsidP="001C0A6D">
            <w:pPr>
              <w:spacing w:after="0"/>
              <w:rPr>
                <w:lang w:val="en-GB"/>
              </w:rPr>
            </w:pPr>
            <w:r w:rsidRPr="00A33264">
              <w:rPr>
                <w:lang w:val="en-GB"/>
              </w:rPr>
              <w:t>$345,001 to $370,000</w:t>
            </w:r>
          </w:p>
        </w:tc>
        <w:tc>
          <w:tcPr>
            <w:tcW w:w="1418"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10581B64" w14:textId="77777777" w:rsidR="0080564E" w:rsidRPr="00A33264" w:rsidRDefault="0080564E" w:rsidP="001C0A6D">
            <w:pPr>
              <w:spacing w:after="0"/>
              <w:jc w:val="right"/>
              <w:rPr>
                <w:lang w:val="en-GB"/>
              </w:rPr>
            </w:pPr>
            <w:r w:rsidRPr="00A33264">
              <w:rPr>
                <w:lang w:val="en-GB"/>
              </w:rPr>
              <w:t>3</w:t>
            </w:r>
          </w:p>
        </w:tc>
        <w:tc>
          <w:tcPr>
            <w:tcW w:w="992"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1F1F9090" w14:textId="77777777" w:rsidR="0080564E" w:rsidRPr="00A33264" w:rsidRDefault="0080564E" w:rsidP="001C0A6D">
            <w:pPr>
              <w:spacing w:after="0"/>
              <w:jc w:val="right"/>
              <w:rPr>
                <w:lang w:val="en-GB"/>
              </w:rPr>
            </w:pPr>
            <w:r w:rsidRPr="00A33264">
              <w:rPr>
                <w:lang w:val="en-GB"/>
              </w:rPr>
              <w:t>287,100</w:t>
            </w:r>
          </w:p>
        </w:tc>
        <w:tc>
          <w:tcPr>
            <w:tcW w:w="851"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18F9B7DC" w14:textId="109C8629" w:rsidR="0080564E" w:rsidRPr="00A33264" w:rsidRDefault="0080564E" w:rsidP="001C0A6D">
            <w:pPr>
              <w:spacing w:after="0"/>
              <w:jc w:val="right"/>
              <w:rPr>
                <w:lang w:val="en-GB"/>
              </w:rPr>
            </w:pPr>
            <w:r w:rsidRPr="00A33264">
              <w:rPr>
                <w:lang w:val="en-GB"/>
              </w:rPr>
              <w:t>0</w:t>
            </w:r>
          </w:p>
        </w:tc>
        <w:tc>
          <w:tcPr>
            <w:tcW w:w="1275"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3F0F3AB4" w14:textId="77777777" w:rsidR="0080564E" w:rsidRPr="00A33264" w:rsidRDefault="0080564E" w:rsidP="001C0A6D">
            <w:pPr>
              <w:spacing w:after="0"/>
              <w:jc w:val="right"/>
              <w:rPr>
                <w:lang w:val="en-GB"/>
              </w:rPr>
            </w:pPr>
            <w:r w:rsidRPr="00A33264">
              <w:rPr>
                <w:lang w:val="en-GB"/>
              </w:rPr>
              <w:t>10,000</w:t>
            </w:r>
          </w:p>
        </w:tc>
        <w:tc>
          <w:tcPr>
            <w:tcW w:w="1418"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464BE5AE" w14:textId="77777777" w:rsidR="0080564E" w:rsidRPr="00A33264" w:rsidRDefault="0080564E" w:rsidP="001C0A6D">
            <w:pPr>
              <w:spacing w:after="0"/>
              <w:jc w:val="right"/>
              <w:rPr>
                <w:lang w:val="en-GB"/>
              </w:rPr>
            </w:pPr>
            <w:r w:rsidRPr="00A33264">
              <w:rPr>
                <w:lang w:val="en-GB"/>
              </w:rPr>
              <w:t>51,025</w:t>
            </w:r>
          </w:p>
        </w:tc>
        <w:tc>
          <w:tcPr>
            <w:tcW w:w="1134"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68B71954" w14:textId="77777777" w:rsidR="0080564E" w:rsidRPr="00A33264" w:rsidRDefault="0080564E" w:rsidP="001C0A6D">
            <w:pPr>
              <w:spacing w:after="0"/>
              <w:jc w:val="right"/>
              <w:rPr>
                <w:lang w:val="en-GB"/>
              </w:rPr>
            </w:pPr>
            <w:r w:rsidRPr="00A33264">
              <w:rPr>
                <w:lang w:val="en-GB"/>
              </w:rPr>
              <w:t>7,223</w:t>
            </w:r>
          </w:p>
        </w:tc>
        <w:tc>
          <w:tcPr>
            <w:tcW w:w="1417"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5353928B" w14:textId="42BEFA7D" w:rsidR="0080564E" w:rsidRPr="00A33264" w:rsidRDefault="0080564E" w:rsidP="001C0A6D">
            <w:pPr>
              <w:spacing w:after="0"/>
              <w:jc w:val="right"/>
              <w:rPr>
                <w:lang w:val="en-GB"/>
              </w:rPr>
            </w:pPr>
            <w:r w:rsidRPr="00A33264">
              <w:rPr>
                <w:lang w:val="en-GB"/>
              </w:rPr>
              <w:t>0</w:t>
            </w:r>
          </w:p>
        </w:tc>
        <w:tc>
          <w:tcPr>
            <w:tcW w:w="1204"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4829AEF8" w14:textId="61FF277F" w:rsidR="0080564E" w:rsidRPr="00A33264" w:rsidRDefault="0080564E" w:rsidP="001C0A6D">
            <w:pPr>
              <w:spacing w:after="0"/>
              <w:jc w:val="right"/>
              <w:rPr>
                <w:lang w:val="en-GB"/>
              </w:rPr>
            </w:pPr>
            <w:r w:rsidRPr="00A33264">
              <w:rPr>
                <w:lang w:val="en-GB"/>
              </w:rPr>
              <w:t>0</w:t>
            </w:r>
          </w:p>
        </w:tc>
        <w:tc>
          <w:tcPr>
            <w:tcW w:w="1304"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022A3D15" w14:textId="4A71E0D2" w:rsidR="0080564E" w:rsidRPr="00A33264" w:rsidRDefault="0080564E" w:rsidP="001C0A6D">
            <w:pPr>
              <w:spacing w:after="0"/>
              <w:jc w:val="right"/>
              <w:rPr>
                <w:lang w:val="en-GB"/>
              </w:rPr>
            </w:pPr>
            <w:r w:rsidRPr="00A33264">
              <w:rPr>
                <w:lang w:val="en-GB"/>
              </w:rPr>
              <w:t>355,34</w:t>
            </w:r>
            <w:r w:rsidR="009023D0">
              <w:rPr>
                <w:lang w:val="en-GB"/>
              </w:rPr>
              <w:t>8</w:t>
            </w:r>
          </w:p>
        </w:tc>
      </w:tr>
      <w:tr w:rsidR="0080564E" w:rsidRPr="00A33264" w14:paraId="2D5CFF92" w14:textId="77777777" w:rsidTr="00F23525">
        <w:trPr>
          <w:trHeight w:val="454"/>
        </w:trPr>
        <w:tc>
          <w:tcPr>
            <w:tcW w:w="2515" w:type="dxa"/>
            <w:tcBorders>
              <w:top w:val="single" w:sz="4" w:space="0" w:color="auto"/>
              <w:left w:val="single" w:sz="4" w:space="0" w:color="auto"/>
              <w:bottom w:val="single" w:sz="4" w:space="0" w:color="auto"/>
              <w:right w:val="single" w:sz="4" w:space="0" w:color="auto"/>
            </w:tcBorders>
            <w:vAlign w:val="center"/>
            <w:hideMark/>
          </w:tcPr>
          <w:p w14:paraId="5CC554C9" w14:textId="2B3E5FF4" w:rsidR="0080564E" w:rsidRPr="00A33264" w:rsidRDefault="0080564E" w:rsidP="001C0A6D">
            <w:pPr>
              <w:spacing w:after="0"/>
              <w:rPr>
                <w:lang w:val="en-GB"/>
              </w:rPr>
            </w:pPr>
            <w:r w:rsidRPr="00A33264">
              <w:rPr>
                <w:lang w:val="en-GB"/>
              </w:rPr>
              <w:t>$370,001 to $395,000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952919E" w14:textId="77777777" w:rsidR="0080564E" w:rsidRPr="00A33264" w:rsidRDefault="0080564E" w:rsidP="001C0A6D">
            <w:pPr>
              <w:spacing w:after="0"/>
              <w:jc w:val="right"/>
              <w:rPr>
                <w:lang w:val="en-GB"/>
              </w:rPr>
            </w:pPr>
            <w:r w:rsidRPr="00A33264">
              <w:rPr>
                <w:lang w:val="en-GB"/>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A911C6" w14:textId="77777777" w:rsidR="0080564E" w:rsidRPr="00A33264" w:rsidRDefault="0080564E" w:rsidP="001C0A6D">
            <w:pPr>
              <w:spacing w:after="0"/>
              <w:jc w:val="right"/>
              <w:rPr>
                <w:lang w:val="en-GB"/>
              </w:rPr>
            </w:pPr>
            <w:r w:rsidRPr="00A33264">
              <w:rPr>
                <w:lang w:val="en-GB"/>
              </w:rPr>
              <w:t>232,315</w:t>
            </w:r>
          </w:p>
        </w:tc>
        <w:tc>
          <w:tcPr>
            <w:tcW w:w="851" w:type="dxa"/>
            <w:tcBorders>
              <w:top w:val="single" w:sz="4" w:space="0" w:color="auto"/>
              <w:left w:val="single" w:sz="4" w:space="0" w:color="auto"/>
              <w:bottom w:val="single" w:sz="4" w:space="0" w:color="auto"/>
              <w:right w:val="single" w:sz="4" w:space="0" w:color="auto"/>
            </w:tcBorders>
            <w:vAlign w:val="center"/>
            <w:hideMark/>
          </w:tcPr>
          <w:p w14:paraId="641B9552" w14:textId="519D1342" w:rsidR="0080564E" w:rsidRPr="00A33264" w:rsidRDefault="0080564E" w:rsidP="001C0A6D">
            <w:pPr>
              <w:spacing w:after="0"/>
              <w:jc w:val="right"/>
              <w:rPr>
                <w:lang w:val="en-GB"/>
              </w:rPr>
            </w:pPr>
            <w:r w:rsidRPr="00A33264">
              <w:rPr>
                <w:lang w:val="en-GB"/>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13C5411" w14:textId="77777777" w:rsidR="0080564E" w:rsidRPr="00A33264" w:rsidRDefault="0080564E" w:rsidP="001C0A6D">
            <w:pPr>
              <w:spacing w:after="0"/>
              <w:jc w:val="right"/>
              <w:rPr>
                <w:lang w:val="en-GB"/>
              </w:rPr>
            </w:pPr>
            <w:r w:rsidRPr="00A33264">
              <w:rPr>
                <w:lang w:val="en-GB"/>
              </w:rPr>
              <w:t>308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271CB85" w14:textId="77777777" w:rsidR="0080564E" w:rsidRPr="00A33264" w:rsidRDefault="0080564E" w:rsidP="001C0A6D">
            <w:pPr>
              <w:spacing w:after="0"/>
              <w:jc w:val="right"/>
              <w:rPr>
                <w:lang w:val="en-GB"/>
              </w:rPr>
            </w:pPr>
            <w:r w:rsidRPr="00A33264">
              <w:rPr>
                <w:lang w:val="en-GB"/>
              </w:rPr>
              <w:t>27,412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9981C2" w14:textId="77777777" w:rsidR="0080564E" w:rsidRPr="00A33264" w:rsidRDefault="0080564E" w:rsidP="001C0A6D">
            <w:pPr>
              <w:spacing w:after="0"/>
              <w:jc w:val="right"/>
              <w:rPr>
                <w:lang w:val="en-GB"/>
              </w:rPr>
            </w:pPr>
            <w:r w:rsidRPr="00A33264">
              <w:rPr>
                <w:lang w:val="en-GB"/>
              </w:rPr>
              <w:t>5,854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613E485" w14:textId="0E27B173" w:rsidR="0080564E" w:rsidRPr="00A33264" w:rsidRDefault="0080564E" w:rsidP="001C0A6D">
            <w:pPr>
              <w:spacing w:after="0"/>
              <w:jc w:val="right"/>
              <w:rPr>
                <w:lang w:val="en-GB"/>
              </w:rPr>
            </w:pPr>
            <w:r w:rsidRPr="00A33264">
              <w:rPr>
                <w:lang w:val="en-GB"/>
              </w:rPr>
              <w:t>0</w:t>
            </w:r>
          </w:p>
        </w:tc>
        <w:tc>
          <w:tcPr>
            <w:tcW w:w="1204" w:type="dxa"/>
            <w:tcBorders>
              <w:top w:val="single" w:sz="4" w:space="0" w:color="auto"/>
              <w:left w:val="single" w:sz="4" w:space="0" w:color="auto"/>
              <w:bottom w:val="single" w:sz="4" w:space="0" w:color="auto"/>
              <w:right w:val="single" w:sz="4" w:space="0" w:color="auto"/>
            </w:tcBorders>
            <w:vAlign w:val="center"/>
            <w:hideMark/>
          </w:tcPr>
          <w:p w14:paraId="44326B4D" w14:textId="74835E38" w:rsidR="0080564E" w:rsidRPr="00A33264" w:rsidRDefault="0080564E" w:rsidP="001C0A6D">
            <w:pPr>
              <w:spacing w:after="0"/>
              <w:jc w:val="right"/>
              <w:rPr>
                <w:lang w:val="en-GB"/>
              </w:rPr>
            </w:pPr>
            <w:r w:rsidRPr="00A33264">
              <w:rPr>
                <w:lang w:val="en-GB"/>
              </w:rPr>
              <w:t>116,120</w:t>
            </w:r>
          </w:p>
        </w:tc>
        <w:tc>
          <w:tcPr>
            <w:tcW w:w="1304" w:type="dxa"/>
            <w:tcBorders>
              <w:top w:val="single" w:sz="4" w:space="0" w:color="auto"/>
              <w:left w:val="single" w:sz="4" w:space="0" w:color="auto"/>
              <w:bottom w:val="single" w:sz="4" w:space="0" w:color="auto"/>
              <w:right w:val="single" w:sz="4" w:space="0" w:color="auto"/>
            </w:tcBorders>
            <w:vAlign w:val="center"/>
            <w:hideMark/>
          </w:tcPr>
          <w:p w14:paraId="5D4B5086" w14:textId="77777777" w:rsidR="0080564E" w:rsidRPr="00A33264" w:rsidRDefault="0080564E" w:rsidP="001C0A6D">
            <w:pPr>
              <w:spacing w:after="0"/>
              <w:jc w:val="right"/>
              <w:rPr>
                <w:lang w:val="en-GB"/>
              </w:rPr>
            </w:pPr>
            <w:r w:rsidRPr="00A33264">
              <w:rPr>
                <w:lang w:val="en-GB"/>
              </w:rPr>
              <w:t>382,009</w:t>
            </w:r>
          </w:p>
        </w:tc>
      </w:tr>
      <w:tr w:rsidR="0080564E" w:rsidRPr="00A33264" w14:paraId="1DC587E8" w14:textId="77777777" w:rsidTr="00F23525">
        <w:trPr>
          <w:trHeight w:val="454"/>
        </w:trPr>
        <w:tc>
          <w:tcPr>
            <w:tcW w:w="2515"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63C5442D" w14:textId="77777777" w:rsidR="0080564E" w:rsidRPr="00A33264" w:rsidRDefault="0080564E" w:rsidP="001C0A6D">
            <w:pPr>
              <w:spacing w:after="0"/>
              <w:rPr>
                <w:lang w:val="en-GB"/>
              </w:rPr>
            </w:pPr>
            <w:r w:rsidRPr="00A33264">
              <w:rPr>
                <w:lang w:val="en-GB"/>
              </w:rPr>
              <w:t>$395,001 to $420,000</w:t>
            </w:r>
          </w:p>
        </w:tc>
        <w:tc>
          <w:tcPr>
            <w:tcW w:w="1418"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21D55EC5" w14:textId="77777777" w:rsidR="0080564E" w:rsidRPr="00A33264" w:rsidRDefault="0080564E" w:rsidP="001C0A6D">
            <w:pPr>
              <w:spacing w:after="0"/>
              <w:jc w:val="right"/>
              <w:rPr>
                <w:lang w:val="en-GB"/>
              </w:rPr>
            </w:pPr>
            <w:r w:rsidRPr="00A33264">
              <w:rPr>
                <w:lang w:val="en-GB"/>
              </w:rPr>
              <w:t>4</w:t>
            </w:r>
          </w:p>
        </w:tc>
        <w:tc>
          <w:tcPr>
            <w:tcW w:w="992"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11A17F0A" w14:textId="77777777" w:rsidR="0080564E" w:rsidRPr="00A33264" w:rsidRDefault="0080564E" w:rsidP="001C0A6D">
            <w:pPr>
              <w:spacing w:after="0"/>
              <w:jc w:val="right"/>
              <w:rPr>
                <w:lang w:val="en-GB"/>
              </w:rPr>
            </w:pPr>
            <w:r w:rsidRPr="00A33264">
              <w:rPr>
                <w:lang w:val="en-GB"/>
              </w:rPr>
              <w:t>231,094</w:t>
            </w:r>
          </w:p>
        </w:tc>
        <w:tc>
          <w:tcPr>
            <w:tcW w:w="851"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7B936371" w14:textId="5690473F" w:rsidR="0080564E" w:rsidRPr="00A33264" w:rsidRDefault="0080564E" w:rsidP="001C0A6D">
            <w:pPr>
              <w:spacing w:after="0"/>
              <w:jc w:val="right"/>
              <w:rPr>
                <w:lang w:val="en-GB"/>
              </w:rPr>
            </w:pPr>
            <w:r w:rsidRPr="00A33264">
              <w:rPr>
                <w:lang w:val="en-GB"/>
              </w:rPr>
              <w:t>0</w:t>
            </w:r>
          </w:p>
        </w:tc>
        <w:tc>
          <w:tcPr>
            <w:tcW w:w="1275"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605AEAD2" w14:textId="77777777" w:rsidR="0080564E" w:rsidRPr="00A33264" w:rsidRDefault="0080564E" w:rsidP="001C0A6D">
            <w:pPr>
              <w:spacing w:after="0"/>
              <w:jc w:val="right"/>
              <w:rPr>
                <w:lang w:val="en-GB"/>
              </w:rPr>
            </w:pPr>
            <w:r w:rsidRPr="00A33264">
              <w:rPr>
                <w:lang w:val="en-GB"/>
              </w:rPr>
              <w:t>7,416</w:t>
            </w:r>
          </w:p>
        </w:tc>
        <w:tc>
          <w:tcPr>
            <w:tcW w:w="1418"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1AEF7566" w14:textId="77777777" w:rsidR="0080564E" w:rsidRPr="00A33264" w:rsidRDefault="0080564E" w:rsidP="001C0A6D">
            <w:pPr>
              <w:spacing w:after="0"/>
              <w:jc w:val="right"/>
              <w:rPr>
                <w:lang w:val="en-GB"/>
              </w:rPr>
            </w:pPr>
            <w:r w:rsidRPr="00A33264">
              <w:rPr>
                <w:lang w:val="en-GB"/>
              </w:rPr>
              <w:t>43,797</w:t>
            </w:r>
          </w:p>
        </w:tc>
        <w:tc>
          <w:tcPr>
            <w:tcW w:w="1134"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6F778E3D" w14:textId="77777777" w:rsidR="0080564E" w:rsidRPr="00A33264" w:rsidRDefault="0080564E" w:rsidP="001C0A6D">
            <w:pPr>
              <w:spacing w:after="0"/>
              <w:jc w:val="right"/>
              <w:rPr>
                <w:lang w:val="en-GB"/>
              </w:rPr>
            </w:pPr>
            <w:r w:rsidRPr="00A33264">
              <w:rPr>
                <w:lang w:val="en-GB"/>
              </w:rPr>
              <w:t>5,854</w:t>
            </w:r>
          </w:p>
        </w:tc>
        <w:tc>
          <w:tcPr>
            <w:tcW w:w="1417"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58989F3D" w14:textId="236966EC" w:rsidR="0080564E" w:rsidRPr="00A33264" w:rsidRDefault="0080564E" w:rsidP="001C0A6D">
            <w:pPr>
              <w:spacing w:after="0"/>
              <w:jc w:val="right"/>
              <w:rPr>
                <w:lang w:val="en-GB"/>
              </w:rPr>
            </w:pPr>
            <w:r w:rsidRPr="00A33264">
              <w:rPr>
                <w:lang w:val="en-GB"/>
              </w:rPr>
              <w:t>0</w:t>
            </w:r>
          </w:p>
        </w:tc>
        <w:tc>
          <w:tcPr>
            <w:tcW w:w="1204"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7221C258" w14:textId="6EC275DD" w:rsidR="0080564E" w:rsidRPr="00A33264" w:rsidRDefault="0080564E" w:rsidP="001C0A6D">
            <w:pPr>
              <w:spacing w:after="0"/>
              <w:jc w:val="right"/>
              <w:rPr>
                <w:lang w:val="en-GB"/>
              </w:rPr>
            </w:pPr>
            <w:r w:rsidRPr="00A33264">
              <w:rPr>
                <w:lang w:val="en-GB"/>
              </w:rPr>
              <w:t>115,435</w:t>
            </w:r>
          </w:p>
        </w:tc>
        <w:tc>
          <w:tcPr>
            <w:tcW w:w="1304"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1429AC59" w14:textId="77777777" w:rsidR="0080564E" w:rsidRPr="00A33264" w:rsidRDefault="0080564E" w:rsidP="001C0A6D">
            <w:pPr>
              <w:spacing w:after="0"/>
              <w:jc w:val="right"/>
              <w:rPr>
                <w:lang w:val="en-GB"/>
              </w:rPr>
            </w:pPr>
            <w:r w:rsidRPr="00A33264">
              <w:rPr>
                <w:lang w:val="en-GB"/>
              </w:rPr>
              <w:t>403,596</w:t>
            </w:r>
          </w:p>
        </w:tc>
      </w:tr>
      <w:tr w:rsidR="0080564E" w:rsidRPr="00A33264" w14:paraId="49C27C27" w14:textId="77777777" w:rsidTr="00F23525">
        <w:trPr>
          <w:trHeight w:val="454"/>
        </w:trPr>
        <w:tc>
          <w:tcPr>
            <w:tcW w:w="2515" w:type="dxa"/>
            <w:tcBorders>
              <w:top w:val="single" w:sz="4" w:space="0" w:color="auto"/>
              <w:left w:val="single" w:sz="4" w:space="0" w:color="auto"/>
              <w:bottom w:val="single" w:sz="4" w:space="0" w:color="auto"/>
              <w:right w:val="single" w:sz="4" w:space="0" w:color="auto"/>
            </w:tcBorders>
            <w:vAlign w:val="center"/>
            <w:hideMark/>
          </w:tcPr>
          <w:p w14:paraId="3DFBA440" w14:textId="77777777" w:rsidR="0080564E" w:rsidRPr="00A33264" w:rsidRDefault="0080564E" w:rsidP="001C0A6D">
            <w:pPr>
              <w:spacing w:after="0"/>
              <w:rPr>
                <w:lang w:val="en-GB"/>
              </w:rPr>
            </w:pPr>
            <w:r w:rsidRPr="00A33264">
              <w:rPr>
                <w:lang w:val="en-GB"/>
              </w:rPr>
              <w:lastRenderedPageBreak/>
              <w:t>$420,001 to $445,000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9D90456" w14:textId="77777777" w:rsidR="0080564E" w:rsidRPr="00A33264" w:rsidRDefault="0080564E" w:rsidP="001C0A6D">
            <w:pPr>
              <w:spacing w:after="0"/>
              <w:jc w:val="right"/>
              <w:rPr>
                <w:lang w:val="en-GB"/>
              </w:rPr>
            </w:pPr>
            <w:r w:rsidRPr="00A33264">
              <w:rPr>
                <w:lang w:val="en-GB"/>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15885653" w14:textId="77777777" w:rsidR="0080564E" w:rsidRPr="00A33264" w:rsidRDefault="0080564E" w:rsidP="001C0A6D">
            <w:pPr>
              <w:spacing w:after="0"/>
              <w:jc w:val="right"/>
              <w:rPr>
                <w:lang w:val="en-GB"/>
              </w:rPr>
            </w:pPr>
            <w:r w:rsidRPr="00A33264">
              <w:rPr>
                <w:lang w:val="en-GB"/>
              </w:rPr>
              <w:t>139,346</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646407" w14:textId="34C83F90" w:rsidR="0080564E" w:rsidRPr="00A33264" w:rsidRDefault="0080564E" w:rsidP="001C0A6D">
            <w:pPr>
              <w:spacing w:after="0"/>
              <w:jc w:val="right"/>
              <w:rPr>
                <w:lang w:val="en-GB"/>
              </w:rPr>
            </w:pPr>
            <w:r w:rsidRPr="00A33264">
              <w:rPr>
                <w:lang w:val="en-GB"/>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85E2B05" w14:textId="77777777" w:rsidR="0080564E" w:rsidRPr="00A33264" w:rsidRDefault="0080564E" w:rsidP="001C0A6D">
            <w:pPr>
              <w:spacing w:after="0"/>
              <w:jc w:val="right"/>
              <w:rPr>
                <w:lang w:val="en-GB"/>
              </w:rPr>
            </w:pPr>
            <w:r w:rsidRPr="00A33264">
              <w:rPr>
                <w:lang w:val="en-GB"/>
              </w:rPr>
              <w:t>13,493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FA54DC8" w14:textId="77777777" w:rsidR="0080564E" w:rsidRPr="00A33264" w:rsidRDefault="0080564E" w:rsidP="001C0A6D">
            <w:pPr>
              <w:spacing w:after="0"/>
              <w:jc w:val="right"/>
              <w:rPr>
                <w:lang w:val="en-GB"/>
              </w:rPr>
            </w:pPr>
            <w:r w:rsidRPr="00A33264">
              <w:rPr>
                <w:lang w:val="en-GB"/>
              </w:rPr>
              <w:t>18,100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A5F23D" w14:textId="77777777" w:rsidR="0080564E" w:rsidRPr="00A33264" w:rsidRDefault="0080564E" w:rsidP="001C0A6D">
            <w:pPr>
              <w:spacing w:after="0"/>
              <w:jc w:val="right"/>
              <w:rPr>
                <w:lang w:val="en-GB"/>
              </w:rPr>
            </w:pPr>
            <w:r w:rsidRPr="00A33264">
              <w:rPr>
                <w:lang w:val="en-GB"/>
              </w:rPr>
              <w:t>3,379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04AB5F3" w14:textId="5BF59338" w:rsidR="0080564E" w:rsidRPr="00A33264" w:rsidRDefault="0080564E" w:rsidP="001C0A6D">
            <w:pPr>
              <w:spacing w:after="0"/>
              <w:jc w:val="right"/>
              <w:rPr>
                <w:lang w:val="en-GB"/>
              </w:rPr>
            </w:pPr>
            <w:r w:rsidRPr="00A33264">
              <w:rPr>
                <w:lang w:val="en-GB"/>
              </w:rPr>
              <w:t>0</w:t>
            </w:r>
          </w:p>
        </w:tc>
        <w:tc>
          <w:tcPr>
            <w:tcW w:w="1204" w:type="dxa"/>
            <w:tcBorders>
              <w:top w:val="single" w:sz="4" w:space="0" w:color="auto"/>
              <w:left w:val="single" w:sz="4" w:space="0" w:color="auto"/>
              <w:bottom w:val="single" w:sz="4" w:space="0" w:color="auto"/>
              <w:right w:val="single" w:sz="4" w:space="0" w:color="auto"/>
            </w:tcBorders>
            <w:vAlign w:val="center"/>
            <w:hideMark/>
          </w:tcPr>
          <w:p w14:paraId="1D32F010" w14:textId="473A1A81" w:rsidR="0080564E" w:rsidRPr="00A33264" w:rsidRDefault="0080564E" w:rsidP="001C0A6D">
            <w:pPr>
              <w:spacing w:after="0"/>
              <w:jc w:val="right"/>
              <w:rPr>
                <w:lang w:val="en-GB"/>
              </w:rPr>
            </w:pPr>
            <w:r w:rsidRPr="00A33264">
              <w:rPr>
                <w:lang w:val="en-GB"/>
              </w:rPr>
              <w:t>264,865</w:t>
            </w:r>
          </w:p>
        </w:tc>
        <w:tc>
          <w:tcPr>
            <w:tcW w:w="1304" w:type="dxa"/>
            <w:tcBorders>
              <w:top w:val="single" w:sz="4" w:space="0" w:color="auto"/>
              <w:left w:val="single" w:sz="4" w:space="0" w:color="auto"/>
              <w:bottom w:val="single" w:sz="4" w:space="0" w:color="auto"/>
              <w:right w:val="single" w:sz="4" w:space="0" w:color="auto"/>
            </w:tcBorders>
            <w:vAlign w:val="center"/>
            <w:hideMark/>
          </w:tcPr>
          <w:p w14:paraId="463065E9" w14:textId="77777777" w:rsidR="0080564E" w:rsidRPr="00A33264" w:rsidRDefault="0080564E" w:rsidP="001C0A6D">
            <w:pPr>
              <w:spacing w:after="0"/>
              <w:jc w:val="right"/>
              <w:rPr>
                <w:lang w:val="en-GB"/>
              </w:rPr>
            </w:pPr>
            <w:r w:rsidRPr="00A33264">
              <w:rPr>
                <w:lang w:val="en-GB"/>
              </w:rPr>
              <w:t>439,183</w:t>
            </w:r>
          </w:p>
        </w:tc>
      </w:tr>
      <w:tr w:rsidR="0080564E" w:rsidRPr="00A33264" w14:paraId="5EADDE38" w14:textId="77777777" w:rsidTr="00F23525">
        <w:trPr>
          <w:trHeight w:val="454"/>
        </w:trPr>
        <w:tc>
          <w:tcPr>
            <w:tcW w:w="2515"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4521BC35" w14:textId="77777777" w:rsidR="0080564E" w:rsidRPr="00A33264" w:rsidRDefault="0080564E" w:rsidP="001C0A6D">
            <w:pPr>
              <w:spacing w:after="0"/>
              <w:rPr>
                <w:lang w:val="en-GB"/>
              </w:rPr>
            </w:pPr>
            <w:r w:rsidRPr="00A33264">
              <w:rPr>
                <w:lang w:val="en-GB"/>
              </w:rPr>
              <w:t>$445,001 to $470,000</w:t>
            </w:r>
          </w:p>
        </w:tc>
        <w:tc>
          <w:tcPr>
            <w:tcW w:w="1418"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3A3E2781" w14:textId="73A834A1" w:rsidR="0080564E" w:rsidRPr="00A33264" w:rsidRDefault="0080564E" w:rsidP="001C0A6D">
            <w:pPr>
              <w:spacing w:after="0"/>
              <w:jc w:val="right"/>
              <w:rPr>
                <w:lang w:val="en-GB"/>
              </w:rPr>
            </w:pPr>
            <w:r w:rsidRPr="00A33264">
              <w:rPr>
                <w:lang w:val="en-GB"/>
              </w:rPr>
              <w:t>0</w:t>
            </w:r>
          </w:p>
        </w:tc>
        <w:tc>
          <w:tcPr>
            <w:tcW w:w="992"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7D7E4911" w14:textId="437CD030" w:rsidR="0080564E" w:rsidRPr="00A33264" w:rsidRDefault="0080564E" w:rsidP="001C0A6D">
            <w:pPr>
              <w:spacing w:after="0"/>
              <w:jc w:val="right"/>
              <w:rPr>
                <w:lang w:val="en-GB"/>
              </w:rPr>
            </w:pPr>
            <w:r w:rsidRPr="00A33264">
              <w:rPr>
                <w:lang w:val="en-GB"/>
              </w:rPr>
              <w:t>0</w:t>
            </w:r>
          </w:p>
        </w:tc>
        <w:tc>
          <w:tcPr>
            <w:tcW w:w="851"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70C5FCC5" w14:textId="3B4EFE76" w:rsidR="0080564E" w:rsidRPr="00A33264" w:rsidRDefault="0080564E" w:rsidP="001C0A6D">
            <w:pPr>
              <w:spacing w:after="0"/>
              <w:jc w:val="right"/>
              <w:rPr>
                <w:lang w:val="en-GB"/>
              </w:rPr>
            </w:pPr>
            <w:r w:rsidRPr="00A33264">
              <w:rPr>
                <w:lang w:val="en-GB"/>
              </w:rPr>
              <w:t>0</w:t>
            </w:r>
          </w:p>
        </w:tc>
        <w:tc>
          <w:tcPr>
            <w:tcW w:w="1275"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767F0B79" w14:textId="5F90C33B" w:rsidR="0080564E" w:rsidRPr="00A33264" w:rsidRDefault="0080564E" w:rsidP="001C0A6D">
            <w:pPr>
              <w:spacing w:after="0"/>
              <w:jc w:val="right"/>
              <w:rPr>
                <w:lang w:val="en-GB"/>
              </w:rPr>
            </w:pPr>
            <w:r w:rsidRPr="00A33264">
              <w:rPr>
                <w:lang w:val="en-GB"/>
              </w:rPr>
              <w:t>0</w:t>
            </w:r>
          </w:p>
        </w:tc>
        <w:tc>
          <w:tcPr>
            <w:tcW w:w="1418"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02E80F2E" w14:textId="105A518B" w:rsidR="0080564E" w:rsidRPr="00A33264" w:rsidRDefault="0080564E" w:rsidP="001C0A6D">
            <w:pPr>
              <w:spacing w:after="0"/>
              <w:jc w:val="right"/>
              <w:rPr>
                <w:lang w:val="en-GB"/>
              </w:rPr>
            </w:pPr>
            <w:r w:rsidRPr="00A33264">
              <w:rPr>
                <w:lang w:val="en-GB"/>
              </w:rPr>
              <w:t>0</w:t>
            </w:r>
          </w:p>
        </w:tc>
        <w:tc>
          <w:tcPr>
            <w:tcW w:w="1134"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1B9B12AF" w14:textId="66400DAF" w:rsidR="0080564E" w:rsidRPr="00A33264" w:rsidRDefault="0080564E" w:rsidP="001C0A6D">
            <w:pPr>
              <w:spacing w:after="0"/>
              <w:jc w:val="right"/>
              <w:rPr>
                <w:lang w:val="en-GB"/>
              </w:rPr>
            </w:pPr>
            <w:r w:rsidRPr="00A33264">
              <w:rPr>
                <w:lang w:val="en-GB"/>
              </w:rPr>
              <w:t>0</w:t>
            </w:r>
          </w:p>
        </w:tc>
        <w:tc>
          <w:tcPr>
            <w:tcW w:w="1417"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2728752E" w14:textId="0DF7A2A9" w:rsidR="0080564E" w:rsidRPr="00A33264" w:rsidRDefault="0080564E" w:rsidP="001C0A6D">
            <w:pPr>
              <w:spacing w:after="0"/>
              <w:jc w:val="right"/>
              <w:rPr>
                <w:lang w:val="en-GB"/>
              </w:rPr>
            </w:pPr>
            <w:r w:rsidRPr="00A33264">
              <w:rPr>
                <w:lang w:val="en-GB"/>
              </w:rPr>
              <w:t>0</w:t>
            </w:r>
          </w:p>
        </w:tc>
        <w:tc>
          <w:tcPr>
            <w:tcW w:w="1204"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562439A1" w14:textId="45ED510B" w:rsidR="0080564E" w:rsidRPr="00A33264" w:rsidRDefault="0080564E" w:rsidP="001C0A6D">
            <w:pPr>
              <w:spacing w:after="0"/>
              <w:jc w:val="right"/>
              <w:rPr>
                <w:lang w:val="en-GB"/>
              </w:rPr>
            </w:pPr>
            <w:r w:rsidRPr="00A33264">
              <w:rPr>
                <w:lang w:val="en-GB"/>
              </w:rPr>
              <w:t>0</w:t>
            </w:r>
          </w:p>
        </w:tc>
        <w:tc>
          <w:tcPr>
            <w:tcW w:w="1304"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46C3C01C" w14:textId="23440A35" w:rsidR="0080564E" w:rsidRPr="00A33264" w:rsidRDefault="0080564E" w:rsidP="001C0A6D">
            <w:pPr>
              <w:spacing w:after="0"/>
              <w:jc w:val="right"/>
              <w:rPr>
                <w:lang w:val="en-GB"/>
              </w:rPr>
            </w:pPr>
            <w:r w:rsidRPr="00A33264">
              <w:rPr>
                <w:lang w:val="en-GB"/>
              </w:rPr>
              <w:t>0</w:t>
            </w:r>
          </w:p>
        </w:tc>
      </w:tr>
      <w:tr w:rsidR="0080564E" w:rsidRPr="00A33264" w14:paraId="3489C561" w14:textId="77777777" w:rsidTr="00F23525">
        <w:trPr>
          <w:trHeight w:val="454"/>
        </w:trPr>
        <w:tc>
          <w:tcPr>
            <w:tcW w:w="2515" w:type="dxa"/>
            <w:tcBorders>
              <w:top w:val="single" w:sz="4" w:space="0" w:color="auto"/>
              <w:left w:val="single" w:sz="4" w:space="0" w:color="auto"/>
              <w:bottom w:val="single" w:sz="4" w:space="0" w:color="auto"/>
              <w:right w:val="single" w:sz="4" w:space="0" w:color="auto"/>
            </w:tcBorders>
            <w:vAlign w:val="center"/>
            <w:hideMark/>
          </w:tcPr>
          <w:p w14:paraId="4F32E156" w14:textId="77777777" w:rsidR="0080564E" w:rsidRPr="00A33264" w:rsidRDefault="0080564E" w:rsidP="001C0A6D">
            <w:pPr>
              <w:spacing w:after="0"/>
              <w:rPr>
                <w:lang w:val="en-GB"/>
              </w:rPr>
            </w:pPr>
            <w:r w:rsidRPr="00A33264">
              <w:rPr>
                <w:lang w:val="en-GB"/>
              </w:rPr>
              <w:t>$470,001 to $495,000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DFB75A8" w14:textId="65F06D08" w:rsidR="0080564E" w:rsidRPr="00A33264" w:rsidRDefault="0080564E" w:rsidP="001C0A6D">
            <w:pPr>
              <w:spacing w:after="0"/>
              <w:jc w:val="right"/>
              <w:rPr>
                <w:lang w:val="en-GB"/>
              </w:rPr>
            </w:pPr>
            <w:r w:rsidRPr="00A33264">
              <w:rPr>
                <w:lang w:val="en-GB"/>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2DDB0EE" w14:textId="659D3BC7" w:rsidR="0080564E" w:rsidRPr="00A33264" w:rsidRDefault="0080564E" w:rsidP="001C0A6D">
            <w:pPr>
              <w:spacing w:after="0"/>
              <w:jc w:val="right"/>
              <w:rPr>
                <w:lang w:val="en-GB"/>
              </w:rPr>
            </w:pPr>
            <w:r w:rsidRPr="00A33264">
              <w:rPr>
                <w:lang w:val="en-GB"/>
              </w:rPr>
              <w:t>0</w:t>
            </w:r>
          </w:p>
        </w:tc>
        <w:tc>
          <w:tcPr>
            <w:tcW w:w="851" w:type="dxa"/>
            <w:tcBorders>
              <w:top w:val="single" w:sz="4" w:space="0" w:color="auto"/>
              <w:left w:val="single" w:sz="4" w:space="0" w:color="auto"/>
              <w:bottom w:val="single" w:sz="4" w:space="0" w:color="auto"/>
              <w:right w:val="single" w:sz="4" w:space="0" w:color="auto"/>
            </w:tcBorders>
            <w:vAlign w:val="center"/>
            <w:hideMark/>
          </w:tcPr>
          <w:p w14:paraId="6DD980E3" w14:textId="32366C5A" w:rsidR="0080564E" w:rsidRPr="00A33264" w:rsidRDefault="0080564E" w:rsidP="001C0A6D">
            <w:pPr>
              <w:spacing w:after="0"/>
              <w:jc w:val="right"/>
              <w:rPr>
                <w:lang w:val="en-GB"/>
              </w:rPr>
            </w:pPr>
            <w:r w:rsidRPr="00A33264">
              <w:rPr>
                <w:lang w:val="en-GB"/>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3269EB" w14:textId="07D40724" w:rsidR="0080564E" w:rsidRPr="00A33264" w:rsidRDefault="0080564E" w:rsidP="001C0A6D">
            <w:pPr>
              <w:spacing w:after="0"/>
              <w:jc w:val="right"/>
              <w:rPr>
                <w:lang w:val="en-GB"/>
              </w:rPr>
            </w:pPr>
            <w:r w:rsidRPr="00A33264">
              <w:rPr>
                <w:lang w:val="en-GB"/>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516341D" w14:textId="05D8680F" w:rsidR="0080564E" w:rsidRPr="00A33264" w:rsidRDefault="0080564E" w:rsidP="001C0A6D">
            <w:pPr>
              <w:spacing w:after="0"/>
              <w:jc w:val="right"/>
              <w:rPr>
                <w:lang w:val="en-GB"/>
              </w:rPr>
            </w:pPr>
            <w:r w:rsidRPr="00A33264">
              <w:rPr>
                <w:lang w:val="en-GB"/>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DA0AE8" w14:textId="19D777CF" w:rsidR="0080564E" w:rsidRPr="00A33264" w:rsidRDefault="0080564E" w:rsidP="001C0A6D">
            <w:pPr>
              <w:spacing w:after="0"/>
              <w:jc w:val="right"/>
              <w:rPr>
                <w:lang w:val="en-GB"/>
              </w:rPr>
            </w:pPr>
            <w:r w:rsidRPr="00A33264">
              <w:rPr>
                <w:lang w:val="en-GB"/>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AE16655" w14:textId="1F263117" w:rsidR="0080564E" w:rsidRPr="00A33264" w:rsidRDefault="0080564E" w:rsidP="001C0A6D">
            <w:pPr>
              <w:spacing w:after="0"/>
              <w:jc w:val="right"/>
              <w:rPr>
                <w:lang w:val="en-GB"/>
              </w:rPr>
            </w:pPr>
            <w:r w:rsidRPr="00A33264">
              <w:rPr>
                <w:lang w:val="en-GB"/>
              </w:rPr>
              <w:t>0</w:t>
            </w:r>
          </w:p>
        </w:tc>
        <w:tc>
          <w:tcPr>
            <w:tcW w:w="1204" w:type="dxa"/>
            <w:tcBorders>
              <w:top w:val="single" w:sz="4" w:space="0" w:color="auto"/>
              <w:left w:val="single" w:sz="4" w:space="0" w:color="auto"/>
              <w:bottom w:val="single" w:sz="4" w:space="0" w:color="auto"/>
              <w:right w:val="single" w:sz="4" w:space="0" w:color="auto"/>
            </w:tcBorders>
            <w:vAlign w:val="center"/>
            <w:hideMark/>
          </w:tcPr>
          <w:p w14:paraId="641FB50D" w14:textId="0BC8A605" w:rsidR="0080564E" w:rsidRPr="00A33264" w:rsidRDefault="0080564E" w:rsidP="001C0A6D">
            <w:pPr>
              <w:spacing w:after="0"/>
              <w:jc w:val="right"/>
              <w:rPr>
                <w:lang w:val="en-GB"/>
              </w:rPr>
            </w:pPr>
            <w:r w:rsidRPr="00A33264">
              <w:rPr>
                <w:lang w:val="en-GB"/>
              </w:rPr>
              <w:t>0</w:t>
            </w:r>
          </w:p>
        </w:tc>
        <w:tc>
          <w:tcPr>
            <w:tcW w:w="1304" w:type="dxa"/>
            <w:tcBorders>
              <w:top w:val="single" w:sz="4" w:space="0" w:color="auto"/>
              <w:left w:val="single" w:sz="4" w:space="0" w:color="auto"/>
              <w:bottom w:val="single" w:sz="4" w:space="0" w:color="auto"/>
              <w:right w:val="single" w:sz="4" w:space="0" w:color="auto"/>
            </w:tcBorders>
            <w:vAlign w:val="center"/>
            <w:hideMark/>
          </w:tcPr>
          <w:p w14:paraId="2F719C66" w14:textId="2BE2E362" w:rsidR="0080564E" w:rsidRPr="00A33264" w:rsidRDefault="0080564E" w:rsidP="001C0A6D">
            <w:pPr>
              <w:spacing w:after="0"/>
              <w:jc w:val="right"/>
              <w:rPr>
                <w:lang w:val="en-GB"/>
              </w:rPr>
            </w:pPr>
            <w:r w:rsidRPr="00A33264">
              <w:rPr>
                <w:lang w:val="en-GB"/>
              </w:rPr>
              <w:t>0</w:t>
            </w:r>
          </w:p>
        </w:tc>
      </w:tr>
      <w:tr w:rsidR="0080564E" w:rsidRPr="00A33264" w14:paraId="0730FF15" w14:textId="77777777" w:rsidTr="00F23525">
        <w:trPr>
          <w:trHeight w:val="454"/>
        </w:trPr>
        <w:tc>
          <w:tcPr>
            <w:tcW w:w="2515"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2465E94A" w14:textId="77777777" w:rsidR="0080564E" w:rsidRPr="00A33264" w:rsidRDefault="0080564E" w:rsidP="001C0A6D">
            <w:pPr>
              <w:spacing w:after="0"/>
              <w:rPr>
                <w:lang w:val="en-GB"/>
              </w:rPr>
            </w:pPr>
            <w:r w:rsidRPr="00A33264">
              <w:rPr>
                <w:lang w:val="en-GB"/>
              </w:rPr>
              <w:t>$495,001 and above</w:t>
            </w:r>
          </w:p>
        </w:tc>
        <w:tc>
          <w:tcPr>
            <w:tcW w:w="1418"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74B3878F" w14:textId="77777777" w:rsidR="0080564E" w:rsidRPr="00A33264" w:rsidRDefault="0080564E" w:rsidP="001C0A6D">
            <w:pPr>
              <w:spacing w:after="0"/>
              <w:jc w:val="right"/>
              <w:rPr>
                <w:lang w:val="en-GB"/>
              </w:rPr>
            </w:pPr>
            <w:r w:rsidRPr="00A33264">
              <w:rPr>
                <w:lang w:val="en-GB"/>
              </w:rPr>
              <w:t>1</w:t>
            </w:r>
          </w:p>
        </w:tc>
        <w:tc>
          <w:tcPr>
            <w:tcW w:w="992"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26646453" w14:textId="77777777" w:rsidR="0080564E" w:rsidRPr="00A33264" w:rsidRDefault="0080564E" w:rsidP="001C0A6D">
            <w:pPr>
              <w:spacing w:after="0"/>
              <w:jc w:val="right"/>
              <w:rPr>
                <w:lang w:val="en-GB"/>
              </w:rPr>
            </w:pPr>
            <w:r w:rsidRPr="00A33264">
              <w:rPr>
                <w:lang w:val="en-GB"/>
              </w:rPr>
              <w:t>234,453</w:t>
            </w:r>
          </w:p>
        </w:tc>
        <w:tc>
          <w:tcPr>
            <w:tcW w:w="851"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746982DD" w14:textId="3A39FC8C" w:rsidR="0080564E" w:rsidRPr="00A33264" w:rsidRDefault="0080564E" w:rsidP="001C0A6D">
            <w:pPr>
              <w:spacing w:after="0"/>
              <w:jc w:val="right"/>
              <w:rPr>
                <w:lang w:val="en-GB"/>
              </w:rPr>
            </w:pPr>
            <w:r w:rsidRPr="00A33264">
              <w:rPr>
                <w:lang w:val="en-GB"/>
              </w:rPr>
              <w:t>0</w:t>
            </w:r>
          </w:p>
        </w:tc>
        <w:tc>
          <w:tcPr>
            <w:tcW w:w="1275"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0ECE59C4" w14:textId="77777777" w:rsidR="0080564E" w:rsidRPr="00A33264" w:rsidRDefault="0080564E" w:rsidP="001C0A6D">
            <w:pPr>
              <w:spacing w:after="0"/>
              <w:jc w:val="right"/>
              <w:rPr>
                <w:lang w:val="en-GB"/>
              </w:rPr>
            </w:pPr>
            <w:r w:rsidRPr="00A33264">
              <w:rPr>
                <w:lang w:val="en-GB"/>
              </w:rPr>
              <w:t>0</w:t>
            </w:r>
          </w:p>
        </w:tc>
        <w:tc>
          <w:tcPr>
            <w:tcW w:w="1418"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1D5662E3" w14:textId="77777777" w:rsidR="0080564E" w:rsidRPr="00A33264" w:rsidRDefault="0080564E" w:rsidP="001C0A6D">
            <w:pPr>
              <w:spacing w:after="0"/>
              <w:jc w:val="right"/>
              <w:rPr>
                <w:lang w:val="en-GB"/>
              </w:rPr>
            </w:pPr>
            <w:r w:rsidRPr="00A33264">
              <w:rPr>
                <w:lang w:val="en-GB"/>
              </w:rPr>
              <w:t>39,935</w:t>
            </w:r>
          </w:p>
        </w:tc>
        <w:tc>
          <w:tcPr>
            <w:tcW w:w="1134"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161C582A" w14:textId="77777777" w:rsidR="0080564E" w:rsidRPr="00A33264" w:rsidRDefault="0080564E" w:rsidP="001C0A6D">
            <w:pPr>
              <w:spacing w:after="0"/>
              <w:jc w:val="right"/>
              <w:rPr>
                <w:lang w:val="en-GB"/>
              </w:rPr>
            </w:pPr>
            <w:r w:rsidRPr="00A33264">
              <w:rPr>
                <w:lang w:val="en-GB"/>
              </w:rPr>
              <w:t>5,667</w:t>
            </w:r>
          </w:p>
        </w:tc>
        <w:tc>
          <w:tcPr>
            <w:tcW w:w="1417"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586EF17D" w14:textId="5D9A4772" w:rsidR="0080564E" w:rsidRPr="00A33264" w:rsidRDefault="0080564E" w:rsidP="001C0A6D">
            <w:pPr>
              <w:spacing w:after="0"/>
              <w:jc w:val="right"/>
              <w:rPr>
                <w:lang w:val="en-GB"/>
              </w:rPr>
            </w:pPr>
            <w:r w:rsidRPr="00A33264">
              <w:rPr>
                <w:lang w:val="en-GB"/>
              </w:rPr>
              <w:t>0</w:t>
            </w:r>
          </w:p>
        </w:tc>
        <w:tc>
          <w:tcPr>
            <w:tcW w:w="1204"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33332506" w14:textId="77777777" w:rsidR="0080564E" w:rsidRPr="00A33264" w:rsidRDefault="0080564E" w:rsidP="001C0A6D">
            <w:pPr>
              <w:spacing w:after="0"/>
              <w:jc w:val="right"/>
              <w:rPr>
                <w:lang w:val="en-GB"/>
              </w:rPr>
            </w:pPr>
            <w:r w:rsidRPr="00A33264">
              <w:rPr>
                <w:lang w:val="en-GB"/>
              </w:rPr>
              <w:t>261,782</w:t>
            </w:r>
          </w:p>
        </w:tc>
        <w:tc>
          <w:tcPr>
            <w:tcW w:w="1304"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4C201E23" w14:textId="0DCAAB17" w:rsidR="0080564E" w:rsidRPr="00A33264" w:rsidRDefault="0080564E" w:rsidP="001C0A6D">
            <w:pPr>
              <w:spacing w:after="0"/>
              <w:jc w:val="right"/>
              <w:rPr>
                <w:lang w:val="en-GB"/>
              </w:rPr>
            </w:pPr>
            <w:r w:rsidRPr="00A33264">
              <w:rPr>
                <w:lang w:val="en-GB"/>
              </w:rPr>
              <w:t>541,83</w:t>
            </w:r>
            <w:r w:rsidR="009023D0">
              <w:rPr>
                <w:lang w:val="en-GB"/>
              </w:rPr>
              <w:t>7</w:t>
            </w:r>
          </w:p>
        </w:tc>
      </w:tr>
    </w:tbl>
    <w:p w14:paraId="6B8751B9" w14:textId="67614F85" w:rsidR="00255A26" w:rsidRPr="00A33264" w:rsidRDefault="00255A26" w:rsidP="00255A26">
      <w:pPr>
        <w:pStyle w:val="Heading4"/>
        <w:rPr>
          <w:lang w:val="en-GB"/>
        </w:rPr>
      </w:pPr>
      <w:bookmarkStart w:id="376" w:name="_Toc169593000"/>
      <w:r w:rsidRPr="00A33264">
        <w:rPr>
          <w:lang w:val="en-GB"/>
        </w:rPr>
        <w:t>Other highly paid staff</w:t>
      </w:r>
      <w:bookmarkEnd w:id="376"/>
    </w:p>
    <w:p w14:paraId="4A93396B" w14:textId="77777777" w:rsidR="001651D3" w:rsidRPr="00A33264" w:rsidRDefault="001651D3" w:rsidP="001651D3">
      <w:pPr>
        <w:rPr>
          <w:lang w:val="en-GB"/>
        </w:rPr>
      </w:pPr>
      <w:r w:rsidRPr="00A33264">
        <w:rPr>
          <w:lang w:val="en-GB"/>
        </w:rPr>
        <w:t>Other highly paid staff are officials, including contractors and consultants prescribed as officials:</w:t>
      </w:r>
    </w:p>
    <w:p w14:paraId="0D0EA5CD" w14:textId="77777777" w:rsidR="001651D3" w:rsidRPr="00A33264" w:rsidRDefault="001651D3" w:rsidP="001651D3">
      <w:pPr>
        <w:pStyle w:val="Bullet1"/>
        <w:rPr>
          <w:lang w:val="en-GB"/>
        </w:rPr>
      </w:pPr>
      <w:r w:rsidRPr="00A33264">
        <w:rPr>
          <w:lang w:val="en-GB"/>
        </w:rPr>
        <w:t>who are neither key management personnel nor senior executives</w:t>
      </w:r>
    </w:p>
    <w:p w14:paraId="05FB5A7B" w14:textId="77777777" w:rsidR="001651D3" w:rsidRPr="00A33264" w:rsidRDefault="001651D3" w:rsidP="001651D3">
      <w:pPr>
        <w:pStyle w:val="Bullet1"/>
        <w:rPr>
          <w:lang w:val="en-GB"/>
        </w:rPr>
      </w:pPr>
      <w:r w:rsidRPr="00A33264">
        <w:rPr>
          <w:lang w:val="en-GB"/>
        </w:rPr>
        <w:t>whose total remuneration exceeds $250,000.</w:t>
      </w:r>
    </w:p>
    <w:p w14:paraId="14D07BD6" w14:textId="1D2B7B30" w:rsidR="006418CC" w:rsidRDefault="001651D3" w:rsidP="006418CC">
      <w:pPr>
        <w:rPr>
          <w:u w:val="single"/>
          <w:lang w:val="en-GB"/>
        </w:rPr>
      </w:pPr>
      <w:r w:rsidRPr="00A33264">
        <w:rPr>
          <w:lang w:val="en-GB"/>
        </w:rPr>
        <w:t xml:space="preserve">The average remuneration received or due to be received for each of the NDIA’s other highly paid staff for the year ended 30 June 2024 is shown in </w:t>
      </w:r>
      <w:r w:rsidR="00591C73">
        <w:rPr>
          <w:lang w:val="en-GB"/>
        </w:rPr>
        <w:t>T</w:t>
      </w:r>
      <w:r w:rsidRPr="00A33264">
        <w:rPr>
          <w:lang w:val="en-GB"/>
        </w:rPr>
        <w:t xml:space="preserve">able </w:t>
      </w:r>
      <w:r w:rsidR="00A27A9C">
        <w:rPr>
          <w:lang w:val="en-GB"/>
        </w:rPr>
        <w:t>13</w:t>
      </w:r>
      <w:r w:rsidRPr="00A33264">
        <w:rPr>
          <w:lang w:val="en-GB"/>
        </w:rPr>
        <w:t>.</w:t>
      </w:r>
      <w:r w:rsidR="006418CC">
        <w:rPr>
          <w:u w:val="single"/>
          <w:lang w:val="en-GB"/>
        </w:rPr>
        <w:br w:type="page"/>
      </w:r>
    </w:p>
    <w:p w14:paraId="25120163" w14:textId="64686AA7" w:rsidR="00255A26" w:rsidRPr="00A33264" w:rsidRDefault="002E3180" w:rsidP="00255A26">
      <w:pPr>
        <w:rPr>
          <w:u w:val="single"/>
          <w:lang w:val="en-GB"/>
        </w:rPr>
      </w:pPr>
      <w:r w:rsidRPr="00A33264">
        <w:rPr>
          <w:u w:val="single"/>
          <w:lang w:val="en-GB"/>
        </w:rPr>
        <w:lastRenderedPageBreak/>
        <w:t xml:space="preserve">Table </w:t>
      </w:r>
      <w:r w:rsidR="00A27A9C">
        <w:rPr>
          <w:u w:val="single"/>
          <w:lang w:val="en-GB"/>
        </w:rPr>
        <w:t>13</w:t>
      </w:r>
      <w:r w:rsidRPr="00A33264">
        <w:rPr>
          <w:u w:val="single"/>
          <w:lang w:val="en-GB"/>
        </w:rPr>
        <w:t>: Information about remuneration for other highly paid staff</w:t>
      </w:r>
    </w:p>
    <w:tbl>
      <w:tblPr>
        <w:tblW w:w="13543" w:type="dxa"/>
        <w:tblInd w:w="13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530"/>
        <w:gridCol w:w="851"/>
        <w:gridCol w:w="840"/>
        <w:gridCol w:w="993"/>
        <w:gridCol w:w="1416"/>
        <w:gridCol w:w="1735"/>
        <w:gridCol w:w="1275"/>
        <w:gridCol w:w="1240"/>
        <w:gridCol w:w="1416"/>
        <w:gridCol w:w="1247"/>
      </w:tblGrid>
      <w:tr w:rsidR="00DE2ADF" w:rsidRPr="00A33264" w14:paraId="22D33F47" w14:textId="77777777" w:rsidTr="00F23525">
        <w:trPr>
          <w:cantSplit/>
          <w:trHeight w:val="2684"/>
          <w:tblHeader/>
        </w:trPr>
        <w:tc>
          <w:tcPr>
            <w:tcW w:w="2530" w:type="dxa"/>
            <w:tcBorders>
              <w:top w:val="single" w:sz="4" w:space="0" w:color="auto"/>
              <w:left w:val="single" w:sz="4" w:space="0" w:color="auto"/>
              <w:bottom w:val="single" w:sz="4" w:space="0" w:color="auto"/>
              <w:right w:val="single" w:sz="4" w:space="0" w:color="F9F9F9" w:themeColor="background1"/>
            </w:tcBorders>
            <w:shd w:val="clear" w:color="auto" w:fill="6B2876" w:themeFill="text1"/>
            <w:textDirection w:val="btLr"/>
            <w:vAlign w:val="center"/>
            <w:hideMark/>
          </w:tcPr>
          <w:p w14:paraId="2132DE79" w14:textId="77777777" w:rsidR="002E3180" w:rsidRPr="00A33264" w:rsidRDefault="002E3180" w:rsidP="001C0A6D">
            <w:pPr>
              <w:spacing w:after="0"/>
              <w:ind w:left="113" w:right="113"/>
              <w:rPr>
                <w:b/>
                <w:color w:val="F9F9F9" w:themeColor="background1"/>
                <w:lang w:val="en-GB"/>
              </w:rPr>
            </w:pPr>
            <w:bookmarkStart w:id="377" w:name="ColumnTitle_Table13"/>
            <w:bookmarkEnd w:id="377"/>
            <w:r w:rsidRPr="00A33264">
              <w:rPr>
                <w:b/>
                <w:color w:val="F9F9F9" w:themeColor="background1"/>
                <w:lang w:val="en-GB"/>
              </w:rPr>
              <w:t>Total remuneration bands</w:t>
            </w:r>
          </w:p>
        </w:tc>
        <w:tc>
          <w:tcPr>
            <w:tcW w:w="851" w:type="dxa"/>
            <w:tcBorders>
              <w:top w:val="single" w:sz="4" w:space="0" w:color="auto"/>
              <w:left w:val="single" w:sz="4" w:space="0" w:color="F9F9F9" w:themeColor="background1"/>
              <w:bottom w:val="single" w:sz="4" w:space="0" w:color="auto"/>
              <w:right w:val="single" w:sz="4" w:space="0" w:color="F9F9F9" w:themeColor="background1"/>
            </w:tcBorders>
            <w:shd w:val="clear" w:color="auto" w:fill="6B2876" w:themeFill="text1"/>
            <w:textDirection w:val="btLr"/>
            <w:vAlign w:val="center"/>
            <w:hideMark/>
          </w:tcPr>
          <w:p w14:paraId="378D816E" w14:textId="77777777" w:rsidR="002E3180" w:rsidRPr="00A33264" w:rsidRDefault="002E3180" w:rsidP="001C0A6D">
            <w:pPr>
              <w:spacing w:after="0"/>
              <w:ind w:left="113" w:right="113"/>
              <w:rPr>
                <w:b/>
                <w:color w:val="F9F9F9" w:themeColor="background1"/>
                <w:lang w:val="en-GB"/>
              </w:rPr>
            </w:pPr>
            <w:r w:rsidRPr="00A33264">
              <w:rPr>
                <w:b/>
                <w:color w:val="F9F9F9" w:themeColor="background1"/>
                <w:lang w:val="en-GB"/>
              </w:rPr>
              <w:t>Number of other highly paid staff</w:t>
            </w:r>
          </w:p>
        </w:tc>
        <w:tc>
          <w:tcPr>
            <w:tcW w:w="840" w:type="dxa"/>
            <w:tcBorders>
              <w:top w:val="single" w:sz="4" w:space="0" w:color="auto"/>
              <w:left w:val="single" w:sz="4" w:space="0" w:color="F9F9F9" w:themeColor="background1"/>
              <w:bottom w:val="single" w:sz="4" w:space="0" w:color="auto"/>
              <w:right w:val="single" w:sz="4" w:space="0" w:color="F9F9F9" w:themeColor="background1"/>
            </w:tcBorders>
            <w:shd w:val="clear" w:color="auto" w:fill="6B2876" w:themeFill="text1"/>
            <w:textDirection w:val="btLr"/>
            <w:vAlign w:val="center"/>
            <w:hideMark/>
          </w:tcPr>
          <w:p w14:paraId="4AAB18A6" w14:textId="77777777" w:rsidR="002E3180" w:rsidRPr="00A33264" w:rsidRDefault="002E3180" w:rsidP="001C0A6D">
            <w:pPr>
              <w:spacing w:after="0"/>
              <w:ind w:left="113" w:right="113"/>
              <w:rPr>
                <w:b/>
                <w:color w:val="F9F9F9" w:themeColor="background1"/>
                <w:lang w:val="en-GB"/>
              </w:rPr>
            </w:pPr>
            <w:r w:rsidRPr="00A33264">
              <w:rPr>
                <w:b/>
                <w:color w:val="F9F9F9" w:themeColor="background1"/>
                <w:lang w:val="en-GB"/>
              </w:rPr>
              <w:t>Short-term benefits Average base salary</w:t>
            </w:r>
          </w:p>
        </w:tc>
        <w:tc>
          <w:tcPr>
            <w:tcW w:w="993" w:type="dxa"/>
            <w:tcBorders>
              <w:top w:val="single" w:sz="4" w:space="0" w:color="auto"/>
              <w:left w:val="single" w:sz="4" w:space="0" w:color="F9F9F9" w:themeColor="background1"/>
              <w:bottom w:val="single" w:sz="4" w:space="0" w:color="auto"/>
              <w:right w:val="single" w:sz="4" w:space="0" w:color="F9F9F9" w:themeColor="background1"/>
            </w:tcBorders>
            <w:shd w:val="clear" w:color="auto" w:fill="6B2876" w:themeFill="text1"/>
            <w:textDirection w:val="btLr"/>
            <w:vAlign w:val="center"/>
            <w:hideMark/>
          </w:tcPr>
          <w:p w14:paraId="20DD8148" w14:textId="77777777" w:rsidR="002E3180" w:rsidRPr="00A33264" w:rsidRDefault="002E3180" w:rsidP="001C0A6D">
            <w:pPr>
              <w:spacing w:after="0"/>
              <w:ind w:left="113" w:right="113"/>
              <w:rPr>
                <w:b/>
                <w:color w:val="F9F9F9" w:themeColor="background1"/>
                <w:lang w:val="en-GB"/>
              </w:rPr>
            </w:pPr>
            <w:r w:rsidRPr="00A33264">
              <w:rPr>
                <w:b/>
                <w:color w:val="F9F9F9" w:themeColor="background1"/>
                <w:lang w:val="en-GB"/>
              </w:rPr>
              <w:t>Short-term benefits Average bonuses</w:t>
            </w:r>
          </w:p>
        </w:tc>
        <w:tc>
          <w:tcPr>
            <w:tcW w:w="1416" w:type="dxa"/>
            <w:tcBorders>
              <w:top w:val="single" w:sz="4" w:space="0" w:color="auto"/>
              <w:left w:val="single" w:sz="4" w:space="0" w:color="F9F9F9" w:themeColor="background1"/>
              <w:bottom w:val="single" w:sz="4" w:space="0" w:color="auto"/>
              <w:right w:val="single" w:sz="4" w:space="0" w:color="F9F9F9" w:themeColor="background1"/>
            </w:tcBorders>
            <w:shd w:val="clear" w:color="auto" w:fill="6B2876" w:themeFill="text1"/>
            <w:textDirection w:val="btLr"/>
            <w:vAlign w:val="center"/>
            <w:hideMark/>
          </w:tcPr>
          <w:p w14:paraId="6CB56CFD" w14:textId="77777777" w:rsidR="002E3180" w:rsidRPr="00A33264" w:rsidRDefault="002E3180" w:rsidP="001C0A6D">
            <w:pPr>
              <w:spacing w:after="0"/>
              <w:ind w:left="113" w:right="113"/>
              <w:rPr>
                <w:b/>
                <w:color w:val="F9F9F9" w:themeColor="background1"/>
                <w:lang w:val="en-GB"/>
              </w:rPr>
            </w:pPr>
            <w:r w:rsidRPr="00A33264">
              <w:rPr>
                <w:b/>
                <w:color w:val="F9F9F9" w:themeColor="background1"/>
                <w:lang w:val="en-GB"/>
              </w:rPr>
              <w:t>Short-term benefits Average other benefits and allowances</w:t>
            </w:r>
          </w:p>
        </w:tc>
        <w:tc>
          <w:tcPr>
            <w:tcW w:w="1735" w:type="dxa"/>
            <w:tcBorders>
              <w:top w:val="single" w:sz="4" w:space="0" w:color="auto"/>
              <w:left w:val="single" w:sz="4" w:space="0" w:color="F9F9F9" w:themeColor="background1"/>
              <w:bottom w:val="single" w:sz="4" w:space="0" w:color="auto"/>
              <w:right w:val="single" w:sz="4" w:space="0" w:color="F9F9F9" w:themeColor="background1"/>
            </w:tcBorders>
            <w:shd w:val="clear" w:color="auto" w:fill="6B2876" w:themeFill="text1"/>
            <w:textDirection w:val="btLr"/>
            <w:vAlign w:val="center"/>
            <w:hideMark/>
          </w:tcPr>
          <w:p w14:paraId="0FE85F89" w14:textId="77777777" w:rsidR="00EB29F1" w:rsidRDefault="002E3180" w:rsidP="001C0A6D">
            <w:pPr>
              <w:spacing w:after="0"/>
              <w:ind w:left="113" w:right="113"/>
              <w:rPr>
                <w:b/>
                <w:color w:val="F9F9F9" w:themeColor="background1"/>
                <w:lang w:val="en-GB"/>
              </w:rPr>
            </w:pPr>
            <w:r w:rsidRPr="00A33264">
              <w:rPr>
                <w:b/>
                <w:color w:val="F9F9F9" w:themeColor="background1"/>
                <w:lang w:val="en-GB"/>
              </w:rPr>
              <w:t xml:space="preserve">Post-employment benefits </w:t>
            </w:r>
          </w:p>
          <w:p w14:paraId="07230AD8" w14:textId="40517453" w:rsidR="002E3180" w:rsidRPr="00A33264" w:rsidRDefault="002E3180" w:rsidP="001C0A6D">
            <w:pPr>
              <w:spacing w:after="0"/>
              <w:ind w:left="113" w:right="113"/>
              <w:rPr>
                <w:b/>
                <w:color w:val="F9F9F9" w:themeColor="background1"/>
                <w:lang w:val="en-GB"/>
              </w:rPr>
            </w:pPr>
            <w:r w:rsidRPr="00A33264">
              <w:rPr>
                <w:b/>
                <w:color w:val="F9F9F9" w:themeColor="background1"/>
                <w:lang w:val="en-GB"/>
              </w:rPr>
              <w:t>Average superannuation contributions</w:t>
            </w:r>
          </w:p>
        </w:tc>
        <w:tc>
          <w:tcPr>
            <w:tcW w:w="1275" w:type="dxa"/>
            <w:tcBorders>
              <w:top w:val="single" w:sz="4" w:space="0" w:color="auto"/>
              <w:left w:val="single" w:sz="4" w:space="0" w:color="F9F9F9" w:themeColor="background1"/>
              <w:bottom w:val="single" w:sz="4" w:space="0" w:color="auto"/>
              <w:right w:val="single" w:sz="4" w:space="0" w:color="F9F9F9" w:themeColor="background1"/>
            </w:tcBorders>
            <w:shd w:val="clear" w:color="auto" w:fill="6B2876" w:themeFill="text1"/>
            <w:textDirection w:val="btLr"/>
            <w:vAlign w:val="center"/>
            <w:hideMark/>
          </w:tcPr>
          <w:p w14:paraId="12DEF7D6" w14:textId="77777777" w:rsidR="006B04F5" w:rsidRDefault="002E3180" w:rsidP="001C0A6D">
            <w:pPr>
              <w:spacing w:after="0"/>
              <w:ind w:left="113" w:right="113"/>
              <w:rPr>
                <w:b/>
                <w:color w:val="F9F9F9" w:themeColor="background1"/>
                <w:lang w:val="en-GB"/>
              </w:rPr>
            </w:pPr>
            <w:r w:rsidRPr="00A33264">
              <w:rPr>
                <w:b/>
                <w:color w:val="F9F9F9" w:themeColor="background1"/>
                <w:lang w:val="en-GB"/>
              </w:rPr>
              <w:t xml:space="preserve">Other long-term benefits </w:t>
            </w:r>
          </w:p>
          <w:p w14:paraId="6663A75B" w14:textId="5110F6F5" w:rsidR="002E3180" w:rsidRPr="00A33264" w:rsidRDefault="002E3180" w:rsidP="001C0A6D">
            <w:pPr>
              <w:spacing w:after="0"/>
              <w:ind w:left="113" w:right="113"/>
              <w:rPr>
                <w:b/>
                <w:color w:val="F9F9F9" w:themeColor="background1"/>
                <w:lang w:val="en-GB"/>
              </w:rPr>
            </w:pPr>
            <w:r w:rsidRPr="00A33264">
              <w:rPr>
                <w:b/>
                <w:color w:val="F9F9F9" w:themeColor="background1"/>
                <w:lang w:val="en-GB"/>
              </w:rPr>
              <w:t>Average long service leave</w:t>
            </w:r>
          </w:p>
        </w:tc>
        <w:tc>
          <w:tcPr>
            <w:tcW w:w="1240" w:type="dxa"/>
            <w:tcBorders>
              <w:top w:val="single" w:sz="4" w:space="0" w:color="auto"/>
              <w:left w:val="single" w:sz="4" w:space="0" w:color="F9F9F9" w:themeColor="background1"/>
              <w:bottom w:val="single" w:sz="4" w:space="0" w:color="auto"/>
              <w:right w:val="single" w:sz="4" w:space="0" w:color="F9F9F9" w:themeColor="background1"/>
            </w:tcBorders>
            <w:shd w:val="clear" w:color="auto" w:fill="6B2876" w:themeFill="text1"/>
            <w:textDirection w:val="btLr"/>
            <w:vAlign w:val="center"/>
            <w:hideMark/>
          </w:tcPr>
          <w:p w14:paraId="18183251" w14:textId="519E4DB9" w:rsidR="002E3180" w:rsidRPr="00A33264" w:rsidRDefault="002E3180" w:rsidP="001C0A6D">
            <w:pPr>
              <w:spacing w:after="0"/>
              <w:ind w:left="113" w:right="113"/>
              <w:rPr>
                <w:b/>
                <w:color w:val="F9F9F9" w:themeColor="background1"/>
                <w:lang w:val="en-GB"/>
              </w:rPr>
            </w:pPr>
            <w:r w:rsidRPr="00A33264">
              <w:rPr>
                <w:b/>
                <w:color w:val="F9F9F9" w:themeColor="background1"/>
                <w:lang w:val="en-GB"/>
              </w:rPr>
              <w:t xml:space="preserve">Average other long </w:t>
            </w:r>
            <w:r w:rsidR="005A6000" w:rsidRPr="00A33264">
              <w:rPr>
                <w:b/>
                <w:color w:val="F9F9F9" w:themeColor="background1"/>
                <w:lang w:val="en-GB"/>
              </w:rPr>
              <w:t>term benefits</w:t>
            </w:r>
          </w:p>
        </w:tc>
        <w:tc>
          <w:tcPr>
            <w:tcW w:w="1416" w:type="dxa"/>
            <w:tcBorders>
              <w:top w:val="single" w:sz="4" w:space="0" w:color="auto"/>
              <w:left w:val="single" w:sz="4" w:space="0" w:color="F9F9F9" w:themeColor="background1"/>
              <w:bottom w:val="single" w:sz="4" w:space="0" w:color="auto"/>
              <w:right w:val="single" w:sz="4" w:space="0" w:color="F9F9F9" w:themeColor="background1"/>
            </w:tcBorders>
            <w:shd w:val="clear" w:color="auto" w:fill="6B2876" w:themeFill="text1"/>
            <w:textDirection w:val="btLr"/>
            <w:vAlign w:val="center"/>
            <w:hideMark/>
          </w:tcPr>
          <w:p w14:paraId="734F023F" w14:textId="77777777" w:rsidR="002E3180" w:rsidRPr="00A33264" w:rsidRDefault="002E3180" w:rsidP="001C0A6D">
            <w:pPr>
              <w:spacing w:after="0"/>
              <w:ind w:left="113" w:right="113"/>
              <w:rPr>
                <w:b/>
                <w:color w:val="F9F9F9" w:themeColor="background1"/>
                <w:lang w:val="en-GB"/>
              </w:rPr>
            </w:pPr>
            <w:r w:rsidRPr="00A33264">
              <w:rPr>
                <w:b/>
                <w:color w:val="F9F9F9" w:themeColor="background1"/>
                <w:lang w:val="en-GB"/>
              </w:rPr>
              <w:t>Termination benefits Average termination   benefits</w:t>
            </w:r>
          </w:p>
        </w:tc>
        <w:tc>
          <w:tcPr>
            <w:tcW w:w="1247" w:type="dxa"/>
            <w:tcBorders>
              <w:top w:val="single" w:sz="4" w:space="0" w:color="auto"/>
              <w:left w:val="single" w:sz="4" w:space="0" w:color="F9F9F9" w:themeColor="background1"/>
              <w:bottom w:val="single" w:sz="4" w:space="0" w:color="auto"/>
              <w:right w:val="single" w:sz="4" w:space="0" w:color="auto"/>
            </w:tcBorders>
            <w:shd w:val="clear" w:color="auto" w:fill="6B2876" w:themeFill="text1"/>
            <w:textDirection w:val="btLr"/>
            <w:vAlign w:val="center"/>
            <w:hideMark/>
          </w:tcPr>
          <w:p w14:paraId="39162D43" w14:textId="77777777" w:rsidR="002E3180" w:rsidRPr="00A33264" w:rsidRDefault="002E3180" w:rsidP="001C0A6D">
            <w:pPr>
              <w:spacing w:after="0"/>
              <w:ind w:left="113" w:right="113"/>
              <w:rPr>
                <w:b/>
                <w:color w:val="F9F9F9" w:themeColor="background1"/>
                <w:lang w:val="en-GB"/>
              </w:rPr>
            </w:pPr>
            <w:r w:rsidRPr="00A33264">
              <w:rPr>
                <w:b/>
                <w:color w:val="F9F9F9" w:themeColor="background1"/>
                <w:lang w:val="en-GB"/>
              </w:rPr>
              <w:t>Average total remuneration</w:t>
            </w:r>
          </w:p>
        </w:tc>
      </w:tr>
      <w:tr w:rsidR="002E3180" w:rsidRPr="00A33264" w14:paraId="0306DA0B" w14:textId="77777777" w:rsidTr="00F23525">
        <w:trPr>
          <w:trHeight w:val="454"/>
        </w:trPr>
        <w:tc>
          <w:tcPr>
            <w:tcW w:w="2530"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1D2F5BC4" w14:textId="77777777" w:rsidR="002E3180" w:rsidRPr="00A33264" w:rsidRDefault="002E3180" w:rsidP="001C0A6D">
            <w:pPr>
              <w:spacing w:after="0"/>
              <w:rPr>
                <w:lang w:val="en-GB"/>
              </w:rPr>
            </w:pPr>
            <w:r w:rsidRPr="00A33264">
              <w:rPr>
                <w:lang w:val="en-GB"/>
              </w:rPr>
              <w:t xml:space="preserve"> $250,000 to $270,000 </w:t>
            </w:r>
          </w:p>
        </w:tc>
        <w:tc>
          <w:tcPr>
            <w:tcW w:w="851"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3CE020EE" w14:textId="77777777" w:rsidR="002E3180" w:rsidRPr="00A33264" w:rsidRDefault="002E3180" w:rsidP="001C0A6D">
            <w:pPr>
              <w:spacing w:after="0"/>
              <w:jc w:val="right"/>
              <w:rPr>
                <w:lang w:val="en-GB"/>
              </w:rPr>
            </w:pPr>
            <w:r w:rsidRPr="00A33264">
              <w:rPr>
                <w:lang w:val="en-GB"/>
              </w:rPr>
              <w:t>0</w:t>
            </w:r>
          </w:p>
        </w:tc>
        <w:tc>
          <w:tcPr>
            <w:tcW w:w="840"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7D5C232C" w14:textId="77777777" w:rsidR="002E3180" w:rsidRPr="00A33264" w:rsidRDefault="002E3180" w:rsidP="001C0A6D">
            <w:pPr>
              <w:spacing w:after="0"/>
              <w:jc w:val="right"/>
              <w:rPr>
                <w:lang w:val="en-GB"/>
              </w:rPr>
            </w:pPr>
            <w:r w:rsidRPr="00A33264">
              <w:rPr>
                <w:lang w:val="en-GB"/>
              </w:rPr>
              <w:t>0</w:t>
            </w:r>
          </w:p>
        </w:tc>
        <w:tc>
          <w:tcPr>
            <w:tcW w:w="993"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52BE5195" w14:textId="77777777" w:rsidR="002E3180" w:rsidRPr="00A33264" w:rsidRDefault="002E3180" w:rsidP="001C0A6D">
            <w:pPr>
              <w:spacing w:after="0"/>
              <w:jc w:val="right"/>
              <w:rPr>
                <w:lang w:val="en-GB"/>
              </w:rPr>
            </w:pPr>
            <w:r w:rsidRPr="00A33264">
              <w:rPr>
                <w:lang w:val="en-GB"/>
              </w:rPr>
              <w:t>0</w:t>
            </w:r>
          </w:p>
        </w:tc>
        <w:tc>
          <w:tcPr>
            <w:tcW w:w="1416"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6A4CB20B" w14:textId="77777777" w:rsidR="002E3180" w:rsidRPr="00A33264" w:rsidRDefault="002E3180" w:rsidP="001C0A6D">
            <w:pPr>
              <w:spacing w:after="0"/>
              <w:jc w:val="right"/>
              <w:rPr>
                <w:lang w:val="en-GB"/>
              </w:rPr>
            </w:pPr>
            <w:r w:rsidRPr="00A33264">
              <w:rPr>
                <w:lang w:val="en-GB"/>
              </w:rPr>
              <w:t>0</w:t>
            </w:r>
          </w:p>
        </w:tc>
        <w:tc>
          <w:tcPr>
            <w:tcW w:w="1735"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1B5745F0" w14:textId="77777777" w:rsidR="002E3180" w:rsidRPr="00A33264" w:rsidRDefault="002E3180" w:rsidP="001C0A6D">
            <w:pPr>
              <w:spacing w:after="0"/>
              <w:jc w:val="right"/>
              <w:rPr>
                <w:lang w:val="en-GB"/>
              </w:rPr>
            </w:pPr>
            <w:r w:rsidRPr="00A33264">
              <w:rPr>
                <w:lang w:val="en-GB"/>
              </w:rPr>
              <w:t>0</w:t>
            </w:r>
          </w:p>
        </w:tc>
        <w:tc>
          <w:tcPr>
            <w:tcW w:w="1275"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7E22B7EA" w14:textId="77777777" w:rsidR="002E3180" w:rsidRPr="00A33264" w:rsidRDefault="002E3180" w:rsidP="001C0A6D">
            <w:pPr>
              <w:spacing w:after="0"/>
              <w:jc w:val="right"/>
              <w:rPr>
                <w:lang w:val="en-GB"/>
              </w:rPr>
            </w:pPr>
            <w:r w:rsidRPr="00A33264">
              <w:rPr>
                <w:lang w:val="en-GB"/>
              </w:rPr>
              <w:t>0</w:t>
            </w:r>
          </w:p>
        </w:tc>
        <w:tc>
          <w:tcPr>
            <w:tcW w:w="1240"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14F680E6" w14:textId="77777777" w:rsidR="002E3180" w:rsidRPr="00A33264" w:rsidRDefault="002E3180" w:rsidP="001C0A6D">
            <w:pPr>
              <w:spacing w:after="0"/>
              <w:jc w:val="right"/>
              <w:rPr>
                <w:lang w:val="en-GB"/>
              </w:rPr>
            </w:pPr>
            <w:r w:rsidRPr="00A33264">
              <w:rPr>
                <w:lang w:val="en-GB"/>
              </w:rPr>
              <w:t>0</w:t>
            </w:r>
          </w:p>
        </w:tc>
        <w:tc>
          <w:tcPr>
            <w:tcW w:w="1416"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4FBBB8D1" w14:textId="77777777" w:rsidR="002E3180" w:rsidRPr="00A33264" w:rsidRDefault="002E3180" w:rsidP="001C0A6D">
            <w:pPr>
              <w:spacing w:after="0"/>
              <w:jc w:val="right"/>
              <w:rPr>
                <w:lang w:val="en-GB"/>
              </w:rPr>
            </w:pPr>
            <w:r w:rsidRPr="00A33264">
              <w:rPr>
                <w:lang w:val="en-GB"/>
              </w:rPr>
              <w:t>0</w:t>
            </w:r>
          </w:p>
        </w:tc>
        <w:tc>
          <w:tcPr>
            <w:tcW w:w="1247"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6FAE0BC8" w14:textId="77777777" w:rsidR="002E3180" w:rsidRPr="00A33264" w:rsidRDefault="002E3180" w:rsidP="001C0A6D">
            <w:pPr>
              <w:spacing w:after="0"/>
              <w:jc w:val="right"/>
              <w:rPr>
                <w:lang w:val="en-GB"/>
              </w:rPr>
            </w:pPr>
            <w:r w:rsidRPr="00A33264">
              <w:rPr>
                <w:lang w:val="en-GB"/>
              </w:rPr>
              <w:t>0</w:t>
            </w:r>
          </w:p>
        </w:tc>
      </w:tr>
      <w:tr w:rsidR="002E3180" w:rsidRPr="00A33264" w14:paraId="017F3AD2" w14:textId="77777777" w:rsidTr="00F23525">
        <w:trPr>
          <w:trHeight w:val="454"/>
        </w:trPr>
        <w:tc>
          <w:tcPr>
            <w:tcW w:w="2530" w:type="dxa"/>
            <w:tcBorders>
              <w:top w:val="single" w:sz="4" w:space="0" w:color="auto"/>
              <w:left w:val="single" w:sz="4" w:space="0" w:color="auto"/>
              <w:bottom w:val="single" w:sz="4" w:space="0" w:color="auto"/>
              <w:right w:val="single" w:sz="4" w:space="0" w:color="auto"/>
            </w:tcBorders>
            <w:vAlign w:val="center"/>
            <w:hideMark/>
          </w:tcPr>
          <w:p w14:paraId="38E77824" w14:textId="77777777" w:rsidR="002E3180" w:rsidRPr="00A33264" w:rsidRDefault="002E3180" w:rsidP="001C0A6D">
            <w:pPr>
              <w:spacing w:after="0"/>
              <w:rPr>
                <w:lang w:val="en-GB"/>
              </w:rPr>
            </w:pPr>
            <w:r w:rsidRPr="00A33264">
              <w:rPr>
                <w:lang w:val="en-GB"/>
              </w:rPr>
              <w:t xml:space="preserve"> $270,001 to $295,000 </w:t>
            </w:r>
          </w:p>
        </w:tc>
        <w:tc>
          <w:tcPr>
            <w:tcW w:w="851" w:type="dxa"/>
            <w:tcBorders>
              <w:top w:val="single" w:sz="4" w:space="0" w:color="auto"/>
              <w:left w:val="single" w:sz="4" w:space="0" w:color="auto"/>
              <w:bottom w:val="single" w:sz="4" w:space="0" w:color="auto"/>
              <w:right w:val="single" w:sz="4" w:space="0" w:color="auto"/>
            </w:tcBorders>
            <w:vAlign w:val="center"/>
            <w:hideMark/>
          </w:tcPr>
          <w:p w14:paraId="22F8D400" w14:textId="77777777" w:rsidR="002E3180" w:rsidRPr="00A33264" w:rsidRDefault="002E3180" w:rsidP="001C0A6D">
            <w:pPr>
              <w:spacing w:after="0"/>
              <w:jc w:val="right"/>
              <w:rPr>
                <w:lang w:val="en-GB"/>
              </w:rPr>
            </w:pPr>
            <w:r w:rsidRPr="00A33264">
              <w:rPr>
                <w:lang w:val="en-GB"/>
              </w:rPr>
              <w:t>0</w:t>
            </w:r>
          </w:p>
        </w:tc>
        <w:tc>
          <w:tcPr>
            <w:tcW w:w="840" w:type="dxa"/>
            <w:tcBorders>
              <w:top w:val="single" w:sz="4" w:space="0" w:color="auto"/>
              <w:left w:val="single" w:sz="4" w:space="0" w:color="auto"/>
              <w:bottom w:val="single" w:sz="4" w:space="0" w:color="auto"/>
              <w:right w:val="single" w:sz="4" w:space="0" w:color="auto"/>
            </w:tcBorders>
            <w:vAlign w:val="center"/>
            <w:hideMark/>
          </w:tcPr>
          <w:p w14:paraId="3EE9C317" w14:textId="77777777" w:rsidR="002E3180" w:rsidRPr="00A33264" w:rsidRDefault="002E3180" w:rsidP="001C0A6D">
            <w:pPr>
              <w:spacing w:after="0"/>
              <w:jc w:val="right"/>
              <w:rPr>
                <w:lang w:val="en-GB"/>
              </w:rPr>
            </w:pPr>
            <w:r w:rsidRPr="00A33264">
              <w:rPr>
                <w:lang w:val="en-GB"/>
              </w:rPr>
              <w:t>0</w:t>
            </w:r>
          </w:p>
        </w:tc>
        <w:tc>
          <w:tcPr>
            <w:tcW w:w="993" w:type="dxa"/>
            <w:tcBorders>
              <w:top w:val="single" w:sz="4" w:space="0" w:color="auto"/>
              <w:left w:val="single" w:sz="4" w:space="0" w:color="auto"/>
              <w:bottom w:val="single" w:sz="4" w:space="0" w:color="auto"/>
              <w:right w:val="single" w:sz="4" w:space="0" w:color="auto"/>
            </w:tcBorders>
            <w:vAlign w:val="center"/>
            <w:hideMark/>
          </w:tcPr>
          <w:p w14:paraId="28EE20F3" w14:textId="77777777" w:rsidR="002E3180" w:rsidRPr="00A33264" w:rsidRDefault="002E3180" w:rsidP="001C0A6D">
            <w:pPr>
              <w:spacing w:after="0"/>
              <w:jc w:val="right"/>
              <w:rPr>
                <w:lang w:val="en-GB"/>
              </w:rPr>
            </w:pPr>
            <w:r w:rsidRPr="00A33264">
              <w:rPr>
                <w:lang w:val="en-GB"/>
              </w:rPr>
              <w:t>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5272CAB7" w14:textId="77777777" w:rsidR="002E3180" w:rsidRPr="00A33264" w:rsidRDefault="002E3180" w:rsidP="001C0A6D">
            <w:pPr>
              <w:spacing w:after="0"/>
              <w:jc w:val="right"/>
              <w:rPr>
                <w:lang w:val="en-GB"/>
              </w:rPr>
            </w:pPr>
            <w:r w:rsidRPr="00A33264">
              <w:rPr>
                <w:lang w:val="en-GB"/>
              </w:rPr>
              <w:t>0</w:t>
            </w:r>
          </w:p>
        </w:tc>
        <w:tc>
          <w:tcPr>
            <w:tcW w:w="1735" w:type="dxa"/>
            <w:tcBorders>
              <w:top w:val="single" w:sz="4" w:space="0" w:color="auto"/>
              <w:left w:val="single" w:sz="4" w:space="0" w:color="auto"/>
              <w:bottom w:val="single" w:sz="4" w:space="0" w:color="auto"/>
              <w:right w:val="single" w:sz="4" w:space="0" w:color="auto"/>
            </w:tcBorders>
            <w:vAlign w:val="center"/>
            <w:hideMark/>
          </w:tcPr>
          <w:p w14:paraId="18D7B06A" w14:textId="77777777" w:rsidR="002E3180" w:rsidRPr="00A33264" w:rsidRDefault="002E3180" w:rsidP="001C0A6D">
            <w:pPr>
              <w:spacing w:after="0"/>
              <w:jc w:val="right"/>
              <w:rPr>
                <w:lang w:val="en-GB"/>
              </w:rPr>
            </w:pPr>
            <w:r w:rsidRPr="00A33264">
              <w:rPr>
                <w:lang w:val="en-GB"/>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597957F" w14:textId="77777777" w:rsidR="002E3180" w:rsidRPr="00A33264" w:rsidRDefault="002E3180" w:rsidP="001C0A6D">
            <w:pPr>
              <w:spacing w:after="0"/>
              <w:jc w:val="right"/>
              <w:rPr>
                <w:lang w:val="en-GB"/>
              </w:rPr>
            </w:pPr>
            <w:r w:rsidRPr="00A33264">
              <w:rPr>
                <w:lang w:val="en-GB"/>
              </w:rPr>
              <w:t>0</w:t>
            </w:r>
          </w:p>
        </w:tc>
        <w:tc>
          <w:tcPr>
            <w:tcW w:w="1240" w:type="dxa"/>
            <w:tcBorders>
              <w:top w:val="single" w:sz="4" w:space="0" w:color="auto"/>
              <w:left w:val="single" w:sz="4" w:space="0" w:color="auto"/>
              <w:bottom w:val="single" w:sz="4" w:space="0" w:color="auto"/>
              <w:right w:val="single" w:sz="4" w:space="0" w:color="auto"/>
            </w:tcBorders>
            <w:vAlign w:val="center"/>
            <w:hideMark/>
          </w:tcPr>
          <w:p w14:paraId="434EEB73" w14:textId="77777777" w:rsidR="002E3180" w:rsidRPr="00A33264" w:rsidRDefault="002E3180" w:rsidP="001C0A6D">
            <w:pPr>
              <w:spacing w:after="0"/>
              <w:jc w:val="right"/>
              <w:rPr>
                <w:lang w:val="en-GB"/>
              </w:rPr>
            </w:pPr>
            <w:r w:rsidRPr="00A33264">
              <w:rPr>
                <w:lang w:val="en-GB"/>
              </w:rPr>
              <w:t>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45AB6B1A" w14:textId="77777777" w:rsidR="002E3180" w:rsidRPr="00A33264" w:rsidRDefault="002E3180" w:rsidP="001C0A6D">
            <w:pPr>
              <w:spacing w:after="0"/>
              <w:jc w:val="right"/>
              <w:rPr>
                <w:lang w:val="en-GB"/>
              </w:rPr>
            </w:pPr>
            <w:r w:rsidRPr="00A33264">
              <w:rPr>
                <w:lang w:val="en-GB"/>
              </w:rPr>
              <w:t>0</w:t>
            </w:r>
          </w:p>
        </w:tc>
        <w:tc>
          <w:tcPr>
            <w:tcW w:w="1247" w:type="dxa"/>
            <w:tcBorders>
              <w:top w:val="single" w:sz="4" w:space="0" w:color="auto"/>
              <w:left w:val="single" w:sz="4" w:space="0" w:color="auto"/>
              <w:bottom w:val="single" w:sz="4" w:space="0" w:color="auto"/>
              <w:right w:val="single" w:sz="4" w:space="0" w:color="auto"/>
            </w:tcBorders>
            <w:vAlign w:val="center"/>
            <w:hideMark/>
          </w:tcPr>
          <w:p w14:paraId="5C38937E" w14:textId="77777777" w:rsidR="002E3180" w:rsidRPr="00A33264" w:rsidRDefault="002E3180" w:rsidP="001C0A6D">
            <w:pPr>
              <w:spacing w:after="0"/>
              <w:jc w:val="right"/>
              <w:rPr>
                <w:lang w:val="en-GB"/>
              </w:rPr>
            </w:pPr>
            <w:r w:rsidRPr="00A33264">
              <w:rPr>
                <w:lang w:val="en-GB"/>
              </w:rPr>
              <w:t>0</w:t>
            </w:r>
          </w:p>
        </w:tc>
      </w:tr>
      <w:tr w:rsidR="002E3180" w:rsidRPr="00A33264" w14:paraId="0382F53B" w14:textId="77777777" w:rsidTr="00F23525">
        <w:trPr>
          <w:trHeight w:val="454"/>
        </w:trPr>
        <w:tc>
          <w:tcPr>
            <w:tcW w:w="2530"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090028F0" w14:textId="77777777" w:rsidR="002E3180" w:rsidRPr="00A33264" w:rsidRDefault="002E3180" w:rsidP="001C0A6D">
            <w:pPr>
              <w:spacing w:after="0"/>
              <w:rPr>
                <w:lang w:val="en-GB"/>
              </w:rPr>
            </w:pPr>
            <w:r w:rsidRPr="00A33264">
              <w:rPr>
                <w:lang w:val="en-GB"/>
              </w:rPr>
              <w:t xml:space="preserve"> $295,001 to $320,000 </w:t>
            </w:r>
          </w:p>
        </w:tc>
        <w:tc>
          <w:tcPr>
            <w:tcW w:w="851"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662F3DD4" w14:textId="77777777" w:rsidR="002E3180" w:rsidRPr="00A33264" w:rsidRDefault="002E3180" w:rsidP="001C0A6D">
            <w:pPr>
              <w:spacing w:after="0"/>
              <w:jc w:val="right"/>
              <w:rPr>
                <w:lang w:val="en-GB"/>
              </w:rPr>
            </w:pPr>
            <w:r w:rsidRPr="00A33264">
              <w:rPr>
                <w:lang w:val="en-GB"/>
              </w:rPr>
              <w:t>0</w:t>
            </w:r>
          </w:p>
        </w:tc>
        <w:tc>
          <w:tcPr>
            <w:tcW w:w="840"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3D63CDA9" w14:textId="77777777" w:rsidR="002E3180" w:rsidRPr="00A33264" w:rsidRDefault="002E3180" w:rsidP="001C0A6D">
            <w:pPr>
              <w:spacing w:after="0"/>
              <w:jc w:val="right"/>
              <w:rPr>
                <w:lang w:val="en-GB"/>
              </w:rPr>
            </w:pPr>
            <w:r w:rsidRPr="00A33264">
              <w:rPr>
                <w:lang w:val="en-GB"/>
              </w:rPr>
              <w:t>0</w:t>
            </w:r>
          </w:p>
        </w:tc>
        <w:tc>
          <w:tcPr>
            <w:tcW w:w="993"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38D5B43F" w14:textId="77777777" w:rsidR="002E3180" w:rsidRPr="00A33264" w:rsidRDefault="002E3180" w:rsidP="001C0A6D">
            <w:pPr>
              <w:spacing w:after="0"/>
              <w:jc w:val="right"/>
              <w:rPr>
                <w:lang w:val="en-GB"/>
              </w:rPr>
            </w:pPr>
            <w:r w:rsidRPr="00A33264">
              <w:rPr>
                <w:lang w:val="en-GB"/>
              </w:rPr>
              <w:t>0</w:t>
            </w:r>
          </w:p>
        </w:tc>
        <w:tc>
          <w:tcPr>
            <w:tcW w:w="1416"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7970A548" w14:textId="77777777" w:rsidR="002E3180" w:rsidRPr="00A33264" w:rsidRDefault="002E3180" w:rsidP="001C0A6D">
            <w:pPr>
              <w:spacing w:after="0"/>
              <w:jc w:val="right"/>
              <w:rPr>
                <w:lang w:val="en-GB"/>
              </w:rPr>
            </w:pPr>
            <w:r w:rsidRPr="00A33264">
              <w:rPr>
                <w:lang w:val="en-GB"/>
              </w:rPr>
              <w:t>0</w:t>
            </w:r>
          </w:p>
        </w:tc>
        <w:tc>
          <w:tcPr>
            <w:tcW w:w="1735"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7181B789" w14:textId="77777777" w:rsidR="002E3180" w:rsidRPr="00A33264" w:rsidRDefault="002E3180" w:rsidP="001C0A6D">
            <w:pPr>
              <w:spacing w:after="0"/>
              <w:jc w:val="right"/>
              <w:rPr>
                <w:lang w:val="en-GB"/>
              </w:rPr>
            </w:pPr>
            <w:r w:rsidRPr="00A33264">
              <w:rPr>
                <w:lang w:val="en-GB"/>
              </w:rPr>
              <w:t>0</w:t>
            </w:r>
          </w:p>
        </w:tc>
        <w:tc>
          <w:tcPr>
            <w:tcW w:w="1275"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186AF0B1" w14:textId="77777777" w:rsidR="002E3180" w:rsidRPr="00A33264" w:rsidRDefault="002E3180" w:rsidP="001C0A6D">
            <w:pPr>
              <w:spacing w:after="0"/>
              <w:jc w:val="right"/>
              <w:rPr>
                <w:lang w:val="en-GB"/>
              </w:rPr>
            </w:pPr>
            <w:r w:rsidRPr="00A33264">
              <w:rPr>
                <w:lang w:val="en-GB"/>
              </w:rPr>
              <w:t>0</w:t>
            </w:r>
          </w:p>
        </w:tc>
        <w:tc>
          <w:tcPr>
            <w:tcW w:w="1240"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59A07BC2" w14:textId="77777777" w:rsidR="002E3180" w:rsidRPr="00A33264" w:rsidRDefault="002E3180" w:rsidP="001C0A6D">
            <w:pPr>
              <w:spacing w:after="0"/>
              <w:jc w:val="right"/>
              <w:rPr>
                <w:lang w:val="en-GB"/>
              </w:rPr>
            </w:pPr>
            <w:r w:rsidRPr="00A33264">
              <w:rPr>
                <w:lang w:val="en-GB"/>
              </w:rPr>
              <w:t>0</w:t>
            </w:r>
          </w:p>
        </w:tc>
        <w:tc>
          <w:tcPr>
            <w:tcW w:w="1416"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7CB8A9EC" w14:textId="77777777" w:rsidR="002E3180" w:rsidRPr="00A33264" w:rsidRDefault="002E3180" w:rsidP="001C0A6D">
            <w:pPr>
              <w:spacing w:after="0"/>
              <w:jc w:val="right"/>
              <w:rPr>
                <w:lang w:val="en-GB"/>
              </w:rPr>
            </w:pPr>
            <w:r w:rsidRPr="00A33264">
              <w:rPr>
                <w:lang w:val="en-GB"/>
              </w:rPr>
              <w:t>0</w:t>
            </w:r>
          </w:p>
        </w:tc>
        <w:tc>
          <w:tcPr>
            <w:tcW w:w="1247"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535BCAE1" w14:textId="77777777" w:rsidR="002E3180" w:rsidRPr="00A33264" w:rsidRDefault="002E3180" w:rsidP="001C0A6D">
            <w:pPr>
              <w:spacing w:after="0"/>
              <w:jc w:val="right"/>
              <w:rPr>
                <w:lang w:val="en-GB"/>
              </w:rPr>
            </w:pPr>
            <w:r w:rsidRPr="00A33264">
              <w:rPr>
                <w:lang w:val="en-GB"/>
              </w:rPr>
              <w:t>0</w:t>
            </w:r>
          </w:p>
        </w:tc>
      </w:tr>
      <w:tr w:rsidR="002E3180" w:rsidRPr="00A33264" w14:paraId="4F144B04" w14:textId="77777777" w:rsidTr="00F23525">
        <w:trPr>
          <w:trHeight w:val="454"/>
        </w:trPr>
        <w:tc>
          <w:tcPr>
            <w:tcW w:w="2530" w:type="dxa"/>
            <w:tcBorders>
              <w:top w:val="single" w:sz="4" w:space="0" w:color="auto"/>
              <w:left w:val="single" w:sz="4" w:space="0" w:color="auto"/>
              <w:bottom w:val="single" w:sz="4" w:space="0" w:color="auto"/>
              <w:right w:val="single" w:sz="4" w:space="0" w:color="auto"/>
            </w:tcBorders>
            <w:vAlign w:val="center"/>
            <w:hideMark/>
          </w:tcPr>
          <w:p w14:paraId="52068397" w14:textId="77777777" w:rsidR="002E3180" w:rsidRPr="00A33264" w:rsidRDefault="002E3180" w:rsidP="001C0A6D">
            <w:pPr>
              <w:spacing w:after="0"/>
              <w:rPr>
                <w:lang w:val="en-GB"/>
              </w:rPr>
            </w:pPr>
            <w:r w:rsidRPr="00A33264">
              <w:rPr>
                <w:lang w:val="en-GB"/>
              </w:rPr>
              <w:t xml:space="preserve"> $320,001 to $345,000 </w:t>
            </w:r>
          </w:p>
        </w:tc>
        <w:tc>
          <w:tcPr>
            <w:tcW w:w="851" w:type="dxa"/>
            <w:tcBorders>
              <w:top w:val="single" w:sz="4" w:space="0" w:color="auto"/>
              <w:left w:val="single" w:sz="4" w:space="0" w:color="auto"/>
              <w:bottom w:val="single" w:sz="4" w:space="0" w:color="auto"/>
              <w:right w:val="single" w:sz="4" w:space="0" w:color="auto"/>
            </w:tcBorders>
            <w:vAlign w:val="center"/>
            <w:hideMark/>
          </w:tcPr>
          <w:p w14:paraId="5EF329AC" w14:textId="77777777" w:rsidR="002E3180" w:rsidRPr="00A33264" w:rsidRDefault="002E3180" w:rsidP="001C0A6D">
            <w:pPr>
              <w:spacing w:after="0"/>
              <w:jc w:val="right"/>
              <w:rPr>
                <w:lang w:val="en-GB"/>
              </w:rPr>
            </w:pPr>
            <w:r w:rsidRPr="00A33264">
              <w:rPr>
                <w:lang w:val="en-GB"/>
              </w:rPr>
              <w:t>0</w:t>
            </w:r>
          </w:p>
        </w:tc>
        <w:tc>
          <w:tcPr>
            <w:tcW w:w="840" w:type="dxa"/>
            <w:tcBorders>
              <w:top w:val="single" w:sz="4" w:space="0" w:color="auto"/>
              <w:left w:val="single" w:sz="4" w:space="0" w:color="auto"/>
              <w:bottom w:val="single" w:sz="4" w:space="0" w:color="auto"/>
              <w:right w:val="single" w:sz="4" w:space="0" w:color="auto"/>
            </w:tcBorders>
            <w:vAlign w:val="center"/>
            <w:hideMark/>
          </w:tcPr>
          <w:p w14:paraId="319281F4" w14:textId="77777777" w:rsidR="002E3180" w:rsidRPr="00A33264" w:rsidRDefault="002E3180" w:rsidP="001C0A6D">
            <w:pPr>
              <w:spacing w:after="0"/>
              <w:jc w:val="right"/>
              <w:rPr>
                <w:lang w:val="en-GB"/>
              </w:rPr>
            </w:pPr>
            <w:r w:rsidRPr="00A33264">
              <w:rPr>
                <w:lang w:val="en-GB"/>
              </w:rPr>
              <w:t>0</w:t>
            </w:r>
          </w:p>
        </w:tc>
        <w:tc>
          <w:tcPr>
            <w:tcW w:w="993" w:type="dxa"/>
            <w:tcBorders>
              <w:top w:val="single" w:sz="4" w:space="0" w:color="auto"/>
              <w:left w:val="single" w:sz="4" w:space="0" w:color="auto"/>
              <w:bottom w:val="single" w:sz="4" w:space="0" w:color="auto"/>
              <w:right w:val="single" w:sz="4" w:space="0" w:color="auto"/>
            </w:tcBorders>
            <w:vAlign w:val="center"/>
            <w:hideMark/>
          </w:tcPr>
          <w:p w14:paraId="5C9038A4" w14:textId="77777777" w:rsidR="002E3180" w:rsidRPr="00A33264" w:rsidRDefault="002E3180" w:rsidP="001C0A6D">
            <w:pPr>
              <w:spacing w:after="0"/>
              <w:jc w:val="right"/>
              <w:rPr>
                <w:lang w:val="en-GB"/>
              </w:rPr>
            </w:pPr>
            <w:r w:rsidRPr="00A33264">
              <w:rPr>
                <w:lang w:val="en-GB"/>
              </w:rPr>
              <w:t>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23D9E4F7" w14:textId="77777777" w:rsidR="002E3180" w:rsidRPr="00A33264" w:rsidRDefault="002E3180" w:rsidP="001C0A6D">
            <w:pPr>
              <w:spacing w:after="0"/>
              <w:jc w:val="right"/>
              <w:rPr>
                <w:lang w:val="en-GB"/>
              </w:rPr>
            </w:pPr>
            <w:r w:rsidRPr="00A33264">
              <w:rPr>
                <w:lang w:val="en-GB"/>
              </w:rPr>
              <w:t>0</w:t>
            </w:r>
          </w:p>
        </w:tc>
        <w:tc>
          <w:tcPr>
            <w:tcW w:w="1735" w:type="dxa"/>
            <w:tcBorders>
              <w:top w:val="single" w:sz="4" w:space="0" w:color="auto"/>
              <w:left w:val="single" w:sz="4" w:space="0" w:color="auto"/>
              <w:bottom w:val="single" w:sz="4" w:space="0" w:color="auto"/>
              <w:right w:val="single" w:sz="4" w:space="0" w:color="auto"/>
            </w:tcBorders>
            <w:vAlign w:val="center"/>
            <w:hideMark/>
          </w:tcPr>
          <w:p w14:paraId="79319518" w14:textId="77777777" w:rsidR="002E3180" w:rsidRPr="00A33264" w:rsidRDefault="002E3180" w:rsidP="001C0A6D">
            <w:pPr>
              <w:spacing w:after="0"/>
              <w:jc w:val="right"/>
              <w:rPr>
                <w:lang w:val="en-GB"/>
              </w:rPr>
            </w:pPr>
            <w:r w:rsidRPr="00A33264">
              <w:rPr>
                <w:lang w:val="en-GB"/>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E31B0DA" w14:textId="77777777" w:rsidR="002E3180" w:rsidRPr="00A33264" w:rsidRDefault="002E3180" w:rsidP="001C0A6D">
            <w:pPr>
              <w:spacing w:after="0"/>
              <w:jc w:val="right"/>
              <w:rPr>
                <w:lang w:val="en-GB"/>
              </w:rPr>
            </w:pPr>
            <w:r w:rsidRPr="00A33264">
              <w:rPr>
                <w:lang w:val="en-GB"/>
              </w:rPr>
              <w:t>0</w:t>
            </w:r>
          </w:p>
        </w:tc>
        <w:tc>
          <w:tcPr>
            <w:tcW w:w="1240" w:type="dxa"/>
            <w:tcBorders>
              <w:top w:val="single" w:sz="4" w:space="0" w:color="auto"/>
              <w:left w:val="single" w:sz="4" w:space="0" w:color="auto"/>
              <w:bottom w:val="single" w:sz="4" w:space="0" w:color="auto"/>
              <w:right w:val="single" w:sz="4" w:space="0" w:color="auto"/>
            </w:tcBorders>
            <w:vAlign w:val="center"/>
            <w:hideMark/>
          </w:tcPr>
          <w:p w14:paraId="535A9434" w14:textId="77777777" w:rsidR="002E3180" w:rsidRPr="00A33264" w:rsidRDefault="002E3180" w:rsidP="001C0A6D">
            <w:pPr>
              <w:spacing w:after="0"/>
              <w:jc w:val="right"/>
              <w:rPr>
                <w:lang w:val="en-GB"/>
              </w:rPr>
            </w:pPr>
            <w:r w:rsidRPr="00A33264">
              <w:rPr>
                <w:lang w:val="en-GB"/>
              </w:rPr>
              <w:t>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54F47637" w14:textId="77777777" w:rsidR="002E3180" w:rsidRPr="00A33264" w:rsidRDefault="002E3180" w:rsidP="001C0A6D">
            <w:pPr>
              <w:spacing w:after="0"/>
              <w:jc w:val="right"/>
              <w:rPr>
                <w:lang w:val="en-GB"/>
              </w:rPr>
            </w:pPr>
            <w:r w:rsidRPr="00A33264">
              <w:rPr>
                <w:lang w:val="en-GB"/>
              </w:rPr>
              <w:t>0</w:t>
            </w:r>
          </w:p>
        </w:tc>
        <w:tc>
          <w:tcPr>
            <w:tcW w:w="1247" w:type="dxa"/>
            <w:tcBorders>
              <w:top w:val="single" w:sz="4" w:space="0" w:color="auto"/>
              <w:left w:val="single" w:sz="4" w:space="0" w:color="auto"/>
              <w:bottom w:val="single" w:sz="4" w:space="0" w:color="auto"/>
              <w:right w:val="single" w:sz="4" w:space="0" w:color="auto"/>
            </w:tcBorders>
            <w:vAlign w:val="center"/>
            <w:hideMark/>
          </w:tcPr>
          <w:p w14:paraId="41680854" w14:textId="77777777" w:rsidR="002E3180" w:rsidRPr="00A33264" w:rsidRDefault="002E3180" w:rsidP="001C0A6D">
            <w:pPr>
              <w:spacing w:after="0"/>
              <w:jc w:val="right"/>
              <w:rPr>
                <w:lang w:val="en-GB"/>
              </w:rPr>
            </w:pPr>
            <w:r w:rsidRPr="00A33264">
              <w:rPr>
                <w:lang w:val="en-GB"/>
              </w:rPr>
              <w:t>0</w:t>
            </w:r>
          </w:p>
        </w:tc>
      </w:tr>
      <w:tr w:rsidR="002E3180" w:rsidRPr="00A33264" w14:paraId="5FCAF8E0" w14:textId="77777777" w:rsidTr="00F23525">
        <w:trPr>
          <w:trHeight w:val="454"/>
        </w:trPr>
        <w:tc>
          <w:tcPr>
            <w:tcW w:w="2530"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588EC3C0" w14:textId="77777777" w:rsidR="002E3180" w:rsidRPr="00A33264" w:rsidRDefault="002E3180" w:rsidP="001C0A6D">
            <w:pPr>
              <w:spacing w:after="0"/>
              <w:rPr>
                <w:lang w:val="en-GB"/>
              </w:rPr>
            </w:pPr>
            <w:r w:rsidRPr="00A33264">
              <w:rPr>
                <w:lang w:val="en-GB"/>
              </w:rPr>
              <w:t xml:space="preserve"> $345,001 to $370,000 </w:t>
            </w:r>
          </w:p>
        </w:tc>
        <w:tc>
          <w:tcPr>
            <w:tcW w:w="851"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77F87AC8" w14:textId="77777777" w:rsidR="002E3180" w:rsidRPr="00A33264" w:rsidRDefault="002E3180" w:rsidP="001C0A6D">
            <w:pPr>
              <w:spacing w:after="0"/>
              <w:jc w:val="right"/>
              <w:rPr>
                <w:lang w:val="en-GB"/>
              </w:rPr>
            </w:pPr>
            <w:r w:rsidRPr="00A33264">
              <w:rPr>
                <w:lang w:val="en-GB"/>
              </w:rPr>
              <w:t>0</w:t>
            </w:r>
          </w:p>
        </w:tc>
        <w:tc>
          <w:tcPr>
            <w:tcW w:w="840"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128B494A" w14:textId="77777777" w:rsidR="002E3180" w:rsidRPr="00A33264" w:rsidRDefault="002E3180" w:rsidP="001C0A6D">
            <w:pPr>
              <w:spacing w:after="0"/>
              <w:jc w:val="right"/>
              <w:rPr>
                <w:lang w:val="en-GB"/>
              </w:rPr>
            </w:pPr>
            <w:r w:rsidRPr="00A33264">
              <w:rPr>
                <w:lang w:val="en-GB"/>
              </w:rPr>
              <w:t>0</w:t>
            </w:r>
          </w:p>
        </w:tc>
        <w:tc>
          <w:tcPr>
            <w:tcW w:w="993"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04874E77" w14:textId="77777777" w:rsidR="002E3180" w:rsidRPr="00A33264" w:rsidRDefault="002E3180" w:rsidP="001C0A6D">
            <w:pPr>
              <w:spacing w:after="0"/>
              <w:jc w:val="right"/>
              <w:rPr>
                <w:lang w:val="en-GB"/>
              </w:rPr>
            </w:pPr>
            <w:r w:rsidRPr="00A33264">
              <w:rPr>
                <w:lang w:val="en-GB"/>
              </w:rPr>
              <w:t>0</w:t>
            </w:r>
          </w:p>
        </w:tc>
        <w:tc>
          <w:tcPr>
            <w:tcW w:w="1416"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55D9CFA5" w14:textId="77777777" w:rsidR="002E3180" w:rsidRPr="00A33264" w:rsidRDefault="002E3180" w:rsidP="001C0A6D">
            <w:pPr>
              <w:spacing w:after="0"/>
              <w:jc w:val="right"/>
              <w:rPr>
                <w:lang w:val="en-GB"/>
              </w:rPr>
            </w:pPr>
            <w:r w:rsidRPr="00A33264">
              <w:rPr>
                <w:lang w:val="en-GB"/>
              </w:rPr>
              <w:t>0</w:t>
            </w:r>
          </w:p>
        </w:tc>
        <w:tc>
          <w:tcPr>
            <w:tcW w:w="1735"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1FFFD16C" w14:textId="77777777" w:rsidR="002E3180" w:rsidRPr="00A33264" w:rsidRDefault="002E3180" w:rsidP="001C0A6D">
            <w:pPr>
              <w:spacing w:after="0"/>
              <w:jc w:val="right"/>
              <w:rPr>
                <w:lang w:val="en-GB"/>
              </w:rPr>
            </w:pPr>
            <w:r w:rsidRPr="00A33264">
              <w:rPr>
                <w:lang w:val="en-GB"/>
              </w:rPr>
              <w:t>0</w:t>
            </w:r>
          </w:p>
        </w:tc>
        <w:tc>
          <w:tcPr>
            <w:tcW w:w="1275"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3411E5F7" w14:textId="77777777" w:rsidR="002E3180" w:rsidRPr="00A33264" w:rsidRDefault="002E3180" w:rsidP="001C0A6D">
            <w:pPr>
              <w:spacing w:after="0"/>
              <w:jc w:val="right"/>
              <w:rPr>
                <w:lang w:val="en-GB"/>
              </w:rPr>
            </w:pPr>
            <w:r w:rsidRPr="00A33264">
              <w:rPr>
                <w:lang w:val="en-GB"/>
              </w:rPr>
              <w:t>0</w:t>
            </w:r>
          </w:p>
        </w:tc>
        <w:tc>
          <w:tcPr>
            <w:tcW w:w="1240"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2DB00461" w14:textId="77777777" w:rsidR="002E3180" w:rsidRPr="00A33264" w:rsidRDefault="002E3180" w:rsidP="001C0A6D">
            <w:pPr>
              <w:spacing w:after="0"/>
              <w:jc w:val="right"/>
              <w:rPr>
                <w:lang w:val="en-GB"/>
              </w:rPr>
            </w:pPr>
            <w:r w:rsidRPr="00A33264">
              <w:rPr>
                <w:lang w:val="en-GB"/>
              </w:rPr>
              <w:t>0</w:t>
            </w:r>
          </w:p>
        </w:tc>
        <w:tc>
          <w:tcPr>
            <w:tcW w:w="1416"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54A4DA4C" w14:textId="77777777" w:rsidR="002E3180" w:rsidRPr="00A33264" w:rsidRDefault="002E3180" w:rsidP="001C0A6D">
            <w:pPr>
              <w:spacing w:after="0"/>
              <w:jc w:val="right"/>
              <w:rPr>
                <w:lang w:val="en-GB"/>
              </w:rPr>
            </w:pPr>
            <w:r w:rsidRPr="00A33264">
              <w:rPr>
                <w:lang w:val="en-GB"/>
              </w:rPr>
              <w:t>0</w:t>
            </w:r>
          </w:p>
        </w:tc>
        <w:tc>
          <w:tcPr>
            <w:tcW w:w="1247"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53578660" w14:textId="77777777" w:rsidR="002E3180" w:rsidRPr="00A33264" w:rsidRDefault="002E3180" w:rsidP="001C0A6D">
            <w:pPr>
              <w:spacing w:after="0"/>
              <w:jc w:val="right"/>
              <w:rPr>
                <w:lang w:val="en-GB"/>
              </w:rPr>
            </w:pPr>
            <w:r w:rsidRPr="00A33264">
              <w:rPr>
                <w:lang w:val="en-GB"/>
              </w:rPr>
              <w:t>0</w:t>
            </w:r>
          </w:p>
        </w:tc>
      </w:tr>
      <w:tr w:rsidR="002E3180" w:rsidRPr="00A33264" w14:paraId="254FE4FC" w14:textId="77777777" w:rsidTr="00F23525">
        <w:trPr>
          <w:trHeight w:val="454"/>
        </w:trPr>
        <w:tc>
          <w:tcPr>
            <w:tcW w:w="2530" w:type="dxa"/>
            <w:tcBorders>
              <w:top w:val="single" w:sz="4" w:space="0" w:color="auto"/>
              <w:left w:val="single" w:sz="4" w:space="0" w:color="auto"/>
              <w:bottom w:val="single" w:sz="4" w:space="0" w:color="auto"/>
              <w:right w:val="single" w:sz="4" w:space="0" w:color="auto"/>
            </w:tcBorders>
            <w:vAlign w:val="center"/>
            <w:hideMark/>
          </w:tcPr>
          <w:p w14:paraId="08BA87B7" w14:textId="77777777" w:rsidR="002E3180" w:rsidRPr="00A33264" w:rsidRDefault="002E3180" w:rsidP="001C0A6D">
            <w:pPr>
              <w:spacing w:after="0"/>
              <w:rPr>
                <w:lang w:val="en-GB"/>
              </w:rPr>
            </w:pPr>
            <w:r w:rsidRPr="00A33264">
              <w:rPr>
                <w:lang w:val="en-GB"/>
              </w:rPr>
              <w:t xml:space="preserve"> $370,001 to $395,000 </w:t>
            </w:r>
          </w:p>
        </w:tc>
        <w:tc>
          <w:tcPr>
            <w:tcW w:w="851" w:type="dxa"/>
            <w:tcBorders>
              <w:top w:val="single" w:sz="4" w:space="0" w:color="auto"/>
              <w:left w:val="single" w:sz="4" w:space="0" w:color="auto"/>
              <w:bottom w:val="single" w:sz="4" w:space="0" w:color="auto"/>
              <w:right w:val="single" w:sz="4" w:space="0" w:color="auto"/>
            </w:tcBorders>
            <w:vAlign w:val="center"/>
            <w:hideMark/>
          </w:tcPr>
          <w:p w14:paraId="76F51EE4" w14:textId="77777777" w:rsidR="002E3180" w:rsidRPr="00A33264" w:rsidRDefault="002E3180" w:rsidP="001C0A6D">
            <w:pPr>
              <w:spacing w:after="0"/>
              <w:jc w:val="right"/>
              <w:rPr>
                <w:lang w:val="en-GB"/>
              </w:rPr>
            </w:pPr>
            <w:r w:rsidRPr="00A33264">
              <w:rPr>
                <w:lang w:val="en-GB"/>
              </w:rPr>
              <w:t>0</w:t>
            </w:r>
          </w:p>
        </w:tc>
        <w:tc>
          <w:tcPr>
            <w:tcW w:w="840" w:type="dxa"/>
            <w:tcBorders>
              <w:top w:val="single" w:sz="4" w:space="0" w:color="auto"/>
              <w:left w:val="single" w:sz="4" w:space="0" w:color="auto"/>
              <w:bottom w:val="single" w:sz="4" w:space="0" w:color="auto"/>
              <w:right w:val="single" w:sz="4" w:space="0" w:color="auto"/>
            </w:tcBorders>
            <w:vAlign w:val="center"/>
            <w:hideMark/>
          </w:tcPr>
          <w:p w14:paraId="34AEFF80" w14:textId="77777777" w:rsidR="002E3180" w:rsidRPr="00A33264" w:rsidRDefault="002E3180" w:rsidP="001C0A6D">
            <w:pPr>
              <w:spacing w:after="0"/>
              <w:jc w:val="right"/>
              <w:rPr>
                <w:lang w:val="en-GB"/>
              </w:rPr>
            </w:pPr>
            <w:r w:rsidRPr="00A33264">
              <w:rPr>
                <w:lang w:val="en-GB"/>
              </w:rPr>
              <w:t>0</w:t>
            </w:r>
          </w:p>
        </w:tc>
        <w:tc>
          <w:tcPr>
            <w:tcW w:w="993" w:type="dxa"/>
            <w:tcBorders>
              <w:top w:val="single" w:sz="4" w:space="0" w:color="auto"/>
              <w:left w:val="single" w:sz="4" w:space="0" w:color="auto"/>
              <w:bottom w:val="single" w:sz="4" w:space="0" w:color="auto"/>
              <w:right w:val="single" w:sz="4" w:space="0" w:color="auto"/>
            </w:tcBorders>
            <w:vAlign w:val="center"/>
            <w:hideMark/>
          </w:tcPr>
          <w:p w14:paraId="388C8FEB" w14:textId="77777777" w:rsidR="002E3180" w:rsidRPr="00A33264" w:rsidRDefault="002E3180" w:rsidP="001C0A6D">
            <w:pPr>
              <w:spacing w:after="0"/>
              <w:jc w:val="right"/>
              <w:rPr>
                <w:lang w:val="en-GB"/>
              </w:rPr>
            </w:pPr>
            <w:r w:rsidRPr="00A33264">
              <w:rPr>
                <w:lang w:val="en-GB"/>
              </w:rPr>
              <w:t>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0379E99D" w14:textId="77777777" w:rsidR="002E3180" w:rsidRPr="00A33264" w:rsidRDefault="002E3180" w:rsidP="001C0A6D">
            <w:pPr>
              <w:spacing w:after="0"/>
              <w:jc w:val="right"/>
              <w:rPr>
                <w:lang w:val="en-GB"/>
              </w:rPr>
            </w:pPr>
            <w:r w:rsidRPr="00A33264">
              <w:rPr>
                <w:lang w:val="en-GB"/>
              </w:rPr>
              <w:t>0</w:t>
            </w:r>
          </w:p>
        </w:tc>
        <w:tc>
          <w:tcPr>
            <w:tcW w:w="1735" w:type="dxa"/>
            <w:tcBorders>
              <w:top w:val="single" w:sz="4" w:space="0" w:color="auto"/>
              <w:left w:val="single" w:sz="4" w:space="0" w:color="auto"/>
              <w:bottom w:val="single" w:sz="4" w:space="0" w:color="auto"/>
              <w:right w:val="single" w:sz="4" w:space="0" w:color="auto"/>
            </w:tcBorders>
            <w:vAlign w:val="center"/>
            <w:hideMark/>
          </w:tcPr>
          <w:p w14:paraId="7703EB32" w14:textId="77777777" w:rsidR="002E3180" w:rsidRPr="00A33264" w:rsidRDefault="002E3180" w:rsidP="001C0A6D">
            <w:pPr>
              <w:spacing w:after="0"/>
              <w:jc w:val="right"/>
              <w:rPr>
                <w:lang w:val="en-GB"/>
              </w:rPr>
            </w:pPr>
            <w:r w:rsidRPr="00A33264">
              <w:rPr>
                <w:lang w:val="en-GB"/>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62E216" w14:textId="77777777" w:rsidR="002E3180" w:rsidRPr="00A33264" w:rsidRDefault="002E3180" w:rsidP="001C0A6D">
            <w:pPr>
              <w:spacing w:after="0"/>
              <w:jc w:val="right"/>
              <w:rPr>
                <w:lang w:val="en-GB"/>
              </w:rPr>
            </w:pPr>
            <w:r w:rsidRPr="00A33264">
              <w:rPr>
                <w:lang w:val="en-GB"/>
              </w:rPr>
              <w:t>0</w:t>
            </w:r>
          </w:p>
        </w:tc>
        <w:tc>
          <w:tcPr>
            <w:tcW w:w="1240" w:type="dxa"/>
            <w:tcBorders>
              <w:top w:val="single" w:sz="4" w:space="0" w:color="auto"/>
              <w:left w:val="single" w:sz="4" w:space="0" w:color="auto"/>
              <w:bottom w:val="single" w:sz="4" w:space="0" w:color="auto"/>
              <w:right w:val="single" w:sz="4" w:space="0" w:color="auto"/>
            </w:tcBorders>
            <w:vAlign w:val="center"/>
            <w:hideMark/>
          </w:tcPr>
          <w:p w14:paraId="288848D3" w14:textId="77777777" w:rsidR="002E3180" w:rsidRPr="00A33264" w:rsidRDefault="002E3180" w:rsidP="001C0A6D">
            <w:pPr>
              <w:spacing w:after="0"/>
              <w:jc w:val="right"/>
              <w:rPr>
                <w:lang w:val="en-GB"/>
              </w:rPr>
            </w:pPr>
            <w:r w:rsidRPr="00A33264">
              <w:rPr>
                <w:lang w:val="en-GB"/>
              </w:rPr>
              <w:t>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0F5E909C" w14:textId="77777777" w:rsidR="002E3180" w:rsidRPr="00A33264" w:rsidRDefault="002E3180" w:rsidP="001C0A6D">
            <w:pPr>
              <w:spacing w:after="0"/>
              <w:jc w:val="right"/>
              <w:rPr>
                <w:lang w:val="en-GB"/>
              </w:rPr>
            </w:pPr>
            <w:r w:rsidRPr="00A33264">
              <w:rPr>
                <w:lang w:val="en-GB"/>
              </w:rPr>
              <w:t>0</w:t>
            </w:r>
          </w:p>
        </w:tc>
        <w:tc>
          <w:tcPr>
            <w:tcW w:w="1247" w:type="dxa"/>
            <w:tcBorders>
              <w:top w:val="single" w:sz="4" w:space="0" w:color="auto"/>
              <w:left w:val="single" w:sz="4" w:space="0" w:color="auto"/>
              <w:bottom w:val="single" w:sz="4" w:space="0" w:color="auto"/>
              <w:right w:val="single" w:sz="4" w:space="0" w:color="auto"/>
            </w:tcBorders>
            <w:vAlign w:val="center"/>
            <w:hideMark/>
          </w:tcPr>
          <w:p w14:paraId="39DE6EDD" w14:textId="77777777" w:rsidR="002E3180" w:rsidRPr="00A33264" w:rsidRDefault="002E3180" w:rsidP="001C0A6D">
            <w:pPr>
              <w:spacing w:after="0"/>
              <w:jc w:val="right"/>
              <w:rPr>
                <w:lang w:val="en-GB"/>
              </w:rPr>
            </w:pPr>
            <w:r w:rsidRPr="00A33264">
              <w:rPr>
                <w:lang w:val="en-GB"/>
              </w:rPr>
              <w:t>0</w:t>
            </w:r>
          </w:p>
        </w:tc>
      </w:tr>
      <w:tr w:rsidR="002E3180" w:rsidRPr="00A33264" w14:paraId="52C1C729" w14:textId="77777777" w:rsidTr="00F23525">
        <w:trPr>
          <w:trHeight w:val="454"/>
        </w:trPr>
        <w:tc>
          <w:tcPr>
            <w:tcW w:w="2530"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05106314" w14:textId="77777777" w:rsidR="002E3180" w:rsidRPr="00A33264" w:rsidRDefault="002E3180" w:rsidP="001C0A6D">
            <w:pPr>
              <w:spacing w:after="0"/>
              <w:rPr>
                <w:lang w:val="en-GB"/>
              </w:rPr>
            </w:pPr>
            <w:r w:rsidRPr="00A33264">
              <w:rPr>
                <w:lang w:val="en-GB"/>
              </w:rPr>
              <w:t xml:space="preserve"> $395,001 to $420,000 </w:t>
            </w:r>
          </w:p>
        </w:tc>
        <w:tc>
          <w:tcPr>
            <w:tcW w:w="851"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60B5AD56" w14:textId="77777777" w:rsidR="002E3180" w:rsidRPr="00A33264" w:rsidRDefault="002E3180" w:rsidP="001C0A6D">
            <w:pPr>
              <w:spacing w:after="0"/>
              <w:jc w:val="right"/>
              <w:rPr>
                <w:lang w:val="en-GB"/>
              </w:rPr>
            </w:pPr>
            <w:r w:rsidRPr="00A33264">
              <w:rPr>
                <w:lang w:val="en-GB"/>
              </w:rPr>
              <w:t>0</w:t>
            </w:r>
          </w:p>
        </w:tc>
        <w:tc>
          <w:tcPr>
            <w:tcW w:w="840"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34C7A97D" w14:textId="77777777" w:rsidR="002E3180" w:rsidRPr="00A33264" w:rsidRDefault="002E3180" w:rsidP="001C0A6D">
            <w:pPr>
              <w:spacing w:after="0"/>
              <w:jc w:val="right"/>
              <w:rPr>
                <w:lang w:val="en-GB"/>
              </w:rPr>
            </w:pPr>
            <w:r w:rsidRPr="00A33264">
              <w:rPr>
                <w:lang w:val="en-GB"/>
              </w:rPr>
              <w:t>0</w:t>
            </w:r>
          </w:p>
        </w:tc>
        <w:tc>
          <w:tcPr>
            <w:tcW w:w="993"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6ABDF3CE" w14:textId="77777777" w:rsidR="002E3180" w:rsidRPr="00A33264" w:rsidRDefault="002E3180" w:rsidP="001C0A6D">
            <w:pPr>
              <w:spacing w:after="0"/>
              <w:jc w:val="right"/>
              <w:rPr>
                <w:lang w:val="en-GB"/>
              </w:rPr>
            </w:pPr>
            <w:r w:rsidRPr="00A33264">
              <w:rPr>
                <w:lang w:val="en-GB"/>
              </w:rPr>
              <w:t>0</w:t>
            </w:r>
          </w:p>
        </w:tc>
        <w:tc>
          <w:tcPr>
            <w:tcW w:w="1416"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143F060C" w14:textId="77777777" w:rsidR="002E3180" w:rsidRPr="00A33264" w:rsidRDefault="002E3180" w:rsidP="001C0A6D">
            <w:pPr>
              <w:spacing w:after="0"/>
              <w:jc w:val="right"/>
              <w:rPr>
                <w:lang w:val="en-GB"/>
              </w:rPr>
            </w:pPr>
            <w:r w:rsidRPr="00A33264">
              <w:rPr>
                <w:lang w:val="en-GB"/>
              </w:rPr>
              <w:t>0</w:t>
            </w:r>
          </w:p>
        </w:tc>
        <w:tc>
          <w:tcPr>
            <w:tcW w:w="1735"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50D7B687" w14:textId="77777777" w:rsidR="002E3180" w:rsidRPr="00A33264" w:rsidRDefault="002E3180" w:rsidP="001C0A6D">
            <w:pPr>
              <w:spacing w:after="0"/>
              <w:jc w:val="right"/>
              <w:rPr>
                <w:lang w:val="en-GB"/>
              </w:rPr>
            </w:pPr>
            <w:r w:rsidRPr="00A33264">
              <w:rPr>
                <w:lang w:val="en-GB"/>
              </w:rPr>
              <w:t>0</w:t>
            </w:r>
          </w:p>
        </w:tc>
        <w:tc>
          <w:tcPr>
            <w:tcW w:w="1275"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7E822D69" w14:textId="77777777" w:rsidR="002E3180" w:rsidRPr="00A33264" w:rsidRDefault="002E3180" w:rsidP="001C0A6D">
            <w:pPr>
              <w:spacing w:after="0"/>
              <w:jc w:val="right"/>
              <w:rPr>
                <w:lang w:val="en-GB"/>
              </w:rPr>
            </w:pPr>
            <w:r w:rsidRPr="00A33264">
              <w:rPr>
                <w:lang w:val="en-GB"/>
              </w:rPr>
              <w:t>0</w:t>
            </w:r>
          </w:p>
        </w:tc>
        <w:tc>
          <w:tcPr>
            <w:tcW w:w="1240"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63150336" w14:textId="77777777" w:rsidR="002E3180" w:rsidRPr="00A33264" w:rsidRDefault="002E3180" w:rsidP="001C0A6D">
            <w:pPr>
              <w:spacing w:after="0"/>
              <w:jc w:val="right"/>
              <w:rPr>
                <w:lang w:val="en-GB"/>
              </w:rPr>
            </w:pPr>
            <w:r w:rsidRPr="00A33264">
              <w:rPr>
                <w:lang w:val="en-GB"/>
              </w:rPr>
              <w:t>0</w:t>
            </w:r>
          </w:p>
        </w:tc>
        <w:tc>
          <w:tcPr>
            <w:tcW w:w="1416"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38292860" w14:textId="77777777" w:rsidR="002E3180" w:rsidRPr="00A33264" w:rsidRDefault="002E3180" w:rsidP="001C0A6D">
            <w:pPr>
              <w:spacing w:after="0"/>
              <w:jc w:val="right"/>
              <w:rPr>
                <w:lang w:val="en-GB"/>
              </w:rPr>
            </w:pPr>
            <w:r w:rsidRPr="00A33264">
              <w:rPr>
                <w:lang w:val="en-GB"/>
              </w:rPr>
              <w:t>0</w:t>
            </w:r>
          </w:p>
        </w:tc>
        <w:tc>
          <w:tcPr>
            <w:tcW w:w="1247"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1DFECB16" w14:textId="77777777" w:rsidR="002E3180" w:rsidRPr="00A33264" w:rsidRDefault="002E3180" w:rsidP="001C0A6D">
            <w:pPr>
              <w:spacing w:after="0"/>
              <w:jc w:val="right"/>
              <w:rPr>
                <w:lang w:val="en-GB"/>
              </w:rPr>
            </w:pPr>
            <w:r w:rsidRPr="00A33264">
              <w:rPr>
                <w:lang w:val="en-GB"/>
              </w:rPr>
              <w:t>0</w:t>
            </w:r>
          </w:p>
        </w:tc>
      </w:tr>
      <w:tr w:rsidR="002E3180" w:rsidRPr="00A33264" w14:paraId="52804F39" w14:textId="77777777" w:rsidTr="00F23525">
        <w:trPr>
          <w:trHeight w:val="454"/>
        </w:trPr>
        <w:tc>
          <w:tcPr>
            <w:tcW w:w="2530" w:type="dxa"/>
            <w:tcBorders>
              <w:top w:val="single" w:sz="4" w:space="0" w:color="auto"/>
              <w:left w:val="single" w:sz="4" w:space="0" w:color="auto"/>
              <w:bottom w:val="single" w:sz="4" w:space="0" w:color="auto"/>
              <w:right w:val="single" w:sz="4" w:space="0" w:color="auto"/>
            </w:tcBorders>
            <w:vAlign w:val="center"/>
            <w:hideMark/>
          </w:tcPr>
          <w:p w14:paraId="6F024443" w14:textId="77777777" w:rsidR="002E3180" w:rsidRPr="00A33264" w:rsidRDefault="002E3180" w:rsidP="001C0A6D">
            <w:pPr>
              <w:spacing w:after="0"/>
              <w:rPr>
                <w:lang w:val="en-GB"/>
              </w:rPr>
            </w:pPr>
            <w:r w:rsidRPr="00A33264">
              <w:rPr>
                <w:lang w:val="en-GB"/>
              </w:rPr>
              <w:t xml:space="preserve"> $420,001 to $445,000 </w:t>
            </w:r>
          </w:p>
        </w:tc>
        <w:tc>
          <w:tcPr>
            <w:tcW w:w="851" w:type="dxa"/>
            <w:tcBorders>
              <w:top w:val="single" w:sz="4" w:space="0" w:color="auto"/>
              <w:left w:val="single" w:sz="4" w:space="0" w:color="auto"/>
              <w:bottom w:val="single" w:sz="4" w:space="0" w:color="auto"/>
              <w:right w:val="single" w:sz="4" w:space="0" w:color="auto"/>
            </w:tcBorders>
            <w:vAlign w:val="center"/>
            <w:hideMark/>
          </w:tcPr>
          <w:p w14:paraId="4501AC69" w14:textId="77777777" w:rsidR="002E3180" w:rsidRPr="00A33264" w:rsidRDefault="002E3180" w:rsidP="001C0A6D">
            <w:pPr>
              <w:spacing w:after="0"/>
              <w:jc w:val="right"/>
              <w:rPr>
                <w:lang w:val="en-GB"/>
              </w:rPr>
            </w:pPr>
            <w:r w:rsidRPr="00A33264">
              <w:rPr>
                <w:lang w:val="en-GB"/>
              </w:rPr>
              <w:t>0</w:t>
            </w:r>
          </w:p>
        </w:tc>
        <w:tc>
          <w:tcPr>
            <w:tcW w:w="840" w:type="dxa"/>
            <w:tcBorders>
              <w:top w:val="single" w:sz="4" w:space="0" w:color="auto"/>
              <w:left w:val="single" w:sz="4" w:space="0" w:color="auto"/>
              <w:bottom w:val="single" w:sz="4" w:space="0" w:color="auto"/>
              <w:right w:val="single" w:sz="4" w:space="0" w:color="auto"/>
            </w:tcBorders>
            <w:vAlign w:val="center"/>
            <w:hideMark/>
          </w:tcPr>
          <w:p w14:paraId="6C400B8A" w14:textId="77777777" w:rsidR="002E3180" w:rsidRPr="00A33264" w:rsidRDefault="002E3180" w:rsidP="001C0A6D">
            <w:pPr>
              <w:spacing w:after="0"/>
              <w:jc w:val="right"/>
              <w:rPr>
                <w:lang w:val="en-GB"/>
              </w:rPr>
            </w:pPr>
            <w:r w:rsidRPr="00A33264">
              <w:rPr>
                <w:lang w:val="en-GB"/>
              </w:rPr>
              <w:t>0</w:t>
            </w:r>
          </w:p>
        </w:tc>
        <w:tc>
          <w:tcPr>
            <w:tcW w:w="993" w:type="dxa"/>
            <w:tcBorders>
              <w:top w:val="single" w:sz="4" w:space="0" w:color="auto"/>
              <w:left w:val="single" w:sz="4" w:space="0" w:color="auto"/>
              <w:bottom w:val="single" w:sz="4" w:space="0" w:color="auto"/>
              <w:right w:val="single" w:sz="4" w:space="0" w:color="auto"/>
            </w:tcBorders>
            <w:vAlign w:val="center"/>
            <w:hideMark/>
          </w:tcPr>
          <w:p w14:paraId="70078D57" w14:textId="77777777" w:rsidR="002E3180" w:rsidRPr="00A33264" w:rsidRDefault="002E3180" w:rsidP="001C0A6D">
            <w:pPr>
              <w:spacing w:after="0"/>
              <w:jc w:val="right"/>
              <w:rPr>
                <w:lang w:val="en-GB"/>
              </w:rPr>
            </w:pPr>
            <w:r w:rsidRPr="00A33264">
              <w:rPr>
                <w:lang w:val="en-GB"/>
              </w:rPr>
              <w:t>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6CC62522" w14:textId="77777777" w:rsidR="002E3180" w:rsidRPr="00A33264" w:rsidRDefault="002E3180" w:rsidP="001C0A6D">
            <w:pPr>
              <w:spacing w:after="0"/>
              <w:jc w:val="right"/>
              <w:rPr>
                <w:lang w:val="en-GB"/>
              </w:rPr>
            </w:pPr>
            <w:r w:rsidRPr="00A33264">
              <w:rPr>
                <w:lang w:val="en-GB"/>
              </w:rPr>
              <w:t>0</w:t>
            </w:r>
          </w:p>
        </w:tc>
        <w:tc>
          <w:tcPr>
            <w:tcW w:w="1735" w:type="dxa"/>
            <w:tcBorders>
              <w:top w:val="single" w:sz="4" w:space="0" w:color="auto"/>
              <w:left w:val="single" w:sz="4" w:space="0" w:color="auto"/>
              <w:bottom w:val="single" w:sz="4" w:space="0" w:color="auto"/>
              <w:right w:val="single" w:sz="4" w:space="0" w:color="auto"/>
            </w:tcBorders>
            <w:vAlign w:val="center"/>
            <w:hideMark/>
          </w:tcPr>
          <w:p w14:paraId="088B842A" w14:textId="77777777" w:rsidR="002E3180" w:rsidRPr="00A33264" w:rsidRDefault="002E3180" w:rsidP="001C0A6D">
            <w:pPr>
              <w:spacing w:after="0"/>
              <w:jc w:val="right"/>
              <w:rPr>
                <w:lang w:val="en-GB"/>
              </w:rPr>
            </w:pPr>
            <w:r w:rsidRPr="00A33264">
              <w:rPr>
                <w:lang w:val="en-GB"/>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B59E7A4" w14:textId="77777777" w:rsidR="002E3180" w:rsidRPr="00A33264" w:rsidRDefault="002E3180" w:rsidP="001C0A6D">
            <w:pPr>
              <w:spacing w:after="0"/>
              <w:jc w:val="right"/>
              <w:rPr>
                <w:lang w:val="en-GB"/>
              </w:rPr>
            </w:pPr>
            <w:r w:rsidRPr="00A33264">
              <w:rPr>
                <w:lang w:val="en-GB"/>
              </w:rPr>
              <w:t>0</w:t>
            </w:r>
          </w:p>
        </w:tc>
        <w:tc>
          <w:tcPr>
            <w:tcW w:w="1240" w:type="dxa"/>
            <w:tcBorders>
              <w:top w:val="single" w:sz="4" w:space="0" w:color="auto"/>
              <w:left w:val="single" w:sz="4" w:space="0" w:color="auto"/>
              <w:bottom w:val="single" w:sz="4" w:space="0" w:color="auto"/>
              <w:right w:val="single" w:sz="4" w:space="0" w:color="auto"/>
            </w:tcBorders>
            <w:vAlign w:val="center"/>
            <w:hideMark/>
          </w:tcPr>
          <w:p w14:paraId="73187B1B" w14:textId="77777777" w:rsidR="002E3180" w:rsidRPr="00A33264" w:rsidRDefault="002E3180" w:rsidP="001C0A6D">
            <w:pPr>
              <w:spacing w:after="0"/>
              <w:jc w:val="right"/>
              <w:rPr>
                <w:lang w:val="en-GB"/>
              </w:rPr>
            </w:pPr>
            <w:r w:rsidRPr="00A33264">
              <w:rPr>
                <w:lang w:val="en-GB"/>
              </w:rPr>
              <w:t>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0D37B6D1" w14:textId="77777777" w:rsidR="002E3180" w:rsidRPr="00A33264" w:rsidRDefault="002E3180" w:rsidP="001C0A6D">
            <w:pPr>
              <w:spacing w:after="0"/>
              <w:jc w:val="right"/>
              <w:rPr>
                <w:lang w:val="en-GB"/>
              </w:rPr>
            </w:pPr>
            <w:r w:rsidRPr="00A33264">
              <w:rPr>
                <w:lang w:val="en-GB"/>
              </w:rPr>
              <w:t>0</w:t>
            </w:r>
          </w:p>
        </w:tc>
        <w:tc>
          <w:tcPr>
            <w:tcW w:w="1247" w:type="dxa"/>
            <w:tcBorders>
              <w:top w:val="single" w:sz="4" w:space="0" w:color="auto"/>
              <w:left w:val="single" w:sz="4" w:space="0" w:color="auto"/>
              <w:bottom w:val="single" w:sz="4" w:space="0" w:color="auto"/>
              <w:right w:val="single" w:sz="4" w:space="0" w:color="auto"/>
            </w:tcBorders>
            <w:vAlign w:val="center"/>
            <w:hideMark/>
          </w:tcPr>
          <w:p w14:paraId="2D6D3B15" w14:textId="77777777" w:rsidR="002E3180" w:rsidRPr="00A33264" w:rsidRDefault="002E3180" w:rsidP="001C0A6D">
            <w:pPr>
              <w:spacing w:after="0"/>
              <w:jc w:val="right"/>
              <w:rPr>
                <w:lang w:val="en-GB"/>
              </w:rPr>
            </w:pPr>
            <w:r w:rsidRPr="00A33264">
              <w:rPr>
                <w:lang w:val="en-GB"/>
              </w:rPr>
              <w:t>0</w:t>
            </w:r>
          </w:p>
        </w:tc>
      </w:tr>
      <w:tr w:rsidR="002E3180" w:rsidRPr="00A33264" w14:paraId="246C310C" w14:textId="77777777" w:rsidTr="00F23525">
        <w:trPr>
          <w:trHeight w:val="454"/>
        </w:trPr>
        <w:tc>
          <w:tcPr>
            <w:tcW w:w="2530"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1F6C1932" w14:textId="77777777" w:rsidR="002E3180" w:rsidRPr="00A33264" w:rsidRDefault="002E3180" w:rsidP="001C0A6D">
            <w:pPr>
              <w:spacing w:after="0"/>
              <w:rPr>
                <w:lang w:val="en-GB"/>
              </w:rPr>
            </w:pPr>
            <w:r w:rsidRPr="00A33264">
              <w:rPr>
                <w:lang w:val="en-GB"/>
              </w:rPr>
              <w:t xml:space="preserve"> $445,001 to $470,000 </w:t>
            </w:r>
          </w:p>
        </w:tc>
        <w:tc>
          <w:tcPr>
            <w:tcW w:w="851"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110F64B0" w14:textId="77777777" w:rsidR="002E3180" w:rsidRPr="00A33264" w:rsidRDefault="002E3180" w:rsidP="001C0A6D">
            <w:pPr>
              <w:spacing w:after="0"/>
              <w:jc w:val="right"/>
              <w:rPr>
                <w:lang w:val="en-GB"/>
              </w:rPr>
            </w:pPr>
            <w:r w:rsidRPr="00A33264">
              <w:rPr>
                <w:lang w:val="en-GB"/>
              </w:rPr>
              <w:t>0</w:t>
            </w:r>
          </w:p>
        </w:tc>
        <w:tc>
          <w:tcPr>
            <w:tcW w:w="840"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16967F65" w14:textId="77777777" w:rsidR="002E3180" w:rsidRPr="00A33264" w:rsidRDefault="002E3180" w:rsidP="001C0A6D">
            <w:pPr>
              <w:spacing w:after="0"/>
              <w:jc w:val="right"/>
              <w:rPr>
                <w:lang w:val="en-GB"/>
              </w:rPr>
            </w:pPr>
            <w:r w:rsidRPr="00A33264">
              <w:rPr>
                <w:lang w:val="en-GB"/>
              </w:rPr>
              <w:t>0</w:t>
            </w:r>
          </w:p>
        </w:tc>
        <w:tc>
          <w:tcPr>
            <w:tcW w:w="993"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26A1F5CC" w14:textId="77777777" w:rsidR="002E3180" w:rsidRPr="00A33264" w:rsidRDefault="002E3180" w:rsidP="001C0A6D">
            <w:pPr>
              <w:spacing w:after="0"/>
              <w:jc w:val="right"/>
              <w:rPr>
                <w:lang w:val="en-GB"/>
              </w:rPr>
            </w:pPr>
            <w:r w:rsidRPr="00A33264">
              <w:rPr>
                <w:lang w:val="en-GB"/>
              </w:rPr>
              <w:t>0</w:t>
            </w:r>
          </w:p>
        </w:tc>
        <w:tc>
          <w:tcPr>
            <w:tcW w:w="1416"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2E5F5E1D" w14:textId="77777777" w:rsidR="002E3180" w:rsidRPr="00A33264" w:rsidRDefault="002E3180" w:rsidP="001C0A6D">
            <w:pPr>
              <w:spacing w:after="0"/>
              <w:jc w:val="right"/>
              <w:rPr>
                <w:lang w:val="en-GB"/>
              </w:rPr>
            </w:pPr>
            <w:r w:rsidRPr="00A33264">
              <w:rPr>
                <w:lang w:val="en-GB"/>
              </w:rPr>
              <w:t>0</w:t>
            </w:r>
          </w:p>
        </w:tc>
        <w:tc>
          <w:tcPr>
            <w:tcW w:w="1735"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1BAA518F" w14:textId="77777777" w:rsidR="002E3180" w:rsidRPr="00A33264" w:rsidRDefault="002E3180" w:rsidP="001C0A6D">
            <w:pPr>
              <w:spacing w:after="0"/>
              <w:jc w:val="right"/>
              <w:rPr>
                <w:lang w:val="en-GB"/>
              </w:rPr>
            </w:pPr>
            <w:r w:rsidRPr="00A33264">
              <w:rPr>
                <w:lang w:val="en-GB"/>
              </w:rPr>
              <w:t>0</w:t>
            </w:r>
          </w:p>
        </w:tc>
        <w:tc>
          <w:tcPr>
            <w:tcW w:w="1275"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70079850" w14:textId="77777777" w:rsidR="002E3180" w:rsidRPr="00A33264" w:rsidRDefault="002E3180" w:rsidP="001C0A6D">
            <w:pPr>
              <w:spacing w:after="0"/>
              <w:jc w:val="right"/>
              <w:rPr>
                <w:lang w:val="en-GB"/>
              </w:rPr>
            </w:pPr>
            <w:r w:rsidRPr="00A33264">
              <w:rPr>
                <w:lang w:val="en-GB"/>
              </w:rPr>
              <w:t>0</w:t>
            </w:r>
          </w:p>
        </w:tc>
        <w:tc>
          <w:tcPr>
            <w:tcW w:w="1240"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6E6B2C32" w14:textId="77777777" w:rsidR="002E3180" w:rsidRPr="00A33264" w:rsidRDefault="002E3180" w:rsidP="001C0A6D">
            <w:pPr>
              <w:spacing w:after="0"/>
              <w:jc w:val="right"/>
              <w:rPr>
                <w:lang w:val="en-GB"/>
              </w:rPr>
            </w:pPr>
            <w:r w:rsidRPr="00A33264">
              <w:rPr>
                <w:lang w:val="en-GB"/>
              </w:rPr>
              <w:t>0</w:t>
            </w:r>
          </w:p>
        </w:tc>
        <w:tc>
          <w:tcPr>
            <w:tcW w:w="1416"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208B732D" w14:textId="77777777" w:rsidR="002E3180" w:rsidRPr="00A33264" w:rsidRDefault="002E3180" w:rsidP="001C0A6D">
            <w:pPr>
              <w:spacing w:after="0"/>
              <w:jc w:val="right"/>
              <w:rPr>
                <w:lang w:val="en-GB"/>
              </w:rPr>
            </w:pPr>
            <w:r w:rsidRPr="00A33264">
              <w:rPr>
                <w:lang w:val="en-GB"/>
              </w:rPr>
              <w:t>0</w:t>
            </w:r>
          </w:p>
        </w:tc>
        <w:tc>
          <w:tcPr>
            <w:tcW w:w="1247"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20CE4650" w14:textId="77777777" w:rsidR="002E3180" w:rsidRPr="00A33264" w:rsidRDefault="002E3180" w:rsidP="001C0A6D">
            <w:pPr>
              <w:spacing w:after="0"/>
              <w:jc w:val="right"/>
              <w:rPr>
                <w:lang w:val="en-GB"/>
              </w:rPr>
            </w:pPr>
            <w:r w:rsidRPr="00A33264">
              <w:rPr>
                <w:lang w:val="en-GB"/>
              </w:rPr>
              <w:t>0</w:t>
            </w:r>
          </w:p>
        </w:tc>
      </w:tr>
      <w:tr w:rsidR="002E3180" w:rsidRPr="00A33264" w14:paraId="35BEE472" w14:textId="77777777" w:rsidTr="00F23525">
        <w:trPr>
          <w:trHeight w:val="454"/>
        </w:trPr>
        <w:tc>
          <w:tcPr>
            <w:tcW w:w="2530" w:type="dxa"/>
            <w:tcBorders>
              <w:top w:val="single" w:sz="4" w:space="0" w:color="auto"/>
              <w:left w:val="single" w:sz="4" w:space="0" w:color="auto"/>
              <w:bottom w:val="single" w:sz="4" w:space="0" w:color="auto"/>
              <w:right w:val="single" w:sz="4" w:space="0" w:color="auto"/>
            </w:tcBorders>
            <w:vAlign w:val="center"/>
            <w:hideMark/>
          </w:tcPr>
          <w:p w14:paraId="65A265DC" w14:textId="77777777" w:rsidR="002E3180" w:rsidRPr="00A33264" w:rsidRDefault="002E3180" w:rsidP="001C0A6D">
            <w:pPr>
              <w:spacing w:after="0"/>
              <w:rPr>
                <w:lang w:val="en-GB"/>
              </w:rPr>
            </w:pPr>
            <w:r w:rsidRPr="00A33264">
              <w:rPr>
                <w:lang w:val="en-GB"/>
              </w:rPr>
              <w:t xml:space="preserve"> $470,001 to $495,000 </w:t>
            </w:r>
          </w:p>
        </w:tc>
        <w:tc>
          <w:tcPr>
            <w:tcW w:w="851" w:type="dxa"/>
            <w:tcBorders>
              <w:top w:val="single" w:sz="4" w:space="0" w:color="auto"/>
              <w:left w:val="single" w:sz="4" w:space="0" w:color="auto"/>
              <w:bottom w:val="single" w:sz="4" w:space="0" w:color="auto"/>
              <w:right w:val="single" w:sz="4" w:space="0" w:color="auto"/>
            </w:tcBorders>
            <w:vAlign w:val="center"/>
            <w:hideMark/>
          </w:tcPr>
          <w:p w14:paraId="222A9439" w14:textId="77777777" w:rsidR="002E3180" w:rsidRPr="00A33264" w:rsidRDefault="002E3180" w:rsidP="001C0A6D">
            <w:pPr>
              <w:spacing w:after="0"/>
              <w:jc w:val="right"/>
              <w:rPr>
                <w:lang w:val="en-GB"/>
              </w:rPr>
            </w:pPr>
            <w:r w:rsidRPr="00A33264">
              <w:rPr>
                <w:lang w:val="en-GB"/>
              </w:rPr>
              <w:t>0</w:t>
            </w:r>
          </w:p>
        </w:tc>
        <w:tc>
          <w:tcPr>
            <w:tcW w:w="840" w:type="dxa"/>
            <w:tcBorders>
              <w:top w:val="single" w:sz="4" w:space="0" w:color="auto"/>
              <w:left w:val="single" w:sz="4" w:space="0" w:color="auto"/>
              <w:bottom w:val="single" w:sz="4" w:space="0" w:color="auto"/>
              <w:right w:val="single" w:sz="4" w:space="0" w:color="auto"/>
            </w:tcBorders>
            <w:vAlign w:val="center"/>
            <w:hideMark/>
          </w:tcPr>
          <w:p w14:paraId="56850661" w14:textId="77777777" w:rsidR="002E3180" w:rsidRPr="00A33264" w:rsidRDefault="002E3180" w:rsidP="001C0A6D">
            <w:pPr>
              <w:spacing w:after="0"/>
              <w:jc w:val="right"/>
              <w:rPr>
                <w:lang w:val="en-GB"/>
              </w:rPr>
            </w:pPr>
            <w:r w:rsidRPr="00A33264">
              <w:rPr>
                <w:lang w:val="en-GB"/>
              </w:rPr>
              <w:t>0</w:t>
            </w:r>
          </w:p>
        </w:tc>
        <w:tc>
          <w:tcPr>
            <w:tcW w:w="993" w:type="dxa"/>
            <w:tcBorders>
              <w:top w:val="single" w:sz="4" w:space="0" w:color="auto"/>
              <w:left w:val="single" w:sz="4" w:space="0" w:color="auto"/>
              <w:bottom w:val="single" w:sz="4" w:space="0" w:color="auto"/>
              <w:right w:val="single" w:sz="4" w:space="0" w:color="auto"/>
            </w:tcBorders>
            <w:vAlign w:val="center"/>
            <w:hideMark/>
          </w:tcPr>
          <w:p w14:paraId="48528F81" w14:textId="77777777" w:rsidR="002E3180" w:rsidRPr="00A33264" w:rsidRDefault="002E3180" w:rsidP="001C0A6D">
            <w:pPr>
              <w:spacing w:after="0"/>
              <w:jc w:val="right"/>
              <w:rPr>
                <w:lang w:val="en-GB"/>
              </w:rPr>
            </w:pPr>
            <w:r w:rsidRPr="00A33264">
              <w:rPr>
                <w:lang w:val="en-GB"/>
              </w:rPr>
              <w:t>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225820A8" w14:textId="77777777" w:rsidR="002E3180" w:rsidRPr="00A33264" w:rsidRDefault="002E3180" w:rsidP="001C0A6D">
            <w:pPr>
              <w:spacing w:after="0"/>
              <w:jc w:val="right"/>
              <w:rPr>
                <w:lang w:val="en-GB"/>
              </w:rPr>
            </w:pPr>
            <w:r w:rsidRPr="00A33264">
              <w:rPr>
                <w:lang w:val="en-GB"/>
              </w:rPr>
              <w:t>0</w:t>
            </w:r>
          </w:p>
        </w:tc>
        <w:tc>
          <w:tcPr>
            <w:tcW w:w="1735" w:type="dxa"/>
            <w:tcBorders>
              <w:top w:val="single" w:sz="4" w:space="0" w:color="auto"/>
              <w:left w:val="single" w:sz="4" w:space="0" w:color="auto"/>
              <w:bottom w:val="single" w:sz="4" w:space="0" w:color="auto"/>
              <w:right w:val="single" w:sz="4" w:space="0" w:color="auto"/>
            </w:tcBorders>
            <w:vAlign w:val="center"/>
            <w:hideMark/>
          </w:tcPr>
          <w:p w14:paraId="29E989E0" w14:textId="77777777" w:rsidR="002E3180" w:rsidRPr="00A33264" w:rsidRDefault="002E3180" w:rsidP="001C0A6D">
            <w:pPr>
              <w:spacing w:after="0"/>
              <w:jc w:val="right"/>
              <w:rPr>
                <w:lang w:val="en-GB"/>
              </w:rPr>
            </w:pPr>
            <w:r w:rsidRPr="00A33264">
              <w:rPr>
                <w:lang w:val="en-GB"/>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F5B1CBB" w14:textId="77777777" w:rsidR="002E3180" w:rsidRPr="00A33264" w:rsidRDefault="002E3180" w:rsidP="001C0A6D">
            <w:pPr>
              <w:spacing w:after="0"/>
              <w:jc w:val="right"/>
              <w:rPr>
                <w:lang w:val="en-GB"/>
              </w:rPr>
            </w:pPr>
            <w:r w:rsidRPr="00A33264">
              <w:rPr>
                <w:lang w:val="en-GB"/>
              </w:rPr>
              <w:t>0</w:t>
            </w:r>
          </w:p>
        </w:tc>
        <w:tc>
          <w:tcPr>
            <w:tcW w:w="1240" w:type="dxa"/>
            <w:tcBorders>
              <w:top w:val="single" w:sz="4" w:space="0" w:color="auto"/>
              <w:left w:val="single" w:sz="4" w:space="0" w:color="auto"/>
              <w:bottom w:val="single" w:sz="4" w:space="0" w:color="auto"/>
              <w:right w:val="single" w:sz="4" w:space="0" w:color="auto"/>
            </w:tcBorders>
            <w:vAlign w:val="center"/>
            <w:hideMark/>
          </w:tcPr>
          <w:p w14:paraId="656A2146" w14:textId="77777777" w:rsidR="002E3180" w:rsidRPr="00A33264" w:rsidRDefault="002E3180" w:rsidP="001C0A6D">
            <w:pPr>
              <w:spacing w:after="0"/>
              <w:jc w:val="right"/>
              <w:rPr>
                <w:lang w:val="en-GB"/>
              </w:rPr>
            </w:pPr>
            <w:r w:rsidRPr="00A33264">
              <w:rPr>
                <w:lang w:val="en-GB"/>
              </w:rPr>
              <w:t>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338B77A3" w14:textId="77777777" w:rsidR="002E3180" w:rsidRPr="00A33264" w:rsidRDefault="002E3180" w:rsidP="001C0A6D">
            <w:pPr>
              <w:spacing w:after="0"/>
              <w:jc w:val="right"/>
              <w:rPr>
                <w:lang w:val="en-GB"/>
              </w:rPr>
            </w:pPr>
            <w:r w:rsidRPr="00A33264">
              <w:rPr>
                <w:lang w:val="en-GB"/>
              </w:rPr>
              <w:t>0</w:t>
            </w:r>
          </w:p>
        </w:tc>
        <w:tc>
          <w:tcPr>
            <w:tcW w:w="1247" w:type="dxa"/>
            <w:tcBorders>
              <w:top w:val="single" w:sz="4" w:space="0" w:color="auto"/>
              <w:left w:val="single" w:sz="4" w:space="0" w:color="auto"/>
              <w:bottom w:val="single" w:sz="4" w:space="0" w:color="auto"/>
              <w:right w:val="single" w:sz="4" w:space="0" w:color="auto"/>
            </w:tcBorders>
            <w:vAlign w:val="center"/>
            <w:hideMark/>
          </w:tcPr>
          <w:p w14:paraId="08796FB3" w14:textId="77777777" w:rsidR="002E3180" w:rsidRPr="00A33264" w:rsidRDefault="002E3180" w:rsidP="001C0A6D">
            <w:pPr>
              <w:spacing w:after="0"/>
              <w:jc w:val="right"/>
              <w:rPr>
                <w:lang w:val="en-GB"/>
              </w:rPr>
            </w:pPr>
            <w:r w:rsidRPr="00A33264">
              <w:rPr>
                <w:lang w:val="en-GB"/>
              </w:rPr>
              <w:t>0</w:t>
            </w:r>
          </w:p>
        </w:tc>
      </w:tr>
      <w:tr w:rsidR="002E3180" w:rsidRPr="00A33264" w14:paraId="3454DC51" w14:textId="77777777" w:rsidTr="00F23525">
        <w:trPr>
          <w:trHeight w:val="454"/>
        </w:trPr>
        <w:tc>
          <w:tcPr>
            <w:tcW w:w="2530"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774EA8A7" w14:textId="77777777" w:rsidR="002E3180" w:rsidRPr="00A33264" w:rsidRDefault="002E3180" w:rsidP="001C0A6D">
            <w:pPr>
              <w:spacing w:after="0"/>
              <w:rPr>
                <w:lang w:val="en-GB"/>
              </w:rPr>
            </w:pPr>
            <w:r w:rsidRPr="00A33264">
              <w:rPr>
                <w:lang w:val="en-GB"/>
              </w:rPr>
              <w:t>$495,001 and above</w:t>
            </w:r>
          </w:p>
        </w:tc>
        <w:tc>
          <w:tcPr>
            <w:tcW w:w="851"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1FA8F433" w14:textId="77777777" w:rsidR="002E3180" w:rsidRPr="00A33264" w:rsidRDefault="002E3180" w:rsidP="001C0A6D">
            <w:pPr>
              <w:spacing w:after="0"/>
              <w:jc w:val="right"/>
              <w:rPr>
                <w:lang w:val="en-GB"/>
              </w:rPr>
            </w:pPr>
            <w:r w:rsidRPr="00A33264">
              <w:rPr>
                <w:lang w:val="en-GB"/>
              </w:rPr>
              <w:t>0</w:t>
            </w:r>
          </w:p>
        </w:tc>
        <w:tc>
          <w:tcPr>
            <w:tcW w:w="840"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2FAD00CD" w14:textId="77777777" w:rsidR="002E3180" w:rsidRPr="00A33264" w:rsidRDefault="002E3180" w:rsidP="001C0A6D">
            <w:pPr>
              <w:spacing w:after="0"/>
              <w:jc w:val="right"/>
              <w:rPr>
                <w:lang w:val="en-GB"/>
              </w:rPr>
            </w:pPr>
            <w:r w:rsidRPr="00A33264">
              <w:rPr>
                <w:lang w:val="en-GB"/>
              </w:rPr>
              <w:t>0</w:t>
            </w:r>
          </w:p>
        </w:tc>
        <w:tc>
          <w:tcPr>
            <w:tcW w:w="993"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1B047BC3" w14:textId="77777777" w:rsidR="002E3180" w:rsidRPr="00A33264" w:rsidRDefault="002E3180" w:rsidP="001C0A6D">
            <w:pPr>
              <w:spacing w:after="0"/>
              <w:jc w:val="right"/>
              <w:rPr>
                <w:lang w:val="en-GB"/>
              </w:rPr>
            </w:pPr>
            <w:r w:rsidRPr="00A33264">
              <w:rPr>
                <w:lang w:val="en-GB"/>
              </w:rPr>
              <w:t>0</w:t>
            </w:r>
          </w:p>
        </w:tc>
        <w:tc>
          <w:tcPr>
            <w:tcW w:w="1416"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160C9FAA" w14:textId="77777777" w:rsidR="002E3180" w:rsidRPr="00A33264" w:rsidRDefault="002E3180" w:rsidP="001C0A6D">
            <w:pPr>
              <w:spacing w:after="0"/>
              <w:jc w:val="right"/>
              <w:rPr>
                <w:lang w:val="en-GB"/>
              </w:rPr>
            </w:pPr>
            <w:r w:rsidRPr="00A33264">
              <w:rPr>
                <w:lang w:val="en-GB"/>
              </w:rPr>
              <w:t>0</w:t>
            </w:r>
          </w:p>
        </w:tc>
        <w:tc>
          <w:tcPr>
            <w:tcW w:w="1735"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7D55FC98" w14:textId="77777777" w:rsidR="002E3180" w:rsidRPr="00A33264" w:rsidRDefault="002E3180" w:rsidP="001C0A6D">
            <w:pPr>
              <w:spacing w:after="0"/>
              <w:jc w:val="right"/>
              <w:rPr>
                <w:lang w:val="en-GB"/>
              </w:rPr>
            </w:pPr>
            <w:r w:rsidRPr="00A33264">
              <w:rPr>
                <w:lang w:val="en-GB"/>
              </w:rPr>
              <w:t>0</w:t>
            </w:r>
          </w:p>
        </w:tc>
        <w:tc>
          <w:tcPr>
            <w:tcW w:w="1275"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66C84A21" w14:textId="77777777" w:rsidR="002E3180" w:rsidRPr="00A33264" w:rsidRDefault="002E3180" w:rsidP="001C0A6D">
            <w:pPr>
              <w:spacing w:after="0"/>
              <w:jc w:val="right"/>
              <w:rPr>
                <w:lang w:val="en-GB"/>
              </w:rPr>
            </w:pPr>
            <w:r w:rsidRPr="00A33264">
              <w:rPr>
                <w:lang w:val="en-GB"/>
              </w:rPr>
              <w:t>0</w:t>
            </w:r>
          </w:p>
        </w:tc>
        <w:tc>
          <w:tcPr>
            <w:tcW w:w="1240"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2CD0B805" w14:textId="77777777" w:rsidR="002E3180" w:rsidRPr="00A33264" w:rsidRDefault="002E3180" w:rsidP="001C0A6D">
            <w:pPr>
              <w:spacing w:after="0"/>
              <w:jc w:val="right"/>
              <w:rPr>
                <w:lang w:val="en-GB"/>
              </w:rPr>
            </w:pPr>
            <w:r w:rsidRPr="00A33264">
              <w:rPr>
                <w:lang w:val="en-GB"/>
              </w:rPr>
              <w:t>0</w:t>
            </w:r>
          </w:p>
        </w:tc>
        <w:tc>
          <w:tcPr>
            <w:tcW w:w="1416"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5E305E19" w14:textId="77777777" w:rsidR="002E3180" w:rsidRPr="00A33264" w:rsidRDefault="002E3180" w:rsidP="001C0A6D">
            <w:pPr>
              <w:spacing w:after="0"/>
              <w:jc w:val="right"/>
              <w:rPr>
                <w:lang w:val="en-GB"/>
              </w:rPr>
            </w:pPr>
            <w:r w:rsidRPr="00A33264">
              <w:rPr>
                <w:lang w:val="en-GB"/>
              </w:rPr>
              <w:t>0</w:t>
            </w:r>
          </w:p>
        </w:tc>
        <w:tc>
          <w:tcPr>
            <w:tcW w:w="1247" w:type="dxa"/>
            <w:tcBorders>
              <w:top w:val="single" w:sz="4" w:space="0" w:color="auto"/>
              <w:left w:val="single" w:sz="4" w:space="0" w:color="auto"/>
              <w:bottom w:val="single" w:sz="4" w:space="0" w:color="auto"/>
              <w:right w:val="single" w:sz="4" w:space="0" w:color="auto"/>
            </w:tcBorders>
            <w:shd w:val="clear" w:color="auto" w:fill="F7EEF7"/>
            <w:vAlign w:val="center"/>
            <w:hideMark/>
          </w:tcPr>
          <w:p w14:paraId="0096CD76" w14:textId="77777777" w:rsidR="002E3180" w:rsidRPr="00A33264" w:rsidRDefault="002E3180" w:rsidP="001C0A6D">
            <w:pPr>
              <w:spacing w:after="0"/>
              <w:jc w:val="right"/>
              <w:rPr>
                <w:lang w:val="en-GB"/>
              </w:rPr>
            </w:pPr>
            <w:r w:rsidRPr="00A33264">
              <w:rPr>
                <w:lang w:val="en-GB"/>
              </w:rPr>
              <w:t>0</w:t>
            </w:r>
          </w:p>
        </w:tc>
      </w:tr>
    </w:tbl>
    <w:p w14:paraId="59FB7640" w14:textId="77777777" w:rsidR="002E3180" w:rsidRPr="00A33264" w:rsidRDefault="002E3180" w:rsidP="00255A26">
      <w:pPr>
        <w:rPr>
          <w:lang w:val="en-GB"/>
        </w:rPr>
      </w:pPr>
    </w:p>
    <w:p w14:paraId="4CA36D05" w14:textId="77777777" w:rsidR="00E70ACE" w:rsidRPr="00A33264" w:rsidRDefault="00E70ACE" w:rsidP="00255A26">
      <w:pPr>
        <w:pStyle w:val="Heading3"/>
        <w:rPr>
          <w:lang w:val="en-GB"/>
        </w:rPr>
        <w:sectPr w:rsidR="00E70ACE" w:rsidRPr="00A33264" w:rsidSect="00F23525">
          <w:footerReference w:type="default" r:id="rId95"/>
          <w:headerReference w:type="first" r:id="rId96"/>
          <w:footerReference w:type="first" r:id="rId97"/>
          <w:pgSz w:w="16838" w:h="11906" w:orient="landscape" w:code="9"/>
          <w:pgMar w:top="1361" w:right="1361" w:bottom="1361" w:left="1361" w:header="561" w:footer="374" w:gutter="0"/>
          <w:cols w:space="708"/>
          <w:titlePg/>
          <w:docGrid w:linePitch="360"/>
        </w:sectPr>
      </w:pPr>
      <w:bookmarkStart w:id="378" w:name="_Toc169593001"/>
      <w:bookmarkStart w:id="379" w:name="_Toc174354212"/>
    </w:p>
    <w:p w14:paraId="3D153A42" w14:textId="197A2553" w:rsidR="00255A26" w:rsidRPr="00A33264" w:rsidRDefault="00255A26" w:rsidP="00255A26">
      <w:pPr>
        <w:pStyle w:val="Heading3"/>
        <w:rPr>
          <w:lang w:val="en-GB"/>
        </w:rPr>
      </w:pPr>
      <w:bookmarkStart w:id="380" w:name="_Toc175316916"/>
      <w:bookmarkStart w:id="381" w:name="_Toc176786407"/>
      <w:bookmarkStart w:id="382" w:name="_Toc180505689"/>
      <w:r w:rsidRPr="00A33264">
        <w:rPr>
          <w:lang w:val="en-GB"/>
        </w:rPr>
        <w:lastRenderedPageBreak/>
        <w:t>Reports by parliamentary committees</w:t>
      </w:r>
      <w:bookmarkEnd w:id="378"/>
      <w:bookmarkEnd w:id="379"/>
      <w:bookmarkEnd w:id="380"/>
      <w:bookmarkEnd w:id="381"/>
      <w:bookmarkEnd w:id="382"/>
    </w:p>
    <w:p w14:paraId="4971A7EA" w14:textId="5ADFAEF3" w:rsidR="000175BD" w:rsidRPr="00A33264" w:rsidRDefault="000175BD" w:rsidP="00763AF2">
      <w:pPr>
        <w:pStyle w:val="Heading4"/>
        <w:rPr>
          <w:lang w:val="en-GB"/>
        </w:rPr>
      </w:pPr>
      <w:r w:rsidRPr="00A33264">
        <w:rPr>
          <w:lang w:val="en-GB"/>
        </w:rPr>
        <w:t>Joint Standing Committee on the National Disability Insurance Scheme</w:t>
      </w:r>
    </w:p>
    <w:p w14:paraId="3052E96B" w14:textId="52477A57" w:rsidR="006520F1" w:rsidRPr="00A33264" w:rsidRDefault="006520F1" w:rsidP="006520F1">
      <w:pPr>
        <w:rPr>
          <w:lang w:val="en-GB"/>
        </w:rPr>
      </w:pPr>
      <w:r w:rsidRPr="00A33264">
        <w:rPr>
          <w:lang w:val="en-GB"/>
        </w:rPr>
        <w:t xml:space="preserve">In 2023–24 the NDIA participated in 3 inquiries by the Joint Standing Committee on the </w:t>
      </w:r>
      <w:r w:rsidR="00CA5D3C">
        <w:rPr>
          <w:lang w:val="en-GB"/>
        </w:rPr>
        <w:t>NDIS</w:t>
      </w:r>
      <w:r w:rsidRPr="00A33264">
        <w:rPr>
          <w:lang w:val="en-GB"/>
        </w:rPr>
        <w:t>:</w:t>
      </w:r>
    </w:p>
    <w:p w14:paraId="77D1744D" w14:textId="400CDEBF" w:rsidR="006520F1" w:rsidRPr="00A33264" w:rsidRDefault="00591C73" w:rsidP="006520F1">
      <w:pPr>
        <w:pStyle w:val="Bullet1"/>
        <w:rPr>
          <w:lang w:val="en-GB"/>
        </w:rPr>
      </w:pPr>
      <w:r>
        <w:rPr>
          <w:lang w:val="en-GB"/>
        </w:rPr>
        <w:t>an i</w:t>
      </w:r>
      <w:r w:rsidR="006520F1" w:rsidRPr="00A33264">
        <w:rPr>
          <w:lang w:val="en-GB"/>
        </w:rPr>
        <w:t xml:space="preserve">nquiry into </w:t>
      </w:r>
      <w:r>
        <w:rPr>
          <w:lang w:val="en-GB"/>
        </w:rPr>
        <w:t>g</w:t>
      </w:r>
      <w:r w:rsidR="006520F1" w:rsidRPr="00A33264">
        <w:rPr>
          <w:lang w:val="en-GB"/>
        </w:rPr>
        <w:t xml:space="preserve">eneral </w:t>
      </w:r>
      <w:r>
        <w:rPr>
          <w:lang w:val="en-GB"/>
        </w:rPr>
        <w:t>i</w:t>
      </w:r>
      <w:r w:rsidR="006520F1" w:rsidRPr="00A33264">
        <w:rPr>
          <w:lang w:val="en-GB"/>
        </w:rPr>
        <w:t xml:space="preserve">ssues around the </w:t>
      </w:r>
      <w:r w:rsidR="00AF66ED">
        <w:rPr>
          <w:lang w:val="en-GB"/>
        </w:rPr>
        <w:t>i</w:t>
      </w:r>
      <w:r w:rsidR="006520F1" w:rsidRPr="00A33264">
        <w:rPr>
          <w:lang w:val="en-GB"/>
        </w:rPr>
        <w:t xml:space="preserve">mplementation and </w:t>
      </w:r>
      <w:r w:rsidR="00AF66ED">
        <w:rPr>
          <w:lang w:val="en-GB"/>
        </w:rPr>
        <w:t>p</w:t>
      </w:r>
      <w:r w:rsidR="006520F1" w:rsidRPr="00A33264">
        <w:rPr>
          <w:lang w:val="en-GB"/>
        </w:rPr>
        <w:t>erformance of the NDIS</w:t>
      </w:r>
    </w:p>
    <w:p w14:paraId="3967A449" w14:textId="7ECCD37E" w:rsidR="006520F1" w:rsidRPr="00A33264" w:rsidRDefault="00591C73" w:rsidP="006520F1">
      <w:pPr>
        <w:pStyle w:val="Bullet1"/>
        <w:rPr>
          <w:lang w:val="en-GB"/>
        </w:rPr>
      </w:pPr>
      <w:r>
        <w:rPr>
          <w:lang w:val="en-GB"/>
        </w:rPr>
        <w:t>an i</w:t>
      </w:r>
      <w:r w:rsidR="006520F1" w:rsidRPr="00A33264">
        <w:rPr>
          <w:lang w:val="en-GB"/>
        </w:rPr>
        <w:t xml:space="preserve">nquiry into </w:t>
      </w:r>
      <w:r>
        <w:rPr>
          <w:lang w:val="en-GB"/>
        </w:rPr>
        <w:t>c</w:t>
      </w:r>
      <w:r w:rsidR="006520F1" w:rsidRPr="00A33264">
        <w:rPr>
          <w:lang w:val="en-GB"/>
        </w:rPr>
        <w:t xml:space="preserve">apability and </w:t>
      </w:r>
      <w:r>
        <w:rPr>
          <w:lang w:val="en-GB"/>
        </w:rPr>
        <w:t>c</w:t>
      </w:r>
      <w:r w:rsidR="006520F1" w:rsidRPr="00A33264">
        <w:rPr>
          <w:lang w:val="en-GB"/>
        </w:rPr>
        <w:t>ulture of the NDIA</w:t>
      </w:r>
    </w:p>
    <w:p w14:paraId="5816572A" w14:textId="12DA95A4" w:rsidR="006520F1" w:rsidRPr="00A33264" w:rsidRDefault="00591C73" w:rsidP="006520F1">
      <w:pPr>
        <w:pStyle w:val="Bullet1"/>
        <w:rPr>
          <w:lang w:val="en-GB"/>
        </w:rPr>
      </w:pPr>
      <w:r>
        <w:rPr>
          <w:lang w:val="en-GB"/>
        </w:rPr>
        <w:t>an</w:t>
      </w:r>
      <w:r w:rsidR="002F48B3">
        <w:rPr>
          <w:lang w:val="en-GB"/>
        </w:rPr>
        <w:t xml:space="preserve"> </w:t>
      </w:r>
      <w:r>
        <w:rPr>
          <w:lang w:val="en-GB"/>
        </w:rPr>
        <w:t>i</w:t>
      </w:r>
      <w:r w:rsidR="006520F1" w:rsidRPr="00A33264">
        <w:rPr>
          <w:lang w:val="en-GB"/>
        </w:rPr>
        <w:t>nquiry into NDIS participant experience in rural, regional and remote Australia.</w:t>
      </w:r>
    </w:p>
    <w:p w14:paraId="6857E9FC" w14:textId="3AE42AC0" w:rsidR="000175BD" w:rsidRDefault="006520F1" w:rsidP="006520F1">
      <w:pPr>
        <w:rPr>
          <w:lang w:val="en-GB"/>
        </w:rPr>
      </w:pPr>
      <w:r w:rsidRPr="00A33264">
        <w:rPr>
          <w:lang w:val="en-GB"/>
        </w:rPr>
        <w:t xml:space="preserve">In 2023–24 the </w:t>
      </w:r>
      <w:r w:rsidR="00591C73">
        <w:rPr>
          <w:lang w:val="en-GB"/>
        </w:rPr>
        <w:t>c</w:t>
      </w:r>
      <w:r w:rsidRPr="00A33264">
        <w:rPr>
          <w:lang w:val="en-GB"/>
        </w:rPr>
        <w:t xml:space="preserve">ommittee tabled one final report of the </w:t>
      </w:r>
      <w:r w:rsidR="00591C73">
        <w:rPr>
          <w:lang w:val="en-GB"/>
        </w:rPr>
        <w:t>c</w:t>
      </w:r>
      <w:r w:rsidRPr="00A33264">
        <w:rPr>
          <w:lang w:val="en-GB"/>
        </w:rPr>
        <w:t xml:space="preserve">apability and </w:t>
      </w:r>
      <w:r w:rsidR="00591C73">
        <w:rPr>
          <w:lang w:val="en-GB"/>
        </w:rPr>
        <w:t>c</w:t>
      </w:r>
      <w:r w:rsidRPr="00A33264">
        <w:rPr>
          <w:lang w:val="en-GB"/>
        </w:rPr>
        <w:t xml:space="preserve">ulture </w:t>
      </w:r>
      <w:r w:rsidR="00591C73">
        <w:rPr>
          <w:lang w:val="en-GB"/>
        </w:rPr>
        <w:t>inquiry</w:t>
      </w:r>
      <w:r w:rsidRPr="00A33264">
        <w:rPr>
          <w:lang w:val="en-GB"/>
        </w:rPr>
        <w:t xml:space="preserve"> and the </w:t>
      </w:r>
      <w:r w:rsidRPr="00F86FC3">
        <w:rPr>
          <w:i/>
          <w:lang w:val="en-GB"/>
        </w:rPr>
        <w:t>General Issues – Annual Report No. 1 of the 47th Parliament</w:t>
      </w:r>
      <w:r w:rsidRPr="00A33264">
        <w:rPr>
          <w:lang w:val="en-GB"/>
        </w:rPr>
        <w:t>.</w:t>
      </w:r>
    </w:p>
    <w:p w14:paraId="14A6FDFE" w14:textId="1280BD62" w:rsidR="00907B76" w:rsidRPr="00A33264" w:rsidRDefault="00907B76" w:rsidP="006520F1">
      <w:pPr>
        <w:rPr>
          <w:lang w:val="en-GB"/>
        </w:rPr>
      </w:pPr>
      <w:r>
        <w:rPr>
          <w:lang w:val="en-GB"/>
        </w:rPr>
        <w:t xml:space="preserve">Note: </w:t>
      </w:r>
      <w:r w:rsidRPr="006520F1">
        <w:t xml:space="preserve">A Joint Standing Committee on the </w:t>
      </w:r>
      <w:r w:rsidR="00CA5D3C">
        <w:t>NDIS</w:t>
      </w:r>
      <w:r w:rsidRPr="006520F1">
        <w:t xml:space="preserve"> also operated under the previous parliament, from 2019 until the dissolution of the House of Representatives for the May 2022 federal election</w:t>
      </w:r>
      <w:r w:rsidR="004364A0">
        <w:t>.</w:t>
      </w:r>
    </w:p>
    <w:p w14:paraId="492D425E" w14:textId="0508A8B4" w:rsidR="000175BD" w:rsidRPr="00A33264" w:rsidRDefault="000175BD" w:rsidP="00763AF2">
      <w:pPr>
        <w:pStyle w:val="Heading4"/>
        <w:rPr>
          <w:lang w:val="en-GB"/>
        </w:rPr>
      </w:pPr>
      <w:r w:rsidRPr="00A33264">
        <w:rPr>
          <w:lang w:val="en-GB"/>
        </w:rPr>
        <w:t>Senate Standing Committee</w:t>
      </w:r>
      <w:r w:rsidR="006520F1" w:rsidRPr="00A33264">
        <w:rPr>
          <w:lang w:val="en-GB"/>
        </w:rPr>
        <w:t>s</w:t>
      </w:r>
      <w:r w:rsidRPr="00A33264">
        <w:rPr>
          <w:lang w:val="en-GB"/>
        </w:rPr>
        <w:t xml:space="preserve"> on Community Affairs</w:t>
      </w:r>
    </w:p>
    <w:p w14:paraId="1F3AD229" w14:textId="73A08969" w:rsidR="006520F1" w:rsidRPr="00A33264" w:rsidRDefault="006520F1" w:rsidP="006520F1">
      <w:pPr>
        <w:rPr>
          <w:lang w:val="en-GB"/>
        </w:rPr>
      </w:pPr>
      <w:r w:rsidRPr="00A33264">
        <w:rPr>
          <w:lang w:val="en-GB"/>
        </w:rPr>
        <w:t xml:space="preserve">In 2023–24 the NDIA appeared at 4 Senate </w:t>
      </w:r>
      <w:r w:rsidR="00907B76">
        <w:rPr>
          <w:lang w:val="en-GB"/>
        </w:rPr>
        <w:t>e</w:t>
      </w:r>
      <w:r w:rsidRPr="00A33264">
        <w:rPr>
          <w:lang w:val="en-GB"/>
        </w:rPr>
        <w:t>stimates hearings before the Senate Community Affairs</w:t>
      </w:r>
      <w:r w:rsidR="00907B76">
        <w:rPr>
          <w:lang w:val="en-GB"/>
        </w:rPr>
        <w:t xml:space="preserve"> Legislation Committee</w:t>
      </w:r>
      <w:r w:rsidRPr="00A33264">
        <w:rPr>
          <w:lang w:val="en-GB"/>
        </w:rPr>
        <w:t xml:space="preserve"> for Budget, </w:t>
      </w:r>
      <w:r w:rsidR="00907B76">
        <w:rPr>
          <w:lang w:val="en-GB"/>
        </w:rPr>
        <w:t>s</w:t>
      </w:r>
      <w:r w:rsidRPr="00A33264">
        <w:rPr>
          <w:lang w:val="en-GB"/>
        </w:rPr>
        <w:t xml:space="preserve">upplementary and </w:t>
      </w:r>
      <w:r w:rsidR="00907B76">
        <w:rPr>
          <w:lang w:val="en-GB"/>
        </w:rPr>
        <w:t>a</w:t>
      </w:r>
      <w:r w:rsidRPr="00A33264">
        <w:rPr>
          <w:lang w:val="en-GB"/>
        </w:rPr>
        <w:t xml:space="preserve">dditional </w:t>
      </w:r>
      <w:r w:rsidR="00907B76">
        <w:rPr>
          <w:lang w:val="en-GB"/>
        </w:rPr>
        <w:t>e</w:t>
      </w:r>
      <w:r w:rsidRPr="00A33264">
        <w:rPr>
          <w:lang w:val="en-GB"/>
        </w:rPr>
        <w:t xml:space="preserve">stimates, including one spill-over hearing for </w:t>
      </w:r>
      <w:r w:rsidR="00907B76">
        <w:rPr>
          <w:lang w:val="en-GB"/>
        </w:rPr>
        <w:t>a</w:t>
      </w:r>
      <w:r w:rsidRPr="00A33264">
        <w:rPr>
          <w:lang w:val="en-GB"/>
        </w:rPr>
        <w:t xml:space="preserve">dditional </w:t>
      </w:r>
      <w:r w:rsidR="00907B76">
        <w:rPr>
          <w:lang w:val="en-GB"/>
        </w:rPr>
        <w:t>e</w:t>
      </w:r>
      <w:r w:rsidRPr="00A33264">
        <w:rPr>
          <w:lang w:val="en-GB"/>
        </w:rPr>
        <w:t>stimates.</w:t>
      </w:r>
    </w:p>
    <w:p w14:paraId="2E9D328E" w14:textId="50F21B0D" w:rsidR="006520F1" w:rsidRPr="00A33264" w:rsidRDefault="006520F1" w:rsidP="006520F1">
      <w:pPr>
        <w:rPr>
          <w:lang w:val="en-GB"/>
        </w:rPr>
      </w:pPr>
      <w:r w:rsidRPr="00A33264">
        <w:rPr>
          <w:lang w:val="en-GB"/>
        </w:rPr>
        <w:t xml:space="preserve">The </w:t>
      </w:r>
      <w:r w:rsidR="00907B76">
        <w:rPr>
          <w:lang w:val="en-GB"/>
        </w:rPr>
        <w:t>c</w:t>
      </w:r>
      <w:r w:rsidRPr="00A33264">
        <w:rPr>
          <w:lang w:val="en-GB"/>
        </w:rPr>
        <w:t xml:space="preserve">ommittee inquired into the National Disability Insurance Scheme Amendment (Getting the NDIS Back on Track No. 1) Bill 2024 [Provisions]. The NDIA contributed to 2 Social Services </w:t>
      </w:r>
      <w:r w:rsidR="004364A0">
        <w:rPr>
          <w:lang w:val="en-GB"/>
        </w:rPr>
        <w:t>p</w:t>
      </w:r>
      <w:r w:rsidRPr="00A33264">
        <w:rPr>
          <w:lang w:val="en-GB"/>
        </w:rPr>
        <w:t>ortfolio submissions</w:t>
      </w:r>
      <w:r w:rsidR="00907B76">
        <w:rPr>
          <w:lang w:val="en-GB"/>
        </w:rPr>
        <w:t xml:space="preserve"> on the </w:t>
      </w:r>
      <w:r w:rsidR="004364A0">
        <w:rPr>
          <w:lang w:val="en-GB"/>
        </w:rPr>
        <w:t>B</w:t>
      </w:r>
      <w:r w:rsidR="00907B76">
        <w:rPr>
          <w:lang w:val="en-GB"/>
        </w:rPr>
        <w:t>ill,</w:t>
      </w:r>
      <w:r w:rsidRPr="00A33264">
        <w:rPr>
          <w:lang w:val="en-GB"/>
        </w:rPr>
        <w:t xml:space="preserve"> on 17 May 2024 and 6 June 2024</w:t>
      </w:r>
      <w:r w:rsidR="00907B76">
        <w:rPr>
          <w:lang w:val="en-GB"/>
        </w:rPr>
        <w:t>,</w:t>
      </w:r>
      <w:r w:rsidRPr="00A33264">
        <w:rPr>
          <w:lang w:val="en-GB"/>
        </w:rPr>
        <w:t xml:space="preserve"> and appeared at 2 public hearings</w:t>
      </w:r>
      <w:r w:rsidR="00907B76">
        <w:rPr>
          <w:lang w:val="en-GB"/>
        </w:rPr>
        <w:t>,</w:t>
      </w:r>
      <w:r w:rsidRPr="00A33264">
        <w:rPr>
          <w:lang w:val="en-GB"/>
        </w:rPr>
        <w:t xml:space="preserve"> on 22 May 2024 and 14 June 2024. The final report of the inquiry was tabled on 20 June 2024.</w:t>
      </w:r>
    </w:p>
    <w:p w14:paraId="547762B2" w14:textId="3CD9CE22" w:rsidR="000175BD" w:rsidRPr="00A33264" w:rsidRDefault="006520F1" w:rsidP="006520F1">
      <w:pPr>
        <w:rPr>
          <w:lang w:val="en-GB"/>
        </w:rPr>
      </w:pPr>
      <w:r w:rsidRPr="00A33264">
        <w:rPr>
          <w:lang w:val="en-GB"/>
        </w:rPr>
        <w:t xml:space="preserve">The </w:t>
      </w:r>
      <w:r w:rsidR="007641EF">
        <w:rPr>
          <w:lang w:val="en-GB"/>
        </w:rPr>
        <w:t>c</w:t>
      </w:r>
      <w:r w:rsidRPr="00A33264">
        <w:rPr>
          <w:lang w:val="en-GB"/>
        </w:rPr>
        <w:t>ommittee also inquired into</w:t>
      </w:r>
      <w:r w:rsidR="007641EF">
        <w:rPr>
          <w:lang w:val="en-GB"/>
        </w:rPr>
        <w:t xml:space="preserve"> the</w:t>
      </w:r>
      <w:r w:rsidRPr="00A33264">
        <w:rPr>
          <w:lang w:val="en-GB"/>
        </w:rPr>
        <w:t xml:space="preserve"> Disability Services and Inclusion Bill 2023 [Provisions] and </w:t>
      </w:r>
      <w:r w:rsidR="007641EF">
        <w:rPr>
          <w:lang w:val="en-GB"/>
        </w:rPr>
        <w:t xml:space="preserve">the </w:t>
      </w:r>
      <w:r w:rsidRPr="00A33264">
        <w:rPr>
          <w:lang w:val="en-GB"/>
        </w:rPr>
        <w:t>Disability Services and Inclusion (Consequential Amendments and Transitional Provisions) Bill 2023 [Provisions]. The NDIA provided a submission to the inquiry on 17 October 202</w:t>
      </w:r>
      <w:r w:rsidR="00C4270E" w:rsidRPr="00A33264">
        <w:rPr>
          <w:lang w:val="en-GB"/>
        </w:rPr>
        <w:t>3</w:t>
      </w:r>
      <w:r w:rsidRPr="00A33264">
        <w:rPr>
          <w:lang w:val="en-GB"/>
        </w:rPr>
        <w:t>. The final report was tabled on 9 November 2023.</w:t>
      </w:r>
    </w:p>
    <w:p w14:paraId="20E035A9" w14:textId="711148DC" w:rsidR="000175BD" w:rsidRPr="00A33264" w:rsidRDefault="007641EF" w:rsidP="00763AF2">
      <w:pPr>
        <w:pStyle w:val="Heading4"/>
        <w:rPr>
          <w:lang w:val="en-GB"/>
        </w:rPr>
      </w:pPr>
      <w:r>
        <w:rPr>
          <w:lang w:val="en-GB"/>
        </w:rPr>
        <w:t xml:space="preserve">Senate </w:t>
      </w:r>
      <w:r w:rsidR="006520F1" w:rsidRPr="00A33264">
        <w:rPr>
          <w:lang w:val="en-GB"/>
        </w:rPr>
        <w:t>Select Committee into the Provision of and Access to Dental Services in Australia</w:t>
      </w:r>
    </w:p>
    <w:p w14:paraId="494204C5" w14:textId="0B1FFCA3" w:rsidR="000175BD" w:rsidRPr="00A33264" w:rsidRDefault="006520F1" w:rsidP="000175BD">
      <w:pPr>
        <w:rPr>
          <w:lang w:val="en-GB"/>
        </w:rPr>
      </w:pPr>
      <w:r w:rsidRPr="00A33264">
        <w:rPr>
          <w:lang w:val="en-GB"/>
        </w:rPr>
        <w:t xml:space="preserve">The NDIA provided a submission to the </w:t>
      </w:r>
      <w:r w:rsidR="00AF66ED">
        <w:rPr>
          <w:lang w:val="en-GB"/>
        </w:rPr>
        <w:t>c</w:t>
      </w:r>
      <w:r w:rsidRPr="00A33264">
        <w:rPr>
          <w:lang w:val="en-GB"/>
        </w:rPr>
        <w:t>ommittee on 18 September 2023 and attended a hearing on 20 October 2023. The final report of the inquiry was tabled on 30 November 2023.</w:t>
      </w:r>
    </w:p>
    <w:p w14:paraId="54C7B847" w14:textId="7F5E4D9C" w:rsidR="000175BD" w:rsidRPr="00A33264" w:rsidRDefault="000175BD" w:rsidP="00763AF2">
      <w:pPr>
        <w:pStyle w:val="Heading4"/>
        <w:rPr>
          <w:lang w:val="en-GB"/>
        </w:rPr>
      </w:pPr>
      <w:r w:rsidRPr="00A33264">
        <w:rPr>
          <w:lang w:val="en-GB"/>
        </w:rPr>
        <w:lastRenderedPageBreak/>
        <w:t>Joint Committee of Public Accounts and Audit</w:t>
      </w:r>
    </w:p>
    <w:p w14:paraId="073B0150" w14:textId="122E2404" w:rsidR="006520F1" w:rsidRPr="00A33264" w:rsidRDefault="006520F1" w:rsidP="006520F1">
      <w:pPr>
        <w:rPr>
          <w:lang w:val="en-GB"/>
        </w:rPr>
      </w:pPr>
      <w:r w:rsidRPr="00A33264">
        <w:rPr>
          <w:lang w:val="en-GB"/>
        </w:rPr>
        <w:t>In 2023–24 the Joint Committee of Public Accounts and Audit (JCPAA) inquired into Commonwealth Financial Statements 2022–23: Auditor-General Report No. 9 of 2023–24. On 5 April 202</w:t>
      </w:r>
      <w:r w:rsidR="003638FC" w:rsidRPr="00A33264">
        <w:rPr>
          <w:lang w:val="en-GB"/>
        </w:rPr>
        <w:t>3</w:t>
      </w:r>
      <w:r w:rsidRPr="00A33264">
        <w:rPr>
          <w:lang w:val="en-GB"/>
        </w:rPr>
        <w:t xml:space="preserve"> the NDIA provided a submission to the inquiry. On 15 November 2023 the JCPAA tabled </w:t>
      </w:r>
      <w:r w:rsidRPr="00F86FC3">
        <w:rPr>
          <w:i/>
          <w:lang w:val="en-GB"/>
        </w:rPr>
        <w:t>Report 501</w:t>
      </w:r>
      <w:r w:rsidR="007641EF" w:rsidRPr="003131F3">
        <w:rPr>
          <w:i/>
          <w:iCs/>
          <w:lang w:val="en-GB"/>
        </w:rPr>
        <w:t>:</w:t>
      </w:r>
      <w:r w:rsidRPr="00F86FC3">
        <w:rPr>
          <w:i/>
          <w:lang w:val="en-GB"/>
        </w:rPr>
        <w:t xml:space="preserve"> Annual Report 2022–23</w:t>
      </w:r>
      <w:r w:rsidRPr="00A33264">
        <w:rPr>
          <w:lang w:val="en-GB"/>
        </w:rPr>
        <w:t>.</w:t>
      </w:r>
    </w:p>
    <w:p w14:paraId="7DAE1D6B" w14:textId="19514458" w:rsidR="006520F1" w:rsidRPr="00A33264" w:rsidRDefault="006520F1" w:rsidP="006520F1">
      <w:pPr>
        <w:rPr>
          <w:lang w:val="en-GB"/>
        </w:rPr>
      </w:pPr>
      <w:r w:rsidRPr="00A33264">
        <w:rPr>
          <w:lang w:val="en-GB"/>
        </w:rPr>
        <w:t xml:space="preserve">The JCPAA inquired into Commonwealth </w:t>
      </w:r>
      <w:r w:rsidR="007641EF">
        <w:rPr>
          <w:lang w:val="en-GB"/>
        </w:rPr>
        <w:t>p</w:t>
      </w:r>
      <w:r w:rsidRPr="00A33264">
        <w:rPr>
          <w:lang w:val="en-GB"/>
        </w:rPr>
        <w:t>rocurement</w:t>
      </w:r>
      <w:r w:rsidR="007641EF">
        <w:rPr>
          <w:lang w:val="en-GB"/>
        </w:rPr>
        <w:t>, particularly matters dealt with or connected to</w:t>
      </w:r>
      <w:r w:rsidRPr="00A33264">
        <w:rPr>
          <w:lang w:val="en-GB"/>
        </w:rPr>
        <w:t xml:space="preserve"> Auditor-</w:t>
      </w:r>
      <w:r w:rsidR="00705C90" w:rsidRPr="00A33264">
        <w:rPr>
          <w:lang w:val="en-GB"/>
        </w:rPr>
        <w:t xml:space="preserve">General </w:t>
      </w:r>
      <w:r w:rsidR="00AF66ED">
        <w:rPr>
          <w:lang w:val="en-GB"/>
        </w:rPr>
        <w:t>r</w:t>
      </w:r>
      <w:r w:rsidR="00705C90" w:rsidRPr="00A33264">
        <w:rPr>
          <w:lang w:val="en-GB"/>
        </w:rPr>
        <w:t>eports</w:t>
      </w:r>
      <w:r w:rsidRPr="00A33264">
        <w:rPr>
          <w:lang w:val="en-GB"/>
        </w:rPr>
        <w:t xml:space="preserve"> </w:t>
      </w:r>
      <w:r w:rsidR="007641EF">
        <w:rPr>
          <w:lang w:val="en-GB"/>
        </w:rPr>
        <w:t>No</w:t>
      </w:r>
      <w:r w:rsidR="004364A0">
        <w:rPr>
          <w:lang w:val="en-GB"/>
        </w:rPr>
        <w:t>s</w:t>
      </w:r>
      <w:r w:rsidR="007641EF">
        <w:rPr>
          <w:lang w:val="en-GB"/>
        </w:rPr>
        <w:t xml:space="preserve"> </w:t>
      </w:r>
      <w:r w:rsidRPr="00A33264">
        <w:rPr>
          <w:lang w:val="en-GB"/>
        </w:rPr>
        <w:t>6, 15, 30</w:t>
      </w:r>
      <w:r w:rsidR="007641EF">
        <w:rPr>
          <w:lang w:val="en-GB"/>
        </w:rPr>
        <w:t xml:space="preserve"> and</w:t>
      </w:r>
      <w:r w:rsidRPr="00A33264">
        <w:rPr>
          <w:lang w:val="en-GB"/>
        </w:rPr>
        <w:t xml:space="preserve"> 42</w:t>
      </w:r>
      <w:r w:rsidR="007641EF">
        <w:rPr>
          <w:lang w:val="en-GB"/>
        </w:rPr>
        <w:t xml:space="preserve"> of</w:t>
      </w:r>
      <w:r w:rsidRPr="00A33264">
        <w:rPr>
          <w:lang w:val="en-GB"/>
        </w:rPr>
        <w:t xml:space="preserve"> 2021</w:t>
      </w:r>
      <w:r w:rsidR="007641EF" w:rsidRPr="00A33264">
        <w:rPr>
          <w:lang w:val="en-GB"/>
        </w:rPr>
        <w:t>–</w:t>
      </w:r>
      <w:r w:rsidRPr="00A33264">
        <w:rPr>
          <w:lang w:val="en-GB"/>
        </w:rPr>
        <w:t xml:space="preserve">22 and </w:t>
      </w:r>
      <w:r w:rsidR="007641EF">
        <w:rPr>
          <w:lang w:val="en-GB"/>
        </w:rPr>
        <w:t xml:space="preserve">No. </w:t>
      </w:r>
      <w:r w:rsidRPr="00A33264">
        <w:rPr>
          <w:lang w:val="en-GB"/>
        </w:rPr>
        <w:t xml:space="preserve">5 </w:t>
      </w:r>
      <w:r w:rsidR="007641EF">
        <w:rPr>
          <w:lang w:val="en-GB"/>
        </w:rPr>
        <w:t xml:space="preserve">of </w:t>
      </w:r>
      <w:r w:rsidRPr="00A33264">
        <w:rPr>
          <w:lang w:val="en-GB"/>
        </w:rPr>
        <w:t>2022</w:t>
      </w:r>
      <w:r w:rsidR="007641EF" w:rsidRPr="00A33264">
        <w:rPr>
          <w:lang w:val="en-GB"/>
        </w:rPr>
        <w:t>–</w:t>
      </w:r>
      <w:r w:rsidRPr="00A33264">
        <w:rPr>
          <w:lang w:val="en-GB"/>
        </w:rPr>
        <w:t xml:space="preserve">23. The NDIA attended a hearing on 14 April 2023. </w:t>
      </w:r>
    </w:p>
    <w:p w14:paraId="10B79D25" w14:textId="140A2F30" w:rsidR="000175BD" w:rsidRPr="00A33264" w:rsidRDefault="006520F1" w:rsidP="006520F1">
      <w:pPr>
        <w:rPr>
          <w:lang w:val="en-GB"/>
        </w:rPr>
      </w:pPr>
      <w:r w:rsidRPr="00A33264">
        <w:rPr>
          <w:lang w:val="en-GB"/>
        </w:rPr>
        <w:t>On 12 May 2023 the JCPAA adopted a separate inquiry to specifically consider procurement issues arising from the Independent Review of Services Australia and NDIA Procurement and Contracting. The NDIA provided a submission on 12 December 2023 and attended a hearing on 1 February 2024. The JCPAA tabled an interim report on 13 September 2023 and a final report on 26 June 2024.</w:t>
      </w:r>
    </w:p>
    <w:p w14:paraId="782CB03D" w14:textId="08C47798" w:rsidR="006520F1" w:rsidRPr="00A33264" w:rsidRDefault="006520F1" w:rsidP="00763AF2">
      <w:pPr>
        <w:pStyle w:val="Heading4"/>
        <w:rPr>
          <w:lang w:val="en-GB"/>
        </w:rPr>
      </w:pPr>
      <w:r w:rsidRPr="00A33264">
        <w:rPr>
          <w:lang w:val="en-GB"/>
        </w:rPr>
        <w:t xml:space="preserve">Senate Standing Committee on </w:t>
      </w:r>
      <w:r w:rsidR="00820C69" w:rsidRPr="00A33264">
        <w:rPr>
          <w:lang w:val="en-GB"/>
        </w:rPr>
        <w:t>Legal and Constitutional Affairs</w:t>
      </w:r>
    </w:p>
    <w:p w14:paraId="6571FDF5" w14:textId="65C1107D" w:rsidR="006520F1" w:rsidRPr="00A33264" w:rsidRDefault="00820C69" w:rsidP="006520F1">
      <w:pPr>
        <w:rPr>
          <w:lang w:val="en-GB"/>
        </w:rPr>
      </w:pPr>
      <w:r w:rsidRPr="00A33264">
        <w:rPr>
          <w:lang w:val="en-GB"/>
        </w:rPr>
        <w:t xml:space="preserve">In 2023–24 the Senate Legal and Constitutional Affairs </w:t>
      </w:r>
      <w:r w:rsidR="007641EF">
        <w:rPr>
          <w:lang w:val="en-GB"/>
        </w:rPr>
        <w:t xml:space="preserve">Legislation Committee </w:t>
      </w:r>
      <w:r w:rsidRPr="00A33264">
        <w:rPr>
          <w:lang w:val="en-GB"/>
        </w:rPr>
        <w:t>inquired into the Administrative Review Tribunal Bill 2023 [</w:t>
      </w:r>
      <w:r w:rsidRPr="00FC6941">
        <w:rPr>
          <w:lang w:val="en-GB"/>
        </w:rPr>
        <w:t>Provisions</w:t>
      </w:r>
      <w:r w:rsidRPr="00A33264">
        <w:rPr>
          <w:lang w:val="en-GB"/>
        </w:rPr>
        <w:t>] and related bills. The NDIA provided a submission to the inquiry on 6 March 2024. The final report was tabled on 13 May 2024.</w:t>
      </w:r>
    </w:p>
    <w:p w14:paraId="31F40351" w14:textId="037387A6" w:rsidR="000175BD" w:rsidRPr="00A33264" w:rsidRDefault="00255A26">
      <w:pPr>
        <w:pStyle w:val="Heading4"/>
        <w:rPr>
          <w:lang w:val="en-GB"/>
        </w:rPr>
      </w:pPr>
      <w:bookmarkStart w:id="383" w:name="_Toc169593002"/>
      <w:r w:rsidRPr="00A33264">
        <w:rPr>
          <w:lang w:val="en-GB"/>
        </w:rPr>
        <w:t>Royal Commission</w:t>
      </w:r>
      <w:bookmarkEnd w:id="383"/>
      <w:r w:rsidR="000175BD" w:rsidRPr="00A33264">
        <w:rPr>
          <w:lang w:val="en-GB"/>
        </w:rPr>
        <w:t xml:space="preserve"> into Violence, Abuse, Neglect and Exploitation of People with Disability</w:t>
      </w:r>
    </w:p>
    <w:p w14:paraId="55489A1B" w14:textId="7AF76C25" w:rsidR="00F14787" w:rsidRPr="00A33264" w:rsidRDefault="00F14787" w:rsidP="00F14787">
      <w:pPr>
        <w:rPr>
          <w:lang w:val="en-GB"/>
        </w:rPr>
      </w:pPr>
      <w:r w:rsidRPr="00A33264">
        <w:rPr>
          <w:lang w:val="en-GB"/>
        </w:rPr>
        <w:t xml:space="preserve">The Royal Commission into Violence, Abuse, Neglect and Exploitation of People with Disability undertook an expansive examination over </w:t>
      </w:r>
      <w:r w:rsidR="007641EF">
        <w:rPr>
          <w:lang w:val="en-GB"/>
        </w:rPr>
        <w:t>4½</w:t>
      </w:r>
      <w:r w:rsidRPr="00A33264">
        <w:rPr>
          <w:lang w:val="en-GB"/>
        </w:rPr>
        <w:t xml:space="preserve"> years of matters affecting the lives and experiences of Australians with disability.</w:t>
      </w:r>
    </w:p>
    <w:p w14:paraId="5D4CE548" w14:textId="5DB7B590" w:rsidR="00F14787" w:rsidRPr="00A33264" w:rsidRDefault="00F14787" w:rsidP="00F14787">
      <w:pPr>
        <w:rPr>
          <w:lang w:val="en-GB"/>
        </w:rPr>
      </w:pPr>
      <w:r w:rsidRPr="00A33264">
        <w:rPr>
          <w:lang w:val="en-GB"/>
        </w:rPr>
        <w:t xml:space="preserve">On 28 September 2023 the </w:t>
      </w:r>
      <w:r w:rsidR="008662F5" w:rsidRPr="00A33264">
        <w:rPr>
          <w:lang w:val="en-GB"/>
        </w:rPr>
        <w:t>Royal Commission’s</w:t>
      </w:r>
      <w:r w:rsidRPr="00A33264">
        <w:rPr>
          <w:lang w:val="en-GB"/>
        </w:rPr>
        <w:t xml:space="preserve"> </w:t>
      </w:r>
      <w:r w:rsidR="008662F5" w:rsidRPr="00A33264">
        <w:rPr>
          <w:lang w:val="en-GB"/>
        </w:rPr>
        <w:t>f</w:t>
      </w:r>
      <w:r w:rsidRPr="00A33264">
        <w:rPr>
          <w:lang w:val="en-GB"/>
        </w:rPr>
        <w:t xml:space="preserve">inal </w:t>
      </w:r>
      <w:r w:rsidR="008662F5" w:rsidRPr="00A33264">
        <w:rPr>
          <w:lang w:val="en-GB"/>
        </w:rPr>
        <w:t>r</w:t>
      </w:r>
      <w:r w:rsidRPr="00A33264">
        <w:rPr>
          <w:lang w:val="en-GB"/>
        </w:rPr>
        <w:t>eport was delivered to the Governor</w:t>
      </w:r>
      <w:r w:rsidR="007641EF">
        <w:rPr>
          <w:lang w:val="en-GB"/>
        </w:rPr>
        <w:t>-</w:t>
      </w:r>
      <w:r w:rsidRPr="00A33264">
        <w:rPr>
          <w:lang w:val="en-GB"/>
        </w:rPr>
        <w:t>General</w:t>
      </w:r>
      <w:r w:rsidR="007641EF">
        <w:rPr>
          <w:lang w:val="en-GB"/>
        </w:rPr>
        <w:t>.</w:t>
      </w:r>
      <w:r w:rsidRPr="00A33264">
        <w:rPr>
          <w:lang w:val="en-GB"/>
        </w:rPr>
        <w:t xml:space="preserve"> </w:t>
      </w:r>
      <w:r w:rsidR="007641EF">
        <w:rPr>
          <w:lang w:val="en-GB"/>
        </w:rPr>
        <w:t>T</w:t>
      </w:r>
      <w:r w:rsidRPr="00A33264">
        <w:rPr>
          <w:lang w:val="en-GB"/>
        </w:rPr>
        <w:t xml:space="preserve">he Australian Government tabled the </w:t>
      </w:r>
      <w:r w:rsidR="008662F5" w:rsidRPr="00A33264">
        <w:rPr>
          <w:lang w:val="en-GB"/>
        </w:rPr>
        <w:t>f</w:t>
      </w:r>
      <w:r w:rsidRPr="00A33264">
        <w:rPr>
          <w:lang w:val="en-GB"/>
        </w:rPr>
        <w:t xml:space="preserve">inal </w:t>
      </w:r>
      <w:r w:rsidR="008662F5" w:rsidRPr="00A33264">
        <w:rPr>
          <w:lang w:val="en-GB"/>
        </w:rPr>
        <w:t>r</w:t>
      </w:r>
      <w:r w:rsidRPr="00A33264">
        <w:rPr>
          <w:lang w:val="en-GB"/>
        </w:rPr>
        <w:t xml:space="preserve">eport in Parliament on 29 September 2023. The NDIA welcomed the </w:t>
      </w:r>
      <w:r w:rsidR="00993D6D" w:rsidRPr="00A33264">
        <w:rPr>
          <w:lang w:val="en-GB"/>
        </w:rPr>
        <w:t>Royal Commission’s</w:t>
      </w:r>
      <w:r w:rsidRPr="00A33264">
        <w:rPr>
          <w:lang w:val="en-GB"/>
        </w:rPr>
        <w:t xml:space="preserve"> </w:t>
      </w:r>
      <w:r w:rsidR="00993D6D" w:rsidRPr="00A33264">
        <w:rPr>
          <w:lang w:val="en-GB"/>
        </w:rPr>
        <w:t>f</w:t>
      </w:r>
      <w:r w:rsidRPr="00A33264">
        <w:rPr>
          <w:lang w:val="en-GB"/>
        </w:rPr>
        <w:t xml:space="preserve">inal </w:t>
      </w:r>
      <w:r w:rsidR="00993D6D" w:rsidRPr="00A33264">
        <w:rPr>
          <w:lang w:val="en-GB"/>
        </w:rPr>
        <w:t>r</w:t>
      </w:r>
      <w:r w:rsidRPr="00A33264">
        <w:rPr>
          <w:lang w:val="en-GB"/>
        </w:rPr>
        <w:t xml:space="preserve">eport and gave thanks to the Royal Commission for its extensive work. </w:t>
      </w:r>
    </w:p>
    <w:p w14:paraId="6A04F570" w14:textId="41C71D5A" w:rsidR="00F14787" w:rsidRPr="00A33264" w:rsidRDefault="007641EF" w:rsidP="00F14787">
      <w:pPr>
        <w:rPr>
          <w:lang w:val="en-GB"/>
        </w:rPr>
      </w:pPr>
      <w:r>
        <w:rPr>
          <w:lang w:val="en-GB"/>
        </w:rPr>
        <w:t>During the Royal Commission</w:t>
      </w:r>
      <w:r w:rsidR="00F14787" w:rsidRPr="00A33264">
        <w:rPr>
          <w:lang w:val="en-GB"/>
        </w:rPr>
        <w:t>, the disability community contributed to 32 substantive public hearings, 1,785 private sessions, 7,944 submissions and more than 700 community engagements. The NDIA acknowledges and thanks the disability community for sharing their experiences, expertise and stories throughout this process.</w:t>
      </w:r>
    </w:p>
    <w:p w14:paraId="5B48B44F" w14:textId="604ECBB8" w:rsidR="00F14787" w:rsidRPr="00A33264" w:rsidRDefault="00F14787" w:rsidP="00F14787">
      <w:pPr>
        <w:rPr>
          <w:lang w:val="en-GB"/>
        </w:rPr>
      </w:pPr>
      <w:r w:rsidRPr="00A33264">
        <w:rPr>
          <w:lang w:val="en-GB"/>
        </w:rPr>
        <w:t xml:space="preserve">The </w:t>
      </w:r>
      <w:r w:rsidR="00993D6D" w:rsidRPr="00A33264">
        <w:rPr>
          <w:lang w:val="en-GB"/>
        </w:rPr>
        <w:t>Royal Commission</w:t>
      </w:r>
      <w:r w:rsidRPr="00A33264">
        <w:rPr>
          <w:lang w:val="en-GB"/>
        </w:rPr>
        <w:t xml:space="preserve"> made 222 recommendations to improve laws, policies, structures and practices to ensure a more inclusive and just society. The </w:t>
      </w:r>
      <w:r w:rsidRPr="00A33264">
        <w:rPr>
          <w:lang w:val="en-GB"/>
        </w:rPr>
        <w:lastRenderedPageBreak/>
        <w:t>recommendations aim to support the independence of people with disability and their rights to live free from violence, abuse, neglect and exploitation.</w:t>
      </w:r>
    </w:p>
    <w:p w14:paraId="0F3A26C0" w14:textId="0EBDE17C" w:rsidR="00F14787" w:rsidRPr="00A33264" w:rsidRDefault="00F14787" w:rsidP="00F14787">
      <w:pPr>
        <w:rPr>
          <w:lang w:val="en-GB"/>
        </w:rPr>
      </w:pPr>
      <w:r w:rsidRPr="00A33264">
        <w:rPr>
          <w:lang w:val="en-GB"/>
        </w:rPr>
        <w:t>Of these recommendations, 19 directly or substantively involve the NDIA. These recommendations cover the areas of housing, employment, participants in the justice system, advocacy, support coordination</w:t>
      </w:r>
      <w:r w:rsidR="00B43B3B">
        <w:rPr>
          <w:lang w:val="en-GB"/>
        </w:rPr>
        <w:t>,</w:t>
      </w:r>
      <w:r w:rsidRPr="00A33264">
        <w:rPr>
          <w:lang w:val="en-GB"/>
        </w:rPr>
        <w:t xml:space="preserve"> and First Nations participants. </w:t>
      </w:r>
    </w:p>
    <w:p w14:paraId="44ED4461" w14:textId="6816EC9D" w:rsidR="00F14787" w:rsidRPr="00A33264" w:rsidRDefault="00F14787" w:rsidP="00F14787">
      <w:pPr>
        <w:rPr>
          <w:lang w:val="en-GB"/>
        </w:rPr>
      </w:pPr>
      <w:r w:rsidRPr="00A33264">
        <w:rPr>
          <w:lang w:val="en-GB"/>
        </w:rPr>
        <w:t xml:space="preserve">The NDIA has started to address many of the </w:t>
      </w:r>
      <w:r w:rsidR="00993D6D" w:rsidRPr="00A33264">
        <w:rPr>
          <w:lang w:val="en-GB"/>
        </w:rPr>
        <w:t>Royal Commission’s</w:t>
      </w:r>
      <w:r w:rsidRPr="00A33264">
        <w:rPr>
          <w:lang w:val="en-GB"/>
        </w:rPr>
        <w:t xml:space="preserve"> recommendations in coordination with stakeholders. These </w:t>
      </w:r>
      <w:r w:rsidR="007641EF">
        <w:rPr>
          <w:lang w:val="en-GB"/>
        </w:rPr>
        <w:t xml:space="preserve">responses </w:t>
      </w:r>
      <w:r w:rsidRPr="00A33264">
        <w:rPr>
          <w:lang w:val="en-GB"/>
        </w:rPr>
        <w:t xml:space="preserve">include: </w:t>
      </w:r>
    </w:p>
    <w:p w14:paraId="5D6512A8" w14:textId="6971171F" w:rsidR="00F14787" w:rsidRPr="00A33264" w:rsidRDefault="007641EF" w:rsidP="00F14787">
      <w:pPr>
        <w:pStyle w:val="Bullet1"/>
        <w:rPr>
          <w:lang w:val="en-GB"/>
        </w:rPr>
      </w:pPr>
      <w:r>
        <w:rPr>
          <w:lang w:val="en-GB"/>
        </w:rPr>
        <w:t>i</w:t>
      </w:r>
      <w:r w:rsidR="00F14787" w:rsidRPr="00A33264">
        <w:rPr>
          <w:lang w:val="en-GB"/>
        </w:rPr>
        <w:t xml:space="preserve">ntroducing an improved hospital discharge process and boosting the number of </w:t>
      </w:r>
      <w:r w:rsidR="00993D6D" w:rsidRPr="00A33264">
        <w:rPr>
          <w:lang w:val="en-GB"/>
        </w:rPr>
        <w:t>h</w:t>
      </w:r>
      <w:r w:rsidR="00F14787" w:rsidRPr="00A33264">
        <w:rPr>
          <w:lang w:val="en-GB"/>
        </w:rPr>
        <w:t xml:space="preserve">ospital </w:t>
      </w:r>
      <w:r w:rsidR="00993D6D" w:rsidRPr="00A33264">
        <w:rPr>
          <w:lang w:val="en-GB"/>
        </w:rPr>
        <w:t>l</w:t>
      </w:r>
      <w:r w:rsidR="00F14787" w:rsidRPr="00A33264">
        <w:rPr>
          <w:lang w:val="en-GB"/>
        </w:rPr>
        <w:t xml:space="preserve">iaison </w:t>
      </w:r>
      <w:r w:rsidR="00993D6D" w:rsidRPr="00A33264">
        <w:rPr>
          <w:lang w:val="en-GB"/>
        </w:rPr>
        <w:t>o</w:t>
      </w:r>
      <w:r w:rsidR="00F14787" w:rsidRPr="00A33264">
        <w:rPr>
          <w:lang w:val="en-GB"/>
        </w:rPr>
        <w:t>fficers to support safe and timely discharge from hospital</w:t>
      </w:r>
    </w:p>
    <w:p w14:paraId="09899392" w14:textId="7EA39438" w:rsidR="00F14787" w:rsidRPr="00A33264" w:rsidRDefault="007641EF" w:rsidP="00F14787">
      <w:pPr>
        <w:pStyle w:val="Bullet1"/>
        <w:rPr>
          <w:lang w:val="en-GB"/>
        </w:rPr>
      </w:pPr>
      <w:r>
        <w:rPr>
          <w:lang w:val="en-GB"/>
        </w:rPr>
        <w:t>r</w:t>
      </w:r>
      <w:r w:rsidR="00F14787" w:rsidRPr="00A33264">
        <w:rPr>
          <w:lang w:val="en-GB"/>
        </w:rPr>
        <w:t xml:space="preserve">eleasing a new Supported </w:t>
      </w:r>
      <w:r w:rsidR="00705C90" w:rsidRPr="00A33264">
        <w:rPr>
          <w:lang w:val="en-GB"/>
        </w:rPr>
        <w:t>Decision-Making</w:t>
      </w:r>
      <w:r w:rsidR="00F14787" w:rsidRPr="00A33264">
        <w:rPr>
          <w:lang w:val="en-GB"/>
        </w:rPr>
        <w:t xml:space="preserve"> Policy that empowers participants to make their own decisions about the supports that affect them</w:t>
      </w:r>
    </w:p>
    <w:p w14:paraId="193C7B64" w14:textId="6BBD4E18" w:rsidR="000175BD" w:rsidRPr="00A33264" w:rsidRDefault="007641EF" w:rsidP="00F14787">
      <w:pPr>
        <w:pStyle w:val="Bullet1"/>
        <w:rPr>
          <w:lang w:val="en-GB"/>
        </w:rPr>
      </w:pPr>
      <w:r>
        <w:rPr>
          <w:lang w:val="en-GB"/>
        </w:rPr>
        <w:t>i</w:t>
      </w:r>
      <w:r w:rsidR="00F14787" w:rsidRPr="00A33264">
        <w:rPr>
          <w:lang w:val="en-GB"/>
        </w:rPr>
        <w:t>ntroducing an updated Participant Employment Strategy to improve planning for employment and support employers engaging with NDIS participants</w:t>
      </w:r>
    </w:p>
    <w:p w14:paraId="75D676E8" w14:textId="6D3AAF97" w:rsidR="00F14787" w:rsidRPr="00A33264" w:rsidRDefault="007641EF" w:rsidP="00F14787">
      <w:pPr>
        <w:pStyle w:val="Bullet1"/>
        <w:rPr>
          <w:lang w:val="en-GB"/>
        </w:rPr>
      </w:pPr>
      <w:r>
        <w:rPr>
          <w:lang w:val="en-GB"/>
        </w:rPr>
        <w:t>c</w:t>
      </w:r>
      <w:r w:rsidR="00F14787" w:rsidRPr="00A33264">
        <w:rPr>
          <w:lang w:val="en-GB"/>
        </w:rPr>
        <w:t>onducting a 12-month Justice Liaison Project to identify ways to improve transition of participants from custody and forensic settings to the community</w:t>
      </w:r>
    </w:p>
    <w:p w14:paraId="3F9CA22F" w14:textId="7F6F145C" w:rsidR="00F14787" w:rsidRPr="00A33264" w:rsidRDefault="007641EF" w:rsidP="00F14787">
      <w:pPr>
        <w:pStyle w:val="Bullet1"/>
        <w:rPr>
          <w:lang w:val="en-GB"/>
        </w:rPr>
      </w:pPr>
      <w:r>
        <w:rPr>
          <w:lang w:val="en-GB"/>
        </w:rPr>
        <w:t>l</w:t>
      </w:r>
      <w:r w:rsidR="00F14787" w:rsidRPr="00A33264">
        <w:rPr>
          <w:lang w:val="en-GB"/>
        </w:rPr>
        <w:t>aunching the new Participant Safeguarding Policy to improve the safety of participants and minimise the risk of violence, abuse, neglect and exploitation.</w:t>
      </w:r>
    </w:p>
    <w:p w14:paraId="7706C14F" w14:textId="636D0BD3" w:rsidR="00F14787" w:rsidRPr="00A33264" w:rsidRDefault="00F14787" w:rsidP="00F14787">
      <w:pPr>
        <w:rPr>
          <w:lang w:val="en-GB"/>
        </w:rPr>
      </w:pPr>
      <w:r w:rsidRPr="00A33264">
        <w:rPr>
          <w:lang w:val="en-GB"/>
        </w:rPr>
        <w:t xml:space="preserve">The NDIA welcomes the continued collaboration across governments and stakeholders to progress the </w:t>
      </w:r>
      <w:r w:rsidR="00993D6D" w:rsidRPr="00A33264">
        <w:rPr>
          <w:lang w:val="en-GB"/>
        </w:rPr>
        <w:t>Royal Commission’s</w:t>
      </w:r>
      <w:r w:rsidRPr="00A33264">
        <w:rPr>
          <w:lang w:val="en-GB"/>
        </w:rPr>
        <w:t xml:space="preserve"> recommendations. </w:t>
      </w:r>
      <w:r w:rsidR="007641EF">
        <w:rPr>
          <w:lang w:val="en-GB"/>
        </w:rPr>
        <w:t>We are</w:t>
      </w:r>
      <w:r w:rsidRPr="00A33264">
        <w:rPr>
          <w:lang w:val="en-GB"/>
        </w:rPr>
        <w:t xml:space="preserve"> committed to embed</w:t>
      </w:r>
      <w:r w:rsidR="00993D6D" w:rsidRPr="00A33264">
        <w:rPr>
          <w:lang w:val="en-GB"/>
        </w:rPr>
        <w:t>ding</w:t>
      </w:r>
      <w:r w:rsidRPr="00A33264">
        <w:rPr>
          <w:lang w:val="en-GB"/>
        </w:rPr>
        <w:t xml:space="preserve"> an integrated system of supports for all people living with a disability.</w:t>
      </w:r>
    </w:p>
    <w:p w14:paraId="5E9F7B20" w14:textId="32E6112B" w:rsidR="00F14787" w:rsidRPr="00A33264" w:rsidRDefault="00F14787" w:rsidP="00F14787">
      <w:pPr>
        <w:rPr>
          <w:lang w:val="en-GB"/>
        </w:rPr>
      </w:pPr>
      <w:r w:rsidRPr="00A33264">
        <w:rPr>
          <w:lang w:val="en-GB"/>
        </w:rPr>
        <w:t xml:space="preserve">This report reflects work to 30 June 2024 and does not capture the </w:t>
      </w:r>
      <w:r w:rsidR="007641EF">
        <w:rPr>
          <w:lang w:val="en-GB"/>
        </w:rPr>
        <w:t>j</w:t>
      </w:r>
      <w:r w:rsidRPr="00A33264">
        <w:rPr>
          <w:lang w:val="en-GB"/>
        </w:rPr>
        <w:t xml:space="preserve">oint </w:t>
      </w:r>
      <w:r w:rsidR="007641EF">
        <w:rPr>
          <w:lang w:val="en-GB"/>
        </w:rPr>
        <w:t>g</w:t>
      </w:r>
      <w:r w:rsidRPr="00A33264">
        <w:rPr>
          <w:lang w:val="en-GB"/>
        </w:rPr>
        <w:t xml:space="preserve">overnment response to the </w:t>
      </w:r>
      <w:r w:rsidR="00993D6D" w:rsidRPr="00A33264">
        <w:rPr>
          <w:lang w:val="en-GB"/>
        </w:rPr>
        <w:t>Royal Commission</w:t>
      </w:r>
      <w:r w:rsidR="00411BFD">
        <w:rPr>
          <w:lang w:val="en-GB"/>
        </w:rPr>
        <w:t>,</w:t>
      </w:r>
      <w:r w:rsidRPr="00A33264">
        <w:rPr>
          <w:lang w:val="en-GB"/>
        </w:rPr>
        <w:t xml:space="preserve"> </w:t>
      </w:r>
      <w:r w:rsidR="00D211A2" w:rsidRPr="00A33264">
        <w:rPr>
          <w:lang w:val="en-GB"/>
        </w:rPr>
        <w:t>which was</w:t>
      </w:r>
      <w:r w:rsidRPr="00A33264">
        <w:rPr>
          <w:lang w:val="en-GB"/>
        </w:rPr>
        <w:t xml:space="preserve"> published in July 2024. The NDIA’s continued progress on the recommendations will be reported on further in the </w:t>
      </w:r>
      <w:r w:rsidR="00316AF2">
        <w:rPr>
          <w:lang w:val="en-GB"/>
        </w:rPr>
        <w:t>a</w:t>
      </w:r>
      <w:r w:rsidRPr="00A33264">
        <w:rPr>
          <w:lang w:val="en-GB"/>
        </w:rPr>
        <w:t xml:space="preserve">nnual </w:t>
      </w:r>
      <w:r w:rsidR="00316AF2">
        <w:rPr>
          <w:lang w:val="en-GB"/>
        </w:rPr>
        <w:t>r</w:t>
      </w:r>
      <w:r w:rsidRPr="00A33264">
        <w:rPr>
          <w:lang w:val="en-GB"/>
        </w:rPr>
        <w:t>eport</w:t>
      </w:r>
      <w:r w:rsidR="004364A0">
        <w:rPr>
          <w:lang w:val="en-GB"/>
        </w:rPr>
        <w:t xml:space="preserve"> </w:t>
      </w:r>
      <w:r w:rsidR="00371D0C">
        <w:rPr>
          <w:lang w:val="en-GB"/>
        </w:rPr>
        <w:t xml:space="preserve">for </w:t>
      </w:r>
      <w:r w:rsidR="004364A0" w:rsidRPr="00A33264">
        <w:rPr>
          <w:lang w:val="en-GB"/>
        </w:rPr>
        <w:t>2024–25</w:t>
      </w:r>
      <w:r w:rsidRPr="00A33264">
        <w:rPr>
          <w:lang w:val="en-GB"/>
        </w:rPr>
        <w:t>.</w:t>
      </w:r>
    </w:p>
    <w:p w14:paraId="76D63FFC" w14:textId="2D9B4DD5" w:rsidR="00255A26" w:rsidRPr="00A33264" w:rsidRDefault="00255A26" w:rsidP="00255A26">
      <w:pPr>
        <w:pStyle w:val="Heading3"/>
        <w:rPr>
          <w:lang w:val="en-GB"/>
        </w:rPr>
      </w:pPr>
      <w:bookmarkStart w:id="384" w:name="_Toc169593003"/>
      <w:bookmarkStart w:id="385" w:name="_Toc174354213"/>
      <w:bookmarkStart w:id="386" w:name="_Toc175316917"/>
      <w:bookmarkStart w:id="387" w:name="_Toc176786408"/>
      <w:bookmarkStart w:id="388" w:name="_Toc180505690"/>
      <w:r w:rsidRPr="00A33264">
        <w:rPr>
          <w:lang w:val="en-GB"/>
        </w:rPr>
        <w:t>Judicial decisions and external reviews</w:t>
      </w:r>
      <w:bookmarkEnd w:id="384"/>
      <w:bookmarkEnd w:id="385"/>
      <w:bookmarkEnd w:id="386"/>
      <w:bookmarkEnd w:id="387"/>
      <w:bookmarkEnd w:id="388"/>
    </w:p>
    <w:p w14:paraId="0CB58CE9" w14:textId="666D44FB" w:rsidR="00255A26" w:rsidRPr="00A33264" w:rsidRDefault="00E83B0D" w:rsidP="00255A26">
      <w:pPr>
        <w:rPr>
          <w:lang w:val="en-GB"/>
        </w:rPr>
      </w:pPr>
      <w:r w:rsidRPr="00A33264">
        <w:rPr>
          <w:lang w:val="en-GB"/>
        </w:rPr>
        <w:t>The operations of the NDIA and decisions made in the delivery of the NDIS are subject to scrutiny by external entities.</w:t>
      </w:r>
    </w:p>
    <w:p w14:paraId="087F4C04" w14:textId="08FC3DC2" w:rsidR="00096E39" w:rsidRPr="00A33264" w:rsidRDefault="00096E39" w:rsidP="00096E39">
      <w:pPr>
        <w:pStyle w:val="Heading4"/>
        <w:rPr>
          <w:lang w:val="en-GB"/>
        </w:rPr>
      </w:pPr>
      <w:bookmarkStart w:id="389" w:name="_Toc169593004"/>
      <w:r w:rsidRPr="00A33264">
        <w:rPr>
          <w:lang w:val="en-GB"/>
        </w:rPr>
        <w:t>Federal</w:t>
      </w:r>
      <w:r w:rsidR="000175BD" w:rsidRPr="00A33264">
        <w:rPr>
          <w:lang w:val="en-GB"/>
        </w:rPr>
        <w:t xml:space="preserve"> </w:t>
      </w:r>
      <w:r w:rsidRPr="00A33264">
        <w:rPr>
          <w:lang w:val="en-GB"/>
        </w:rPr>
        <w:t>Court of Australia</w:t>
      </w:r>
      <w:bookmarkEnd w:id="389"/>
    </w:p>
    <w:p w14:paraId="5793E0B4" w14:textId="43327A59" w:rsidR="00E83B0D" w:rsidRPr="00A33264" w:rsidRDefault="00E83B0D" w:rsidP="00E83B0D">
      <w:pPr>
        <w:rPr>
          <w:lang w:val="en-GB"/>
        </w:rPr>
      </w:pPr>
      <w:r w:rsidRPr="00A33264">
        <w:rPr>
          <w:lang w:val="en-GB"/>
        </w:rPr>
        <w:t xml:space="preserve">The Federal Court handed down 2 substantive decisions </w:t>
      </w:r>
      <w:r w:rsidR="007641EF">
        <w:rPr>
          <w:lang w:val="en-GB"/>
        </w:rPr>
        <w:t xml:space="preserve">involving the NDIA </w:t>
      </w:r>
      <w:r w:rsidRPr="00A33264">
        <w:rPr>
          <w:lang w:val="en-GB"/>
        </w:rPr>
        <w:t xml:space="preserve">during 2023–24: </w:t>
      </w:r>
    </w:p>
    <w:p w14:paraId="5F204091" w14:textId="150FEDAC" w:rsidR="00E83B0D" w:rsidRPr="00A33264" w:rsidRDefault="00E83B0D" w:rsidP="00E83B0D">
      <w:pPr>
        <w:pStyle w:val="Bullet1"/>
        <w:rPr>
          <w:lang w:val="en-GB"/>
        </w:rPr>
      </w:pPr>
      <w:r w:rsidRPr="00A33264">
        <w:rPr>
          <w:lang w:val="en-GB"/>
        </w:rPr>
        <w:t xml:space="preserve">Reasons for </w:t>
      </w:r>
      <w:r w:rsidRPr="00BB40DF">
        <w:rPr>
          <w:i/>
          <w:iCs/>
          <w:lang w:val="en-GB"/>
        </w:rPr>
        <w:t>Public Trustee of South Australia (as litigation representative for Isherwood) v National Disability Insurance Agency (No 2)</w:t>
      </w:r>
      <w:r w:rsidRPr="00A33264">
        <w:rPr>
          <w:lang w:val="en-GB"/>
        </w:rPr>
        <w:t xml:space="preserve"> [2023] FCA 852 were published on 28 July 2023</w:t>
      </w:r>
      <w:r w:rsidR="007641EF">
        <w:rPr>
          <w:lang w:val="en-GB"/>
        </w:rPr>
        <w:t xml:space="preserve">. </w:t>
      </w:r>
      <w:r w:rsidR="0083276D">
        <w:rPr>
          <w:lang w:val="en-GB"/>
        </w:rPr>
        <w:t>The decision</w:t>
      </w:r>
      <w:r w:rsidRPr="00A33264">
        <w:rPr>
          <w:lang w:val="en-GB"/>
        </w:rPr>
        <w:t xml:space="preserve"> concern</w:t>
      </w:r>
      <w:r w:rsidR="007641EF">
        <w:rPr>
          <w:lang w:val="en-GB"/>
        </w:rPr>
        <w:t>ed</w:t>
      </w:r>
      <w:r w:rsidRPr="00A33264">
        <w:rPr>
          <w:lang w:val="en-GB"/>
        </w:rPr>
        <w:t xml:space="preserve"> a failure by the </w:t>
      </w:r>
      <w:r w:rsidRPr="00A33264">
        <w:rPr>
          <w:lang w:val="en-GB"/>
        </w:rPr>
        <w:lastRenderedPageBreak/>
        <w:t xml:space="preserve">Administrative Appeals Tribunal (AAT) to provide procedural fairness to the parties where further evidence was produced after the substantive hearing. The Federal Court held that the AAT did not provide procedural fairness to the </w:t>
      </w:r>
      <w:r w:rsidR="007641EF">
        <w:rPr>
          <w:lang w:val="en-GB"/>
        </w:rPr>
        <w:t>a</w:t>
      </w:r>
      <w:r w:rsidRPr="00A33264">
        <w:rPr>
          <w:lang w:val="en-GB"/>
        </w:rPr>
        <w:t>pplicant, and the matter was remitted for further decision by the AAT.</w:t>
      </w:r>
    </w:p>
    <w:p w14:paraId="5B969C5E" w14:textId="02DB20C9" w:rsidR="00096E39" w:rsidRPr="00A33264" w:rsidRDefault="00E83B0D" w:rsidP="00E83B0D">
      <w:pPr>
        <w:pStyle w:val="Bullet1"/>
        <w:rPr>
          <w:lang w:val="en-GB"/>
        </w:rPr>
      </w:pPr>
      <w:r w:rsidRPr="00A33264">
        <w:rPr>
          <w:lang w:val="en-GB"/>
        </w:rPr>
        <w:t xml:space="preserve">Reasons for </w:t>
      </w:r>
      <w:r w:rsidRPr="00BB40DF">
        <w:rPr>
          <w:i/>
          <w:iCs/>
          <w:lang w:val="en-GB"/>
        </w:rPr>
        <w:t>Warwick v National Disability Insurance Agency</w:t>
      </w:r>
      <w:r w:rsidRPr="00A33264">
        <w:rPr>
          <w:lang w:val="en-GB"/>
        </w:rPr>
        <w:t xml:space="preserve"> [2024] FCA 616 were published on 12 June 2024</w:t>
      </w:r>
      <w:r w:rsidR="007641EF">
        <w:rPr>
          <w:lang w:val="en-GB"/>
        </w:rPr>
        <w:t>. The decision</w:t>
      </w:r>
      <w:r w:rsidRPr="00A33264">
        <w:rPr>
          <w:lang w:val="en-GB"/>
        </w:rPr>
        <w:t xml:space="preserve"> concern</w:t>
      </w:r>
      <w:r w:rsidR="007641EF">
        <w:rPr>
          <w:lang w:val="en-GB"/>
        </w:rPr>
        <w:t>ed</w:t>
      </w:r>
      <w:r w:rsidRPr="00A33264">
        <w:rPr>
          <w:lang w:val="en-GB"/>
        </w:rPr>
        <w:t xml:space="preserve"> whether relocation costs constituted ‘day-to-day living costs’ under Rule 5.1(d) of the </w:t>
      </w:r>
      <w:r w:rsidRPr="00157AAC">
        <w:rPr>
          <w:i/>
          <w:iCs/>
          <w:lang w:val="en-GB"/>
        </w:rPr>
        <w:t xml:space="preserve">National Disability </w:t>
      </w:r>
      <w:r w:rsidR="002C0768" w:rsidRPr="00157AAC">
        <w:rPr>
          <w:i/>
          <w:iCs/>
          <w:lang w:val="en-GB"/>
        </w:rPr>
        <w:t>I</w:t>
      </w:r>
      <w:r w:rsidRPr="00157AAC">
        <w:rPr>
          <w:i/>
          <w:iCs/>
          <w:lang w:val="en-GB"/>
        </w:rPr>
        <w:t>nsurance Scheme (Support for Participants) Rules 2013</w:t>
      </w:r>
      <w:r w:rsidRPr="00A33264">
        <w:rPr>
          <w:lang w:val="en-GB"/>
        </w:rPr>
        <w:t xml:space="preserve">. The Federal Court held the AAT erred in its construction of Rule 5.1(d) and that the </w:t>
      </w:r>
      <w:r w:rsidR="004364A0">
        <w:rPr>
          <w:lang w:val="en-GB"/>
        </w:rPr>
        <w:t>r</w:t>
      </w:r>
      <w:r w:rsidRPr="00A33264">
        <w:rPr>
          <w:lang w:val="en-GB"/>
        </w:rPr>
        <w:t>ule did not apply.</w:t>
      </w:r>
    </w:p>
    <w:p w14:paraId="57A477D9" w14:textId="0CD34735" w:rsidR="00096E39" w:rsidRPr="00A33264" w:rsidRDefault="00096E39" w:rsidP="00096E39">
      <w:pPr>
        <w:pStyle w:val="Heading4"/>
        <w:rPr>
          <w:lang w:val="en-GB"/>
        </w:rPr>
      </w:pPr>
      <w:bookmarkStart w:id="390" w:name="_Toc169593005"/>
      <w:r w:rsidRPr="00A33264">
        <w:rPr>
          <w:lang w:val="en-GB"/>
        </w:rPr>
        <w:t>Administrative Appeals Tribunal reviews</w:t>
      </w:r>
      <w:bookmarkEnd w:id="390"/>
    </w:p>
    <w:p w14:paraId="7C425478" w14:textId="511464DE" w:rsidR="00096E39" w:rsidRPr="00A33264" w:rsidRDefault="00E83B0D" w:rsidP="00096E39">
      <w:pPr>
        <w:rPr>
          <w:lang w:val="en-GB"/>
        </w:rPr>
      </w:pPr>
      <w:r w:rsidRPr="00A33264">
        <w:rPr>
          <w:lang w:val="en-GB"/>
        </w:rPr>
        <w:t xml:space="preserve">The AAT is responsible for independently reviewing a range of decisions made under the NDIS Act, including decisions about whether a person meets the access criteria to become a participant in the </w:t>
      </w:r>
      <w:r w:rsidR="00CA5D3C">
        <w:rPr>
          <w:lang w:val="en-GB"/>
        </w:rPr>
        <w:t>NDIS</w:t>
      </w:r>
      <w:r w:rsidRPr="00A33264">
        <w:rPr>
          <w:lang w:val="en-GB"/>
        </w:rPr>
        <w:t xml:space="preserve">, and </w:t>
      </w:r>
      <w:r w:rsidR="007641EF">
        <w:rPr>
          <w:lang w:val="en-GB"/>
        </w:rPr>
        <w:t xml:space="preserve">decisions </w:t>
      </w:r>
      <w:r w:rsidRPr="00A33264">
        <w:rPr>
          <w:lang w:val="en-GB"/>
        </w:rPr>
        <w:t xml:space="preserve">relating to supports provided under the </w:t>
      </w:r>
      <w:r w:rsidR="00CA5D3C">
        <w:rPr>
          <w:lang w:val="en-GB"/>
        </w:rPr>
        <w:t>NDIS</w:t>
      </w:r>
      <w:r w:rsidRPr="00A33264">
        <w:rPr>
          <w:lang w:val="en-GB"/>
        </w:rPr>
        <w:t>. In 2023–24, 4,043 applications for external merits review were lodged by participants in the AAT. There were 3,981 cases finalised during 2023–24, 97.2% of which were finalised through alternative dispute resolution without requiring a substantive hearing. As at 30 June 2024, 2,973 matters were open</w:t>
      </w:r>
      <w:r w:rsidR="007641EF">
        <w:rPr>
          <w:lang w:val="en-GB"/>
        </w:rPr>
        <w:t>.</w:t>
      </w:r>
      <w:r w:rsidRPr="00A33264">
        <w:rPr>
          <w:lang w:val="en-GB"/>
        </w:rPr>
        <w:t xml:space="preserve"> </w:t>
      </w:r>
      <w:r w:rsidR="007641EF">
        <w:rPr>
          <w:lang w:val="en-GB"/>
        </w:rPr>
        <w:t>T</w:t>
      </w:r>
      <w:r w:rsidRPr="00A33264">
        <w:rPr>
          <w:lang w:val="en-GB"/>
        </w:rPr>
        <w:t xml:space="preserve">hat is a 2.1% increase in open cases from the same time last year (as at 1 July 2023) and a 30% reduction in open cases from the year before (as at 1 July 2022). The AAT handed down 110 hearing decisions in 2023–24. </w:t>
      </w:r>
      <w:r w:rsidR="007641EF">
        <w:rPr>
          <w:lang w:val="en-GB"/>
        </w:rPr>
        <w:t>It</w:t>
      </w:r>
      <w:r w:rsidRPr="00A33264">
        <w:rPr>
          <w:lang w:val="en-GB"/>
        </w:rPr>
        <w:t xml:space="preserve"> affirmed 55 decisions, varied 12 decisions and set aside 43 decisions. The NDIA remains focused on resolving AAT disputes by taking a participant-centric approach.</w:t>
      </w:r>
    </w:p>
    <w:p w14:paraId="0B19EA68" w14:textId="2C798CD4" w:rsidR="00096E39" w:rsidRPr="00A33264" w:rsidRDefault="00096E39" w:rsidP="00096E39">
      <w:pPr>
        <w:pStyle w:val="Heading4"/>
        <w:rPr>
          <w:lang w:val="en-GB"/>
        </w:rPr>
      </w:pPr>
      <w:bookmarkStart w:id="391" w:name="_Toc169593006"/>
      <w:r w:rsidRPr="00A33264">
        <w:rPr>
          <w:lang w:val="en-GB"/>
        </w:rPr>
        <w:t>Australian Human Rights Commission</w:t>
      </w:r>
      <w:bookmarkEnd w:id="391"/>
    </w:p>
    <w:p w14:paraId="3BB6DE27" w14:textId="166E745D" w:rsidR="00096E39" w:rsidRPr="00A33264" w:rsidRDefault="00E83B0D" w:rsidP="00096E39">
      <w:pPr>
        <w:rPr>
          <w:lang w:val="en-GB"/>
        </w:rPr>
      </w:pPr>
      <w:r w:rsidRPr="00A33264">
        <w:rPr>
          <w:lang w:val="en-GB"/>
        </w:rPr>
        <w:t xml:space="preserve">The Australian Human Rights Commission (AHRC) is an independent statutory body </w:t>
      </w:r>
      <w:r w:rsidR="00993D6D" w:rsidRPr="00A33264">
        <w:rPr>
          <w:lang w:val="en-GB"/>
        </w:rPr>
        <w:t>that</w:t>
      </w:r>
      <w:r w:rsidRPr="00A33264">
        <w:rPr>
          <w:lang w:val="en-GB"/>
        </w:rPr>
        <w:t xml:space="preserve"> investigates complaints about discrimination and human rights breaches. The AHRC has statutory responsibilities under the </w:t>
      </w:r>
      <w:r w:rsidRPr="00A33264">
        <w:rPr>
          <w:i/>
          <w:iCs/>
          <w:lang w:val="en-GB"/>
        </w:rPr>
        <w:t>Age Discrimination Act 2004</w:t>
      </w:r>
      <w:r w:rsidRPr="00A33264">
        <w:rPr>
          <w:lang w:val="en-GB"/>
        </w:rPr>
        <w:t xml:space="preserve">, </w:t>
      </w:r>
      <w:r w:rsidRPr="00A33264">
        <w:rPr>
          <w:i/>
          <w:iCs/>
          <w:lang w:val="en-GB"/>
        </w:rPr>
        <w:t>Australian Human Rights Commission Act 1986</w:t>
      </w:r>
      <w:r w:rsidRPr="00A33264">
        <w:rPr>
          <w:lang w:val="en-GB"/>
        </w:rPr>
        <w:t xml:space="preserve">, </w:t>
      </w:r>
      <w:r w:rsidRPr="00A33264">
        <w:rPr>
          <w:i/>
          <w:iCs/>
          <w:lang w:val="en-GB"/>
        </w:rPr>
        <w:t>Disability Discrimination Act 1992</w:t>
      </w:r>
      <w:r w:rsidRPr="00A33264">
        <w:rPr>
          <w:lang w:val="en-GB"/>
        </w:rPr>
        <w:t xml:space="preserve">, </w:t>
      </w:r>
      <w:r w:rsidRPr="00A33264">
        <w:rPr>
          <w:i/>
          <w:iCs/>
          <w:lang w:val="en-GB"/>
        </w:rPr>
        <w:t>Racial Discrimination Act 1975</w:t>
      </w:r>
      <w:r w:rsidRPr="00A33264">
        <w:rPr>
          <w:lang w:val="en-GB"/>
        </w:rPr>
        <w:t xml:space="preserve">, and </w:t>
      </w:r>
      <w:r w:rsidRPr="00A33264">
        <w:rPr>
          <w:i/>
          <w:iCs/>
          <w:lang w:val="en-GB"/>
        </w:rPr>
        <w:t>Sex Discrimination Act 1984</w:t>
      </w:r>
      <w:r w:rsidRPr="00A33264">
        <w:rPr>
          <w:lang w:val="en-GB"/>
        </w:rPr>
        <w:t>. In 2023–24 the NDIA received 8 complaints from the AHRC, of which 4 were open at the end of the financial year.</w:t>
      </w:r>
    </w:p>
    <w:p w14:paraId="30AB6E65" w14:textId="79A52D9B" w:rsidR="00096E39" w:rsidRPr="00A33264" w:rsidRDefault="00096E39" w:rsidP="00096E39">
      <w:pPr>
        <w:pStyle w:val="Heading4"/>
        <w:rPr>
          <w:lang w:val="en-GB"/>
        </w:rPr>
      </w:pPr>
      <w:bookmarkStart w:id="392" w:name="_Toc169593007"/>
      <w:r w:rsidRPr="00A33264">
        <w:rPr>
          <w:lang w:val="en-GB"/>
        </w:rPr>
        <w:t>Fair Work Commission</w:t>
      </w:r>
      <w:bookmarkEnd w:id="392"/>
    </w:p>
    <w:p w14:paraId="3F0B0085" w14:textId="25801915" w:rsidR="00096E39" w:rsidRPr="00A33264" w:rsidRDefault="00E83B0D" w:rsidP="00096E39">
      <w:pPr>
        <w:rPr>
          <w:lang w:val="en-GB"/>
        </w:rPr>
      </w:pPr>
      <w:r w:rsidRPr="00A33264">
        <w:rPr>
          <w:lang w:val="en-GB"/>
        </w:rPr>
        <w:t xml:space="preserve">The Fair Work Commission is Australia’s national workplace relations tribunal. </w:t>
      </w:r>
      <w:r w:rsidR="007641EF">
        <w:rPr>
          <w:lang w:val="en-GB"/>
        </w:rPr>
        <w:t>It</w:t>
      </w:r>
      <w:r w:rsidRPr="00A33264">
        <w:rPr>
          <w:lang w:val="en-GB"/>
        </w:rPr>
        <w:t xml:space="preserve"> is responsible for setting minimum wages for Australia, helping with issues in the workplace and regulating registered organisations. In 2023–24 the NDIA received 8 applications to the F</w:t>
      </w:r>
      <w:r w:rsidR="00196F6D">
        <w:rPr>
          <w:lang w:val="en-GB"/>
        </w:rPr>
        <w:t xml:space="preserve">air </w:t>
      </w:r>
      <w:r w:rsidRPr="00A33264">
        <w:rPr>
          <w:lang w:val="en-GB"/>
        </w:rPr>
        <w:t>W</w:t>
      </w:r>
      <w:r w:rsidR="00196F6D">
        <w:rPr>
          <w:lang w:val="en-GB"/>
        </w:rPr>
        <w:t xml:space="preserve">ork </w:t>
      </w:r>
      <w:r w:rsidRPr="00A33264">
        <w:rPr>
          <w:lang w:val="en-GB"/>
        </w:rPr>
        <w:t>C</w:t>
      </w:r>
      <w:r w:rsidR="00196F6D">
        <w:rPr>
          <w:lang w:val="en-GB"/>
        </w:rPr>
        <w:t>ommission</w:t>
      </w:r>
      <w:r w:rsidRPr="00A33264">
        <w:rPr>
          <w:lang w:val="en-GB"/>
        </w:rPr>
        <w:t>, of which 2 were open at the end of the financial year.</w:t>
      </w:r>
    </w:p>
    <w:p w14:paraId="601C76EB" w14:textId="596F8E0B" w:rsidR="00096E39" w:rsidRPr="00A33264" w:rsidRDefault="00096E39" w:rsidP="00096E39">
      <w:pPr>
        <w:pStyle w:val="Heading4"/>
        <w:rPr>
          <w:lang w:val="en-GB"/>
        </w:rPr>
      </w:pPr>
      <w:bookmarkStart w:id="393" w:name="_Toc169593008"/>
      <w:r w:rsidRPr="00A33264">
        <w:rPr>
          <w:lang w:val="en-GB"/>
        </w:rPr>
        <w:lastRenderedPageBreak/>
        <w:t>Federal Circuit Court</w:t>
      </w:r>
      <w:bookmarkEnd w:id="393"/>
      <w:r w:rsidR="00E83B0D" w:rsidRPr="00A33264">
        <w:rPr>
          <w:lang w:val="en-GB"/>
        </w:rPr>
        <w:t xml:space="preserve"> and Family Court of Australia</w:t>
      </w:r>
    </w:p>
    <w:p w14:paraId="0A0D0385" w14:textId="0FD89843" w:rsidR="00096E39" w:rsidRPr="00A33264" w:rsidRDefault="00E83B0D" w:rsidP="00096E39">
      <w:pPr>
        <w:rPr>
          <w:lang w:val="en-GB"/>
        </w:rPr>
      </w:pPr>
      <w:r w:rsidRPr="00A33264">
        <w:rPr>
          <w:lang w:val="en-GB"/>
        </w:rPr>
        <w:t xml:space="preserve">The Federal Circuit and Family Court of Australia (FCFCA) deals with family law, migration, and general federal law matters. In 2023–24 the NDIA received </w:t>
      </w:r>
      <w:r w:rsidR="00993D6D" w:rsidRPr="00A33264">
        <w:rPr>
          <w:lang w:val="en-GB"/>
        </w:rPr>
        <w:t>one</w:t>
      </w:r>
      <w:r w:rsidRPr="00A33264">
        <w:rPr>
          <w:lang w:val="en-GB"/>
        </w:rPr>
        <w:t xml:space="preserve"> application from the FCFCA</w:t>
      </w:r>
      <w:r w:rsidR="00993D6D" w:rsidRPr="00A33264">
        <w:rPr>
          <w:lang w:val="en-GB"/>
        </w:rPr>
        <w:t>,</w:t>
      </w:r>
      <w:r w:rsidRPr="00A33264">
        <w:rPr>
          <w:lang w:val="en-GB"/>
        </w:rPr>
        <w:t xml:space="preserve"> which was open at the end of the financial year</w:t>
      </w:r>
      <w:r w:rsidR="00993D6D" w:rsidRPr="00A33264">
        <w:rPr>
          <w:lang w:val="en-GB"/>
        </w:rPr>
        <w:t>.</w:t>
      </w:r>
    </w:p>
    <w:p w14:paraId="01D957E1" w14:textId="24F87CCD" w:rsidR="00096E39" w:rsidRPr="00A33264" w:rsidRDefault="00096E39" w:rsidP="00096E39">
      <w:pPr>
        <w:pStyle w:val="Heading4"/>
        <w:rPr>
          <w:lang w:val="en-GB"/>
        </w:rPr>
      </w:pPr>
      <w:bookmarkStart w:id="394" w:name="_Toc169593009"/>
      <w:bookmarkStart w:id="395" w:name="_Hlk174610092"/>
      <w:r w:rsidRPr="00A33264">
        <w:rPr>
          <w:lang w:val="en-GB"/>
        </w:rPr>
        <w:t>Australian National Audit Office reports</w:t>
      </w:r>
      <w:bookmarkEnd w:id="394"/>
    </w:p>
    <w:p w14:paraId="680D0A76" w14:textId="4DEF406A" w:rsidR="007963B3" w:rsidRPr="00A33264" w:rsidRDefault="007963B3" w:rsidP="007963B3">
      <w:pPr>
        <w:rPr>
          <w:lang w:val="en-GB"/>
        </w:rPr>
      </w:pPr>
      <w:bookmarkStart w:id="396" w:name="_Hlk174610264"/>
      <w:r w:rsidRPr="00A33264">
        <w:rPr>
          <w:lang w:val="en-GB"/>
        </w:rPr>
        <w:t>The Australian National Audit Office (ANAO) conducts performance audits of the efficiency and effectiveness of the NDIA’s operations</w:t>
      </w:r>
      <w:r w:rsidR="00196F6D">
        <w:rPr>
          <w:lang w:val="en-GB"/>
        </w:rPr>
        <w:t>,</w:t>
      </w:r>
      <w:r w:rsidRPr="00A33264">
        <w:rPr>
          <w:lang w:val="en-GB"/>
        </w:rPr>
        <w:t xml:space="preserve"> and financial statements audits of NDIA financial statements. In 2023–24 the ANAO undertook 2 performance audits involving the NDIA. </w:t>
      </w:r>
      <w:r w:rsidR="00196F6D">
        <w:rPr>
          <w:i/>
          <w:iCs/>
          <w:lang w:val="en-GB"/>
        </w:rPr>
        <w:t>Auditor-General Report No. 23 2023</w:t>
      </w:r>
      <w:r w:rsidR="00196F6D" w:rsidRPr="003131F3">
        <w:rPr>
          <w:i/>
          <w:iCs/>
          <w:lang w:val="en-GB"/>
        </w:rPr>
        <w:t>–</w:t>
      </w:r>
      <w:r w:rsidR="00196F6D">
        <w:rPr>
          <w:i/>
          <w:iCs/>
          <w:lang w:val="en-GB"/>
        </w:rPr>
        <w:t xml:space="preserve">24: </w:t>
      </w:r>
      <w:r w:rsidRPr="00F86FC3">
        <w:rPr>
          <w:i/>
          <w:lang w:val="en-GB"/>
        </w:rPr>
        <w:t xml:space="preserve">Management of </w:t>
      </w:r>
      <w:r w:rsidR="00B43B3B">
        <w:rPr>
          <w:i/>
          <w:lang w:val="en-GB"/>
        </w:rPr>
        <w:t>c</w:t>
      </w:r>
      <w:r w:rsidRPr="00F86FC3">
        <w:rPr>
          <w:i/>
          <w:lang w:val="en-GB"/>
        </w:rPr>
        <w:t>omplaints by the National Disability Insurance</w:t>
      </w:r>
      <w:r w:rsidR="00B43B3B">
        <w:rPr>
          <w:i/>
          <w:lang w:val="en-GB"/>
        </w:rPr>
        <w:t xml:space="preserve"> Agency</w:t>
      </w:r>
      <w:r w:rsidRPr="00A33264">
        <w:rPr>
          <w:lang w:val="en-GB"/>
        </w:rPr>
        <w:t xml:space="preserve"> was published on 22 April 2024. It made 2 recommendations, </w:t>
      </w:r>
      <w:r w:rsidR="00196F6D">
        <w:rPr>
          <w:lang w:val="en-GB"/>
        </w:rPr>
        <w:t xml:space="preserve">both </w:t>
      </w:r>
      <w:r w:rsidRPr="00A33264">
        <w:rPr>
          <w:lang w:val="en-GB"/>
        </w:rPr>
        <w:t xml:space="preserve">of which were agreed </w:t>
      </w:r>
      <w:r w:rsidR="00196F6D">
        <w:rPr>
          <w:lang w:val="en-GB"/>
        </w:rPr>
        <w:t xml:space="preserve">to </w:t>
      </w:r>
      <w:r w:rsidRPr="00A33264">
        <w:rPr>
          <w:lang w:val="en-GB"/>
        </w:rPr>
        <w:t xml:space="preserve">by the NDIA. </w:t>
      </w:r>
      <w:r w:rsidR="00196F6D" w:rsidRPr="00515544">
        <w:rPr>
          <w:i/>
          <w:iCs/>
          <w:lang w:val="en-GB"/>
        </w:rPr>
        <w:t xml:space="preserve">Auditor-General Report No. </w:t>
      </w:r>
      <w:r w:rsidR="00196F6D">
        <w:rPr>
          <w:i/>
          <w:iCs/>
          <w:lang w:val="en-GB"/>
        </w:rPr>
        <w:t>3</w:t>
      </w:r>
      <w:r w:rsidR="00196F6D" w:rsidRPr="00515544">
        <w:rPr>
          <w:i/>
          <w:iCs/>
          <w:lang w:val="en-GB"/>
        </w:rPr>
        <w:t>3 2023–24</w:t>
      </w:r>
      <w:r w:rsidR="00196F6D" w:rsidRPr="00E40940">
        <w:rPr>
          <w:i/>
          <w:iCs/>
          <w:lang w:val="en-GB"/>
        </w:rPr>
        <w:t>:</w:t>
      </w:r>
      <w:r w:rsidR="00196F6D" w:rsidRPr="00F86FC3">
        <w:rPr>
          <w:i/>
          <w:lang w:val="en-GB"/>
        </w:rPr>
        <w:t xml:space="preserve"> </w:t>
      </w:r>
      <w:r w:rsidRPr="00F86FC3">
        <w:rPr>
          <w:i/>
          <w:lang w:val="en-GB"/>
        </w:rPr>
        <w:t xml:space="preserve">Compliance with </w:t>
      </w:r>
      <w:r w:rsidR="00B43B3B">
        <w:rPr>
          <w:i/>
          <w:lang w:val="en-GB"/>
        </w:rPr>
        <w:t>c</w:t>
      </w:r>
      <w:r w:rsidRPr="00F86FC3">
        <w:rPr>
          <w:i/>
          <w:lang w:val="en-GB"/>
        </w:rPr>
        <w:t xml:space="preserve">orporate </w:t>
      </w:r>
      <w:r w:rsidR="00B43B3B">
        <w:rPr>
          <w:i/>
          <w:lang w:val="en-GB"/>
        </w:rPr>
        <w:t>c</w:t>
      </w:r>
      <w:r w:rsidRPr="00F86FC3">
        <w:rPr>
          <w:i/>
          <w:lang w:val="en-GB"/>
        </w:rPr>
        <w:t>redit</w:t>
      </w:r>
      <w:r w:rsidR="00B43B3B">
        <w:rPr>
          <w:i/>
          <w:lang w:val="en-GB"/>
        </w:rPr>
        <w:t xml:space="preserve"> c</w:t>
      </w:r>
      <w:r w:rsidRPr="00F86FC3">
        <w:rPr>
          <w:i/>
          <w:lang w:val="en-GB"/>
        </w:rPr>
        <w:t xml:space="preserve">ard </w:t>
      </w:r>
      <w:r w:rsidR="00B43B3B">
        <w:rPr>
          <w:i/>
          <w:lang w:val="en-GB"/>
        </w:rPr>
        <w:t>r</w:t>
      </w:r>
      <w:r w:rsidRPr="00F86FC3">
        <w:rPr>
          <w:i/>
          <w:lang w:val="en-GB"/>
        </w:rPr>
        <w:t>equirements in the National Disability Insurance Agency</w:t>
      </w:r>
      <w:r w:rsidRPr="00A33264">
        <w:rPr>
          <w:lang w:val="en-GB"/>
        </w:rPr>
        <w:t xml:space="preserve"> was published on 30 May 2024. It made 9 recommendations, all of which were agreed </w:t>
      </w:r>
      <w:r w:rsidR="00196F6D">
        <w:rPr>
          <w:lang w:val="en-GB"/>
        </w:rPr>
        <w:t xml:space="preserve">to </w:t>
      </w:r>
      <w:r w:rsidRPr="00A33264">
        <w:rPr>
          <w:lang w:val="en-GB"/>
        </w:rPr>
        <w:t>by the NDIA.</w:t>
      </w:r>
    </w:p>
    <w:p w14:paraId="77E5FD94" w14:textId="440CD5AD" w:rsidR="009F7C45" w:rsidRPr="00A33264" w:rsidRDefault="007963B3" w:rsidP="007963B3">
      <w:pPr>
        <w:rPr>
          <w:lang w:val="en-GB"/>
        </w:rPr>
      </w:pPr>
      <w:r w:rsidRPr="00A33264">
        <w:rPr>
          <w:lang w:val="en-GB"/>
        </w:rPr>
        <w:t xml:space="preserve">All ANAO recommendations from </w:t>
      </w:r>
      <w:r w:rsidR="00196F6D">
        <w:rPr>
          <w:lang w:val="en-GB"/>
        </w:rPr>
        <w:t>its</w:t>
      </w:r>
      <w:r w:rsidRPr="00A33264">
        <w:rPr>
          <w:lang w:val="en-GB"/>
        </w:rPr>
        <w:t xml:space="preserve"> performance, performance statements and financial statements audits are actively monitored and addressed within the necessary timelines</w:t>
      </w:r>
      <w:r w:rsidR="00196F6D">
        <w:rPr>
          <w:lang w:val="en-GB"/>
        </w:rPr>
        <w:t>,</w:t>
      </w:r>
      <w:r w:rsidRPr="00A33264">
        <w:rPr>
          <w:lang w:val="en-GB"/>
        </w:rPr>
        <w:t xml:space="preserve"> with </w:t>
      </w:r>
      <w:r w:rsidR="00196F6D">
        <w:rPr>
          <w:lang w:val="en-GB"/>
        </w:rPr>
        <w:t xml:space="preserve">oversight from </w:t>
      </w:r>
      <w:r w:rsidRPr="00A33264">
        <w:rPr>
          <w:lang w:val="en-GB"/>
        </w:rPr>
        <w:t>both</w:t>
      </w:r>
      <w:r w:rsidR="00196F6D">
        <w:rPr>
          <w:lang w:val="en-GB"/>
        </w:rPr>
        <w:t xml:space="preserve"> the</w:t>
      </w:r>
      <w:r w:rsidRPr="00A33264">
        <w:rPr>
          <w:lang w:val="en-GB"/>
        </w:rPr>
        <w:t xml:space="preserve"> Strategic Leadership Team and </w:t>
      </w:r>
      <w:r w:rsidR="00196F6D">
        <w:rPr>
          <w:lang w:val="en-GB"/>
        </w:rPr>
        <w:t xml:space="preserve">the </w:t>
      </w:r>
      <w:r w:rsidRPr="00A33264">
        <w:rPr>
          <w:lang w:val="en-GB"/>
        </w:rPr>
        <w:t>Board Audit and Risk Committee.</w:t>
      </w:r>
    </w:p>
    <w:p w14:paraId="6CC31CD3" w14:textId="3ECF989F" w:rsidR="00096E39" w:rsidRPr="00A33264" w:rsidRDefault="00096E39" w:rsidP="00096E39">
      <w:pPr>
        <w:pStyle w:val="Heading4"/>
        <w:rPr>
          <w:lang w:val="en-GB"/>
        </w:rPr>
      </w:pPr>
      <w:bookmarkStart w:id="397" w:name="_Toc169593010"/>
      <w:bookmarkEnd w:id="395"/>
      <w:bookmarkEnd w:id="396"/>
      <w:r w:rsidRPr="00A33264">
        <w:rPr>
          <w:lang w:val="en-GB"/>
        </w:rPr>
        <w:t>Freedom of Information</w:t>
      </w:r>
      <w:bookmarkEnd w:id="397"/>
    </w:p>
    <w:p w14:paraId="2A75502B" w14:textId="5D2ADB12" w:rsidR="00B8787E" w:rsidRPr="00A33264" w:rsidRDefault="00B8787E" w:rsidP="00B8787E">
      <w:pPr>
        <w:rPr>
          <w:lang w:val="en-GB"/>
        </w:rPr>
      </w:pPr>
      <w:r w:rsidRPr="00A33264">
        <w:rPr>
          <w:lang w:val="en-GB"/>
        </w:rPr>
        <w:t xml:space="preserve">Under the </w:t>
      </w:r>
      <w:r w:rsidRPr="00A33264">
        <w:rPr>
          <w:i/>
          <w:iCs/>
          <w:lang w:val="en-GB"/>
        </w:rPr>
        <w:t>Freedom of Information Act 1982</w:t>
      </w:r>
      <w:r w:rsidRPr="00A33264">
        <w:rPr>
          <w:lang w:val="en-GB"/>
        </w:rPr>
        <w:t xml:space="preserve"> </w:t>
      </w:r>
      <w:r w:rsidR="004364A0">
        <w:rPr>
          <w:lang w:val="en-GB"/>
        </w:rPr>
        <w:t xml:space="preserve">(Cth) </w:t>
      </w:r>
      <w:r w:rsidRPr="00A33264">
        <w:rPr>
          <w:lang w:val="en-GB"/>
        </w:rPr>
        <w:t>(FOI Act), a person may request access to information held by the NDIA.</w:t>
      </w:r>
    </w:p>
    <w:p w14:paraId="71914CC5" w14:textId="77B3DFE1" w:rsidR="00B8787E" w:rsidRPr="00A33264" w:rsidRDefault="00B8787E" w:rsidP="00B8787E">
      <w:pPr>
        <w:rPr>
          <w:lang w:val="en-GB"/>
        </w:rPr>
      </w:pPr>
      <w:r w:rsidRPr="00A33264">
        <w:rPr>
          <w:lang w:val="en-GB"/>
        </w:rPr>
        <w:t xml:space="preserve">The NDIA </w:t>
      </w:r>
      <w:r w:rsidR="00196F6D">
        <w:rPr>
          <w:lang w:val="en-GB"/>
        </w:rPr>
        <w:t>applies</w:t>
      </w:r>
      <w:r w:rsidR="00196F6D" w:rsidRPr="00A33264">
        <w:rPr>
          <w:lang w:val="en-GB"/>
        </w:rPr>
        <w:t xml:space="preserve"> </w:t>
      </w:r>
      <w:r w:rsidRPr="00A33264">
        <w:rPr>
          <w:lang w:val="en-GB"/>
        </w:rPr>
        <w:t>a participant lens</w:t>
      </w:r>
      <w:r w:rsidR="00196F6D">
        <w:rPr>
          <w:lang w:val="en-GB"/>
        </w:rPr>
        <w:t xml:space="preserve"> to </w:t>
      </w:r>
      <w:r w:rsidR="004364A0">
        <w:rPr>
          <w:lang w:val="en-GB"/>
        </w:rPr>
        <w:t>freedom of information (</w:t>
      </w:r>
      <w:r w:rsidR="00196F6D">
        <w:rPr>
          <w:lang w:val="en-GB"/>
        </w:rPr>
        <w:t>FOI</w:t>
      </w:r>
      <w:r w:rsidR="004364A0">
        <w:rPr>
          <w:lang w:val="en-GB"/>
        </w:rPr>
        <w:t>)</w:t>
      </w:r>
      <w:r w:rsidR="00196F6D">
        <w:rPr>
          <w:lang w:val="en-GB"/>
        </w:rPr>
        <w:t xml:space="preserve"> requests</w:t>
      </w:r>
      <w:r w:rsidRPr="00A33264">
        <w:rPr>
          <w:lang w:val="en-GB"/>
        </w:rPr>
        <w:t xml:space="preserve"> and will refer participants to the Participant Information Access </w:t>
      </w:r>
      <w:r w:rsidR="00196F6D">
        <w:rPr>
          <w:lang w:val="en-GB"/>
        </w:rPr>
        <w:t xml:space="preserve">scheme </w:t>
      </w:r>
      <w:r w:rsidRPr="00A33264">
        <w:rPr>
          <w:lang w:val="en-GB"/>
        </w:rPr>
        <w:t xml:space="preserve">pathway where appropriate </w:t>
      </w:r>
      <w:r w:rsidR="00196F6D">
        <w:rPr>
          <w:lang w:val="en-GB"/>
        </w:rPr>
        <w:t>so that they can</w:t>
      </w:r>
      <w:r w:rsidRPr="00A33264">
        <w:rPr>
          <w:lang w:val="en-GB"/>
        </w:rPr>
        <w:t xml:space="preserve"> access their personal information more quickly and easily without needing to make or pursue a formal application under the FOI Act. </w:t>
      </w:r>
    </w:p>
    <w:p w14:paraId="5D1743A8" w14:textId="4AA0C581" w:rsidR="00096E39" w:rsidRPr="00A33264" w:rsidRDefault="00B8787E" w:rsidP="00B8787E">
      <w:pPr>
        <w:rPr>
          <w:lang w:val="en-GB"/>
        </w:rPr>
      </w:pPr>
      <w:r w:rsidRPr="00A33264">
        <w:rPr>
          <w:lang w:val="en-GB"/>
        </w:rPr>
        <w:t>In 2023–24 the NDIA received 1,386 requests under the FOI Act</w:t>
      </w:r>
      <w:r w:rsidR="00196F6D">
        <w:rPr>
          <w:lang w:val="en-GB"/>
        </w:rPr>
        <w:t>,</w:t>
      </w:r>
      <w:r w:rsidRPr="00A33264">
        <w:rPr>
          <w:lang w:val="en-GB"/>
        </w:rPr>
        <w:t xml:space="preserve"> compared </w:t>
      </w:r>
      <w:r w:rsidR="004364A0">
        <w:rPr>
          <w:lang w:val="en-GB"/>
        </w:rPr>
        <w:t>with</w:t>
      </w:r>
      <w:r w:rsidRPr="00A33264">
        <w:rPr>
          <w:lang w:val="en-GB"/>
        </w:rPr>
        <w:t xml:space="preserve"> 1</w:t>
      </w:r>
      <w:r w:rsidR="00196F6D">
        <w:rPr>
          <w:lang w:val="en-GB"/>
        </w:rPr>
        <w:t>,</w:t>
      </w:r>
      <w:r w:rsidRPr="00A33264">
        <w:rPr>
          <w:lang w:val="en-GB"/>
        </w:rPr>
        <w:t>753 in 2022</w:t>
      </w:r>
      <w:r w:rsidR="00993D6D" w:rsidRPr="00A33264">
        <w:rPr>
          <w:lang w:val="en-GB"/>
        </w:rPr>
        <w:t>–</w:t>
      </w:r>
      <w:r w:rsidRPr="00A33264">
        <w:rPr>
          <w:lang w:val="en-GB"/>
        </w:rPr>
        <w:t>23</w:t>
      </w:r>
      <w:r w:rsidR="00196F6D">
        <w:rPr>
          <w:lang w:val="en-GB"/>
        </w:rPr>
        <w:t>,</w:t>
      </w:r>
      <w:r w:rsidRPr="00A33264">
        <w:rPr>
          <w:lang w:val="en-GB"/>
        </w:rPr>
        <w:t xml:space="preserve"> and 31 requests for internal review of an access decision. </w:t>
      </w:r>
      <w:r w:rsidR="00196F6D">
        <w:rPr>
          <w:lang w:val="en-GB"/>
        </w:rPr>
        <w:t>T</w:t>
      </w:r>
      <w:r w:rsidRPr="00A33264">
        <w:rPr>
          <w:lang w:val="en-GB"/>
        </w:rPr>
        <w:t xml:space="preserve">he Office of the Australian Information Commissioner notified the NDIA </w:t>
      </w:r>
      <w:r w:rsidR="00196F6D">
        <w:rPr>
          <w:lang w:val="en-GB"/>
        </w:rPr>
        <w:t xml:space="preserve">that </w:t>
      </w:r>
      <w:r w:rsidRPr="00A33264">
        <w:rPr>
          <w:lang w:val="en-GB"/>
        </w:rPr>
        <w:t>it</w:t>
      </w:r>
      <w:r w:rsidR="00196F6D">
        <w:rPr>
          <w:lang w:val="en-GB"/>
        </w:rPr>
        <w:t xml:space="preserve"> had</w:t>
      </w:r>
      <w:r w:rsidRPr="00A33264">
        <w:rPr>
          <w:lang w:val="en-GB"/>
        </w:rPr>
        <w:t xml:space="preserve"> received 77 applications for a review of the </w:t>
      </w:r>
      <w:r w:rsidR="00196F6D">
        <w:rPr>
          <w:lang w:val="en-GB"/>
        </w:rPr>
        <w:t>NDIA</w:t>
      </w:r>
      <w:r w:rsidRPr="00A33264">
        <w:rPr>
          <w:lang w:val="en-GB"/>
        </w:rPr>
        <w:t>’s access decisions. One matter was subject to an application to and determination by the AAT.</w:t>
      </w:r>
    </w:p>
    <w:p w14:paraId="63D42834" w14:textId="5CB4B8A7" w:rsidR="00096E39" w:rsidRPr="00A33264" w:rsidRDefault="00096E39" w:rsidP="00096E39">
      <w:pPr>
        <w:pStyle w:val="Heading4"/>
        <w:rPr>
          <w:lang w:val="en-GB"/>
        </w:rPr>
      </w:pPr>
      <w:bookmarkStart w:id="398" w:name="_Toc169593011"/>
      <w:r w:rsidRPr="00A33264">
        <w:rPr>
          <w:lang w:val="en-GB"/>
        </w:rPr>
        <w:t xml:space="preserve">Participant Information Access </w:t>
      </w:r>
      <w:r w:rsidR="00993D6D" w:rsidRPr="00A33264">
        <w:rPr>
          <w:lang w:val="en-GB"/>
        </w:rPr>
        <w:t>s</w:t>
      </w:r>
      <w:r w:rsidRPr="00A33264">
        <w:rPr>
          <w:lang w:val="en-GB"/>
        </w:rPr>
        <w:t>cheme</w:t>
      </w:r>
      <w:bookmarkEnd w:id="398"/>
    </w:p>
    <w:p w14:paraId="6A585C18" w14:textId="03A293AF" w:rsidR="00096E39" w:rsidRPr="00A33264" w:rsidRDefault="00B8787E" w:rsidP="00096E39">
      <w:pPr>
        <w:rPr>
          <w:lang w:val="en-GB"/>
        </w:rPr>
      </w:pPr>
      <w:r w:rsidRPr="00A33264">
        <w:rPr>
          <w:lang w:val="en-GB"/>
        </w:rPr>
        <w:t xml:space="preserve">The Participant Information Access scheme allows current and prospective participants, as well as nominated representatives, to request access to personal information held by the NDIA. The NDIA implemented the scheme in 2021 to assist participants to access their personal information more quickly and easily without needing to make or pursue a formal application under the FOI Act. The scheme is well </w:t>
      </w:r>
      <w:r w:rsidRPr="00A33264">
        <w:rPr>
          <w:lang w:val="en-GB"/>
        </w:rPr>
        <w:lastRenderedPageBreak/>
        <w:t>used by NDIS participants</w:t>
      </w:r>
      <w:r w:rsidR="00196F6D">
        <w:rPr>
          <w:lang w:val="en-GB"/>
        </w:rPr>
        <w:t>. The NDIA received</w:t>
      </w:r>
      <w:r w:rsidRPr="00A33264">
        <w:rPr>
          <w:lang w:val="en-GB"/>
        </w:rPr>
        <w:t xml:space="preserve"> 7,662 P</w:t>
      </w:r>
      <w:r w:rsidR="00196F6D">
        <w:rPr>
          <w:lang w:val="en-GB"/>
        </w:rPr>
        <w:t xml:space="preserve">articipant </w:t>
      </w:r>
      <w:r w:rsidRPr="00A33264">
        <w:rPr>
          <w:lang w:val="en-GB"/>
        </w:rPr>
        <w:t>I</w:t>
      </w:r>
      <w:r w:rsidR="00196F6D">
        <w:rPr>
          <w:lang w:val="en-GB"/>
        </w:rPr>
        <w:t xml:space="preserve">nformation </w:t>
      </w:r>
      <w:r w:rsidRPr="00A33264">
        <w:rPr>
          <w:lang w:val="en-GB"/>
        </w:rPr>
        <w:t>A</w:t>
      </w:r>
      <w:r w:rsidR="00196F6D">
        <w:rPr>
          <w:lang w:val="en-GB"/>
        </w:rPr>
        <w:t>ccess</w:t>
      </w:r>
      <w:r w:rsidRPr="00A33264">
        <w:rPr>
          <w:lang w:val="en-GB"/>
        </w:rPr>
        <w:t xml:space="preserve"> requests in 2023–24 compared </w:t>
      </w:r>
      <w:r w:rsidR="004364A0">
        <w:rPr>
          <w:lang w:val="en-GB"/>
        </w:rPr>
        <w:t>with</w:t>
      </w:r>
      <w:r w:rsidRPr="00A33264">
        <w:rPr>
          <w:lang w:val="en-GB"/>
        </w:rPr>
        <w:t xml:space="preserve"> 4</w:t>
      </w:r>
      <w:r w:rsidR="00196F6D">
        <w:rPr>
          <w:lang w:val="en-GB"/>
        </w:rPr>
        <w:t>,</w:t>
      </w:r>
      <w:r w:rsidRPr="00A33264">
        <w:rPr>
          <w:lang w:val="en-GB"/>
        </w:rPr>
        <w:t>807 in 2022</w:t>
      </w:r>
      <w:r w:rsidR="00993D6D" w:rsidRPr="00A33264">
        <w:rPr>
          <w:lang w:val="en-GB"/>
        </w:rPr>
        <w:t>–</w:t>
      </w:r>
      <w:r w:rsidRPr="00A33264">
        <w:rPr>
          <w:lang w:val="en-GB"/>
        </w:rPr>
        <w:t>23.</w:t>
      </w:r>
    </w:p>
    <w:p w14:paraId="13D19546" w14:textId="08B5CCF1" w:rsidR="00096E39" w:rsidRPr="00A33264" w:rsidRDefault="00096E39" w:rsidP="00096E39">
      <w:pPr>
        <w:pStyle w:val="Heading4"/>
        <w:rPr>
          <w:lang w:val="en-GB"/>
        </w:rPr>
      </w:pPr>
      <w:bookmarkStart w:id="399" w:name="_Toc169593012"/>
      <w:r w:rsidRPr="00A33264">
        <w:rPr>
          <w:lang w:val="en-GB"/>
        </w:rPr>
        <w:t>Commonwealth Ombudsman</w:t>
      </w:r>
      <w:bookmarkEnd w:id="399"/>
    </w:p>
    <w:p w14:paraId="6CB0038A" w14:textId="0F0856E7" w:rsidR="00B8787E" w:rsidRPr="00A33264" w:rsidRDefault="00B8787E" w:rsidP="00B8787E">
      <w:pPr>
        <w:rPr>
          <w:lang w:val="en-GB"/>
        </w:rPr>
      </w:pPr>
      <w:r w:rsidRPr="00A33264">
        <w:rPr>
          <w:lang w:val="en-GB"/>
        </w:rPr>
        <w:t xml:space="preserve">Under the </w:t>
      </w:r>
      <w:r w:rsidRPr="00A33264">
        <w:rPr>
          <w:i/>
          <w:iCs/>
          <w:lang w:val="en-GB"/>
        </w:rPr>
        <w:t>Ombudsman Act 1976</w:t>
      </w:r>
      <w:r w:rsidR="004364A0">
        <w:rPr>
          <w:lang w:val="en-GB"/>
        </w:rPr>
        <w:t xml:space="preserve"> (Cth),</w:t>
      </w:r>
      <w:r w:rsidRPr="00A33264">
        <w:rPr>
          <w:lang w:val="en-GB"/>
        </w:rPr>
        <w:t xml:space="preserve"> the Commonwealth Ombudsman may consider complaints from individuals, groups or organisations about administrative actions and decisions of Australian Government agencies</w:t>
      </w:r>
      <w:r w:rsidR="00993D6D" w:rsidRPr="00A33264">
        <w:rPr>
          <w:lang w:val="en-GB"/>
        </w:rPr>
        <w:t>,</w:t>
      </w:r>
      <w:r w:rsidRPr="00A33264">
        <w:rPr>
          <w:lang w:val="en-GB"/>
        </w:rPr>
        <w:t xml:space="preserve"> including the NDIA. </w:t>
      </w:r>
    </w:p>
    <w:p w14:paraId="3784B48D" w14:textId="77777777" w:rsidR="00B8787E" w:rsidRPr="00A33264" w:rsidRDefault="00B8787E" w:rsidP="00B8787E">
      <w:pPr>
        <w:rPr>
          <w:lang w:val="en-GB"/>
        </w:rPr>
      </w:pPr>
      <w:r w:rsidRPr="00A33264">
        <w:rPr>
          <w:lang w:val="en-GB"/>
        </w:rPr>
        <w:t>The NDIA assists the Commonwealth Ombudsman to address complaints by accepting complaint transfers and providing information and documents in response to Ombudsman inquiries, requests and formal notices.</w:t>
      </w:r>
    </w:p>
    <w:p w14:paraId="7E1BA2A3" w14:textId="32AE7842" w:rsidR="00096E39" w:rsidRPr="00A33264" w:rsidRDefault="00B8787E" w:rsidP="00B8787E">
      <w:pPr>
        <w:rPr>
          <w:lang w:val="en-GB"/>
        </w:rPr>
      </w:pPr>
      <w:r w:rsidRPr="00A33264">
        <w:rPr>
          <w:lang w:val="en-GB"/>
        </w:rPr>
        <w:t>In 2023</w:t>
      </w:r>
      <w:r w:rsidR="00993D6D" w:rsidRPr="00A33264">
        <w:rPr>
          <w:lang w:val="en-GB"/>
        </w:rPr>
        <w:t>–</w:t>
      </w:r>
      <w:r w:rsidRPr="00A33264">
        <w:rPr>
          <w:lang w:val="en-GB"/>
        </w:rPr>
        <w:t xml:space="preserve">24 the Commonwealth Ombudsman contacted the </w:t>
      </w:r>
      <w:r w:rsidR="00196F6D">
        <w:rPr>
          <w:lang w:val="en-GB"/>
        </w:rPr>
        <w:t>NDIA</w:t>
      </w:r>
      <w:r w:rsidRPr="00A33264">
        <w:rPr>
          <w:lang w:val="en-GB"/>
        </w:rPr>
        <w:t xml:space="preserve"> regarding 131 complaints</w:t>
      </w:r>
      <w:r w:rsidR="00196F6D">
        <w:rPr>
          <w:lang w:val="en-GB"/>
        </w:rPr>
        <w:t>,</w:t>
      </w:r>
      <w:r w:rsidRPr="00A33264">
        <w:rPr>
          <w:lang w:val="en-GB"/>
        </w:rPr>
        <w:t xml:space="preserve"> compared to 113 in 2022</w:t>
      </w:r>
      <w:r w:rsidR="00993D6D" w:rsidRPr="00A33264">
        <w:rPr>
          <w:lang w:val="en-GB"/>
        </w:rPr>
        <w:t>–</w:t>
      </w:r>
      <w:r w:rsidRPr="00A33264">
        <w:rPr>
          <w:lang w:val="en-GB"/>
        </w:rPr>
        <w:t>23.</w:t>
      </w:r>
    </w:p>
    <w:p w14:paraId="7E28CBB4" w14:textId="2B61DE41" w:rsidR="00096E39" w:rsidRPr="00A33264" w:rsidRDefault="00096E39" w:rsidP="00096E39">
      <w:pPr>
        <w:pStyle w:val="Heading4"/>
        <w:rPr>
          <w:lang w:val="en-GB"/>
        </w:rPr>
      </w:pPr>
      <w:bookmarkStart w:id="400" w:name="_Toc169593013"/>
      <w:r w:rsidRPr="00A33264">
        <w:rPr>
          <w:lang w:val="en-GB"/>
        </w:rPr>
        <w:t>NDIS Quality and Safeguards Commission</w:t>
      </w:r>
      <w:bookmarkEnd w:id="400"/>
    </w:p>
    <w:p w14:paraId="051AD1FB" w14:textId="77777777" w:rsidR="00B8787E" w:rsidRPr="00A33264" w:rsidRDefault="00B8787E" w:rsidP="00B8787E">
      <w:pPr>
        <w:rPr>
          <w:lang w:val="en-GB"/>
        </w:rPr>
      </w:pPr>
      <w:r w:rsidRPr="00A33264">
        <w:rPr>
          <w:lang w:val="en-GB"/>
        </w:rPr>
        <w:t xml:space="preserve">The NDIS Quality and Safeguards Commission (NDIS Commission) is an independent agency established to improve the quality and safety of NDIS supports and services, regulate NDIS providers, provide national consistency, promote safety and quality services, resolve problems and identify areas for improvement. </w:t>
      </w:r>
    </w:p>
    <w:p w14:paraId="217E071E" w14:textId="74F6FA40" w:rsidR="00096E39" w:rsidRPr="00A33264" w:rsidRDefault="00B8787E" w:rsidP="00B8787E">
      <w:pPr>
        <w:rPr>
          <w:lang w:val="en-GB"/>
        </w:rPr>
      </w:pPr>
      <w:r w:rsidRPr="00A33264">
        <w:rPr>
          <w:lang w:val="en-GB"/>
        </w:rPr>
        <w:t xml:space="preserve">The NDIA works with the NDIS Commission to resolve matters within each organisation’s respective areas of responsibility under the NDIS Act. The NDIA and the NDIS Commission have operational protocols to guide </w:t>
      </w:r>
      <w:r w:rsidR="00196F6D">
        <w:rPr>
          <w:lang w:val="en-GB"/>
        </w:rPr>
        <w:t>their</w:t>
      </w:r>
      <w:r w:rsidR="00196F6D" w:rsidRPr="00A33264">
        <w:rPr>
          <w:lang w:val="en-GB"/>
        </w:rPr>
        <w:t xml:space="preserve"> </w:t>
      </w:r>
      <w:r w:rsidRPr="00A33264">
        <w:rPr>
          <w:lang w:val="en-GB"/>
        </w:rPr>
        <w:t>interaction on these matters.</w:t>
      </w:r>
    </w:p>
    <w:p w14:paraId="3CFF1965" w14:textId="41EB523A" w:rsidR="00096E39" w:rsidRPr="00A33264" w:rsidRDefault="00196F6D" w:rsidP="00096E39">
      <w:pPr>
        <w:pStyle w:val="Heading4"/>
        <w:rPr>
          <w:lang w:val="en-GB"/>
        </w:rPr>
      </w:pPr>
      <w:bookmarkStart w:id="401" w:name="_Toc169593014"/>
      <w:r>
        <w:rPr>
          <w:lang w:val="en-GB"/>
        </w:rPr>
        <w:t>NSW</w:t>
      </w:r>
      <w:r w:rsidR="00096E39" w:rsidRPr="00A33264">
        <w:rPr>
          <w:lang w:val="en-GB"/>
        </w:rPr>
        <w:t xml:space="preserve"> Ageing and Disability Commission</w:t>
      </w:r>
      <w:bookmarkEnd w:id="401"/>
    </w:p>
    <w:p w14:paraId="6204DF7B" w14:textId="73C9D2D2" w:rsidR="00096E39" w:rsidRPr="00A33264" w:rsidRDefault="00B8787E" w:rsidP="00096E39">
      <w:pPr>
        <w:rPr>
          <w:lang w:val="en-GB"/>
        </w:rPr>
      </w:pPr>
      <w:r w:rsidRPr="00A33264">
        <w:rPr>
          <w:lang w:val="en-GB"/>
        </w:rPr>
        <w:t xml:space="preserve">The NSW Ageing and Disability Commission is an independent agency of the New South Wales Government, established to protect older people and adults with disability from abuse, neglect and exploitation in their family, home and community. The NDIA shares information with the </w:t>
      </w:r>
      <w:r w:rsidR="00196F6D">
        <w:rPr>
          <w:lang w:val="en-GB"/>
        </w:rPr>
        <w:t>NSW</w:t>
      </w:r>
      <w:r w:rsidRPr="00A33264">
        <w:rPr>
          <w:lang w:val="en-GB"/>
        </w:rPr>
        <w:t xml:space="preserve"> Ageing and Disability Commission when requested to ensure the safety of NDIS participants.</w:t>
      </w:r>
    </w:p>
    <w:p w14:paraId="574A8CB5" w14:textId="052D285D" w:rsidR="00096E39" w:rsidRPr="00A33264" w:rsidRDefault="00096E39" w:rsidP="00096E39">
      <w:pPr>
        <w:pStyle w:val="Heading4"/>
        <w:rPr>
          <w:lang w:val="en-GB"/>
        </w:rPr>
      </w:pPr>
      <w:bookmarkStart w:id="402" w:name="_Toc169593015"/>
      <w:r w:rsidRPr="00A33264">
        <w:rPr>
          <w:lang w:val="en-GB"/>
        </w:rPr>
        <w:t>Merit Protection Commission</w:t>
      </w:r>
      <w:bookmarkEnd w:id="402"/>
    </w:p>
    <w:p w14:paraId="70663130" w14:textId="6F2BA7EA" w:rsidR="007B3D2E" w:rsidRPr="00A33264" w:rsidRDefault="007B3D2E" w:rsidP="007B3D2E">
      <w:pPr>
        <w:rPr>
          <w:lang w:val="en-GB"/>
        </w:rPr>
      </w:pPr>
      <w:r w:rsidRPr="00A33264">
        <w:rPr>
          <w:lang w:val="en-GB"/>
        </w:rPr>
        <w:t>The Merit Protection Commission (MPC) is an independent statutory office providing employment services to the APS and the Parliamentary Service. The MPC reviews certain APS engagement and promotion decisions as well as a range of workplace decisions that may impact an APS employee</w:t>
      </w:r>
      <w:r w:rsidR="00993D6D" w:rsidRPr="00A33264">
        <w:rPr>
          <w:lang w:val="en-GB"/>
        </w:rPr>
        <w:t>,</w:t>
      </w:r>
      <w:r w:rsidRPr="00A33264">
        <w:rPr>
          <w:lang w:val="en-GB"/>
        </w:rPr>
        <w:t xml:space="preserve"> such as leave requests, misconduct outcomes and performance management. It also provides recruitment and inquiry services to agencies.</w:t>
      </w:r>
    </w:p>
    <w:p w14:paraId="1B79FD12" w14:textId="15F83B0D" w:rsidR="007B3D2E" w:rsidRPr="00A33264" w:rsidRDefault="007B3D2E" w:rsidP="007B3D2E">
      <w:pPr>
        <w:rPr>
          <w:lang w:val="en-GB"/>
        </w:rPr>
      </w:pPr>
      <w:r w:rsidRPr="00A33264">
        <w:rPr>
          <w:lang w:val="en-GB"/>
        </w:rPr>
        <w:lastRenderedPageBreak/>
        <w:t xml:space="preserve">In 2023–24 the NDIA had </w:t>
      </w:r>
      <w:r w:rsidR="00993D6D" w:rsidRPr="00A33264">
        <w:rPr>
          <w:lang w:val="en-GB"/>
        </w:rPr>
        <w:t>one</w:t>
      </w:r>
      <w:r w:rsidRPr="00A33264">
        <w:rPr>
          <w:lang w:val="en-GB"/>
        </w:rPr>
        <w:t xml:space="preserve"> open</w:t>
      </w:r>
      <w:r w:rsidR="00196F6D">
        <w:rPr>
          <w:lang w:val="en-GB"/>
        </w:rPr>
        <w:t xml:space="preserve"> </w:t>
      </w:r>
      <w:r w:rsidR="00993D6D" w:rsidRPr="00A33264">
        <w:rPr>
          <w:lang w:val="en-GB"/>
        </w:rPr>
        <w:t>or</w:t>
      </w:r>
      <w:r w:rsidRPr="00A33264">
        <w:rPr>
          <w:lang w:val="en-GB"/>
        </w:rPr>
        <w:t xml:space="preserve"> ongoing application from the previous financial year</w:t>
      </w:r>
      <w:r w:rsidR="00993D6D" w:rsidRPr="00A33264">
        <w:rPr>
          <w:lang w:val="en-GB"/>
        </w:rPr>
        <w:t>,</w:t>
      </w:r>
      <w:r w:rsidRPr="00A33264">
        <w:rPr>
          <w:lang w:val="en-GB"/>
        </w:rPr>
        <w:t xml:space="preserve"> and </w:t>
      </w:r>
      <w:r w:rsidR="00184F07" w:rsidRPr="00A33264">
        <w:rPr>
          <w:lang w:val="en-GB"/>
        </w:rPr>
        <w:t>8</w:t>
      </w:r>
      <w:r w:rsidRPr="00A33264">
        <w:rPr>
          <w:lang w:val="en-GB"/>
        </w:rPr>
        <w:t xml:space="preserve"> new applications submitted to the MPC relating to workplace decisions. As of 30 June 2024, </w:t>
      </w:r>
      <w:r w:rsidR="00184F07" w:rsidRPr="00A33264">
        <w:rPr>
          <w:lang w:val="en-GB"/>
        </w:rPr>
        <w:t>2</w:t>
      </w:r>
      <w:r w:rsidRPr="00A33264">
        <w:rPr>
          <w:lang w:val="en-GB"/>
        </w:rPr>
        <w:t xml:space="preserve"> of the </w:t>
      </w:r>
      <w:r w:rsidR="00196F6D">
        <w:rPr>
          <w:lang w:val="en-GB"/>
        </w:rPr>
        <w:t>NDIA</w:t>
      </w:r>
      <w:r w:rsidR="00196F6D" w:rsidRPr="00A33264">
        <w:rPr>
          <w:lang w:val="en-GB"/>
        </w:rPr>
        <w:t xml:space="preserve">’s </w:t>
      </w:r>
      <w:r w:rsidRPr="00A33264">
        <w:rPr>
          <w:lang w:val="en-GB"/>
        </w:rPr>
        <w:t xml:space="preserve">original decisions in these matters were upheld, </w:t>
      </w:r>
      <w:r w:rsidR="00993D6D" w:rsidRPr="00A33264">
        <w:rPr>
          <w:lang w:val="en-GB"/>
        </w:rPr>
        <w:t>one</w:t>
      </w:r>
      <w:r w:rsidRPr="00A33264">
        <w:rPr>
          <w:lang w:val="en-GB"/>
        </w:rPr>
        <w:t xml:space="preserve"> decision was set aside and substituted, </w:t>
      </w:r>
      <w:r w:rsidR="00993D6D" w:rsidRPr="00A33264">
        <w:rPr>
          <w:lang w:val="en-GB"/>
        </w:rPr>
        <w:t>one</w:t>
      </w:r>
      <w:r w:rsidRPr="00A33264">
        <w:rPr>
          <w:lang w:val="en-GB"/>
        </w:rPr>
        <w:t xml:space="preserve"> application was not reviewable as the employee resigned, and </w:t>
      </w:r>
      <w:r w:rsidR="00184F07" w:rsidRPr="00A33264">
        <w:rPr>
          <w:lang w:val="en-GB"/>
        </w:rPr>
        <w:t>5</w:t>
      </w:r>
      <w:r w:rsidRPr="00A33264">
        <w:rPr>
          <w:lang w:val="en-GB"/>
        </w:rPr>
        <w:t xml:space="preserve"> matters were ongoing</w:t>
      </w:r>
      <w:r w:rsidR="00196F6D">
        <w:rPr>
          <w:lang w:val="en-GB"/>
        </w:rPr>
        <w:t xml:space="preserve"> </w:t>
      </w:r>
      <w:r w:rsidR="00993D6D" w:rsidRPr="00A33264">
        <w:rPr>
          <w:lang w:val="en-GB"/>
        </w:rPr>
        <w:t>or</w:t>
      </w:r>
      <w:r w:rsidRPr="00A33264">
        <w:rPr>
          <w:lang w:val="en-GB"/>
        </w:rPr>
        <w:t xml:space="preserve"> under review with the MPC.</w:t>
      </w:r>
    </w:p>
    <w:p w14:paraId="6E80BA4B" w14:textId="57BB3EED" w:rsidR="00096E39" w:rsidRPr="00A33264" w:rsidRDefault="007B3D2E" w:rsidP="007B3D2E">
      <w:pPr>
        <w:rPr>
          <w:lang w:val="en-GB"/>
        </w:rPr>
      </w:pPr>
      <w:r w:rsidRPr="00A33264">
        <w:rPr>
          <w:lang w:val="en-GB"/>
        </w:rPr>
        <w:t>In 2023</w:t>
      </w:r>
      <w:r w:rsidR="00993D6D" w:rsidRPr="00A33264">
        <w:rPr>
          <w:lang w:val="en-GB"/>
        </w:rPr>
        <w:t>–</w:t>
      </w:r>
      <w:r w:rsidRPr="00A33264">
        <w:rPr>
          <w:lang w:val="en-GB"/>
        </w:rPr>
        <w:t xml:space="preserve">24 the NDIA had </w:t>
      </w:r>
      <w:r w:rsidR="00184F07" w:rsidRPr="00A33264">
        <w:rPr>
          <w:lang w:val="en-GB"/>
        </w:rPr>
        <w:t>8</w:t>
      </w:r>
      <w:r w:rsidRPr="00A33264">
        <w:rPr>
          <w:lang w:val="en-GB"/>
        </w:rPr>
        <w:t xml:space="preserve"> applications </w:t>
      </w:r>
      <w:r w:rsidR="00196F6D">
        <w:rPr>
          <w:lang w:val="en-GB"/>
        </w:rPr>
        <w:t xml:space="preserve">submitted </w:t>
      </w:r>
      <w:r w:rsidRPr="00A33264">
        <w:rPr>
          <w:lang w:val="en-GB"/>
        </w:rPr>
        <w:t xml:space="preserve">to the MPC </w:t>
      </w:r>
      <w:r w:rsidR="00196F6D">
        <w:rPr>
          <w:lang w:val="en-GB"/>
        </w:rPr>
        <w:t>relating</w:t>
      </w:r>
      <w:r w:rsidRPr="00A33264">
        <w:rPr>
          <w:lang w:val="en-GB"/>
        </w:rPr>
        <w:t xml:space="preserve"> to engagement and promotion decisions. On review, </w:t>
      </w:r>
      <w:r w:rsidR="00184F07" w:rsidRPr="00A33264">
        <w:rPr>
          <w:lang w:val="en-GB"/>
        </w:rPr>
        <w:t>4</w:t>
      </w:r>
      <w:r w:rsidRPr="00A33264">
        <w:rPr>
          <w:lang w:val="en-GB"/>
        </w:rPr>
        <w:t xml:space="preserve"> of the </w:t>
      </w:r>
      <w:r w:rsidR="00196F6D">
        <w:rPr>
          <w:lang w:val="en-GB"/>
        </w:rPr>
        <w:t>NDIA</w:t>
      </w:r>
      <w:r w:rsidRPr="00A33264">
        <w:rPr>
          <w:lang w:val="en-GB"/>
        </w:rPr>
        <w:t xml:space="preserve">’s original decisions were upheld, </w:t>
      </w:r>
      <w:r w:rsidR="00184F07" w:rsidRPr="00A33264">
        <w:rPr>
          <w:lang w:val="en-GB"/>
        </w:rPr>
        <w:t>3</w:t>
      </w:r>
      <w:r w:rsidRPr="00A33264">
        <w:rPr>
          <w:lang w:val="en-GB"/>
        </w:rPr>
        <w:t xml:space="preserve"> were deemed invalid and closed, and </w:t>
      </w:r>
      <w:r w:rsidR="00993D6D" w:rsidRPr="00A33264">
        <w:rPr>
          <w:lang w:val="en-GB"/>
        </w:rPr>
        <w:t>one</w:t>
      </w:r>
      <w:r w:rsidRPr="00A33264">
        <w:rPr>
          <w:lang w:val="en-GB"/>
        </w:rPr>
        <w:t xml:space="preserve"> was withdrawn by the applicant.</w:t>
      </w:r>
    </w:p>
    <w:p w14:paraId="04D8D023" w14:textId="26B3FCEF" w:rsidR="00255A26" w:rsidRPr="00A33264" w:rsidRDefault="00255A26" w:rsidP="00255A26">
      <w:pPr>
        <w:pStyle w:val="Heading3"/>
        <w:rPr>
          <w:lang w:val="en-GB"/>
        </w:rPr>
      </w:pPr>
      <w:bookmarkStart w:id="403" w:name="_Toc169593016"/>
      <w:bookmarkStart w:id="404" w:name="_Toc174354214"/>
      <w:bookmarkStart w:id="405" w:name="_Toc175316918"/>
      <w:bookmarkStart w:id="406" w:name="_Toc176786409"/>
      <w:bookmarkStart w:id="407" w:name="_Toc180505691"/>
      <w:r w:rsidRPr="00A33264">
        <w:rPr>
          <w:lang w:val="en-GB"/>
        </w:rPr>
        <w:t xml:space="preserve">Other PGPA </w:t>
      </w:r>
      <w:r w:rsidR="00196F6D">
        <w:rPr>
          <w:lang w:val="en-GB"/>
        </w:rPr>
        <w:t xml:space="preserve">Act </w:t>
      </w:r>
      <w:r w:rsidRPr="00A33264">
        <w:rPr>
          <w:lang w:val="en-GB"/>
        </w:rPr>
        <w:t>reportable items</w:t>
      </w:r>
      <w:bookmarkEnd w:id="403"/>
      <w:bookmarkEnd w:id="404"/>
      <w:bookmarkEnd w:id="405"/>
      <w:bookmarkEnd w:id="406"/>
      <w:bookmarkEnd w:id="407"/>
    </w:p>
    <w:p w14:paraId="78372C0B" w14:textId="6F3EBF00" w:rsidR="00255A26" w:rsidRPr="00A33264" w:rsidRDefault="00F212DD" w:rsidP="00F212DD">
      <w:pPr>
        <w:pStyle w:val="Heading4"/>
        <w:rPr>
          <w:lang w:val="en-GB"/>
        </w:rPr>
      </w:pPr>
      <w:r w:rsidRPr="00A33264">
        <w:rPr>
          <w:lang w:val="en-GB"/>
        </w:rPr>
        <w:t>Ministerial directions and government policy orders</w:t>
      </w:r>
    </w:p>
    <w:p w14:paraId="0762C5B0" w14:textId="20F09A0A" w:rsidR="00F212DD" w:rsidRPr="00A33264" w:rsidRDefault="00820C69" w:rsidP="00F212DD">
      <w:pPr>
        <w:rPr>
          <w:lang w:val="en-GB"/>
        </w:rPr>
      </w:pPr>
      <w:r w:rsidRPr="00A33264">
        <w:rPr>
          <w:lang w:val="en-GB"/>
        </w:rPr>
        <w:t>The NDIA did not receive any government policy orders or ministerial directions from the Minister for the NDIS in 2023–24.</w:t>
      </w:r>
    </w:p>
    <w:p w14:paraId="0676D1D9" w14:textId="10BC5FE0" w:rsidR="00F212DD" w:rsidRPr="00A33264" w:rsidRDefault="00F212DD" w:rsidP="00F212DD">
      <w:pPr>
        <w:pStyle w:val="Heading4"/>
        <w:rPr>
          <w:lang w:val="en-GB"/>
        </w:rPr>
      </w:pPr>
      <w:r w:rsidRPr="00A33264">
        <w:rPr>
          <w:lang w:val="en-GB"/>
        </w:rPr>
        <w:t>Location of major activities or facilities</w:t>
      </w:r>
    </w:p>
    <w:p w14:paraId="4312F5C8" w14:textId="3DCED3B2" w:rsidR="00F212DD" w:rsidRPr="00A33264" w:rsidRDefault="00A13864" w:rsidP="00F212DD">
      <w:pPr>
        <w:rPr>
          <w:lang w:val="en-GB"/>
        </w:rPr>
      </w:pPr>
      <w:r w:rsidRPr="00A33264">
        <w:rPr>
          <w:lang w:val="en-GB"/>
        </w:rPr>
        <w:t>As at 30 June 2024 the NDIA had staff at over 152 locations across Australia. Approximately 70% of these sites are shared with other agencies to efficiently deliver Australian Government services. We continue to work with other agencies to consolidate into shared sites, where appropriate.</w:t>
      </w:r>
    </w:p>
    <w:p w14:paraId="72B5C9FD" w14:textId="1A685A9B" w:rsidR="00F212DD" w:rsidRPr="00A33264" w:rsidRDefault="00F212DD" w:rsidP="00F212DD">
      <w:pPr>
        <w:pStyle w:val="Heading4"/>
        <w:rPr>
          <w:lang w:val="en-GB"/>
        </w:rPr>
      </w:pPr>
      <w:r w:rsidRPr="00A33264">
        <w:rPr>
          <w:lang w:val="en-GB"/>
        </w:rPr>
        <w:t>Indemnities and insurance premiums</w:t>
      </w:r>
    </w:p>
    <w:p w14:paraId="3D39BA64" w14:textId="6398E222" w:rsidR="00F212DD" w:rsidRPr="00A33264" w:rsidRDefault="00F212DD" w:rsidP="00F212DD">
      <w:pPr>
        <w:rPr>
          <w:lang w:val="en-GB"/>
        </w:rPr>
      </w:pPr>
      <w:r w:rsidRPr="00A33264">
        <w:rPr>
          <w:lang w:val="en-GB"/>
        </w:rPr>
        <w:t>The NDIA purchased directors’ and officers’ liability cover from Comcover (the Commonwealth’s self-insurance fund). The premium paid in 2023–24 for this cover was $879,765.94 (GST inclusive).</w:t>
      </w:r>
    </w:p>
    <w:p w14:paraId="3C8108C1" w14:textId="67994935" w:rsidR="00F212DD" w:rsidRPr="00A33264" w:rsidRDefault="00F212DD" w:rsidP="00F212DD">
      <w:pPr>
        <w:pStyle w:val="Heading4"/>
        <w:rPr>
          <w:lang w:val="en-GB"/>
        </w:rPr>
      </w:pPr>
      <w:r w:rsidRPr="00A33264">
        <w:rPr>
          <w:lang w:val="en-GB"/>
        </w:rPr>
        <w:t>Related entity transactions</w:t>
      </w:r>
    </w:p>
    <w:p w14:paraId="06BFA573" w14:textId="651C25ED" w:rsidR="00F212DD" w:rsidRPr="00A33264" w:rsidRDefault="00115A04" w:rsidP="00115A04">
      <w:pPr>
        <w:rPr>
          <w:lang w:val="en-GB"/>
        </w:rPr>
      </w:pPr>
      <w:r w:rsidRPr="00A33264">
        <w:rPr>
          <w:lang w:val="en-GB"/>
        </w:rPr>
        <w:t>Related entity transactions are addressed in the NDIA Financial Statements.</w:t>
      </w:r>
    </w:p>
    <w:p w14:paraId="055AC837" w14:textId="0CF26E9F" w:rsidR="00F212DD" w:rsidRPr="00A33264" w:rsidRDefault="00F212DD" w:rsidP="00F212DD">
      <w:pPr>
        <w:pStyle w:val="Heading4"/>
        <w:rPr>
          <w:lang w:val="en-GB"/>
        </w:rPr>
      </w:pPr>
      <w:r w:rsidRPr="00A33264">
        <w:rPr>
          <w:lang w:val="en-GB"/>
        </w:rPr>
        <w:t>Obtaining information from subsidiaries</w:t>
      </w:r>
    </w:p>
    <w:p w14:paraId="36C9C7DD" w14:textId="3D659145" w:rsidR="00F212DD" w:rsidRPr="00A33264" w:rsidRDefault="004B676D" w:rsidP="000175BD">
      <w:pPr>
        <w:rPr>
          <w:lang w:val="en-GB"/>
        </w:rPr>
      </w:pPr>
      <w:r w:rsidRPr="00A33264">
        <w:rPr>
          <w:lang w:val="en-GB"/>
        </w:rPr>
        <w:t>T</w:t>
      </w:r>
      <w:r w:rsidR="000175BD" w:rsidRPr="00A33264">
        <w:rPr>
          <w:lang w:val="en-GB"/>
        </w:rPr>
        <w:t>he NDIA has no subsidiaries.</w:t>
      </w:r>
    </w:p>
    <w:p w14:paraId="19077747" w14:textId="5DF368F7" w:rsidR="00C60755" w:rsidRPr="00A33264" w:rsidRDefault="00C60755" w:rsidP="00C60755">
      <w:pPr>
        <w:pStyle w:val="Heading4"/>
        <w:rPr>
          <w:lang w:val="en-GB"/>
        </w:rPr>
      </w:pPr>
      <w:r w:rsidRPr="00A33264">
        <w:rPr>
          <w:lang w:val="en-GB"/>
        </w:rPr>
        <w:t xml:space="preserve">Significant noncompliance with </w:t>
      </w:r>
      <w:r w:rsidR="00056100">
        <w:rPr>
          <w:lang w:val="en-GB"/>
        </w:rPr>
        <w:t>f</w:t>
      </w:r>
      <w:r w:rsidRPr="00A33264">
        <w:rPr>
          <w:lang w:val="en-GB"/>
        </w:rPr>
        <w:t xml:space="preserve">inance </w:t>
      </w:r>
      <w:r w:rsidR="00056100">
        <w:rPr>
          <w:lang w:val="en-GB"/>
        </w:rPr>
        <w:t>l</w:t>
      </w:r>
      <w:r w:rsidRPr="00A33264">
        <w:rPr>
          <w:lang w:val="en-GB"/>
        </w:rPr>
        <w:t>aw</w:t>
      </w:r>
    </w:p>
    <w:p w14:paraId="3D148A67" w14:textId="1E92DBEE" w:rsidR="00C60755" w:rsidRPr="00A33264" w:rsidRDefault="00B8787E" w:rsidP="00C60755">
      <w:pPr>
        <w:rPr>
          <w:lang w:val="en-GB"/>
        </w:rPr>
      </w:pPr>
      <w:r w:rsidRPr="00A33264">
        <w:rPr>
          <w:lang w:val="en-GB"/>
        </w:rPr>
        <w:t xml:space="preserve">No instances of significant noncompliance with finance law were reported to the responsible </w:t>
      </w:r>
      <w:r w:rsidR="00196F6D">
        <w:rPr>
          <w:lang w:val="en-GB"/>
        </w:rPr>
        <w:t>m</w:t>
      </w:r>
      <w:r w:rsidRPr="00A33264">
        <w:rPr>
          <w:lang w:val="en-GB"/>
        </w:rPr>
        <w:t xml:space="preserve">inister under </w:t>
      </w:r>
      <w:r w:rsidR="00196F6D">
        <w:rPr>
          <w:lang w:val="en-GB"/>
        </w:rPr>
        <w:t>section</w:t>
      </w:r>
      <w:r w:rsidRPr="00A33264">
        <w:rPr>
          <w:lang w:val="en-GB"/>
        </w:rPr>
        <w:t xml:space="preserve"> 19(1)(e) of the PGPA Act in 2023–24.</w:t>
      </w:r>
    </w:p>
    <w:p w14:paraId="7692C908" w14:textId="45A2E66E" w:rsidR="00255A26" w:rsidRPr="00A33264" w:rsidRDefault="00255A26" w:rsidP="00255A26">
      <w:pPr>
        <w:pStyle w:val="Heading3"/>
        <w:rPr>
          <w:lang w:val="en-GB"/>
        </w:rPr>
      </w:pPr>
      <w:bookmarkStart w:id="408" w:name="_Toc169593017"/>
      <w:bookmarkStart w:id="409" w:name="_Toc174354215"/>
      <w:bookmarkStart w:id="410" w:name="_Toc175316919"/>
      <w:bookmarkStart w:id="411" w:name="_Toc176786410"/>
      <w:bookmarkStart w:id="412" w:name="_Toc180505692"/>
      <w:r w:rsidRPr="00A33264">
        <w:rPr>
          <w:lang w:val="en-GB"/>
        </w:rPr>
        <w:t>Advertising and market research</w:t>
      </w:r>
      <w:bookmarkEnd w:id="408"/>
      <w:bookmarkEnd w:id="409"/>
      <w:bookmarkEnd w:id="410"/>
      <w:bookmarkEnd w:id="411"/>
      <w:bookmarkEnd w:id="412"/>
    </w:p>
    <w:p w14:paraId="67987F87" w14:textId="6BD7E8E0" w:rsidR="00255A26" w:rsidRPr="00A33264" w:rsidRDefault="00F212DD" w:rsidP="00255A26">
      <w:pPr>
        <w:rPr>
          <w:lang w:val="en-GB"/>
        </w:rPr>
      </w:pPr>
      <w:r w:rsidRPr="00A33264">
        <w:rPr>
          <w:lang w:val="en-GB"/>
        </w:rPr>
        <w:t xml:space="preserve">The following information is provided in accordance with section 311A of the </w:t>
      </w:r>
      <w:r w:rsidRPr="00A33264">
        <w:rPr>
          <w:i/>
          <w:iCs/>
          <w:lang w:val="en-GB"/>
        </w:rPr>
        <w:t>Commonwealth Electoral Act 1918</w:t>
      </w:r>
      <w:r w:rsidRPr="00A33264">
        <w:rPr>
          <w:lang w:val="en-GB"/>
        </w:rPr>
        <w:t xml:space="preserve"> </w:t>
      </w:r>
      <w:r w:rsidR="004364A0">
        <w:rPr>
          <w:lang w:val="en-GB"/>
        </w:rPr>
        <w:t xml:space="preserve">(Cth) </w:t>
      </w:r>
      <w:r w:rsidRPr="00A33264">
        <w:rPr>
          <w:lang w:val="en-GB"/>
        </w:rPr>
        <w:t xml:space="preserve">and discloses payments above $16,300.00 </w:t>
      </w:r>
      <w:r w:rsidRPr="00A33264">
        <w:rPr>
          <w:lang w:val="en-GB"/>
        </w:rPr>
        <w:lastRenderedPageBreak/>
        <w:t>(including GST), as specified by the Australian Electoral Commission, to advertising, market research, polling, direct mail and media advertising organisations.</w:t>
      </w:r>
      <w:r w:rsidR="004364A0">
        <w:rPr>
          <w:lang w:val="en-GB"/>
        </w:rPr>
        <w:t xml:space="preserve"> Tables 14 to 18 show details of payments to advertising organisations, market research organisations, polling organisations, direct mail organisations and media advertising organisations.</w:t>
      </w:r>
    </w:p>
    <w:p w14:paraId="686B9657" w14:textId="030BEF90" w:rsidR="00F212DD" w:rsidRPr="00A33264" w:rsidRDefault="00F212DD" w:rsidP="00255A26">
      <w:pPr>
        <w:rPr>
          <w:u w:val="single"/>
          <w:lang w:val="en-GB"/>
        </w:rPr>
      </w:pPr>
      <w:r w:rsidRPr="00A33264">
        <w:rPr>
          <w:u w:val="single"/>
          <w:lang w:val="en-GB"/>
        </w:rPr>
        <w:t xml:space="preserve">Table </w:t>
      </w:r>
      <w:r w:rsidR="00A27A9C">
        <w:rPr>
          <w:u w:val="single"/>
          <w:lang w:val="en-GB"/>
        </w:rPr>
        <w:t>14</w:t>
      </w:r>
      <w:r w:rsidRPr="00A33264">
        <w:rPr>
          <w:u w:val="single"/>
          <w:lang w:val="en-GB"/>
        </w:rPr>
        <w:t>: Payments to advertising organisations in 2023–24</w:t>
      </w:r>
    </w:p>
    <w:tbl>
      <w:tblPr>
        <w:tblStyle w:val="GridTable4"/>
        <w:tblW w:w="9015" w:type="dxa"/>
        <w:tblCellMar>
          <w:top w:w="28" w:type="dxa"/>
          <w:left w:w="28" w:type="dxa"/>
          <w:bottom w:w="28" w:type="dxa"/>
          <w:right w:w="28" w:type="dxa"/>
        </w:tblCellMar>
        <w:tblLook w:val="0420" w:firstRow="1" w:lastRow="0" w:firstColumn="0" w:lastColumn="0" w:noHBand="0" w:noVBand="1"/>
      </w:tblPr>
      <w:tblGrid>
        <w:gridCol w:w="3402"/>
        <w:gridCol w:w="3402"/>
        <w:gridCol w:w="2211"/>
      </w:tblGrid>
      <w:tr w:rsidR="00F212DD" w:rsidRPr="00A33264" w14:paraId="01205ED3" w14:textId="77777777" w:rsidTr="003752D4">
        <w:trPr>
          <w:cnfStyle w:val="100000000000" w:firstRow="1" w:lastRow="0" w:firstColumn="0" w:lastColumn="0" w:oddVBand="0" w:evenVBand="0" w:oddHBand="0" w:evenHBand="0" w:firstRowFirstColumn="0" w:firstRowLastColumn="0" w:lastRowFirstColumn="0" w:lastRowLastColumn="0"/>
          <w:cantSplit/>
          <w:trHeight w:val="567"/>
        </w:trPr>
        <w:tc>
          <w:tcPr>
            <w:tcW w:w="3402" w:type="dxa"/>
            <w:tcBorders>
              <w:top w:val="single" w:sz="4" w:space="0" w:color="6B2876" w:themeColor="text1"/>
              <w:bottom w:val="single" w:sz="4" w:space="0" w:color="6B2876" w:themeColor="text1"/>
            </w:tcBorders>
            <w:vAlign w:val="center"/>
          </w:tcPr>
          <w:p w14:paraId="17B68429" w14:textId="47D98AF6" w:rsidR="00F212DD" w:rsidRPr="00A33264" w:rsidRDefault="00F212DD" w:rsidP="00F212DD">
            <w:pPr>
              <w:pStyle w:val="TableBody"/>
              <w:rPr>
                <w:lang w:val="en-GB"/>
              </w:rPr>
            </w:pPr>
            <w:bookmarkStart w:id="413" w:name="ColumnTitle_Table14"/>
            <w:bookmarkEnd w:id="413"/>
            <w:r w:rsidRPr="00A33264">
              <w:rPr>
                <w:lang w:val="en-GB"/>
              </w:rPr>
              <w:t>Organisation</w:t>
            </w:r>
          </w:p>
        </w:tc>
        <w:tc>
          <w:tcPr>
            <w:tcW w:w="3402" w:type="dxa"/>
            <w:tcBorders>
              <w:top w:val="single" w:sz="4" w:space="0" w:color="6B2876" w:themeColor="text1"/>
              <w:bottom w:val="single" w:sz="4" w:space="0" w:color="6B2876" w:themeColor="text1"/>
            </w:tcBorders>
            <w:vAlign w:val="center"/>
          </w:tcPr>
          <w:p w14:paraId="169FCBDE" w14:textId="206C0022" w:rsidR="00F212DD" w:rsidRPr="00A33264" w:rsidRDefault="00F212DD" w:rsidP="00F212DD">
            <w:pPr>
              <w:pStyle w:val="TableBody"/>
              <w:rPr>
                <w:lang w:val="en-GB"/>
              </w:rPr>
            </w:pPr>
            <w:r w:rsidRPr="00A33264">
              <w:rPr>
                <w:lang w:val="en-GB"/>
              </w:rPr>
              <w:t>Service provided</w:t>
            </w:r>
          </w:p>
        </w:tc>
        <w:tc>
          <w:tcPr>
            <w:tcW w:w="2211" w:type="dxa"/>
            <w:tcBorders>
              <w:top w:val="single" w:sz="4" w:space="0" w:color="6B2876" w:themeColor="text1"/>
              <w:bottom w:val="single" w:sz="4" w:space="0" w:color="6B2876" w:themeColor="text1"/>
            </w:tcBorders>
          </w:tcPr>
          <w:p w14:paraId="0B5CC5E3" w14:textId="3C359782" w:rsidR="00F212DD" w:rsidRPr="00A33264" w:rsidRDefault="00F212DD" w:rsidP="00F212DD">
            <w:pPr>
              <w:pStyle w:val="TableBody"/>
              <w:jc w:val="right"/>
              <w:rPr>
                <w:lang w:val="en-GB"/>
              </w:rPr>
            </w:pPr>
            <w:r w:rsidRPr="00A33264">
              <w:rPr>
                <w:lang w:val="en-GB"/>
              </w:rPr>
              <w:t>Amount paid $ (including GST)</w:t>
            </w:r>
          </w:p>
        </w:tc>
      </w:tr>
      <w:tr w:rsidR="00F212DD" w:rsidRPr="00A33264" w14:paraId="5F5AF1F0" w14:textId="77777777" w:rsidTr="00BF5D0D">
        <w:trPr>
          <w:cnfStyle w:val="000000100000" w:firstRow="0" w:lastRow="0" w:firstColumn="0" w:lastColumn="0" w:oddVBand="0" w:evenVBand="0" w:oddHBand="1" w:evenHBand="0" w:firstRowFirstColumn="0" w:firstRowLastColumn="0" w:lastRowFirstColumn="0" w:lastRowLastColumn="0"/>
          <w:cantSplit/>
        </w:trPr>
        <w:tc>
          <w:tcPr>
            <w:tcW w:w="3402" w:type="dxa"/>
          </w:tcPr>
          <w:p w14:paraId="51E27175" w14:textId="3AA19631" w:rsidR="00F212DD" w:rsidRPr="00A33264" w:rsidRDefault="00F212DD" w:rsidP="00F212DD">
            <w:pPr>
              <w:pStyle w:val="TableBody"/>
              <w:rPr>
                <w:szCs w:val="24"/>
                <w:lang w:val="en-GB"/>
              </w:rPr>
            </w:pPr>
            <w:r w:rsidRPr="00A33264">
              <w:rPr>
                <w:color w:val="000000"/>
                <w:szCs w:val="24"/>
                <w:lang w:val="en-GB"/>
              </w:rPr>
              <w:t>Universal McCann</w:t>
            </w:r>
          </w:p>
        </w:tc>
        <w:tc>
          <w:tcPr>
            <w:tcW w:w="3402" w:type="dxa"/>
          </w:tcPr>
          <w:p w14:paraId="427976FB" w14:textId="637C3DF1" w:rsidR="00F212DD" w:rsidRPr="00A33264" w:rsidRDefault="00F212DD" w:rsidP="00F212DD">
            <w:pPr>
              <w:pStyle w:val="TableBody"/>
              <w:rPr>
                <w:szCs w:val="24"/>
                <w:lang w:val="en-GB"/>
              </w:rPr>
            </w:pPr>
            <w:r w:rsidRPr="00A33264">
              <w:rPr>
                <w:color w:val="000000"/>
                <w:szCs w:val="24"/>
                <w:lang w:val="en-GB"/>
              </w:rPr>
              <w:t xml:space="preserve">Recruitment </w:t>
            </w:r>
            <w:r w:rsidR="00993D6D" w:rsidRPr="00A33264">
              <w:rPr>
                <w:color w:val="000000"/>
                <w:szCs w:val="24"/>
                <w:lang w:val="en-GB"/>
              </w:rPr>
              <w:t>a</w:t>
            </w:r>
            <w:r w:rsidRPr="00A33264">
              <w:rPr>
                <w:color w:val="000000"/>
                <w:szCs w:val="24"/>
                <w:lang w:val="en-GB"/>
              </w:rPr>
              <w:t>dvertising</w:t>
            </w:r>
          </w:p>
        </w:tc>
        <w:tc>
          <w:tcPr>
            <w:tcW w:w="2211" w:type="dxa"/>
          </w:tcPr>
          <w:p w14:paraId="48D6467C" w14:textId="0284DF24" w:rsidR="00F212DD" w:rsidRPr="00A33264" w:rsidRDefault="00F212DD" w:rsidP="00F212DD">
            <w:pPr>
              <w:pStyle w:val="TableBody"/>
              <w:jc w:val="right"/>
              <w:rPr>
                <w:szCs w:val="24"/>
                <w:lang w:val="en-GB"/>
              </w:rPr>
            </w:pPr>
            <w:r w:rsidRPr="00A33264">
              <w:rPr>
                <w:color w:val="000000"/>
                <w:szCs w:val="24"/>
                <w:lang w:val="en-GB"/>
              </w:rPr>
              <w:t>$348,952.89</w:t>
            </w:r>
          </w:p>
        </w:tc>
      </w:tr>
      <w:tr w:rsidR="00F212DD" w:rsidRPr="00A33264" w14:paraId="1C3A97DF" w14:textId="77777777" w:rsidTr="00BF5D0D">
        <w:trPr>
          <w:cantSplit/>
        </w:trPr>
        <w:tc>
          <w:tcPr>
            <w:tcW w:w="3402" w:type="dxa"/>
            <w:shd w:val="clear" w:color="auto" w:fill="auto"/>
            <w:vAlign w:val="center"/>
          </w:tcPr>
          <w:p w14:paraId="3F007DCC" w14:textId="099434EC" w:rsidR="00F212DD" w:rsidRPr="00A33264" w:rsidRDefault="00F212DD" w:rsidP="00F212DD">
            <w:pPr>
              <w:pStyle w:val="TableBody"/>
              <w:rPr>
                <w:szCs w:val="24"/>
                <w:lang w:val="en-GB"/>
              </w:rPr>
            </w:pPr>
            <w:r w:rsidRPr="00A33264">
              <w:rPr>
                <w:color w:val="F9F9F9" w:themeColor="background1"/>
                <w:szCs w:val="24"/>
                <w:lang w:val="en-GB"/>
              </w:rPr>
              <w:t>blank</w:t>
            </w:r>
          </w:p>
        </w:tc>
        <w:tc>
          <w:tcPr>
            <w:tcW w:w="3402" w:type="dxa"/>
            <w:vAlign w:val="center"/>
          </w:tcPr>
          <w:p w14:paraId="0161ED04" w14:textId="764EF6FA" w:rsidR="00F212DD" w:rsidRPr="00A33264" w:rsidRDefault="00F212DD" w:rsidP="00F212DD">
            <w:pPr>
              <w:pStyle w:val="TableBody"/>
              <w:jc w:val="right"/>
              <w:rPr>
                <w:b/>
                <w:bCs/>
                <w:szCs w:val="24"/>
                <w:lang w:val="en-GB"/>
              </w:rPr>
            </w:pPr>
            <w:r w:rsidRPr="00A33264">
              <w:rPr>
                <w:b/>
                <w:bCs/>
                <w:szCs w:val="24"/>
                <w:lang w:val="en-GB"/>
              </w:rPr>
              <w:t>Total:</w:t>
            </w:r>
          </w:p>
        </w:tc>
        <w:tc>
          <w:tcPr>
            <w:tcW w:w="2211" w:type="dxa"/>
          </w:tcPr>
          <w:p w14:paraId="24CE5FB6" w14:textId="165A2FD2" w:rsidR="00F212DD" w:rsidRPr="00A33264" w:rsidRDefault="00BF5D0D" w:rsidP="00F212DD">
            <w:pPr>
              <w:pStyle w:val="TableBody"/>
              <w:jc w:val="right"/>
              <w:rPr>
                <w:b/>
                <w:bCs/>
                <w:szCs w:val="24"/>
                <w:lang w:val="en-GB"/>
              </w:rPr>
            </w:pPr>
            <w:r w:rsidRPr="00A33264">
              <w:rPr>
                <w:b/>
                <w:bCs/>
                <w:color w:val="000000"/>
                <w:szCs w:val="24"/>
                <w:lang w:val="en-GB"/>
              </w:rPr>
              <w:t>$348,952.89</w:t>
            </w:r>
          </w:p>
        </w:tc>
      </w:tr>
    </w:tbl>
    <w:p w14:paraId="669D1439" w14:textId="7BF22054" w:rsidR="00F212DD" w:rsidRPr="00A33264" w:rsidRDefault="00F212DD" w:rsidP="00F212DD">
      <w:pPr>
        <w:spacing w:before="120"/>
        <w:rPr>
          <w:u w:val="single"/>
          <w:lang w:val="en-GB"/>
        </w:rPr>
      </w:pPr>
      <w:r w:rsidRPr="00A33264">
        <w:rPr>
          <w:u w:val="single"/>
          <w:lang w:val="en-GB"/>
        </w:rPr>
        <w:t xml:space="preserve">Table </w:t>
      </w:r>
      <w:r w:rsidR="00A27A9C">
        <w:rPr>
          <w:u w:val="single"/>
          <w:lang w:val="en-GB"/>
        </w:rPr>
        <w:t>15</w:t>
      </w:r>
      <w:r w:rsidRPr="00A33264">
        <w:rPr>
          <w:u w:val="single"/>
          <w:lang w:val="en-GB"/>
        </w:rPr>
        <w:t>: Payments to market research organisations in 2023–24</w:t>
      </w:r>
    </w:p>
    <w:tbl>
      <w:tblPr>
        <w:tblStyle w:val="GridTable4"/>
        <w:tblW w:w="9015" w:type="dxa"/>
        <w:tblCellMar>
          <w:top w:w="28" w:type="dxa"/>
          <w:left w:w="28" w:type="dxa"/>
          <w:bottom w:w="28" w:type="dxa"/>
          <w:right w:w="28" w:type="dxa"/>
        </w:tblCellMar>
        <w:tblLook w:val="0420" w:firstRow="1" w:lastRow="0" w:firstColumn="0" w:lastColumn="0" w:noHBand="0" w:noVBand="1"/>
      </w:tblPr>
      <w:tblGrid>
        <w:gridCol w:w="3402"/>
        <w:gridCol w:w="3402"/>
        <w:gridCol w:w="2211"/>
      </w:tblGrid>
      <w:tr w:rsidR="00F212DD" w:rsidRPr="00A33264" w14:paraId="428A79D6" w14:textId="77777777" w:rsidTr="003752D4">
        <w:trPr>
          <w:cnfStyle w:val="100000000000" w:firstRow="1" w:lastRow="0" w:firstColumn="0" w:lastColumn="0" w:oddVBand="0" w:evenVBand="0" w:oddHBand="0" w:evenHBand="0" w:firstRowFirstColumn="0" w:firstRowLastColumn="0" w:lastRowFirstColumn="0" w:lastRowLastColumn="0"/>
          <w:cantSplit/>
        </w:trPr>
        <w:tc>
          <w:tcPr>
            <w:tcW w:w="3402" w:type="dxa"/>
            <w:tcBorders>
              <w:top w:val="single" w:sz="4" w:space="0" w:color="6B2876" w:themeColor="text1"/>
              <w:bottom w:val="single" w:sz="4" w:space="0" w:color="6B2876" w:themeColor="text1"/>
            </w:tcBorders>
            <w:vAlign w:val="center"/>
          </w:tcPr>
          <w:p w14:paraId="331DBB94" w14:textId="77777777" w:rsidR="00F212DD" w:rsidRPr="00A33264" w:rsidRDefault="00F212DD">
            <w:pPr>
              <w:pStyle w:val="TableBody"/>
              <w:rPr>
                <w:szCs w:val="24"/>
                <w:lang w:val="en-GB"/>
              </w:rPr>
            </w:pPr>
            <w:bookmarkStart w:id="414" w:name="ColumnTitle_Table15"/>
            <w:bookmarkEnd w:id="414"/>
            <w:r w:rsidRPr="00A33264">
              <w:rPr>
                <w:szCs w:val="24"/>
                <w:lang w:val="en-GB"/>
              </w:rPr>
              <w:t>Organisation</w:t>
            </w:r>
          </w:p>
        </w:tc>
        <w:tc>
          <w:tcPr>
            <w:tcW w:w="3402" w:type="dxa"/>
            <w:tcBorders>
              <w:top w:val="single" w:sz="4" w:space="0" w:color="6B2876" w:themeColor="text1"/>
              <w:bottom w:val="single" w:sz="4" w:space="0" w:color="6B2876" w:themeColor="text1"/>
            </w:tcBorders>
            <w:vAlign w:val="center"/>
          </w:tcPr>
          <w:p w14:paraId="16B1F3AF" w14:textId="77777777" w:rsidR="00F212DD" w:rsidRPr="00A33264" w:rsidRDefault="00F212DD">
            <w:pPr>
              <w:pStyle w:val="TableBody"/>
              <w:rPr>
                <w:szCs w:val="24"/>
                <w:lang w:val="en-GB"/>
              </w:rPr>
            </w:pPr>
            <w:r w:rsidRPr="00A33264">
              <w:rPr>
                <w:szCs w:val="24"/>
                <w:lang w:val="en-GB"/>
              </w:rPr>
              <w:t>Service provided</w:t>
            </w:r>
          </w:p>
        </w:tc>
        <w:tc>
          <w:tcPr>
            <w:tcW w:w="2211" w:type="dxa"/>
            <w:tcBorders>
              <w:top w:val="single" w:sz="4" w:space="0" w:color="6B2876" w:themeColor="text1"/>
              <w:bottom w:val="single" w:sz="4" w:space="0" w:color="6B2876" w:themeColor="text1"/>
            </w:tcBorders>
          </w:tcPr>
          <w:p w14:paraId="43DE4F06" w14:textId="77777777" w:rsidR="00F212DD" w:rsidRPr="00A33264" w:rsidRDefault="00F212DD">
            <w:pPr>
              <w:pStyle w:val="TableBody"/>
              <w:jc w:val="right"/>
              <w:rPr>
                <w:szCs w:val="24"/>
                <w:lang w:val="en-GB"/>
              </w:rPr>
            </w:pPr>
            <w:r w:rsidRPr="00A33264">
              <w:rPr>
                <w:szCs w:val="24"/>
                <w:lang w:val="en-GB"/>
              </w:rPr>
              <w:t>Amount paid $ (including GST)</w:t>
            </w:r>
          </w:p>
        </w:tc>
      </w:tr>
      <w:tr w:rsidR="00BF5D0D" w:rsidRPr="00A33264" w14:paraId="5DEFC75B" w14:textId="77777777" w:rsidTr="00BF5D0D">
        <w:trPr>
          <w:cnfStyle w:val="000000100000" w:firstRow="0" w:lastRow="0" w:firstColumn="0" w:lastColumn="0" w:oddVBand="0" w:evenVBand="0" w:oddHBand="1" w:evenHBand="0" w:firstRowFirstColumn="0" w:firstRowLastColumn="0" w:lastRowFirstColumn="0" w:lastRowLastColumn="0"/>
          <w:cantSplit/>
        </w:trPr>
        <w:tc>
          <w:tcPr>
            <w:tcW w:w="3402" w:type="dxa"/>
          </w:tcPr>
          <w:p w14:paraId="5570ECB8" w14:textId="38DE1392" w:rsidR="00BF5D0D" w:rsidRPr="00A33264" w:rsidRDefault="00BF5D0D" w:rsidP="00BF5D0D">
            <w:pPr>
              <w:pStyle w:val="TableBody"/>
              <w:rPr>
                <w:szCs w:val="24"/>
                <w:lang w:val="en-GB"/>
              </w:rPr>
            </w:pPr>
            <w:r w:rsidRPr="00A33264">
              <w:rPr>
                <w:color w:val="000000"/>
                <w:szCs w:val="24"/>
                <w:lang w:val="en-GB"/>
              </w:rPr>
              <w:t>Hall and Partners Pty Ltd</w:t>
            </w:r>
          </w:p>
        </w:tc>
        <w:tc>
          <w:tcPr>
            <w:tcW w:w="3402" w:type="dxa"/>
          </w:tcPr>
          <w:p w14:paraId="683630D9" w14:textId="3E5AE7BF" w:rsidR="00BF5D0D" w:rsidRPr="00A33264" w:rsidRDefault="00BF5D0D" w:rsidP="00BF5D0D">
            <w:pPr>
              <w:pStyle w:val="TableBody"/>
              <w:rPr>
                <w:szCs w:val="24"/>
                <w:lang w:val="en-GB"/>
              </w:rPr>
            </w:pPr>
            <w:r w:rsidRPr="00A33264">
              <w:rPr>
                <w:color w:val="000000"/>
                <w:szCs w:val="24"/>
                <w:lang w:val="en-GB"/>
              </w:rPr>
              <w:t xml:space="preserve">Community </w:t>
            </w:r>
            <w:r w:rsidR="00993D6D" w:rsidRPr="00A33264">
              <w:rPr>
                <w:color w:val="000000"/>
                <w:szCs w:val="24"/>
                <w:lang w:val="en-GB"/>
              </w:rPr>
              <w:t>s</w:t>
            </w:r>
            <w:r w:rsidRPr="00A33264">
              <w:rPr>
                <w:color w:val="000000"/>
                <w:szCs w:val="24"/>
                <w:lang w:val="en-GB"/>
              </w:rPr>
              <w:t xml:space="preserve">entiment </w:t>
            </w:r>
            <w:r w:rsidR="00993D6D" w:rsidRPr="00A33264">
              <w:rPr>
                <w:color w:val="000000"/>
                <w:szCs w:val="24"/>
                <w:lang w:val="en-GB"/>
              </w:rPr>
              <w:t>i</w:t>
            </w:r>
            <w:r w:rsidRPr="00A33264">
              <w:rPr>
                <w:color w:val="000000"/>
                <w:szCs w:val="24"/>
                <w:lang w:val="en-GB"/>
              </w:rPr>
              <w:t>nsights</w:t>
            </w:r>
          </w:p>
        </w:tc>
        <w:tc>
          <w:tcPr>
            <w:tcW w:w="2211" w:type="dxa"/>
          </w:tcPr>
          <w:p w14:paraId="01FCE527" w14:textId="1A5DF6EA" w:rsidR="00BF5D0D" w:rsidRPr="00A33264" w:rsidRDefault="00BF5D0D" w:rsidP="00BF5D0D">
            <w:pPr>
              <w:pStyle w:val="TableBody"/>
              <w:jc w:val="right"/>
              <w:rPr>
                <w:szCs w:val="24"/>
                <w:lang w:val="en-GB"/>
              </w:rPr>
            </w:pPr>
            <w:r w:rsidRPr="00A33264">
              <w:rPr>
                <w:color w:val="000000"/>
                <w:szCs w:val="24"/>
                <w:lang w:val="en-GB"/>
              </w:rPr>
              <w:t>$324,500.00</w:t>
            </w:r>
          </w:p>
        </w:tc>
      </w:tr>
      <w:tr w:rsidR="00BF5D0D" w:rsidRPr="00A33264" w14:paraId="175CFE9C" w14:textId="77777777" w:rsidTr="00BF5D0D">
        <w:trPr>
          <w:cantSplit/>
        </w:trPr>
        <w:tc>
          <w:tcPr>
            <w:tcW w:w="3402" w:type="dxa"/>
            <w:shd w:val="clear" w:color="auto" w:fill="auto"/>
            <w:vAlign w:val="center"/>
          </w:tcPr>
          <w:p w14:paraId="52BFE51F" w14:textId="77777777" w:rsidR="00BF5D0D" w:rsidRPr="00A33264" w:rsidRDefault="00BF5D0D" w:rsidP="00BF5D0D">
            <w:pPr>
              <w:pStyle w:val="TableBody"/>
              <w:rPr>
                <w:szCs w:val="24"/>
                <w:lang w:val="en-GB"/>
              </w:rPr>
            </w:pPr>
            <w:r w:rsidRPr="00A33264">
              <w:rPr>
                <w:color w:val="F9F9F9" w:themeColor="background1"/>
                <w:szCs w:val="24"/>
                <w:lang w:val="en-GB"/>
              </w:rPr>
              <w:t>blank</w:t>
            </w:r>
          </w:p>
        </w:tc>
        <w:tc>
          <w:tcPr>
            <w:tcW w:w="3402" w:type="dxa"/>
            <w:vAlign w:val="center"/>
          </w:tcPr>
          <w:p w14:paraId="26C5B8CB" w14:textId="77777777" w:rsidR="00BF5D0D" w:rsidRPr="00A33264" w:rsidRDefault="00BF5D0D" w:rsidP="00BF5D0D">
            <w:pPr>
              <w:pStyle w:val="TableBody"/>
              <w:jc w:val="right"/>
              <w:rPr>
                <w:b/>
                <w:bCs/>
                <w:szCs w:val="24"/>
                <w:lang w:val="en-GB"/>
              </w:rPr>
            </w:pPr>
            <w:r w:rsidRPr="00A33264">
              <w:rPr>
                <w:b/>
                <w:bCs/>
                <w:szCs w:val="24"/>
                <w:lang w:val="en-GB"/>
              </w:rPr>
              <w:t>Total:</w:t>
            </w:r>
          </w:p>
        </w:tc>
        <w:tc>
          <w:tcPr>
            <w:tcW w:w="2211" w:type="dxa"/>
          </w:tcPr>
          <w:p w14:paraId="0A4F181E" w14:textId="0B5D34AC" w:rsidR="00BF5D0D" w:rsidRPr="00A33264" w:rsidRDefault="00BF5D0D" w:rsidP="00BF5D0D">
            <w:pPr>
              <w:pStyle w:val="TableBody"/>
              <w:jc w:val="right"/>
              <w:rPr>
                <w:b/>
                <w:bCs/>
                <w:szCs w:val="24"/>
                <w:lang w:val="en-GB"/>
              </w:rPr>
            </w:pPr>
            <w:r w:rsidRPr="00A33264">
              <w:rPr>
                <w:b/>
                <w:bCs/>
                <w:szCs w:val="24"/>
                <w:lang w:val="en-GB"/>
              </w:rPr>
              <w:t>$324,500.00</w:t>
            </w:r>
          </w:p>
        </w:tc>
      </w:tr>
    </w:tbl>
    <w:p w14:paraId="65A053A0" w14:textId="4CFBFF4B" w:rsidR="00F212DD" w:rsidRPr="00A33264" w:rsidRDefault="00F212DD" w:rsidP="00F212DD">
      <w:pPr>
        <w:spacing w:before="120"/>
        <w:rPr>
          <w:u w:val="single"/>
          <w:lang w:val="en-GB"/>
        </w:rPr>
      </w:pPr>
      <w:r w:rsidRPr="00A33264">
        <w:rPr>
          <w:u w:val="single"/>
          <w:lang w:val="en-GB"/>
        </w:rPr>
        <w:t xml:space="preserve">Table </w:t>
      </w:r>
      <w:r w:rsidR="00A27A9C">
        <w:rPr>
          <w:u w:val="single"/>
          <w:lang w:val="en-GB"/>
        </w:rPr>
        <w:t>16</w:t>
      </w:r>
      <w:r w:rsidRPr="00A33264">
        <w:rPr>
          <w:u w:val="single"/>
          <w:lang w:val="en-GB"/>
        </w:rPr>
        <w:t>: Payments to polling organisations in 2023–24</w:t>
      </w:r>
    </w:p>
    <w:tbl>
      <w:tblPr>
        <w:tblStyle w:val="GridTable4"/>
        <w:tblW w:w="9015" w:type="dxa"/>
        <w:tblCellMar>
          <w:top w:w="28" w:type="dxa"/>
          <w:left w:w="28" w:type="dxa"/>
          <w:bottom w:w="28" w:type="dxa"/>
          <w:right w:w="28" w:type="dxa"/>
        </w:tblCellMar>
        <w:tblLook w:val="0420" w:firstRow="1" w:lastRow="0" w:firstColumn="0" w:lastColumn="0" w:noHBand="0" w:noVBand="1"/>
      </w:tblPr>
      <w:tblGrid>
        <w:gridCol w:w="3402"/>
        <w:gridCol w:w="3402"/>
        <w:gridCol w:w="2211"/>
      </w:tblGrid>
      <w:tr w:rsidR="00F212DD" w:rsidRPr="00A33264" w14:paraId="439A009E" w14:textId="77777777" w:rsidTr="003752D4">
        <w:trPr>
          <w:cnfStyle w:val="100000000000" w:firstRow="1" w:lastRow="0" w:firstColumn="0" w:lastColumn="0" w:oddVBand="0" w:evenVBand="0" w:oddHBand="0" w:evenHBand="0" w:firstRowFirstColumn="0" w:firstRowLastColumn="0" w:lastRowFirstColumn="0" w:lastRowLastColumn="0"/>
          <w:cantSplit/>
        </w:trPr>
        <w:tc>
          <w:tcPr>
            <w:tcW w:w="3402" w:type="dxa"/>
            <w:tcBorders>
              <w:top w:val="single" w:sz="4" w:space="0" w:color="6B2876" w:themeColor="text1"/>
              <w:bottom w:val="single" w:sz="4" w:space="0" w:color="6B2876" w:themeColor="text1"/>
            </w:tcBorders>
            <w:vAlign w:val="center"/>
          </w:tcPr>
          <w:p w14:paraId="52B520BA" w14:textId="77777777" w:rsidR="00F212DD" w:rsidRPr="00A33264" w:rsidRDefault="00F212DD">
            <w:pPr>
              <w:pStyle w:val="TableBody"/>
              <w:rPr>
                <w:lang w:val="en-GB"/>
              </w:rPr>
            </w:pPr>
            <w:bookmarkStart w:id="415" w:name="ColumnTitle_Table16"/>
            <w:bookmarkEnd w:id="415"/>
            <w:r w:rsidRPr="00A33264">
              <w:rPr>
                <w:lang w:val="en-GB"/>
              </w:rPr>
              <w:t>Organisation</w:t>
            </w:r>
          </w:p>
        </w:tc>
        <w:tc>
          <w:tcPr>
            <w:tcW w:w="3402" w:type="dxa"/>
            <w:tcBorders>
              <w:top w:val="single" w:sz="4" w:space="0" w:color="6B2876" w:themeColor="text1"/>
              <w:bottom w:val="single" w:sz="4" w:space="0" w:color="6B2876" w:themeColor="text1"/>
            </w:tcBorders>
            <w:vAlign w:val="center"/>
          </w:tcPr>
          <w:p w14:paraId="09B5663A" w14:textId="77777777" w:rsidR="00F212DD" w:rsidRPr="00A33264" w:rsidRDefault="00F212DD">
            <w:pPr>
              <w:pStyle w:val="TableBody"/>
              <w:rPr>
                <w:lang w:val="en-GB"/>
              </w:rPr>
            </w:pPr>
            <w:r w:rsidRPr="00A33264">
              <w:rPr>
                <w:lang w:val="en-GB"/>
              </w:rPr>
              <w:t>Service provided</w:t>
            </w:r>
          </w:p>
        </w:tc>
        <w:tc>
          <w:tcPr>
            <w:tcW w:w="2211" w:type="dxa"/>
            <w:tcBorders>
              <w:top w:val="single" w:sz="4" w:space="0" w:color="6B2876" w:themeColor="text1"/>
              <w:bottom w:val="single" w:sz="4" w:space="0" w:color="6B2876" w:themeColor="text1"/>
            </w:tcBorders>
          </w:tcPr>
          <w:p w14:paraId="0F1F6CB4" w14:textId="77777777" w:rsidR="00F212DD" w:rsidRPr="00A33264" w:rsidRDefault="00F212DD">
            <w:pPr>
              <w:pStyle w:val="TableBody"/>
              <w:jc w:val="right"/>
              <w:rPr>
                <w:lang w:val="en-GB"/>
              </w:rPr>
            </w:pPr>
            <w:r w:rsidRPr="00A33264">
              <w:rPr>
                <w:lang w:val="en-GB"/>
              </w:rPr>
              <w:t>Amount paid $ (including GST)</w:t>
            </w:r>
          </w:p>
        </w:tc>
      </w:tr>
      <w:tr w:rsidR="00F212DD" w:rsidRPr="00A33264" w14:paraId="4D976DE9" w14:textId="77777777" w:rsidTr="00BF5D0D">
        <w:trPr>
          <w:cnfStyle w:val="000000100000" w:firstRow="0" w:lastRow="0" w:firstColumn="0" w:lastColumn="0" w:oddVBand="0" w:evenVBand="0" w:oddHBand="1" w:evenHBand="0" w:firstRowFirstColumn="0" w:firstRowLastColumn="0" w:lastRowFirstColumn="0" w:lastRowLastColumn="0"/>
          <w:cantSplit/>
        </w:trPr>
        <w:tc>
          <w:tcPr>
            <w:tcW w:w="3402" w:type="dxa"/>
            <w:vAlign w:val="center"/>
          </w:tcPr>
          <w:p w14:paraId="06169554" w14:textId="4107C0D3" w:rsidR="00F212DD" w:rsidRPr="00A33264" w:rsidRDefault="00BF5D0D">
            <w:pPr>
              <w:pStyle w:val="TableBody"/>
              <w:rPr>
                <w:lang w:val="en-GB"/>
              </w:rPr>
            </w:pPr>
            <w:r w:rsidRPr="00A33264">
              <w:rPr>
                <w:lang w:val="en-GB"/>
              </w:rPr>
              <w:t>Nil</w:t>
            </w:r>
          </w:p>
        </w:tc>
        <w:tc>
          <w:tcPr>
            <w:tcW w:w="3402" w:type="dxa"/>
            <w:vAlign w:val="center"/>
          </w:tcPr>
          <w:p w14:paraId="2B6B6885" w14:textId="61186A48" w:rsidR="00F212DD" w:rsidRPr="00A33264" w:rsidRDefault="00BF5D0D">
            <w:pPr>
              <w:pStyle w:val="TableBody"/>
              <w:rPr>
                <w:color w:val="F7EEF7"/>
                <w:lang w:val="en-GB"/>
              </w:rPr>
            </w:pPr>
            <w:r w:rsidRPr="00A33264">
              <w:rPr>
                <w:color w:val="F7EEF7"/>
                <w:lang w:val="en-GB"/>
              </w:rPr>
              <w:t>blank</w:t>
            </w:r>
          </w:p>
        </w:tc>
        <w:tc>
          <w:tcPr>
            <w:tcW w:w="2211" w:type="dxa"/>
          </w:tcPr>
          <w:p w14:paraId="52958836" w14:textId="7EB1183E" w:rsidR="00F212DD" w:rsidRPr="00A33264" w:rsidRDefault="00BF5D0D">
            <w:pPr>
              <w:pStyle w:val="TableBody"/>
              <w:jc w:val="right"/>
              <w:rPr>
                <w:lang w:val="en-GB"/>
              </w:rPr>
            </w:pPr>
            <w:r w:rsidRPr="00A33264">
              <w:rPr>
                <w:color w:val="F7EEF7"/>
                <w:lang w:val="en-GB"/>
              </w:rPr>
              <w:t>blank</w:t>
            </w:r>
          </w:p>
        </w:tc>
      </w:tr>
    </w:tbl>
    <w:p w14:paraId="0FBF0BC8" w14:textId="33C36A77" w:rsidR="00F212DD" w:rsidRPr="00A33264" w:rsidRDefault="00F212DD" w:rsidP="00F212DD">
      <w:pPr>
        <w:spacing w:before="120"/>
        <w:rPr>
          <w:u w:val="single"/>
          <w:lang w:val="en-GB"/>
        </w:rPr>
      </w:pPr>
      <w:r w:rsidRPr="00A33264">
        <w:rPr>
          <w:u w:val="single"/>
          <w:lang w:val="en-GB"/>
        </w:rPr>
        <w:t xml:space="preserve">Table </w:t>
      </w:r>
      <w:r w:rsidR="00A27A9C">
        <w:rPr>
          <w:u w:val="single"/>
          <w:lang w:val="en-GB"/>
        </w:rPr>
        <w:t>17</w:t>
      </w:r>
      <w:r w:rsidRPr="00A33264">
        <w:rPr>
          <w:u w:val="single"/>
          <w:lang w:val="en-GB"/>
        </w:rPr>
        <w:t>: Payments to direct mail organisations in 2023–24</w:t>
      </w:r>
    </w:p>
    <w:tbl>
      <w:tblPr>
        <w:tblStyle w:val="GridTable4"/>
        <w:tblW w:w="9015" w:type="dxa"/>
        <w:tblCellMar>
          <w:top w:w="28" w:type="dxa"/>
          <w:left w:w="28" w:type="dxa"/>
          <w:bottom w:w="28" w:type="dxa"/>
          <w:right w:w="28" w:type="dxa"/>
        </w:tblCellMar>
        <w:tblLook w:val="0420" w:firstRow="1" w:lastRow="0" w:firstColumn="0" w:lastColumn="0" w:noHBand="0" w:noVBand="1"/>
      </w:tblPr>
      <w:tblGrid>
        <w:gridCol w:w="3402"/>
        <w:gridCol w:w="3402"/>
        <w:gridCol w:w="2211"/>
      </w:tblGrid>
      <w:tr w:rsidR="00F212DD" w:rsidRPr="00A33264" w14:paraId="284E8898" w14:textId="77777777" w:rsidTr="003752D4">
        <w:trPr>
          <w:cnfStyle w:val="100000000000" w:firstRow="1" w:lastRow="0" w:firstColumn="0" w:lastColumn="0" w:oddVBand="0" w:evenVBand="0" w:oddHBand="0" w:evenHBand="0" w:firstRowFirstColumn="0" w:firstRowLastColumn="0" w:lastRowFirstColumn="0" w:lastRowLastColumn="0"/>
          <w:cantSplit/>
        </w:trPr>
        <w:tc>
          <w:tcPr>
            <w:tcW w:w="3402" w:type="dxa"/>
            <w:tcBorders>
              <w:top w:val="single" w:sz="4" w:space="0" w:color="6B2876" w:themeColor="text1"/>
              <w:bottom w:val="single" w:sz="4" w:space="0" w:color="6B2876" w:themeColor="text1"/>
            </w:tcBorders>
            <w:vAlign w:val="center"/>
          </w:tcPr>
          <w:p w14:paraId="2F33BED7" w14:textId="77777777" w:rsidR="00F212DD" w:rsidRPr="00A33264" w:rsidRDefault="00F212DD">
            <w:pPr>
              <w:pStyle w:val="TableBody"/>
              <w:rPr>
                <w:lang w:val="en-GB"/>
              </w:rPr>
            </w:pPr>
            <w:bookmarkStart w:id="416" w:name="ColumnTitle_Table17"/>
            <w:bookmarkEnd w:id="416"/>
            <w:r w:rsidRPr="00A33264">
              <w:rPr>
                <w:lang w:val="en-GB"/>
              </w:rPr>
              <w:t>Organisation</w:t>
            </w:r>
          </w:p>
        </w:tc>
        <w:tc>
          <w:tcPr>
            <w:tcW w:w="3402" w:type="dxa"/>
            <w:tcBorders>
              <w:top w:val="single" w:sz="4" w:space="0" w:color="6B2876" w:themeColor="text1"/>
              <w:bottom w:val="single" w:sz="4" w:space="0" w:color="6B2876" w:themeColor="text1"/>
            </w:tcBorders>
            <w:vAlign w:val="center"/>
          </w:tcPr>
          <w:p w14:paraId="6F2D0702" w14:textId="77777777" w:rsidR="00F212DD" w:rsidRPr="00A33264" w:rsidRDefault="00F212DD">
            <w:pPr>
              <w:pStyle w:val="TableBody"/>
              <w:rPr>
                <w:lang w:val="en-GB"/>
              </w:rPr>
            </w:pPr>
            <w:r w:rsidRPr="00A33264">
              <w:rPr>
                <w:lang w:val="en-GB"/>
              </w:rPr>
              <w:t>Service provided</w:t>
            </w:r>
          </w:p>
        </w:tc>
        <w:tc>
          <w:tcPr>
            <w:tcW w:w="2211" w:type="dxa"/>
            <w:tcBorders>
              <w:top w:val="single" w:sz="4" w:space="0" w:color="6B2876" w:themeColor="text1"/>
              <w:bottom w:val="single" w:sz="4" w:space="0" w:color="6B2876" w:themeColor="text1"/>
            </w:tcBorders>
          </w:tcPr>
          <w:p w14:paraId="2D72CDD1" w14:textId="77777777" w:rsidR="00F212DD" w:rsidRPr="00A33264" w:rsidRDefault="00F212DD">
            <w:pPr>
              <w:pStyle w:val="TableBody"/>
              <w:jc w:val="right"/>
              <w:rPr>
                <w:lang w:val="en-GB"/>
              </w:rPr>
            </w:pPr>
            <w:r w:rsidRPr="00A33264">
              <w:rPr>
                <w:lang w:val="en-GB"/>
              </w:rPr>
              <w:t>Amount paid $ (including GST)</w:t>
            </w:r>
          </w:p>
        </w:tc>
      </w:tr>
      <w:tr w:rsidR="00F212DD" w:rsidRPr="00A33264" w14:paraId="4B175BF9" w14:textId="77777777" w:rsidTr="00BF5D0D">
        <w:trPr>
          <w:cnfStyle w:val="000000100000" w:firstRow="0" w:lastRow="0" w:firstColumn="0" w:lastColumn="0" w:oddVBand="0" w:evenVBand="0" w:oddHBand="1" w:evenHBand="0" w:firstRowFirstColumn="0" w:firstRowLastColumn="0" w:lastRowFirstColumn="0" w:lastRowLastColumn="0"/>
          <w:cantSplit/>
        </w:trPr>
        <w:tc>
          <w:tcPr>
            <w:tcW w:w="3402" w:type="dxa"/>
            <w:vAlign w:val="center"/>
          </w:tcPr>
          <w:p w14:paraId="67DAF580" w14:textId="6266BDF8" w:rsidR="00F212DD" w:rsidRPr="00A33264" w:rsidRDefault="00BF5D0D">
            <w:pPr>
              <w:pStyle w:val="TableBody"/>
              <w:rPr>
                <w:lang w:val="en-GB"/>
              </w:rPr>
            </w:pPr>
            <w:r w:rsidRPr="00A33264">
              <w:rPr>
                <w:lang w:val="en-GB"/>
              </w:rPr>
              <w:t>National Mailing and Marketing Pty Ltd</w:t>
            </w:r>
          </w:p>
        </w:tc>
        <w:tc>
          <w:tcPr>
            <w:tcW w:w="3402" w:type="dxa"/>
            <w:vAlign w:val="center"/>
          </w:tcPr>
          <w:p w14:paraId="560917E0" w14:textId="0DAD63BC" w:rsidR="00F212DD" w:rsidRPr="00A33264" w:rsidRDefault="00BF5D0D">
            <w:pPr>
              <w:pStyle w:val="TableBody"/>
              <w:rPr>
                <w:lang w:val="en-GB"/>
              </w:rPr>
            </w:pPr>
            <w:r w:rsidRPr="00A33264">
              <w:rPr>
                <w:lang w:val="en-GB"/>
              </w:rPr>
              <w:t xml:space="preserve">Warehousing and </w:t>
            </w:r>
            <w:r w:rsidR="00993D6D" w:rsidRPr="00A33264">
              <w:rPr>
                <w:lang w:val="en-GB"/>
              </w:rPr>
              <w:t>d</w:t>
            </w:r>
            <w:r w:rsidRPr="00A33264">
              <w:rPr>
                <w:lang w:val="en-GB"/>
              </w:rPr>
              <w:t>istribution</w:t>
            </w:r>
          </w:p>
        </w:tc>
        <w:tc>
          <w:tcPr>
            <w:tcW w:w="2211" w:type="dxa"/>
          </w:tcPr>
          <w:p w14:paraId="35E5C730" w14:textId="5E9158BA" w:rsidR="00F212DD" w:rsidRPr="00A33264" w:rsidRDefault="00BF5D0D">
            <w:pPr>
              <w:pStyle w:val="TableBody"/>
              <w:jc w:val="right"/>
              <w:rPr>
                <w:lang w:val="en-GB"/>
              </w:rPr>
            </w:pPr>
            <w:r w:rsidRPr="00A33264">
              <w:rPr>
                <w:lang w:val="en-GB"/>
              </w:rPr>
              <w:t>$190,284.73</w:t>
            </w:r>
          </w:p>
        </w:tc>
      </w:tr>
      <w:tr w:rsidR="00F212DD" w:rsidRPr="00A33264" w14:paraId="5E383FB4" w14:textId="77777777" w:rsidTr="00BF5D0D">
        <w:trPr>
          <w:cantSplit/>
        </w:trPr>
        <w:tc>
          <w:tcPr>
            <w:tcW w:w="3402" w:type="dxa"/>
            <w:shd w:val="clear" w:color="auto" w:fill="auto"/>
            <w:vAlign w:val="center"/>
          </w:tcPr>
          <w:p w14:paraId="5A3029A3" w14:textId="77777777" w:rsidR="00F212DD" w:rsidRPr="00A33264" w:rsidRDefault="00F212DD">
            <w:pPr>
              <w:pStyle w:val="TableBody"/>
              <w:rPr>
                <w:lang w:val="en-GB"/>
              </w:rPr>
            </w:pPr>
            <w:r w:rsidRPr="00A33264">
              <w:rPr>
                <w:color w:val="F9F9F9" w:themeColor="background1"/>
                <w:lang w:val="en-GB"/>
              </w:rPr>
              <w:t>blank</w:t>
            </w:r>
          </w:p>
        </w:tc>
        <w:tc>
          <w:tcPr>
            <w:tcW w:w="3402" w:type="dxa"/>
            <w:vAlign w:val="center"/>
          </w:tcPr>
          <w:p w14:paraId="04BA2550" w14:textId="77777777" w:rsidR="00F212DD" w:rsidRPr="00A33264" w:rsidRDefault="00F212DD">
            <w:pPr>
              <w:pStyle w:val="TableBody"/>
              <w:jc w:val="right"/>
              <w:rPr>
                <w:b/>
                <w:bCs/>
                <w:lang w:val="en-GB"/>
              </w:rPr>
            </w:pPr>
            <w:r w:rsidRPr="00A33264">
              <w:rPr>
                <w:b/>
                <w:bCs/>
                <w:lang w:val="en-GB"/>
              </w:rPr>
              <w:t>Total:</w:t>
            </w:r>
          </w:p>
        </w:tc>
        <w:tc>
          <w:tcPr>
            <w:tcW w:w="2211" w:type="dxa"/>
          </w:tcPr>
          <w:p w14:paraId="74363265" w14:textId="0905CA4A" w:rsidR="00F212DD" w:rsidRPr="00A33264" w:rsidRDefault="00BF5D0D">
            <w:pPr>
              <w:pStyle w:val="TableBody"/>
              <w:jc w:val="right"/>
              <w:rPr>
                <w:b/>
                <w:bCs/>
                <w:lang w:val="en-GB"/>
              </w:rPr>
            </w:pPr>
            <w:r w:rsidRPr="00A33264">
              <w:rPr>
                <w:b/>
                <w:bCs/>
                <w:lang w:val="en-GB"/>
              </w:rPr>
              <w:t>$190,284.73</w:t>
            </w:r>
          </w:p>
        </w:tc>
      </w:tr>
    </w:tbl>
    <w:p w14:paraId="43A73BF0" w14:textId="77777777" w:rsidR="00F23525" w:rsidRDefault="00F23525" w:rsidP="00F212DD">
      <w:pPr>
        <w:spacing w:before="120"/>
        <w:rPr>
          <w:u w:val="single"/>
          <w:lang w:val="en-GB"/>
        </w:rPr>
      </w:pPr>
      <w:r>
        <w:rPr>
          <w:u w:val="single"/>
          <w:lang w:val="en-GB"/>
        </w:rPr>
        <w:br w:type="page"/>
      </w:r>
    </w:p>
    <w:p w14:paraId="664FD03C" w14:textId="23C7D0F0" w:rsidR="00F212DD" w:rsidRPr="00A33264" w:rsidRDefault="00F212DD" w:rsidP="00F212DD">
      <w:pPr>
        <w:spacing w:before="120"/>
        <w:rPr>
          <w:u w:val="single"/>
          <w:lang w:val="en-GB"/>
        </w:rPr>
      </w:pPr>
      <w:r w:rsidRPr="00A33264">
        <w:rPr>
          <w:u w:val="single"/>
          <w:lang w:val="en-GB"/>
        </w:rPr>
        <w:lastRenderedPageBreak/>
        <w:t xml:space="preserve">Table </w:t>
      </w:r>
      <w:r w:rsidR="00A27A9C">
        <w:rPr>
          <w:u w:val="single"/>
          <w:lang w:val="en-GB"/>
        </w:rPr>
        <w:t>18</w:t>
      </w:r>
      <w:r w:rsidRPr="00A33264">
        <w:rPr>
          <w:u w:val="single"/>
          <w:lang w:val="en-GB"/>
        </w:rPr>
        <w:t>: Payments to media advertising organisations in 2023–24</w:t>
      </w:r>
    </w:p>
    <w:tbl>
      <w:tblPr>
        <w:tblStyle w:val="GridTable4"/>
        <w:tblW w:w="9015" w:type="dxa"/>
        <w:tblCellMar>
          <w:top w:w="28" w:type="dxa"/>
          <w:left w:w="28" w:type="dxa"/>
          <w:bottom w:w="28" w:type="dxa"/>
          <w:right w:w="28" w:type="dxa"/>
        </w:tblCellMar>
        <w:tblLook w:val="0420" w:firstRow="1" w:lastRow="0" w:firstColumn="0" w:lastColumn="0" w:noHBand="0" w:noVBand="1"/>
      </w:tblPr>
      <w:tblGrid>
        <w:gridCol w:w="3402"/>
        <w:gridCol w:w="3402"/>
        <w:gridCol w:w="2211"/>
      </w:tblGrid>
      <w:tr w:rsidR="00F212DD" w:rsidRPr="00A33264" w14:paraId="155FD35B" w14:textId="77777777" w:rsidTr="003752D4">
        <w:trPr>
          <w:cnfStyle w:val="100000000000" w:firstRow="1" w:lastRow="0" w:firstColumn="0" w:lastColumn="0" w:oddVBand="0" w:evenVBand="0" w:oddHBand="0" w:evenHBand="0" w:firstRowFirstColumn="0" w:firstRowLastColumn="0" w:lastRowFirstColumn="0" w:lastRowLastColumn="0"/>
          <w:cantSplit/>
        </w:trPr>
        <w:tc>
          <w:tcPr>
            <w:tcW w:w="3402" w:type="dxa"/>
            <w:tcBorders>
              <w:top w:val="single" w:sz="4" w:space="0" w:color="6B2876" w:themeColor="text1"/>
              <w:bottom w:val="single" w:sz="4" w:space="0" w:color="6B2876" w:themeColor="text1"/>
            </w:tcBorders>
            <w:vAlign w:val="center"/>
          </w:tcPr>
          <w:p w14:paraId="1EF47700" w14:textId="77777777" w:rsidR="00F212DD" w:rsidRPr="00A33264" w:rsidRDefault="00F212DD">
            <w:pPr>
              <w:pStyle w:val="TableBody"/>
              <w:rPr>
                <w:lang w:val="en-GB"/>
              </w:rPr>
            </w:pPr>
            <w:bookmarkStart w:id="417" w:name="ColumnTitle_Table18"/>
            <w:bookmarkEnd w:id="417"/>
            <w:r w:rsidRPr="00A33264">
              <w:rPr>
                <w:lang w:val="en-GB"/>
              </w:rPr>
              <w:t>Organisation</w:t>
            </w:r>
          </w:p>
        </w:tc>
        <w:tc>
          <w:tcPr>
            <w:tcW w:w="3402" w:type="dxa"/>
            <w:tcBorders>
              <w:top w:val="single" w:sz="4" w:space="0" w:color="6B2876" w:themeColor="text1"/>
              <w:bottom w:val="single" w:sz="4" w:space="0" w:color="6B2876" w:themeColor="text1"/>
            </w:tcBorders>
            <w:vAlign w:val="center"/>
          </w:tcPr>
          <w:p w14:paraId="2385EF60" w14:textId="77777777" w:rsidR="00F212DD" w:rsidRPr="00A33264" w:rsidRDefault="00F212DD">
            <w:pPr>
              <w:pStyle w:val="TableBody"/>
              <w:rPr>
                <w:lang w:val="en-GB"/>
              </w:rPr>
            </w:pPr>
            <w:r w:rsidRPr="00A33264">
              <w:rPr>
                <w:lang w:val="en-GB"/>
              </w:rPr>
              <w:t>Service provided</w:t>
            </w:r>
          </w:p>
        </w:tc>
        <w:tc>
          <w:tcPr>
            <w:tcW w:w="2211" w:type="dxa"/>
            <w:tcBorders>
              <w:top w:val="single" w:sz="4" w:space="0" w:color="6B2876" w:themeColor="text1"/>
              <w:bottom w:val="single" w:sz="4" w:space="0" w:color="6B2876" w:themeColor="text1"/>
            </w:tcBorders>
          </w:tcPr>
          <w:p w14:paraId="643D0E70" w14:textId="77777777" w:rsidR="00F212DD" w:rsidRPr="00A33264" w:rsidRDefault="00F212DD">
            <w:pPr>
              <w:pStyle w:val="TableBody"/>
              <w:jc w:val="right"/>
              <w:rPr>
                <w:lang w:val="en-GB"/>
              </w:rPr>
            </w:pPr>
            <w:r w:rsidRPr="00A33264">
              <w:rPr>
                <w:lang w:val="en-GB"/>
              </w:rPr>
              <w:t>Amount paid $ (including GST)</w:t>
            </w:r>
          </w:p>
        </w:tc>
      </w:tr>
      <w:tr w:rsidR="00F212DD" w:rsidRPr="00A33264" w14:paraId="58057403" w14:textId="77777777" w:rsidTr="00BF5D0D">
        <w:trPr>
          <w:cnfStyle w:val="000000100000" w:firstRow="0" w:lastRow="0" w:firstColumn="0" w:lastColumn="0" w:oddVBand="0" w:evenVBand="0" w:oddHBand="1" w:evenHBand="0" w:firstRowFirstColumn="0" w:firstRowLastColumn="0" w:lastRowFirstColumn="0" w:lastRowLastColumn="0"/>
          <w:cantSplit/>
        </w:trPr>
        <w:tc>
          <w:tcPr>
            <w:tcW w:w="3402" w:type="dxa"/>
            <w:vAlign w:val="center"/>
          </w:tcPr>
          <w:p w14:paraId="183BF66B" w14:textId="1F93A185" w:rsidR="00F212DD" w:rsidRPr="00A33264" w:rsidRDefault="00BF5D0D">
            <w:pPr>
              <w:pStyle w:val="TableBody"/>
              <w:rPr>
                <w:lang w:val="en-GB"/>
              </w:rPr>
            </w:pPr>
            <w:r w:rsidRPr="00A33264">
              <w:rPr>
                <w:lang w:val="en-GB"/>
              </w:rPr>
              <w:t>LinkedIn Singapore Pte Ltd</w:t>
            </w:r>
          </w:p>
        </w:tc>
        <w:tc>
          <w:tcPr>
            <w:tcW w:w="3402" w:type="dxa"/>
            <w:vAlign w:val="center"/>
          </w:tcPr>
          <w:p w14:paraId="4F692EBA" w14:textId="1F7CC1F3" w:rsidR="00F212DD" w:rsidRPr="00A33264" w:rsidRDefault="00BF5D0D">
            <w:pPr>
              <w:pStyle w:val="TableBody"/>
              <w:rPr>
                <w:lang w:val="en-GB"/>
              </w:rPr>
            </w:pPr>
            <w:r w:rsidRPr="00A33264">
              <w:rPr>
                <w:lang w:val="en-GB"/>
              </w:rPr>
              <w:t xml:space="preserve">LinkedIn Learning </w:t>
            </w:r>
            <w:r w:rsidR="00993D6D" w:rsidRPr="00A33264">
              <w:rPr>
                <w:lang w:val="en-GB"/>
              </w:rPr>
              <w:t>a</w:t>
            </w:r>
            <w:r w:rsidRPr="00A33264">
              <w:rPr>
                <w:lang w:val="en-GB"/>
              </w:rPr>
              <w:t xml:space="preserve">nnual </w:t>
            </w:r>
            <w:r w:rsidR="00993D6D" w:rsidRPr="00A33264">
              <w:rPr>
                <w:lang w:val="en-GB"/>
              </w:rPr>
              <w:t>s</w:t>
            </w:r>
            <w:r w:rsidRPr="00A33264">
              <w:rPr>
                <w:lang w:val="en-GB"/>
              </w:rPr>
              <w:t>ubscription</w:t>
            </w:r>
          </w:p>
        </w:tc>
        <w:tc>
          <w:tcPr>
            <w:tcW w:w="2211" w:type="dxa"/>
          </w:tcPr>
          <w:p w14:paraId="113276D5" w14:textId="231E063F" w:rsidR="00F212DD" w:rsidRPr="00A33264" w:rsidRDefault="00BF5D0D">
            <w:pPr>
              <w:pStyle w:val="TableBody"/>
              <w:jc w:val="right"/>
              <w:rPr>
                <w:lang w:val="en-GB"/>
              </w:rPr>
            </w:pPr>
            <w:r w:rsidRPr="00A33264">
              <w:rPr>
                <w:lang w:val="en-GB"/>
              </w:rPr>
              <w:t>$80,712.32</w:t>
            </w:r>
          </w:p>
        </w:tc>
      </w:tr>
      <w:tr w:rsidR="00F212DD" w:rsidRPr="00A33264" w14:paraId="34C814F3" w14:textId="77777777" w:rsidTr="00BF5D0D">
        <w:trPr>
          <w:cantSplit/>
        </w:trPr>
        <w:tc>
          <w:tcPr>
            <w:tcW w:w="3402" w:type="dxa"/>
            <w:shd w:val="clear" w:color="auto" w:fill="auto"/>
            <w:vAlign w:val="center"/>
          </w:tcPr>
          <w:p w14:paraId="64407E7D" w14:textId="77777777" w:rsidR="00F212DD" w:rsidRPr="00A33264" w:rsidRDefault="00F212DD">
            <w:pPr>
              <w:pStyle w:val="TableBody"/>
              <w:rPr>
                <w:lang w:val="en-GB"/>
              </w:rPr>
            </w:pPr>
            <w:r w:rsidRPr="00A33264">
              <w:rPr>
                <w:color w:val="F9F9F9" w:themeColor="background1"/>
                <w:lang w:val="en-GB"/>
              </w:rPr>
              <w:t>blank</w:t>
            </w:r>
          </w:p>
        </w:tc>
        <w:tc>
          <w:tcPr>
            <w:tcW w:w="3402" w:type="dxa"/>
            <w:vAlign w:val="center"/>
          </w:tcPr>
          <w:p w14:paraId="194174BA" w14:textId="77777777" w:rsidR="00F212DD" w:rsidRPr="00A33264" w:rsidRDefault="00F212DD">
            <w:pPr>
              <w:pStyle w:val="TableBody"/>
              <w:jc w:val="right"/>
              <w:rPr>
                <w:b/>
                <w:bCs/>
                <w:lang w:val="en-GB"/>
              </w:rPr>
            </w:pPr>
            <w:r w:rsidRPr="00A33264">
              <w:rPr>
                <w:b/>
                <w:bCs/>
                <w:lang w:val="en-GB"/>
              </w:rPr>
              <w:t>Total:</w:t>
            </w:r>
          </w:p>
        </w:tc>
        <w:tc>
          <w:tcPr>
            <w:tcW w:w="2211" w:type="dxa"/>
          </w:tcPr>
          <w:p w14:paraId="7F27CBF3" w14:textId="51E2531C" w:rsidR="00F212DD" w:rsidRPr="00A33264" w:rsidRDefault="00BF5D0D">
            <w:pPr>
              <w:pStyle w:val="TableBody"/>
              <w:jc w:val="right"/>
              <w:rPr>
                <w:b/>
                <w:bCs/>
                <w:lang w:val="en-GB"/>
              </w:rPr>
            </w:pPr>
            <w:r w:rsidRPr="00A33264">
              <w:rPr>
                <w:b/>
                <w:bCs/>
                <w:lang w:val="en-GB"/>
              </w:rPr>
              <w:t>$80,712.32</w:t>
            </w:r>
          </w:p>
        </w:tc>
      </w:tr>
    </w:tbl>
    <w:p w14:paraId="14BDBFB4" w14:textId="0B816ECF" w:rsidR="00F212DD" w:rsidRPr="00A33264" w:rsidRDefault="00F212DD" w:rsidP="00F212DD">
      <w:pPr>
        <w:spacing w:before="120"/>
        <w:rPr>
          <w:lang w:val="en-GB"/>
        </w:rPr>
      </w:pPr>
      <w:r w:rsidRPr="00A33264">
        <w:rPr>
          <w:lang w:val="en-GB"/>
        </w:rPr>
        <w:t>The grand total of all payments to advertising, market research, polling, direct mail, and media advertising organisations in 2023–24 is $944,449.94.</w:t>
      </w:r>
    </w:p>
    <w:p w14:paraId="58F26EFB" w14:textId="0392497D" w:rsidR="00255A26" w:rsidRPr="00A33264" w:rsidRDefault="00255A26" w:rsidP="00255A26">
      <w:pPr>
        <w:pStyle w:val="Heading3"/>
        <w:rPr>
          <w:lang w:val="en-GB"/>
        </w:rPr>
      </w:pPr>
      <w:bookmarkStart w:id="418" w:name="_Toc169593018"/>
      <w:bookmarkStart w:id="419" w:name="_Toc174354216"/>
      <w:bookmarkStart w:id="420" w:name="_Toc175316920"/>
      <w:bookmarkStart w:id="421" w:name="_Toc176786411"/>
      <w:bookmarkStart w:id="422" w:name="_Toc180505693"/>
      <w:r w:rsidRPr="00A33264">
        <w:rPr>
          <w:lang w:val="en-GB"/>
        </w:rPr>
        <w:t>Ecologically sustainable development and environmental performance</w:t>
      </w:r>
      <w:bookmarkEnd w:id="418"/>
      <w:bookmarkEnd w:id="419"/>
      <w:bookmarkEnd w:id="420"/>
      <w:bookmarkEnd w:id="421"/>
      <w:bookmarkEnd w:id="422"/>
    </w:p>
    <w:p w14:paraId="0C02C904" w14:textId="58546855" w:rsidR="000175BD" w:rsidRPr="00A33264" w:rsidRDefault="000175BD" w:rsidP="000175BD">
      <w:pPr>
        <w:pStyle w:val="Heading5"/>
        <w:rPr>
          <w:lang w:val="en-GB"/>
        </w:rPr>
      </w:pPr>
      <w:r w:rsidRPr="00A33264">
        <w:rPr>
          <w:lang w:val="en-GB"/>
        </w:rPr>
        <w:t>Fleet and fuel usage</w:t>
      </w:r>
    </w:p>
    <w:p w14:paraId="47E8A7EC" w14:textId="7A906770" w:rsidR="00A13864" w:rsidRPr="00A33264" w:rsidRDefault="00A13864" w:rsidP="00A13864">
      <w:pPr>
        <w:rPr>
          <w:lang w:val="en-GB"/>
        </w:rPr>
      </w:pPr>
      <w:r w:rsidRPr="00A33264">
        <w:rPr>
          <w:lang w:val="en-GB"/>
        </w:rPr>
        <w:t>During 2023</w:t>
      </w:r>
      <w:r w:rsidR="00993D6D" w:rsidRPr="00A33264">
        <w:rPr>
          <w:lang w:val="en-GB"/>
        </w:rPr>
        <w:t>–</w:t>
      </w:r>
      <w:r w:rsidRPr="00A33264">
        <w:rPr>
          <w:lang w:val="en-GB"/>
        </w:rPr>
        <w:t xml:space="preserve">24 the </w:t>
      </w:r>
      <w:r w:rsidR="00196F6D">
        <w:rPr>
          <w:lang w:val="en-GB"/>
        </w:rPr>
        <w:t>NDIA</w:t>
      </w:r>
      <w:r w:rsidRPr="00A33264">
        <w:rPr>
          <w:lang w:val="en-GB"/>
        </w:rPr>
        <w:t xml:space="preserve"> </w:t>
      </w:r>
      <w:r w:rsidR="00196F6D">
        <w:rPr>
          <w:lang w:val="en-GB"/>
        </w:rPr>
        <w:t>increased</w:t>
      </w:r>
      <w:r w:rsidRPr="00A33264">
        <w:rPr>
          <w:lang w:val="en-GB"/>
        </w:rPr>
        <w:t xml:space="preserve"> its green vehicle </w:t>
      </w:r>
      <w:r w:rsidR="00196F6D">
        <w:rPr>
          <w:lang w:val="en-GB"/>
        </w:rPr>
        <w:t xml:space="preserve">fleet </w:t>
      </w:r>
      <w:r w:rsidRPr="00A33264">
        <w:rPr>
          <w:lang w:val="en-GB"/>
        </w:rPr>
        <w:t>by replacing hybrid and internal combustion engine vehicles with greener options</w:t>
      </w:r>
      <w:r w:rsidR="00993D6D" w:rsidRPr="00A33264">
        <w:rPr>
          <w:lang w:val="en-GB"/>
        </w:rPr>
        <w:t>,</w:t>
      </w:r>
      <w:r w:rsidRPr="00A33264">
        <w:rPr>
          <w:lang w:val="en-GB"/>
        </w:rPr>
        <w:t xml:space="preserve"> such as plug-in hybrid electric vehicles, battery electric vehicles and lower </w:t>
      </w:r>
      <w:r w:rsidR="00B43B3B">
        <w:rPr>
          <w:lang w:val="en-GB"/>
        </w:rPr>
        <w:t>c</w:t>
      </w:r>
      <w:r w:rsidR="00FC1329">
        <w:rPr>
          <w:lang w:val="en-GB"/>
        </w:rPr>
        <w:t xml:space="preserve">arbon </w:t>
      </w:r>
      <w:r w:rsidR="00B43B3B">
        <w:rPr>
          <w:lang w:val="en-GB"/>
        </w:rPr>
        <w:t>d</w:t>
      </w:r>
      <w:r w:rsidR="00FC1329">
        <w:rPr>
          <w:lang w:val="en-GB"/>
        </w:rPr>
        <w:t>ioxide (</w:t>
      </w:r>
      <w:r w:rsidRPr="00A33264">
        <w:rPr>
          <w:lang w:val="en-GB"/>
        </w:rPr>
        <w:t>CO</w:t>
      </w:r>
      <w:r w:rsidRPr="00A33264">
        <w:rPr>
          <w:vertAlign w:val="subscript"/>
          <w:lang w:val="en-GB"/>
        </w:rPr>
        <w:t>2</w:t>
      </w:r>
      <w:r w:rsidR="00FC1329">
        <w:rPr>
          <w:lang w:val="en-GB"/>
        </w:rPr>
        <w:t>)</w:t>
      </w:r>
      <w:r w:rsidRPr="00A33264">
        <w:rPr>
          <w:lang w:val="en-GB"/>
        </w:rPr>
        <w:t xml:space="preserve"> emitting internal combustion engine vehicles.</w:t>
      </w:r>
    </w:p>
    <w:p w14:paraId="69205B4A" w14:textId="7648A398" w:rsidR="00255A26" w:rsidRPr="00A33264" w:rsidRDefault="00CA5D3C" w:rsidP="00A13864">
      <w:pPr>
        <w:rPr>
          <w:lang w:val="en-GB"/>
        </w:rPr>
      </w:pPr>
      <w:r>
        <w:rPr>
          <w:lang w:val="en-GB"/>
        </w:rPr>
        <w:t>In 2023</w:t>
      </w:r>
      <w:r w:rsidR="00B43B3B" w:rsidRPr="00A33264">
        <w:rPr>
          <w:lang w:val="en-GB"/>
        </w:rPr>
        <w:t>–</w:t>
      </w:r>
      <w:r>
        <w:rPr>
          <w:lang w:val="en-GB"/>
        </w:rPr>
        <w:t>24 the</w:t>
      </w:r>
      <w:r w:rsidR="00196F6D" w:rsidRPr="00A33264">
        <w:rPr>
          <w:lang w:val="en-GB"/>
        </w:rPr>
        <w:t xml:space="preserve"> </w:t>
      </w:r>
      <w:r>
        <w:rPr>
          <w:lang w:val="en-GB"/>
        </w:rPr>
        <w:t xml:space="preserve">NDIA </w:t>
      </w:r>
      <w:r w:rsidR="00A13864" w:rsidRPr="00A33264">
        <w:rPr>
          <w:lang w:val="en-GB"/>
        </w:rPr>
        <w:t>maintain</w:t>
      </w:r>
      <w:r>
        <w:rPr>
          <w:lang w:val="en-GB"/>
        </w:rPr>
        <w:t>ed</w:t>
      </w:r>
      <w:r w:rsidR="00A13864" w:rsidRPr="00A33264">
        <w:rPr>
          <w:lang w:val="en-GB"/>
        </w:rPr>
        <w:t xml:space="preserve"> a fleet portfolio of 98 vehicles</w:t>
      </w:r>
      <w:r w:rsidR="00993D6D" w:rsidRPr="00A33264">
        <w:rPr>
          <w:lang w:val="en-GB"/>
        </w:rPr>
        <w:t>;</w:t>
      </w:r>
      <w:r w:rsidR="00A13864" w:rsidRPr="00A33264">
        <w:rPr>
          <w:lang w:val="en-GB"/>
        </w:rPr>
        <w:t xml:space="preserve"> 71 vehicles </w:t>
      </w:r>
      <w:r>
        <w:rPr>
          <w:lang w:val="en-GB"/>
        </w:rPr>
        <w:t>we</w:t>
      </w:r>
      <w:r w:rsidR="00A13864" w:rsidRPr="00A33264">
        <w:rPr>
          <w:lang w:val="en-GB"/>
        </w:rPr>
        <w:t xml:space="preserve">re based in metro and regional areas and 27 vehicles </w:t>
      </w:r>
      <w:r>
        <w:rPr>
          <w:lang w:val="en-GB"/>
        </w:rPr>
        <w:t>we</w:t>
      </w:r>
      <w:r w:rsidR="00A13864" w:rsidRPr="00A33264">
        <w:rPr>
          <w:lang w:val="en-GB"/>
        </w:rPr>
        <w:t xml:space="preserve">re based in remote locations. </w:t>
      </w:r>
      <w:r w:rsidR="00993D6D" w:rsidRPr="00A9438A">
        <w:rPr>
          <w:lang w:val="en-GB"/>
        </w:rPr>
        <w:t>Seventy-</w:t>
      </w:r>
      <w:r w:rsidR="003F25CD" w:rsidRPr="00A9438A">
        <w:rPr>
          <w:lang w:val="en-GB"/>
        </w:rPr>
        <w:t>two</w:t>
      </w:r>
      <w:r w:rsidR="00993D6D" w:rsidRPr="00A9438A">
        <w:rPr>
          <w:lang w:val="en-GB"/>
        </w:rPr>
        <w:t xml:space="preserve"> </w:t>
      </w:r>
      <w:r w:rsidR="00993D6D" w:rsidRPr="00A33264">
        <w:rPr>
          <w:lang w:val="en-GB"/>
        </w:rPr>
        <w:t>per cent</w:t>
      </w:r>
      <w:r w:rsidR="00A13864" w:rsidRPr="00A33264">
        <w:rPr>
          <w:lang w:val="en-GB"/>
        </w:rPr>
        <w:t xml:space="preserve"> of the NDIA fleet consists of low</w:t>
      </w:r>
      <w:r w:rsidR="00196F6D">
        <w:rPr>
          <w:lang w:val="en-GB"/>
        </w:rPr>
        <w:t>-</w:t>
      </w:r>
      <w:r w:rsidR="00A13864" w:rsidRPr="00A33264">
        <w:rPr>
          <w:lang w:val="en-GB"/>
        </w:rPr>
        <w:t>emission vehicles</w:t>
      </w:r>
      <w:r w:rsidR="00993D6D" w:rsidRPr="00A33264">
        <w:rPr>
          <w:lang w:val="en-GB"/>
        </w:rPr>
        <w:t>,</w:t>
      </w:r>
      <w:r w:rsidR="00A13864" w:rsidRPr="00A33264">
        <w:rPr>
          <w:lang w:val="en-GB"/>
        </w:rPr>
        <w:t xml:space="preserve"> includ</w:t>
      </w:r>
      <w:r w:rsidR="00993D6D" w:rsidRPr="00A33264">
        <w:rPr>
          <w:lang w:val="en-GB"/>
        </w:rPr>
        <w:t>ing</w:t>
      </w:r>
      <w:r w:rsidR="00A13864" w:rsidRPr="00A33264">
        <w:rPr>
          <w:lang w:val="en-GB"/>
        </w:rPr>
        <w:t xml:space="preserve"> 7 battery electric vehicles and 64 plug-in hybrid vehicles.</w:t>
      </w:r>
    </w:p>
    <w:p w14:paraId="3DE37DDF" w14:textId="64226642" w:rsidR="000175BD" w:rsidRPr="00A33264" w:rsidRDefault="000175BD" w:rsidP="000175BD">
      <w:pPr>
        <w:pStyle w:val="Heading5"/>
        <w:rPr>
          <w:lang w:val="en-GB"/>
        </w:rPr>
      </w:pPr>
      <w:r w:rsidRPr="00A33264">
        <w:rPr>
          <w:lang w:val="en-GB"/>
        </w:rPr>
        <w:t>Air travel</w:t>
      </w:r>
    </w:p>
    <w:p w14:paraId="5CD6EA2D" w14:textId="633BE499" w:rsidR="000175BD" w:rsidRPr="00A33264" w:rsidRDefault="00A13864" w:rsidP="000175BD">
      <w:pPr>
        <w:rPr>
          <w:lang w:val="en-GB"/>
        </w:rPr>
      </w:pPr>
      <w:r w:rsidRPr="00A33264">
        <w:rPr>
          <w:lang w:val="en-GB"/>
        </w:rPr>
        <w:t xml:space="preserve">The </w:t>
      </w:r>
      <w:r w:rsidR="00196F6D">
        <w:rPr>
          <w:lang w:val="en-GB"/>
        </w:rPr>
        <w:t>NDIA</w:t>
      </w:r>
      <w:r w:rsidR="00196F6D" w:rsidRPr="00A33264">
        <w:rPr>
          <w:lang w:val="en-GB"/>
        </w:rPr>
        <w:t xml:space="preserve"> </w:t>
      </w:r>
      <w:r w:rsidRPr="00A33264">
        <w:rPr>
          <w:lang w:val="en-GB"/>
        </w:rPr>
        <w:t xml:space="preserve">has continued to heavily leverage technology such as videoconferencing to minimise the need for travel between locations. </w:t>
      </w:r>
    </w:p>
    <w:p w14:paraId="759B2B3E" w14:textId="7E4C8025" w:rsidR="000175BD" w:rsidRPr="00A33264" w:rsidRDefault="000175BD" w:rsidP="000175BD">
      <w:pPr>
        <w:pStyle w:val="Heading5"/>
        <w:rPr>
          <w:lang w:val="en-GB"/>
        </w:rPr>
      </w:pPr>
      <w:r w:rsidRPr="00A33264">
        <w:rPr>
          <w:lang w:val="en-GB"/>
        </w:rPr>
        <w:t>Property</w:t>
      </w:r>
    </w:p>
    <w:p w14:paraId="5875845E" w14:textId="2F63FDC4" w:rsidR="00F23525" w:rsidRPr="00F23525" w:rsidRDefault="00A13864" w:rsidP="00F23525">
      <w:r w:rsidRPr="00A33264">
        <w:rPr>
          <w:lang w:val="en-GB"/>
        </w:rPr>
        <w:t xml:space="preserve">The </w:t>
      </w:r>
      <w:r w:rsidR="00196F6D">
        <w:rPr>
          <w:lang w:val="en-GB"/>
        </w:rPr>
        <w:t>NDIA</w:t>
      </w:r>
      <w:r w:rsidR="00196F6D" w:rsidRPr="00A33264">
        <w:rPr>
          <w:lang w:val="en-GB"/>
        </w:rPr>
        <w:t xml:space="preserve"> </w:t>
      </w:r>
      <w:r w:rsidRPr="00A33264">
        <w:rPr>
          <w:lang w:val="en-GB"/>
        </w:rPr>
        <w:t>is committed to sustainable development and environmental performance. Through our property activities, we seek a minimum 5 Star Green Star Design and 4.5 Star NABERS Energy Base Building Office rating, wherever possible.</w:t>
      </w:r>
      <w:bookmarkStart w:id="423" w:name="_Toc169593019"/>
      <w:r w:rsidR="00F23525" w:rsidRPr="00F23525">
        <w:br w:type="page"/>
      </w:r>
    </w:p>
    <w:p w14:paraId="335D0CE4" w14:textId="53F4267E" w:rsidR="00CD63B3" w:rsidRPr="00A33264" w:rsidRDefault="00CD63B3" w:rsidP="00CD63B3">
      <w:pPr>
        <w:pStyle w:val="Heading4"/>
        <w:rPr>
          <w:lang w:val="en-GB"/>
        </w:rPr>
      </w:pPr>
      <w:r w:rsidRPr="00A33264">
        <w:rPr>
          <w:lang w:val="en-GB"/>
        </w:rPr>
        <w:lastRenderedPageBreak/>
        <w:t>APS Net Zero 2030 annual reporting requirements</w:t>
      </w:r>
      <w:bookmarkEnd w:id="423"/>
    </w:p>
    <w:p w14:paraId="55933BF9" w14:textId="23899D86" w:rsidR="000175BD" w:rsidRPr="00A33264" w:rsidRDefault="000175BD" w:rsidP="00CD63B3">
      <w:pPr>
        <w:pStyle w:val="Heading5"/>
        <w:rPr>
          <w:lang w:val="en-GB"/>
        </w:rPr>
      </w:pPr>
      <w:r w:rsidRPr="00A33264">
        <w:rPr>
          <w:lang w:val="en-GB"/>
        </w:rPr>
        <w:t>Carbon emissions</w:t>
      </w:r>
    </w:p>
    <w:p w14:paraId="24D07161" w14:textId="0AC642B9" w:rsidR="000175BD" w:rsidRPr="00A33264" w:rsidRDefault="00A13864" w:rsidP="000175BD">
      <w:pPr>
        <w:rPr>
          <w:lang w:val="en-GB"/>
        </w:rPr>
      </w:pPr>
      <w:r w:rsidRPr="00A33264">
        <w:rPr>
          <w:lang w:val="en-GB"/>
        </w:rPr>
        <w:t xml:space="preserve">The </w:t>
      </w:r>
      <w:r w:rsidR="00196F6D">
        <w:rPr>
          <w:lang w:val="en-GB"/>
        </w:rPr>
        <w:t>NDIA</w:t>
      </w:r>
      <w:r w:rsidR="00196F6D" w:rsidRPr="00A33264">
        <w:rPr>
          <w:lang w:val="en-GB"/>
        </w:rPr>
        <w:t xml:space="preserve">’s </w:t>
      </w:r>
      <w:r w:rsidRPr="00A33264">
        <w:rPr>
          <w:lang w:val="en-GB"/>
        </w:rPr>
        <w:t>greenhouse gas emissions reporting has been developed using methodology consistent with the APS Net Zero 2030 policy.</w:t>
      </w:r>
      <w:r w:rsidR="004364A0">
        <w:rPr>
          <w:lang w:val="en-GB"/>
        </w:rPr>
        <w:t xml:space="preserve"> Tables 19 and 20 show our greenhouse gas emissions by location-based approach and market-based approach.</w:t>
      </w:r>
    </w:p>
    <w:p w14:paraId="156F489D" w14:textId="7F391B3D" w:rsidR="00096E39" w:rsidRPr="00A33264" w:rsidRDefault="00CD63B3" w:rsidP="00096E39">
      <w:pPr>
        <w:rPr>
          <w:u w:val="single"/>
          <w:lang w:val="en-GB"/>
        </w:rPr>
      </w:pPr>
      <w:r w:rsidRPr="00A33264">
        <w:rPr>
          <w:u w:val="single"/>
          <w:lang w:val="en-GB"/>
        </w:rPr>
        <w:t xml:space="preserve">Table </w:t>
      </w:r>
      <w:r w:rsidR="00A27A9C">
        <w:rPr>
          <w:u w:val="single"/>
          <w:lang w:val="en-GB"/>
        </w:rPr>
        <w:t>19</w:t>
      </w:r>
      <w:r w:rsidRPr="00A33264">
        <w:rPr>
          <w:u w:val="single"/>
          <w:lang w:val="en-GB"/>
        </w:rPr>
        <w:t>: Greenhouse gas emissions inventory – location-based method</w:t>
      </w:r>
    </w:p>
    <w:tbl>
      <w:tblPr>
        <w:tblStyle w:val="GridTable4"/>
        <w:tblW w:w="9183" w:type="dxa"/>
        <w:tblCellMar>
          <w:top w:w="28" w:type="dxa"/>
          <w:left w:w="28" w:type="dxa"/>
          <w:bottom w:w="28" w:type="dxa"/>
          <w:right w:w="28" w:type="dxa"/>
        </w:tblCellMar>
        <w:tblLook w:val="0420" w:firstRow="1" w:lastRow="0" w:firstColumn="0" w:lastColumn="0" w:noHBand="0" w:noVBand="1"/>
      </w:tblPr>
      <w:tblGrid>
        <w:gridCol w:w="2835"/>
        <w:gridCol w:w="1587"/>
        <w:gridCol w:w="1587"/>
        <w:gridCol w:w="1587"/>
        <w:gridCol w:w="1587"/>
      </w:tblGrid>
      <w:tr w:rsidR="00CD63B3" w:rsidRPr="00A33264" w14:paraId="7E7CAB04" w14:textId="77777777" w:rsidTr="003752D4">
        <w:trPr>
          <w:cnfStyle w:val="100000000000" w:firstRow="1" w:lastRow="0" w:firstColumn="0" w:lastColumn="0" w:oddVBand="0" w:evenVBand="0" w:oddHBand="0" w:evenHBand="0" w:firstRowFirstColumn="0" w:firstRowLastColumn="0" w:lastRowFirstColumn="0" w:lastRowLastColumn="0"/>
          <w:cantSplit/>
        </w:trPr>
        <w:tc>
          <w:tcPr>
            <w:tcW w:w="2835" w:type="dxa"/>
            <w:tcBorders>
              <w:top w:val="single" w:sz="4" w:space="0" w:color="6B2876" w:themeColor="text1"/>
              <w:bottom w:val="single" w:sz="4" w:space="0" w:color="6B2876" w:themeColor="text1"/>
            </w:tcBorders>
          </w:tcPr>
          <w:p w14:paraId="464DCFBE" w14:textId="76A44613" w:rsidR="00CD63B3" w:rsidRPr="00A33264" w:rsidRDefault="00CD63B3" w:rsidP="00CD63B3">
            <w:pPr>
              <w:pStyle w:val="TableBody"/>
              <w:rPr>
                <w:lang w:val="en-GB"/>
              </w:rPr>
            </w:pPr>
            <w:bookmarkStart w:id="424" w:name="ColumnTitle_Table19"/>
            <w:bookmarkEnd w:id="424"/>
            <w:r w:rsidRPr="00A33264">
              <w:rPr>
                <w:lang w:val="en-GB"/>
              </w:rPr>
              <w:t>Emission source</w:t>
            </w:r>
          </w:p>
        </w:tc>
        <w:tc>
          <w:tcPr>
            <w:tcW w:w="1587" w:type="dxa"/>
            <w:tcBorders>
              <w:top w:val="single" w:sz="4" w:space="0" w:color="6B2876" w:themeColor="text1"/>
              <w:bottom w:val="single" w:sz="4" w:space="0" w:color="6B2876" w:themeColor="text1"/>
            </w:tcBorders>
          </w:tcPr>
          <w:p w14:paraId="32277DC5" w14:textId="26142A64" w:rsidR="00CD63B3" w:rsidRPr="00A33264" w:rsidRDefault="00CD63B3" w:rsidP="00CD63B3">
            <w:pPr>
              <w:pStyle w:val="TableBody"/>
              <w:rPr>
                <w:szCs w:val="24"/>
                <w:lang w:val="en-GB"/>
              </w:rPr>
            </w:pPr>
            <w:r w:rsidRPr="00A33264">
              <w:rPr>
                <w:szCs w:val="24"/>
                <w:lang w:val="en-GB" w:eastAsia="en-AU"/>
              </w:rPr>
              <w:t xml:space="preserve">Scope 1 </w:t>
            </w:r>
            <w:r w:rsidR="00E3517A">
              <w:rPr>
                <w:szCs w:val="24"/>
                <w:lang w:val="en-GB" w:eastAsia="en-AU"/>
              </w:rPr>
              <w:br/>
            </w:r>
            <w:r w:rsidR="00FF4030">
              <w:rPr>
                <w:szCs w:val="24"/>
                <w:lang w:val="en-GB" w:eastAsia="en-AU"/>
              </w:rPr>
              <w:t>t</w:t>
            </w:r>
            <w:r w:rsidRPr="00A33264">
              <w:rPr>
                <w:szCs w:val="24"/>
                <w:lang w:val="en-GB" w:eastAsia="en-AU"/>
              </w:rPr>
              <w:t xml:space="preserve"> CO</w:t>
            </w:r>
            <w:r w:rsidRPr="00A33264">
              <w:rPr>
                <w:szCs w:val="24"/>
                <w:vertAlign w:val="subscript"/>
                <w:lang w:val="en-GB" w:eastAsia="en-AU"/>
              </w:rPr>
              <w:t>2</w:t>
            </w:r>
            <w:r w:rsidRPr="00A33264">
              <w:rPr>
                <w:szCs w:val="24"/>
                <w:lang w:val="en-GB" w:eastAsia="en-AU"/>
              </w:rPr>
              <w:t>-e</w:t>
            </w:r>
          </w:p>
        </w:tc>
        <w:tc>
          <w:tcPr>
            <w:tcW w:w="1587" w:type="dxa"/>
            <w:tcBorders>
              <w:top w:val="single" w:sz="4" w:space="0" w:color="6B2876" w:themeColor="text1"/>
              <w:bottom w:val="single" w:sz="4" w:space="0" w:color="6B2876" w:themeColor="text1"/>
            </w:tcBorders>
          </w:tcPr>
          <w:p w14:paraId="3010CEED" w14:textId="6EAAF519" w:rsidR="00CD63B3" w:rsidRPr="00A33264" w:rsidRDefault="00CD63B3" w:rsidP="00CD63B3">
            <w:pPr>
              <w:pStyle w:val="TableBody"/>
              <w:rPr>
                <w:szCs w:val="24"/>
                <w:lang w:val="en-GB"/>
              </w:rPr>
            </w:pPr>
            <w:r w:rsidRPr="00A33264">
              <w:rPr>
                <w:szCs w:val="24"/>
                <w:lang w:val="en-GB" w:eastAsia="en-AU"/>
              </w:rPr>
              <w:t xml:space="preserve">Scope 2 </w:t>
            </w:r>
            <w:r w:rsidR="00E3517A">
              <w:rPr>
                <w:szCs w:val="24"/>
                <w:lang w:val="en-GB" w:eastAsia="en-AU"/>
              </w:rPr>
              <w:br/>
            </w:r>
            <w:r w:rsidR="00FF4030">
              <w:rPr>
                <w:szCs w:val="24"/>
                <w:lang w:val="en-GB" w:eastAsia="en-AU"/>
              </w:rPr>
              <w:t>t</w:t>
            </w:r>
            <w:r w:rsidRPr="00A33264">
              <w:rPr>
                <w:szCs w:val="24"/>
                <w:lang w:val="en-GB" w:eastAsia="en-AU"/>
              </w:rPr>
              <w:t xml:space="preserve"> CO</w:t>
            </w:r>
            <w:r w:rsidRPr="00A33264">
              <w:rPr>
                <w:szCs w:val="24"/>
                <w:vertAlign w:val="subscript"/>
                <w:lang w:val="en-GB" w:eastAsia="en-AU"/>
              </w:rPr>
              <w:t>2</w:t>
            </w:r>
            <w:r w:rsidRPr="00A33264">
              <w:rPr>
                <w:szCs w:val="24"/>
                <w:lang w:val="en-GB" w:eastAsia="en-AU"/>
              </w:rPr>
              <w:t>-e</w:t>
            </w:r>
          </w:p>
        </w:tc>
        <w:tc>
          <w:tcPr>
            <w:tcW w:w="1587" w:type="dxa"/>
            <w:tcBorders>
              <w:top w:val="single" w:sz="4" w:space="0" w:color="6B2876" w:themeColor="text1"/>
              <w:bottom w:val="single" w:sz="4" w:space="0" w:color="6B2876" w:themeColor="text1"/>
            </w:tcBorders>
          </w:tcPr>
          <w:p w14:paraId="7E4FD2FA" w14:textId="2F89B7D2" w:rsidR="00CD63B3" w:rsidRPr="00A33264" w:rsidRDefault="00CD63B3" w:rsidP="00CD63B3">
            <w:pPr>
              <w:pStyle w:val="TableBody"/>
              <w:rPr>
                <w:szCs w:val="24"/>
                <w:lang w:val="en-GB"/>
              </w:rPr>
            </w:pPr>
            <w:r w:rsidRPr="00A33264">
              <w:rPr>
                <w:szCs w:val="24"/>
                <w:lang w:val="en-GB" w:eastAsia="en-AU"/>
              </w:rPr>
              <w:t xml:space="preserve">Scope 3 </w:t>
            </w:r>
            <w:r w:rsidR="00E3517A">
              <w:rPr>
                <w:szCs w:val="24"/>
                <w:lang w:val="en-GB" w:eastAsia="en-AU"/>
              </w:rPr>
              <w:br/>
            </w:r>
            <w:r w:rsidR="00FF4030">
              <w:rPr>
                <w:szCs w:val="24"/>
                <w:lang w:val="en-GB" w:eastAsia="en-AU"/>
              </w:rPr>
              <w:t>t</w:t>
            </w:r>
            <w:r w:rsidRPr="00A33264">
              <w:rPr>
                <w:szCs w:val="24"/>
                <w:lang w:val="en-GB" w:eastAsia="en-AU"/>
              </w:rPr>
              <w:t xml:space="preserve"> CO</w:t>
            </w:r>
            <w:r w:rsidRPr="00A33264">
              <w:rPr>
                <w:szCs w:val="24"/>
                <w:vertAlign w:val="subscript"/>
                <w:lang w:val="en-GB" w:eastAsia="en-AU"/>
              </w:rPr>
              <w:t>2</w:t>
            </w:r>
            <w:r w:rsidRPr="00A33264">
              <w:rPr>
                <w:szCs w:val="24"/>
                <w:lang w:val="en-GB" w:eastAsia="en-AU"/>
              </w:rPr>
              <w:t>-e</w:t>
            </w:r>
          </w:p>
        </w:tc>
        <w:tc>
          <w:tcPr>
            <w:tcW w:w="1587" w:type="dxa"/>
            <w:tcBorders>
              <w:top w:val="single" w:sz="4" w:space="0" w:color="6B2876" w:themeColor="text1"/>
              <w:bottom w:val="single" w:sz="4" w:space="0" w:color="6B2876" w:themeColor="text1"/>
            </w:tcBorders>
          </w:tcPr>
          <w:p w14:paraId="0FDF2434" w14:textId="3624057D" w:rsidR="00CD63B3" w:rsidRPr="00A33264" w:rsidRDefault="00CD63B3" w:rsidP="00CD63B3">
            <w:pPr>
              <w:pStyle w:val="TableBody"/>
              <w:rPr>
                <w:szCs w:val="24"/>
                <w:lang w:val="en-GB"/>
              </w:rPr>
            </w:pPr>
            <w:r w:rsidRPr="00A33264">
              <w:rPr>
                <w:szCs w:val="24"/>
                <w:lang w:val="en-GB" w:eastAsia="en-AU"/>
              </w:rPr>
              <w:t xml:space="preserve">Total </w:t>
            </w:r>
            <w:r w:rsidR="00FF4030">
              <w:rPr>
                <w:szCs w:val="24"/>
                <w:lang w:val="en-GB" w:eastAsia="en-AU"/>
              </w:rPr>
              <w:t xml:space="preserve">t </w:t>
            </w:r>
            <w:r w:rsidRPr="00A33264">
              <w:rPr>
                <w:szCs w:val="24"/>
                <w:lang w:val="en-GB" w:eastAsia="en-AU"/>
              </w:rPr>
              <w:t>CO</w:t>
            </w:r>
            <w:r w:rsidRPr="00A33264">
              <w:rPr>
                <w:szCs w:val="24"/>
                <w:vertAlign w:val="subscript"/>
                <w:lang w:val="en-GB" w:eastAsia="en-AU"/>
              </w:rPr>
              <w:t>2</w:t>
            </w:r>
            <w:r w:rsidRPr="00A33264">
              <w:rPr>
                <w:szCs w:val="24"/>
                <w:lang w:val="en-GB" w:eastAsia="en-AU"/>
              </w:rPr>
              <w:t>-e</w:t>
            </w:r>
          </w:p>
        </w:tc>
      </w:tr>
      <w:tr w:rsidR="00FF4030" w:rsidRPr="00A33264" w14:paraId="5AC8CA73" w14:textId="77777777" w:rsidTr="00CD63B3">
        <w:trPr>
          <w:cnfStyle w:val="000000100000" w:firstRow="0" w:lastRow="0" w:firstColumn="0" w:lastColumn="0" w:oddVBand="0" w:evenVBand="0" w:oddHBand="1" w:evenHBand="0" w:firstRowFirstColumn="0" w:firstRowLastColumn="0" w:lastRowFirstColumn="0" w:lastRowLastColumn="0"/>
          <w:cantSplit/>
        </w:trPr>
        <w:tc>
          <w:tcPr>
            <w:tcW w:w="2835" w:type="dxa"/>
          </w:tcPr>
          <w:p w14:paraId="0FB9A746" w14:textId="5E5FEAFE" w:rsidR="00FF4030" w:rsidRPr="00FF4030" w:rsidRDefault="00FF4030" w:rsidP="00FF4030">
            <w:pPr>
              <w:pStyle w:val="TableBody"/>
              <w:rPr>
                <w:szCs w:val="24"/>
                <w:lang w:val="en-GB"/>
              </w:rPr>
            </w:pPr>
            <w:r w:rsidRPr="00FF4030">
              <w:rPr>
                <w:color w:val="000000"/>
                <w:szCs w:val="24"/>
                <w:lang w:val="en-GB" w:eastAsia="en-AU"/>
              </w:rPr>
              <w:t>Electricity (location-based approach)</w:t>
            </w:r>
          </w:p>
        </w:tc>
        <w:tc>
          <w:tcPr>
            <w:tcW w:w="1587" w:type="dxa"/>
          </w:tcPr>
          <w:p w14:paraId="6052F4C8" w14:textId="69E9C0BB" w:rsidR="00FF4030" w:rsidRPr="00A33264" w:rsidRDefault="00FF4030" w:rsidP="00FF4030">
            <w:pPr>
              <w:pStyle w:val="TableBody"/>
              <w:jc w:val="right"/>
              <w:rPr>
                <w:szCs w:val="24"/>
                <w:lang w:val="en-GB"/>
              </w:rPr>
            </w:pPr>
            <w:r w:rsidRPr="0095060C">
              <w:rPr>
                <w:szCs w:val="24"/>
              </w:rPr>
              <w:t>N/A</w:t>
            </w:r>
          </w:p>
        </w:tc>
        <w:tc>
          <w:tcPr>
            <w:tcW w:w="1587" w:type="dxa"/>
          </w:tcPr>
          <w:p w14:paraId="69857A04" w14:textId="4793C6A9" w:rsidR="00FF4030" w:rsidRPr="00A33264" w:rsidRDefault="00FF4030" w:rsidP="00FF4030">
            <w:pPr>
              <w:pStyle w:val="TableBody"/>
              <w:jc w:val="right"/>
              <w:rPr>
                <w:b/>
                <w:bCs/>
                <w:szCs w:val="24"/>
                <w:lang w:val="en-GB"/>
              </w:rPr>
            </w:pPr>
            <w:r w:rsidRPr="0095060C">
              <w:rPr>
                <w:szCs w:val="24"/>
              </w:rPr>
              <w:t>2,131.428</w:t>
            </w:r>
          </w:p>
        </w:tc>
        <w:tc>
          <w:tcPr>
            <w:tcW w:w="1587" w:type="dxa"/>
          </w:tcPr>
          <w:p w14:paraId="4033726A" w14:textId="0B391D7C" w:rsidR="00FF4030" w:rsidRPr="00A33264" w:rsidRDefault="00FF4030" w:rsidP="00FF4030">
            <w:pPr>
              <w:pStyle w:val="TableBody"/>
              <w:jc w:val="right"/>
              <w:rPr>
                <w:szCs w:val="24"/>
                <w:lang w:val="en-GB"/>
              </w:rPr>
            </w:pPr>
            <w:r w:rsidRPr="0095060C">
              <w:rPr>
                <w:szCs w:val="24"/>
              </w:rPr>
              <w:t>215.158</w:t>
            </w:r>
          </w:p>
        </w:tc>
        <w:tc>
          <w:tcPr>
            <w:tcW w:w="1587" w:type="dxa"/>
          </w:tcPr>
          <w:p w14:paraId="40A6D1BB" w14:textId="292CDA97" w:rsidR="00FF4030" w:rsidRPr="00A33264" w:rsidRDefault="00FF4030" w:rsidP="00FF4030">
            <w:pPr>
              <w:pStyle w:val="TableBody"/>
              <w:jc w:val="right"/>
              <w:rPr>
                <w:szCs w:val="24"/>
                <w:lang w:val="en-GB"/>
              </w:rPr>
            </w:pPr>
            <w:r w:rsidRPr="0095060C">
              <w:rPr>
                <w:szCs w:val="24"/>
              </w:rPr>
              <w:t>2,346.586</w:t>
            </w:r>
          </w:p>
        </w:tc>
      </w:tr>
      <w:tr w:rsidR="00FF4030" w:rsidRPr="00A33264" w14:paraId="0FD4D637" w14:textId="77777777" w:rsidTr="00FF4030">
        <w:trPr>
          <w:cantSplit/>
        </w:trPr>
        <w:tc>
          <w:tcPr>
            <w:tcW w:w="2835" w:type="dxa"/>
            <w:shd w:val="clear" w:color="auto" w:fill="auto"/>
          </w:tcPr>
          <w:p w14:paraId="640B7D9C" w14:textId="20C6F27C" w:rsidR="00FF4030" w:rsidRPr="00A33264" w:rsidRDefault="00FF4030" w:rsidP="00FF4030">
            <w:pPr>
              <w:pStyle w:val="TableBody"/>
              <w:rPr>
                <w:szCs w:val="24"/>
                <w:lang w:val="en-GB"/>
              </w:rPr>
            </w:pPr>
            <w:r w:rsidRPr="00506421">
              <w:rPr>
                <w:color w:val="000000"/>
                <w:szCs w:val="24"/>
                <w:lang w:val="en-GB" w:eastAsia="en-AU"/>
              </w:rPr>
              <w:t>Natural gas</w:t>
            </w:r>
          </w:p>
        </w:tc>
        <w:tc>
          <w:tcPr>
            <w:tcW w:w="1587" w:type="dxa"/>
          </w:tcPr>
          <w:p w14:paraId="27DEAFBA" w14:textId="38CAA3B4" w:rsidR="00FF4030" w:rsidRPr="00A33264" w:rsidRDefault="00FF4030" w:rsidP="00FF4030">
            <w:pPr>
              <w:pStyle w:val="TableBody"/>
              <w:jc w:val="right"/>
              <w:rPr>
                <w:szCs w:val="24"/>
                <w:lang w:val="en-GB"/>
              </w:rPr>
            </w:pPr>
            <w:r w:rsidRPr="0095060C">
              <w:rPr>
                <w:szCs w:val="24"/>
              </w:rPr>
              <w:t>15.116</w:t>
            </w:r>
          </w:p>
        </w:tc>
        <w:tc>
          <w:tcPr>
            <w:tcW w:w="1587" w:type="dxa"/>
          </w:tcPr>
          <w:p w14:paraId="2508352F" w14:textId="50F709DB" w:rsidR="00FF4030" w:rsidRPr="00A33264" w:rsidRDefault="00FF4030" w:rsidP="00FF4030">
            <w:pPr>
              <w:pStyle w:val="TableBody"/>
              <w:jc w:val="right"/>
              <w:rPr>
                <w:szCs w:val="24"/>
                <w:lang w:val="en-GB"/>
              </w:rPr>
            </w:pPr>
            <w:r w:rsidRPr="0095060C">
              <w:rPr>
                <w:szCs w:val="24"/>
              </w:rPr>
              <w:t>N/A</w:t>
            </w:r>
          </w:p>
        </w:tc>
        <w:tc>
          <w:tcPr>
            <w:tcW w:w="1587" w:type="dxa"/>
          </w:tcPr>
          <w:p w14:paraId="280FAC61" w14:textId="3041EBC1" w:rsidR="00FF4030" w:rsidRPr="00A33264" w:rsidRDefault="00FF4030" w:rsidP="00FF4030">
            <w:pPr>
              <w:pStyle w:val="TableBody"/>
              <w:jc w:val="right"/>
              <w:rPr>
                <w:szCs w:val="24"/>
                <w:lang w:val="en-GB"/>
              </w:rPr>
            </w:pPr>
            <w:r w:rsidRPr="0095060C">
              <w:rPr>
                <w:szCs w:val="24"/>
              </w:rPr>
              <w:t>3.757</w:t>
            </w:r>
          </w:p>
        </w:tc>
        <w:tc>
          <w:tcPr>
            <w:tcW w:w="1587" w:type="dxa"/>
          </w:tcPr>
          <w:p w14:paraId="46ED11E8" w14:textId="6BFE12BE" w:rsidR="00FF4030" w:rsidRPr="00A33264" w:rsidRDefault="00FF4030" w:rsidP="00FF4030">
            <w:pPr>
              <w:pStyle w:val="TableBody"/>
              <w:jc w:val="right"/>
              <w:rPr>
                <w:szCs w:val="24"/>
                <w:lang w:val="en-GB"/>
              </w:rPr>
            </w:pPr>
            <w:r w:rsidRPr="0095060C">
              <w:rPr>
                <w:szCs w:val="24"/>
              </w:rPr>
              <w:t>18.873</w:t>
            </w:r>
          </w:p>
        </w:tc>
      </w:tr>
      <w:tr w:rsidR="00FF4030" w:rsidRPr="00A33264" w14:paraId="01FDDCC0" w14:textId="77777777" w:rsidTr="00CD63B3">
        <w:trPr>
          <w:cnfStyle w:val="000000100000" w:firstRow="0" w:lastRow="0" w:firstColumn="0" w:lastColumn="0" w:oddVBand="0" w:evenVBand="0" w:oddHBand="1" w:evenHBand="0" w:firstRowFirstColumn="0" w:firstRowLastColumn="0" w:lastRowFirstColumn="0" w:lastRowLastColumn="0"/>
          <w:cantSplit/>
        </w:trPr>
        <w:tc>
          <w:tcPr>
            <w:tcW w:w="2835" w:type="dxa"/>
          </w:tcPr>
          <w:p w14:paraId="732AA2CA" w14:textId="4CD6EF9E" w:rsidR="00FF4030" w:rsidRPr="00A33264" w:rsidRDefault="00FF4030" w:rsidP="00FF4030">
            <w:pPr>
              <w:pStyle w:val="TableBody"/>
              <w:rPr>
                <w:szCs w:val="24"/>
                <w:lang w:val="en-GB"/>
              </w:rPr>
            </w:pPr>
            <w:r w:rsidRPr="000B68E0">
              <w:rPr>
                <w:color w:val="000000"/>
                <w:szCs w:val="24"/>
                <w:lang w:val="en-GB" w:eastAsia="en-AU"/>
              </w:rPr>
              <w:t xml:space="preserve">Solid </w:t>
            </w:r>
            <w:r w:rsidR="004364A0">
              <w:rPr>
                <w:color w:val="000000"/>
                <w:szCs w:val="24"/>
                <w:lang w:val="en-GB" w:eastAsia="en-AU"/>
              </w:rPr>
              <w:t>w</w:t>
            </w:r>
            <w:r w:rsidRPr="000B68E0">
              <w:rPr>
                <w:color w:val="000000"/>
                <w:szCs w:val="24"/>
                <w:lang w:val="en-GB" w:eastAsia="en-AU"/>
              </w:rPr>
              <w:t>aste</w:t>
            </w:r>
            <w:r w:rsidRPr="006D30C3">
              <w:rPr>
                <w:color w:val="000000"/>
                <w:szCs w:val="24"/>
                <w:vertAlign w:val="superscript"/>
                <w:lang w:val="en-GB" w:eastAsia="en-AU"/>
              </w:rPr>
              <w:t>*</w:t>
            </w:r>
            <w:r w:rsidRPr="006D30C3">
              <w:rPr>
                <w:color w:val="000000"/>
                <w:szCs w:val="24"/>
                <w:vertAlign w:val="superscript"/>
                <w:lang w:eastAsia="en-AU"/>
              </w:rPr>
              <w:t>†</w:t>
            </w:r>
          </w:p>
        </w:tc>
        <w:tc>
          <w:tcPr>
            <w:tcW w:w="1587" w:type="dxa"/>
          </w:tcPr>
          <w:p w14:paraId="45B42308" w14:textId="0D21F5BE" w:rsidR="00FF4030" w:rsidRPr="00A33264" w:rsidRDefault="00FF4030" w:rsidP="00FF4030">
            <w:pPr>
              <w:pStyle w:val="TableBody"/>
              <w:jc w:val="right"/>
              <w:rPr>
                <w:szCs w:val="24"/>
                <w:lang w:val="en-GB"/>
              </w:rPr>
            </w:pPr>
            <w:r w:rsidRPr="0095060C">
              <w:rPr>
                <w:szCs w:val="24"/>
              </w:rPr>
              <w:t>N/A</w:t>
            </w:r>
          </w:p>
        </w:tc>
        <w:tc>
          <w:tcPr>
            <w:tcW w:w="1587" w:type="dxa"/>
          </w:tcPr>
          <w:p w14:paraId="2AB0C94B" w14:textId="6ADD3118" w:rsidR="00FF4030" w:rsidRPr="00A33264" w:rsidRDefault="00FF4030" w:rsidP="00FF4030">
            <w:pPr>
              <w:pStyle w:val="TableBody"/>
              <w:jc w:val="right"/>
              <w:rPr>
                <w:szCs w:val="24"/>
                <w:lang w:val="en-GB"/>
              </w:rPr>
            </w:pPr>
            <w:r w:rsidRPr="0095060C">
              <w:rPr>
                <w:szCs w:val="24"/>
              </w:rPr>
              <w:t>N/A</w:t>
            </w:r>
          </w:p>
        </w:tc>
        <w:tc>
          <w:tcPr>
            <w:tcW w:w="1587" w:type="dxa"/>
          </w:tcPr>
          <w:p w14:paraId="5C895042" w14:textId="42B152F7" w:rsidR="00FF4030" w:rsidRPr="00A33264" w:rsidRDefault="00FF4030" w:rsidP="00FF4030">
            <w:pPr>
              <w:pStyle w:val="TableBody"/>
              <w:jc w:val="right"/>
              <w:rPr>
                <w:szCs w:val="24"/>
                <w:lang w:val="en-GB"/>
              </w:rPr>
            </w:pPr>
            <w:r w:rsidRPr="0095060C">
              <w:rPr>
                <w:szCs w:val="24"/>
              </w:rPr>
              <w:t>7.041</w:t>
            </w:r>
          </w:p>
        </w:tc>
        <w:tc>
          <w:tcPr>
            <w:tcW w:w="1587" w:type="dxa"/>
          </w:tcPr>
          <w:p w14:paraId="5B26FE7D" w14:textId="27C8A147" w:rsidR="00FF4030" w:rsidRPr="00A33264" w:rsidRDefault="00FF4030" w:rsidP="00FF4030">
            <w:pPr>
              <w:pStyle w:val="TableBody"/>
              <w:jc w:val="right"/>
              <w:rPr>
                <w:szCs w:val="24"/>
                <w:lang w:val="en-GB"/>
              </w:rPr>
            </w:pPr>
            <w:r w:rsidRPr="0095060C">
              <w:rPr>
                <w:szCs w:val="24"/>
              </w:rPr>
              <w:t>7.041</w:t>
            </w:r>
          </w:p>
        </w:tc>
      </w:tr>
      <w:tr w:rsidR="00FF4030" w:rsidRPr="00A33264" w14:paraId="2F052E09" w14:textId="77777777" w:rsidTr="00CD63B3">
        <w:trPr>
          <w:cantSplit/>
        </w:trPr>
        <w:tc>
          <w:tcPr>
            <w:tcW w:w="2835" w:type="dxa"/>
          </w:tcPr>
          <w:p w14:paraId="6262BCC8" w14:textId="5DC66DFC" w:rsidR="00FF4030" w:rsidRPr="00A33264" w:rsidRDefault="00FF4030" w:rsidP="00FF4030">
            <w:pPr>
              <w:pStyle w:val="TableBody"/>
              <w:rPr>
                <w:szCs w:val="24"/>
                <w:lang w:val="en-GB"/>
              </w:rPr>
            </w:pPr>
            <w:r w:rsidRPr="000B68E0">
              <w:rPr>
                <w:color w:val="000000"/>
                <w:szCs w:val="24"/>
                <w:lang w:val="en-GB" w:eastAsia="en-AU"/>
              </w:rPr>
              <w:t>Refrigerants</w:t>
            </w:r>
            <w:r w:rsidRPr="006D30C3">
              <w:rPr>
                <w:color w:val="000000"/>
                <w:szCs w:val="24"/>
                <w:vertAlign w:val="superscript"/>
                <w:lang w:val="en-GB" w:eastAsia="en-AU"/>
              </w:rPr>
              <w:t>*</w:t>
            </w:r>
            <w:r w:rsidRPr="00AF5485">
              <w:rPr>
                <w:color w:val="000000"/>
                <w:szCs w:val="24"/>
                <w:vertAlign w:val="superscript"/>
                <w:lang w:eastAsia="en-AU"/>
              </w:rPr>
              <w:t>†</w:t>
            </w:r>
            <w:r w:rsidRPr="006D30C3">
              <w:rPr>
                <w:color w:val="000000"/>
                <w:szCs w:val="24"/>
                <w:vertAlign w:val="superscript"/>
                <w:lang w:eastAsia="en-AU"/>
              </w:rPr>
              <w:t>†</w:t>
            </w:r>
          </w:p>
        </w:tc>
        <w:tc>
          <w:tcPr>
            <w:tcW w:w="1587" w:type="dxa"/>
          </w:tcPr>
          <w:p w14:paraId="00F120D2" w14:textId="56DFE893" w:rsidR="00FF4030" w:rsidRPr="00A33264" w:rsidRDefault="00FF4030" w:rsidP="00FF4030">
            <w:pPr>
              <w:pStyle w:val="TableBody"/>
              <w:jc w:val="right"/>
              <w:rPr>
                <w:szCs w:val="24"/>
                <w:lang w:val="en-GB"/>
              </w:rPr>
            </w:pPr>
            <w:r w:rsidRPr="0095060C">
              <w:rPr>
                <w:szCs w:val="24"/>
              </w:rPr>
              <w:t>0.000</w:t>
            </w:r>
          </w:p>
        </w:tc>
        <w:tc>
          <w:tcPr>
            <w:tcW w:w="1587" w:type="dxa"/>
          </w:tcPr>
          <w:p w14:paraId="3D84DBCD" w14:textId="66EA29B0" w:rsidR="00FF4030" w:rsidRPr="00A33264" w:rsidRDefault="00FF4030" w:rsidP="00FF4030">
            <w:pPr>
              <w:pStyle w:val="TableBody"/>
              <w:jc w:val="right"/>
              <w:rPr>
                <w:szCs w:val="24"/>
                <w:lang w:val="en-GB"/>
              </w:rPr>
            </w:pPr>
            <w:r w:rsidRPr="0095060C">
              <w:rPr>
                <w:szCs w:val="24"/>
              </w:rPr>
              <w:t>N/A</w:t>
            </w:r>
          </w:p>
        </w:tc>
        <w:tc>
          <w:tcPr>
            <w:tcW w:w="1587" w:type="dxa"/>
          </w:tcPr>
          <w:p w14:paraId="2CF11434" w14:textId="404E406B" w:rsidR="00FF4030" w:rsidRPr="00A33264" w:rsidRDefault="00FF4030" w:rsidP="00FF4030">
            <w:pPr>
              <w:pStyle w:val="TableBody"/>
              <w:jc w:val="right"/>
              <w:rPr>
                <w:szCs w:val="24"/>
                <w:lang w:val="en-GB"/>
              </w:rPr>
            </w:pPr>
            <w:r w:rsidRPr="0095060C">
              <w:rPr>
                <w:szCs w:val="24"/>
              </w:rPr>
              <w:t>N/A</w:t>
            </w:r>
          </w:p>
        </w:tc>
        <w:tc>
          <w:tcPr>
            <w:tcW w:w="1587" w:type="dxa"/>
          </w:tcPr>
          <w:p w14:paraId="37A0CDD5" w14:textId="150A2FE7" w:rsidR="00FF4030" w:rsidRPr="00A33264" w:rsidRDefault="00FF4030" w:rsidP="00FF4030">
            <w:pPr>
              <w:pStyle w:val="TableBody"/>
              <w:jc w:val="right"/>
              <w:rPr>
                <w:szCs w:val="24"/>
                <w:lang w:val="en-GB"/>
              </w:rPr>
            </w:pPr>
            <w:r w:rsidRPr="0095060C">
              <w:rPr>
                <w:szCs w:val="24"/>
              </w:rPr>
              <w:t>0.000</w:t>
            </w:r>
          </w:p>
        </w:tc>
      </w:tr>
      <w:tr w:rsidR="00FF4030" w:rsidRPr="00A33264" w14:paraId="2B51C2B7" w14:textId="77777777" w:rsidTr="00CD63B3">
        <w:trPr>
          <w:cnfStyle w:val="000000100000" w:firstRow="0" w:lastRow="0" w:firstColumn="0" w:lastColumn="0" w:oddVBand="0" w:evenVBand="0" w:oddHBand="1" w:evenHBand="0" w:firstRowFirstColumn="0" w:firstRowLastColumn="0" w:lastRowFirstColumn="0" w:lastRowLastColumn="0"/>
          <w:cantSplit/>
        </w:trPr>
        <w:tc>
          <w:tcPr>
            <w:tcW w:w="2835" w:type="dxa"/>
          </w:tcPr>
          <w:p w14:paraId="22C5CA8E" w14:textId="76AEB07B" w:rsidR="00FF4030" w:rsidRPr="00A33264" w:rsidRDefault="00FF4030" w:rsidP="00FF4030">
            <w:pPr>
              <w:pStyle w:val="TableBody"/>
              <w:rPr>
                <w:szCs w:val="24"/>
                <w:lang w:val="en-GB"/>
              </w:rPr>
            </w:pPr>
            <w:r w:rsidRPr="000B68E0">
              <w:rPr>
                <w:color w:val="000000"/>
                <w:szCs w:val="24"/>
                <w:lang w:val="en-GB" w:eastAsia="en-AU"/>
              </w:rPr>
              <w:t>Fleet and other vehicles</w:t>
            </w:r>
          </w:p>
        </w:tc>
        <w:tc>
          <w:tcPr>
            <w:tcW w:w="1587" w:type="dxa"/>
          </w:tcPr>
          <w:p w14:paraId="18F87FFB" w14:textId="42DC5B07" w:rsidR="00FF4030" w:rsidRPr="00A33264" w:rsidRDefault="00FF4030" w:rsidP="00FF4030">
            <w:pPr>
              <w:pStyle w:val="TableBody"/>
              <w:jc w:val="right"/>
              <w:rPr>
                <w:szCs w:val="24"/>
                <w:lang w:val="en-GB"/>
              </w:rPr>
            </w:pPr>
            <w:r w:rsidRPr="0095060C">
              <w:rPr>
                <w:szCs w:val="24"/>
              </w:rPr>
              <w:t>91.398</w:t>
            </w:r>
          </w:p>
        </w:tc>
        <w:tc>
          <w:tcPr>
            <w:tcW w:w="1587" w:type="dxa"/>
          </w:tcPr>
          <w:p w14:paraId="10528439" w14:textId="1A9CF888" w:rsidR="00FF4030" w:rsidRPr="00A33264" w:rsidRDefault="00FF4030" w:rsidP="00FF4030">
            <w:pPr>
              <w:pStyle w:val="TableBody"/>
              <w:jc w:val="right"/>
              <w:rPr>
                <w:szCs w:val="24"/>
                <w:lang w:val="en-GB"/>
              </w:rPr>
            </w:pPr>
            <w:r w:rsidRPr="0095060C">
              <w:rPr>
                <w:szCs w:val="24"/>
              </w:rPr>
              <w:t>N/A</w:t>
            </w:r>
          </w:p>
        </w:tc>
        <w:tc>
          <w:tcPr>
            <w:tcW w:w="1587" w:type="dxa"/>
          </w:tcPr>
          <w:p w14:paraId="48A72F7C" w14:textId="12F73CD8" w:rsidR="00FF4030" w:rsidRPr="00A33264" w:rsidRDefault="00FF4030" w:rsidP="00FF4030">
            <w:pPr>
              <w:pStyle w:val="TableBody"/>
              <w:jc w:val="right"/>
              <w:rPr>
                <w:szCs w:val="24"/>
                <w:lang w:val="en-GB"/>
              </w:rPr>
            </w:pPr>
            <w:r w:rsidRPr="0095060C">
              <w:rPr>
                <w:szCs w:val="24"/>
              </w:rPr>
              <w:t>22.929</w:t>
            </w:r>
          </w:p>
        </w:tc>
        <w:tc>
          <w:tcPr>
            <w:tcW w:w="1587" w:type="dxa"/>
          </w:tcPr>
          <w:p w14:paraId="50D58B67" w14:textId="31E5F03A" w:rsidR="00FF4030" w:rsidRPr="00A33264" w:rsidRDefault="00FF4030" w:rsidP="00FF4030">
            <w:pPr>
              <w:pStyle w:val="TableBody"/>
              <w:jc w:val="right"/>
              <w:rPr>
                <w:szCs w:val="24"/>
                <w:lang w:val="en-GB"/>
              </w:rPr>
            </w:pPr>
            <w:r w:rsidRPr="0095060C">
              <w:rPr>
                <w:szCs w:val="24"/>
              </w:rPr>
              <w:t>114.327</w:t>
            </w:r>
          </w:p>
        </w:tc>
      </w:tr>
      <w:tr w:rsidR="00FF4030" w:rsidRPr="00A33264" w14:paraId="00CB5E55" w14:textId="77777777" w:rsidTr="00CD63B3">
        <w:trPr>
          <w:cantSplit/>
        </w:trPr>
        <w:tc>
          <w:tcPr>
            <w:tcW w:w="2835" w:type="dxa"/>
          </w:tcPr>
          <w:p w14:paraId="4E4C16A3" w14:textId="6CB34EFF" w:rsidR="00FF4030" w:rsidRPr="00A33264" w:rsidRDefault="00FF4030" w:rsidP="00FF4030">
            <w:pPr>
              <w:pStyle w:val="TableBody"/>
              <w:rPr>
                <w:color w:val="000000"/>
                <w:szCs w:val="24"/>
                <w:lang w:val="en-GB" w:eastAsia="en-AU"/>
              </w:rPr>
            </w:pPr>
            <w:r w:rsidRPr="000B68E0">
              <w:rPr>
                <w:color w:val="000000"/>
                <w:szCs w:val="24"/>
                <w:lang w:val="en-GB" w:eastAsia="en-AU"/>
              </w:rPr>
              <w:t xml:space="preserve">Domestic </w:t>
            </w:r>
            <w:r w:rsidR="004364A0">
              <w:rPr>
                <w:color w:val="000000"/>
                <w:szCs w:val="24"/>
                <w:lang w:val="en-GB" w:eastAsia="en-AU"/>
              </w:rPr>
              <w:t>c</w:t>
            </w:r>
            <w:r w:rsidRPr="000B68E0">
              <w:rPr>
                <w:color w:val="000000"/>
                <w:szCs w:val="24"/>
                <w:lang w:val="en-GB" w:eastAsia="en-AU"/>
              </w:rPr>
              <w:t>ommercial flights</w:t>
            </w:r>
            <w:r w:rsidRPr="00AF5485">
              <w:rPr>
                <w:color w:val="000000"/>
                <w:szCs w:val="24"/>
                <w:vertAlign w:val="superscript"/>
                <w:lang w:val="en-GB" w:eastAsia="en-AU"/>
              </w:rPr>
              <w:t>*</w:t>
            </w:r>
          </w:p>
        </w:tc>
        <w:tc>
          <w:tcPr>
            <w:tcW w:w="1587" w:type="dxa"/>
          </w:tcPr>
          <w:p w14:paraId="580D5862" w14:textId="5D3DBF07" w:rsidR="00FF4030" w:rsidRPr="00A33264" w:rsidRDefault="00FF4030" w:rsidP="00FF4030">
            <w:pPr>
              <w:pStyle w:val="TableBody"/>
              <w:jc w:val="right"/>
              <w:rPr>
                <w:color w:val="000000"/>
                <w:sz w:val="22"/>
                <w:lang w:val="en-GB" w:eastAsia="en-AU"/>
              </w:rPr>
            </w:pPr>
            <w:r w:rsidRPr="0095060C">
              <w:rPr>
                <w:szCs w:val="24"/>
              </w:rPr>
              <w:t>N/A</w:t>
            </w:r>
          </w:p>
        </w:tc>
        <w:tc>
          <w:tcPr>
            <w:tcW w:w="1587" w:type="dxa"/>
          </w:tcPr>
          <w:p w14:paraId="13049A65" w14:textId="24D66735" w:rsidR="00FF4030" w:rsidRPr="00A33264" w:rsidRDefault="00FF4030" w:rsidP="00FF4030">
            <w:pPr>
              <w:pStyle w:val="TableBody"/>
              <w:jc w:val="right"/>
              <w:rPr>
                <w:color w:val="000000"/>
                <w:sz w:val="22"/>
                <w:lang w:val="en-GB" w:eastAsia="en-AU"/>
              </w:rPr>
            </w:pPr>
            <w:r w:rsidRPr="0095060C">
              <w:rPr>
                <w:szCs w:val="24"/>
              </w:rPr>
              <w:t>N/A</w:t>
            </w:r>
          </w:p>
        </w:tc>
        <w:tc>
          <w:tcPr>
            <w:tcW w:w="1587" w:type="dxa"/>
          </w:tcPr>
          <w:p w14:paraId="32A3D2A9" w14:textId="504212CD" w:rsidR="00FF4030" w:rsidRPr="00A33264" w:rsidRDefault="00FF4030" w:rsidP="00FF4030">
            <w:pPr>
              <w:pStyle w:val="TableBody"/>
              <w:jc w:val="right"/>
              <w:rPr>
                <w:color w:val="000000"/>
                <w:sz w:val="22"/>
                <w:lang w:val="en-GB" w:eastAsia="en-AU"/>
              </w:rPr>
            </w:pPr>
            <w:r w:rsidRPr="0095060C">
              <w:rPr>
                <w:szCs w:val="24"/>
              </w:rPr>
              <w:t>906.545</w:t>
            </w:r>
          </w:p>
        </w:tc>
        <w:tc>
          <w:tcPr>
            <w:tcW w:w="1587" w:type="dxa"/>
          </w:tcPr>
          <w:p w14:paraId="51D55930" w14:textId="11D8254E" w:rsidR="00FF4030" w:rsidRPr="00A33264" w:rsidRDefault="00FF4030" w:rsidP="00FF4030">
            <w:pPr>
              <w:pStyle w:val="TableBody"/>
              <w:jc w:val="right"/>
              <w:rPr>
                <w:color w:val="000000"/>
                <w:sz w:val="22"/>
                <w:lang w:val="en-GB" w:eastAsia="en-AU"/>
              </w:rPr>
            </w:pPr>
            <w:r w:rsidRPr="0095060C">
              <w:rPr>
                <w:szCs w:val="24"/>
              </w:rPr>
              <w:t>906.545</w:t>
            </w:r>
          </w:p>
        </w:tc>
      </w:tr>
      <w:tr w:rsidR="00FF4030" w:rsidRPr="00A33264" w14:paraId="435E78E1" w14:textId="77777777" w:rsidTr="00CD63B3">
        <w:trPr>
          <w:cnfStyle w:val="000000100000" w:firstRow="0" w:lastRow="0" w:firstColumn="0" w:lastColumn="0" w:oddVBand="0" w:evenVBand="0" w:oddHBand="1" w:evenHBand="0" w:firstRowFirstColumn="0" w:firstRowLastColumn="0" w:lastRowFirstColumn="0" w:lastRowLastColumn="0"/>
          <w:cantSplit/>
        </w:trPr>
        <w:tc>
          <w:tcPr>
            <w:tcW w:w="2835" w:type="dxa"/>
          </w:tcPr>
          <w:p w14:paraId="50F2B240" w14:textId="7F86642A" w:rsidR="00FF4030" w:rsidRPr="00A33264" w:rsidRDefault="00FF4030" w:rsidP="00FF4030">
            <w:pPr>
              <w:pStyle w:val="TableBody"/>
              <w:rPr>
                <w:color w:val="000000"/>
                <w:szCs w:val="24"/>
                <w:lang w:val="en-GB" w:eastAsia="en-AU"/>
              </w:rPr>
            </w:pPr>
            <w:r w:rsidRPr="000B68E0">
              <w:rPr>
                <w:color w:val="000000"/>
                <w:szCs w:val="24"/>
                <w:lang w:val="en-GB" w:eastAsia="en-AU"/>
              </w:rPr>
              <w:t xml:space="preserve">Domestic </w:t>
            </w:r>
            <w:r w:rsidR="004364A0">
              <w:rPr>
                <w:color w:val="000000"/>
                <w:szCs w:val="24"/>
                <w:lang w:val="en-GB" w:eastAsia="en-AU"/>
              </w:rPr>
              <w:t>h</w:t>
            </w:r>
            <w:r w:rsidRPr="000B68E0">
              <w:rPr>
                <w:color w:val="000000"/>
                <w:szCs w:val="24"/>
                <w:lang w:val="en-GB" w:eastAsia="en-AU"/>
              </w:rPr>
              <w:t xml:space="preserve">ire </w:t>
            </w:r>
            <w:r w:rsidR="004364A0">
              <w:rPr>
                <w:color w:val="000000"/>
                <w:szCs w:val="24"/>
                <w:lang w:val="en-GB" w:eastAsia="en-AU"/>
              </w:rPr>
              <w:t>c</w:t>
            </w:r>
            <w:r w:rsidRPr="000B68E0">
              <w:rPr>
                <w:color w:val="000000"/>
                <w:szCs w:val="24"/>
                <w:lang w:val="en-GB" w:eastAsia="en-AU"/>
              </w:rPr>
              <w:t>ar</w:t>
            </w:r>
            <w:r w:rsidRPr="00AF5485">
              <w:rPr>
                <w:color w:val="000000"/>
                <w:szCs w:val="24"/>
                <w:vertAlign w:val="superscript"/>
                <w:lang w:val="en-GB" w:eastAsia="en-AU"/>
              </w:rPr>
              <w:t>*</w:t>
            </w:r>
          </w:p>
        </w:tc>
        <w:tc>
          <w:tcPr>
            <w:tcW w:w="1587" w:type="dxa"/>
          </w:tcPr>
          <w:p w14:paraId="09AD1F70" w14:textId="2C1BEB37" w:rsidR="00FF4030" w:rsidRPr="00A33264" w:rsidRDefault="00FF4030" w:rsidP="00FF4030">
            <w:pPr>
              <w:pStyle w:val="TableBody"/>
              <w:jc w:val="right"/>
              <w:rPr>
                <w:color w:val="000000"/>
                <w:sz w:val="22"/>
                <w:lang w:val="en-GB" w:eastAsia="en-AU"/>
              </w:rPr>
            </w:pPr>
            <w:r w:rsidRPr="0095060C">
              <w:rPr>
                <w:szCs w:val="24"/>
              </w:rPr>
              <w:t>N/A</w:t>
            </w:r>
          </w:p>
        </w:tc>
        <w:tc>
          <w:tcPr>
            <w:tcW w:w="1587" w:type="dxa"/>
          </w:tcPr>
          <w:p w14:paraId="519BCB87" w14:textId="461B7A91" w:rsidR="00FF4030" w:rsidRPr="00A33264" w:rsidRDefault="00FF4030" w:rsidP="00FF4030">
            <w:pPr>
              <w:pStyle w:val="TableBody"/>
              <w:jc w:val="right"/>
              <w:rPr>
                <w:color w:val="000000"/>
                <w:sz w:val="22"/>
                <w:lang w:val="en-GB" w:eastAsia="en-AU"/>
              </w:rPr>
            </w:pPr>
            <w:r w:rsidRPr="0095060C">
              <w:rPr>
                <w:szCs w:val="24"/>
              </w:rPr>
              <w:t>N/A</w:t>
            </w:r>
          </w:p>
        </w:tc>
        <w:tc>
          <w:tcPr>
            <w:tcW w:w="1587" w:type="dxa"/>
          </w:tcPr>
          <w:p w14:paraId="60DBCA97" w14:textId="2739E17F" w:rsidR="00FF4030" w:rsidRPr="00A33264" w:rsidRDefault="00FF4030" w:rsidP="00FF4030">
            <w:pPr>
              <w:pStyle w:val="TableBody"/>
              <w:jc w:val="right"/>
              <w:rPr>
                <w:color w:val="000000"/>
                <w:sz w:val="22"/>
                <w:lang w:val="en-GB" w:eastAsia="en-AU"/>
              </w:rPr>
            </w:pPr>
            <w:r w:rsidRPr="0095060C">
              <w:rPr>
                <w:szCs w:val="24"/>
              </w:rPr>
              <w:t>15.116</w:t>
            </w:r>
          </w:p>
        </w:tc>
        <w:tc>
          <w:tcPr>
            <w:tcW w:w="1587" w:type="dxa"/>
          </w:tcPr>
          <w:p w14:paraId="6AF7E6CF" w14:textId="728C9049" w:rsidR="00FF4030" w:rsidRPr="00A33264" w:rsidRDefault="00FF4030" w:rsidP="00FF4030">
            <w:pPr>
              <w:pStyle w:val="TableBody"/>
              <w:jc w:val="right"/>
              <w:rPr>
                <w:color w:val="000000"/>
                <w:sz w:val="22"/>
                <w:lang w:val="en-GB" w:eastAsia="en-AU"/>
              </w:rPr>
            </w:pPr>
            <w:r w:rsidRPr="0095060C">
              <w:rPr>
                <w:szCs w:val="24"/>
              </w:rPr>
              <w:t>15.116</w:t>
            </w:r>
          </w:p>
        </w:tc>
      </w:tr>
      <w:tr w:rsidR="00FF4030" w:rsidRPr="00A33264" w14:paraId="78DE7094" w14:textId="77777777" w:rsidTr="00CD63B3">
        <w:trPr>
          <w:cantSplit/>
        </w:trPr>
        <w:tc>
          <w:tcPr>
            <w:tcW w:w="2835" w:type="dxa"/>
          </w:tcPr>
          <w:p w14:paraId="560AA988" w14:textId="43F1544D" w:rsidR="00FF4030" w:rsidRPr="00A33264" w:rsidRDefault="00FF4030" w:rsidP="00FF4030">
            <w:pPr>
              <w:pStyle w:val="TableBody"/>
              <w:rPr>
                <w:color w:val="000000"/>
                <w:szCs w:val="24"/>
                <w:lang w:val="en-GB" w:eastAsia="en-AU"/>
              </w:rPr>
            </w:pPr>
            <w:r w:rsidRPr="000B68E0">
              <w:rPr>
                <w:color w:val="000000"/>
                <w:szCs w:val="24"/>
                <w:lang w:val="en-GB" w:eastAsia="en-AU"/>
              </w:rPr>
              <w:t xml:space="preserve">Domestic </w:t>
            </w:r>
            <w:r w:rsidR="004364A0">
              <w:rPr>
                <w:color w:val="000000"/>
                <w:szCs w:val="24"/>
                <w:lang w:val="en-GB" w:eastAsia="en-AU"/>
              </w:rPr>
              <w:t>t</w:t>
            </w:r>
            <w:r w:rsidRPr="000B68E0">
              <w:rPr>
                <w:color w:val="000000"/>
                <w:szCs w:val="24"/>
                <w:lang w:val="en-GB" w:eastAsia="en-AU"/>
              </w:rPr>
              <w:t xml:space="preserve">ravel </w:t>
            </w:r>
            <w:r w:rsidR="004364A0">
              <w:rPr>
                <w:color w:val="000000"/>
                <w:szCs w:val="24"/>
                <w:lang w:val="en-GB" w:eastAsia="en-AU"/>
              </w:rPr>
              <w:t>a</w:t>
            </w:r>
            <w:r w:rsidRPr="000B68E0">
              <w:rPr>
                <w:color w:val="000000"/>
                <w:szCs w:val="24"/>
                <w:lang w:val="en-GB" w:eastAsia="en-AU"/>
              </w:rPr>
              <w:t>ccommodation</w:t>
            </w:r>
            <w:r w:rsidRPr="00AF5485">
              <w:rPr>
                <w:color w:val="000000"/>
                <w:szCs w:val="24"/>
                <w:vertAlign w:val="superscript"/>
                <w:lang w:val="en-GB" w:eastAsia="en-AU"/>
              </w:rPr>
              <w:t>*</w:t>
            </w:r>
          </w:p>
        </w:tc>
        <w:tc>
          <w:tcPr>
            <w:tcW w:w="1587" w:type="dxa"/>
          </w:tcPr>
          <w:p w14:paraId="7216AF3A" w14:textId="158847D8" w:rsidR="00FF4030" w:rsidRPr="00A33264" w:rsidRDefault="00FF4030" w:rsidP="00FF4030">
            <w:pPr>
              <w:pStyle w:val="TableBody"/>
              <w:jc w:val="right"/>
              <w:rPr>
                <w:color w:val="000000"/>
                <w:sz w:val="22"/>
                <w:lang w:val="en-GB" w:eastAsia="en-AU"/>
              </w:rPr>
            </w:pPr>
            <w:r w:rsidRPr="0095060C">
              <w:rPr>
                <w:szCs w:val="24"/>
              </w:rPr>
              <w:t>N/A</w:t>
            </w:r>
          </w:p>
        </w:tc>
        <w:tc>
          <w:tcPr>
            <w:tcW w:w="1587" w:type="dxa"/>
          </w:tcPr>
          <w:p w14:paraId="6B4D48B1" w14:textId="2838DEBF" w:rsidR="00FF4030" w:rsidRPr="00A33264" w:rsidRDefault="00FF4030" w:rsidP="00FF4030">
            <w:pPr>
              <w:pStyle w:val="TableBody"/>
              <w:jc w:val="right"/>
              <w:rPr>
                <w:color w:val="000000"/>
                <w:sz w:val="22"/>
                <w:lang w:val="en-GB" w:eastAsia="en-AU"/>
              </w:rPr>
            </w:pPr>
            <w:r w:rsidRPr="0095060C">
              <w:rPr>
                <w:szCs w:val="24"/>
              </w:rPr>
              <w:t>N/A</w:t>
            </w:r>
          </w:p>
        </w:tc>
        <w:tc>
          <w:tcPr>
            <w:tcW w:w="1587" w:type="dxa"/>
          </w:tcPr>
          <w:p w14:paraId="0EEA9BA0" w14:textId="28C5FE7C" w:rsidR="00FF4030" w:rsidRPr="00A33264" w:rsidRDefault="00FF4030" w:rsidP="00FF4030">
            <w:pPr>
              <w:pStyle w:val="TableBody"/>
              <w:jc w:val="right"/>
              <w:rPr>
                <w:color w:val="000000"/>
                <w:sz w:val="22"/>
                <w:lang w:val="en-GB" w:eastAsia="en-AU"/>
              </w:rPr>
            </w:pPr>
            <w:r w:rsidRPr="0095060C">
              <w:rPr>
                <w:szCs w:val="24"/>
              </w:rPr>
              <w:t>406.824</w:t>
            </w:r>
          </w:p>
        </w:tc>
        <w:tc>
          <w:tcPr>
            <w:tcW w:w="1587" w:type="dxa"/>
          </w:tcPr>
          <w:p w14:paraId="5960FD33" w14:textId="4EC09E42" w:rsidR="00FF4030" w:rsidRPr="00A33264" w:rsidRDefault="00FF4030" w:rsidP="00FF4030">
            <w:pPr>
              <w:pStyle w:val="TableBody"/>
              <w:jc w:val="right"/>
              <w:rPr>
                <w:color w:val="000000"/>
                <w:sz w:val="22"/>
                <w:lang w:val="en-GB" w:eastAsia="en-AU"/>
              </w:rPr>
            </w:pPr>
            <w:r w:rsidRPr="0095060C">
              <w:rPr>
                <w:szCs w:val="24"/>
              </w:rPr>
              <w:t>406.824</w:t>
            </w:r>
          </w:p>
        </w:tc>
      </w:tr>
      <w:tr w:rsidR="00FF4030" w:rsidRPr="00A33264" w14:paraId="0526BF7E" w14:textId="77777777" w:rsidTr="00CD63B3">
        <w:trPr>
          <w:cnfStyle w:val="000000100000" w:firstRow="0" w:lastRow="0" w:firstColumn="0" w:lastColumn="0" w:oddVBand="0" w:evenVBand="0" w:oddHBand="1" w:evenHBand="0" w:firstRowFirstColumn="0" w:firstRowLastColumn="0" w:lastRowFirstColumn="0" w:lastRowLastColumn="0"/>
          <w:cantSplit/>
        </w:trPr>
        <w:tc>
          <w:tcPr>
            <w:tcW w:w="2835" w:type="dxa"/>
          </w:tcPr>
          <w:p w14:paraId="6B1BFB76" w14:textId="7583F268" w:rsidR="00FF4030" w:rsidRPr="00A33264" w:rsidRDefault="00FF4030" w:rsidP="00FF4030">
            <w:pPr>
              <w:pStyle w:val="TableBody"/>
              <w:rPr>
                <w:b/>
                <w:bCs/>
                <w:szCs w:val="24"/>
                <w:lang w:val="en-GB"/>
              </w:rPr>
            </w:pPr>
            <w:r w:rsidRPr="000B68E0">
              <w:rPr>
                <w:color w:val="000000"/>
                <w:szCs w:val="24"/>
                <w:lang w:val="en-GB" w:eastAsia="en-AU"/>
              </w:rPr>
              <w:t>Other energy</w:t>
            </w:r>
          </w:p>
        </w:tc>
        <w:tc>
          <w:tcPr>
            <w:tcW w:w="1587" w:type="dxa"/>
          </w:tcPr>
          <w:p w14:paraId="2B8AD3E1" w14:textId="4E842131" w:rsidR="00FF4030" w:rsidRPr="00A33264" w:rsidRDefault="00FF4030" w:rsidP="00FF4030">
            <w:pPr>
              <w:pStyle w:val="TableBody"/>
              <w:jc w:val="right"/>
              <w:rPr>
                <w:b/>
                <w:bCs/>
                <w:szCs w:val="24"/>
                <w:lang w:val="en-GB"/>
              </w:rPr>
            </w:pPr>
            <w:r w:rsidRPr="0095060C">
              <w:rPr>
                <w:szCs w:val="24"/>
              </w:rPr>
              <w:t>0.000</w:t>
            </w:r>
          </w:p>
        </w:tc>
        <w:tc>
          <w:tcPr>
            <w:tcW w:w="1587" w:type="dxa"/>
          </w:tcPr>
          <w:p w14:paraId="07EF3BE1" w14:textId="3DFA3F20" w:rsidR="00FF4030" w:rsidRPr="00A33264" w:rsidRDefault="00FF4030" w:rsidP="00FF4030">
            <w:pPr>
              <w:pStyle w:val="TableBody"/>
              <w:jc w:val="right"/>
              <w:rPr>
                <w:b/>
                <w:bCs/>
                <w:szCs w:val="24"/>
                <w:lang w:val="en-GB"/>
              </w:rPr>
            </w:pPr>
            <w:r w:rsidRPr="0095060C">
              <w:rPr>
                <w:szCs w:val="24"/>
              </w:rPr>
              <w:t>N/A</w:t>
            </w:r>
          </w:p>
        </w:tc>
        <w:tc>
          <w:tcPr>
            <w:tcW w:w="1587" w:type="dxa"/>
          </w:tcPr>
          <w:p w14:paraId="7FD8D1BE" w14:textId="44547ECC" w:rsidR="00FF4030" w:rsidRPr="00A33264" w:rsidRDefault="00FF4030" w:rsidP="00FF4030">
            <w:pPr>
              <w:pStyle w:val="TableBody"/>
              <w:jc w:val="right"/>
              <w:rPr>
                <w:b/>
                <w:bCs/>
                <w:szCs w:val="24"/>
                <w:lang w:val="en-GB"/>
              </w:rPr>
            </w:pPr>
            <w:r w:rsidRPr="0095060C">
              <w:rPr>
                <w:szCs w:val="24"/>
              </w:rPr>
              <w:t>0.000</w:t>
            </w:r>
          </w:p>
        </w:tc>
        <w:tc>
          <w:tcPr>
            <w:tcW w:w="1587" w:type="dxa"/>
          </w:tcPr>
          <w:p w14:paraId="3BF37044" w14:textId="78913F95" w:rsidR="00FF4030" w:rsidRPr="00A33264" w:rsidRDefault="00FF4030" w:rsidP="00FF4030">
            <w:pPr>
              <w:pStyle w:val="TableBody"/>
              <w:jc w:val="right"/>
              <w:rPr>
                <w:b/>
                <w:bCs/>
                <w:szCs w:val="24"/>
                <w:lang w:val="en-GB"/>
              </w:rPr>
            </w:pPr>
            <w:r w:rsidRPr="0095060C">
              <w:rPr>
                <w:szCs w:val="24"/>
              </w:rPr>
              <w:t>0.000</w:t>
            </w:r>
          </w:p>
        </w:tc>
      </w:tr>
      <w:tr w:rsidR="00FF4030" w:rsidRPr="00A33264" w14:paraId="4AE51A03" w14:textId="77777777" w:rsidTr="00CD63B3">
        <w:trPr>
          <w:cantSplit/>
        </w:trPr>
        <w:tc>
          <w:tcPr>
            <w:tcW w:w="2835" w:type="dxa"/>
          </w:tcPr>
          <w:p w14:paraId="05E2454B" w14:textId="6DC2260E" w:rsidR="00FF4030" w:rsidRPr="00A33264" w:rsidRDefault="00FF4030" w:rsidP="00FF4030">
            <w:pPr>
              <w:pStyle w:val="TableBody"/>
              <w:rPr>
                <w:b/>
                <w:bCs/>
                <w:color w:val="000000"/>
                <w:szCs w:val="24"/>
                <w:lang w:val="en-GB" w:eastAsia="en-AU"/>
              </w:rPr>
            </w:pPr>
            <w:r w:rsidRPr="000B68E0">
              <w:rPr>
                <w:b/>
                <w:bCs/>
                <w:color w:val="000000"/>
                <w:szCs w:val="24"/>
                <w:lang w:val="en-GB" w:eastAsia="en-AU"/>
              </w:rPr>
              <w:t xml:space="preserve">Total </w:t>
            </w:r>
            <w:r>
              <w:rPr>
                <w:b/>
                <w:bCs/>
                <w:color w:val="000000"/>
                <w:szCs w:val="24"/>
                <w:lang w:val="en-GB" w:eastAsia="en-AU"/>
              </w:rPr>
              <w:t>t</w:t>
            </w:r>
            <w:r w:rsidRPr="000B68E0">
              <w:rPr>
                <w:b/>
                <w:bCs/>
                <w:color w:val="000000"/>
                <w:szCs w:val="24"/>
                <w:lang w:val="en-GB" w:eastAsia="en-AU"/>
              </w:rPr>
              <w:t xml:space="preserve"> CO</w:t>
            </w:r>
            <w:r w:rsidRPr="000B68E0">
              <w:rPr>
                <w:b/>
                <w:bCs/>
                <w:color w:val="000000"/>
                <w:szCs w:val="24"/>
                <w:vertAlign w:val="subscript"/>
                <w:lang w:val="en-GB" w:eastAsia="en-AU"/>
              </w:rPr>
              <w:t>2</w:t>
            </w:r>
            <w:r w:rsidRPr="000B68E0">
              <w:rPr>
                <w:b/>
                <w:bCs/>
                <w:color w:val="000000"/>
                <w:szCs w:val="24"/>
                <w:lang w:val="en-GB" w:eastAsia="en-AU"/>
              </w:rPr>
              <w:t>-e</w:t>
            </w:r>
          </w:p>
        </w:tc>
        <w:tc>
          <w:tcPr>
            <w:tcW w:w="1587" w:type="dxa"/>
          </w:tcPr>
          <w:p w14:paraId="54890AB6" w14:textId="5223C60C" w:rsidR="00FF4030" w:rsidRPr="0095060C" w:rsidRDefault="00FF4030" w:rsidP="00FF4030">
            <w:pPr>
              <w:pStyle w:val="TableBody"/>
              <w:jc w:val="right"/>
              <w:rPr>
                <w:szCs w:val="24"/>
              </w:rPr>
            </w:pPr>
            <w:r w:rsidRPr="0095060C">
              <w:rPr>
                <w:b/>
                <w:bCs/>
                <w:szCs w:val="24"/>
              </w:rPr>
              <w:t>106.514</w:t>
            </w:r>
          </w:p>
        </w:tc>
        <w:tc>
          <w:tcPr>
            <w:tcW w:w="1587" w:type="dxa"/>
          </w:tcPr>
          <w:p w14:paraId="286CD85D" w14:textId="417195D9" w:rsidR="00FF4030" w:rsidRPr="0095060C" w:rsidRDefault="00FF4030" w:rsidP="00FF4030">
            <w:pPr>
              <w:pStyle w:val="TableBody"/>
              <w:jc w:val="right"/>
              <w:rPr>
                <w:szCs w:val="24"/>
              </w:rPr>
            </w:pPr>
            <w:r w:rsidRPr="0095060C">
              <w:rPr>
                <w:b/>
                <w:bCs/>
                <w:szCs w:val="24"/>
              </w:rPr>
              <w:t>2,131.428</w:t>
            </w:r>
          </w:p>
        </w:tc>
        <w:tc>
          <w:tcPr>
            <w:tcW w:w="1587" w:type="dxa"/>
          </w:tcPr>
          <w:p w14:paraId="72B51F01" w14:textId="3D8E775B" w:rsidR="00FF4030" w:rsidRPr="0095060C" w:rsidRDefault="00FF4030" w:rsidP="00FF4030">
            <w:pPr>
              <w:pStyle w:val="TableBody"/>
              <w:jc w:val="right"/>
              <w:rPr>
                <w:szCs w:val="24"/>
              </w:rPr>
            </w:pPr>
            <w:r w:rsidRPr="0095060C">
              <w:rPr>
                <w:b/>
                <w:bCs/>
                <w:szCs w:val="24"/>
              </w:rPr>
              <w:t>1,577.369</w:t>
            </w:r>
          </w:p>
        </w:tc>
        <w:tc>
          <w:tcPr>
            <w:tcW w:w="1587" w:type="dxa"/>
          </w:tcPr>
          <w:p w14:paraId="2973648C" w14:textId="1D85A984" w:rsidR="00FF4030" w:rsidRPr="0095060C" w:rsidRDefault="00FF4030" w:rsidP="00FF4030">
            <w:pPr>
              <w:pStyle w:val="TableBody"/>
              <w:jc w:val="right"/>
              <w:rPr>
                <w:szCs w:val="24"/>
              </w:rPr>
            </w:pPr>
            <w:r w:rsidRPr="0095060C">
              <w:rPr>
                <w:b/>
                <w:bCs/>
                <w:szCs w:val="24"/>
              </w:rPr>
              <w:t>3,815.311</w:t>
            </w:r>
          </w:p>
        </w:tc>
      </w:tr>
    </w:tbl>
    <w:p w14:paraId="0C7E3FF1" w14:textId="280205DA" w:rsidR="00FF4030" w:rsidRPr="00FF4030" w:rsidRDefault="004364A0" w:rsidP="00FF4030">
      <w:pPr>
        <w:pStyle w:val="Tablenote"/>
        <w:rPr>
          <w:lang w:eastAsia="en-AU"/>
        </w:rPr>
      </w:pPr>
      <w:bookmarkStart w:id="425" w:name="_Toc169593020"/>
      <w:bookmarkStart w:id="426" w:name="_Toc174354217"/>
      <w:r>
        <w:rPr>
          <w:lang w:eastAsia="en-AU"/>
        </w:rPr>
        <w:t>N</w:t>
      </w:r>
      <w:r w:rsidR="00FF4030">
        <w:rPr>
          <w:lang w:eastAsia="en-AU"/>
        </w:rPr>
        <w:t>otes:</w:t>
      </w:r>
      <w:r>
        <w:rPr>
          <w:lang w:eastAsia="en-AU"/>
        </w:rPr>
        <w:t xml:space="preserve"> </w:t>
      </w:r>
      <w:r w:rsidR="00FF4030" w:rsidRPr="00FF4030">
        <w:rPr>
          <w:lang w:eastAsia="en-AU"/>
        </w:rPr>
        <w:t>t CO</w:t>
      </w:r>
      <w:r w:rsidR="00FF4030" w:rsidRPr="00FF4030">
        <w:rPr>
          <w:vertAlign w:val="subscript"/>
          <w:lang w:eastAsia="en-AU"/>
        </w:rPr>
        <w:t>2</w:t>
      </w:r>
      <w:r w:rsidR="00FF4030" w:rsidRPr="00FF4030">
        <w:rPr>
          <w:lang w:eastAsia="en-AU"/>
        </w:rPr>
        <w:t>-e = tonne carbon dioxide equivalent</w:t>
      </w:r>
      <w:r w:rsidR="008101B7">
        <w:rPr>
          <w:lang w:eastAsia="en-AU"/>
        </w:rPr>
        <w:t>.</w:t>
      </w:r>
    </w:p>
    <w:p w14:paraId="52FCFC0E" w14:textId="70A752F6" w:rsidR="00FF4030" w:rsidRPr="00FF4030" w:rsidRDefault="00FF4030" w:rsidP="00FF4030">
      <w:pPr>
        <w:pStyle w:val="Tablenote"/>
        <w:rPr>
          <w:rFonts w:cs="Arial"/>
        </w:rPr>
      </w:pPr>
      <w:r w:rsidRPr="00FF4030">
        <w:rPr>
          <w:rFonts w:cs="Arial"/>
        </w:rPr>
        <w:t>Not all data for flights, hire car, and accommodation was available at the time of the report and amendments to data may be required in future reports. Emissions from hire cars for 2023</w:t>
      </w:r>
      <w:r w:rsidR="004E416F">
        <w:rPr>
          <w:rFonts w:ascii="Symbol" w:eastAsia="Symbol" w:hAnsi="Symbol" w:cs="Symbol"/>
          <w:lang w:eastAsia="en-AU"/>
        </w:rPr>
        <w:sym w:font="Symbol" w:char="F02D"/>
      </w:r>
      <w:r w:rsidRPr="00FF4030">
        <w:rPr>
          <w:rFonts w:cs="Arial"/>
        </w:rPr>
        <w:t>24 have been sourced from third party providers and may be incomplete. Travel emissions reported may contain some reservations that were cancelled.</w:t>
      </w:r>
    </w:p>
    <w:p w14:paraId="4E5E7722" w14:textId="5E268E3E" w:rsidR="00FF4030" w:rsidRPr="00FF4030" w:rsidRDefault="00FF4030" w:rsidP="00FF4030">
      <w:pPr>
        <w:pStyle w:val="Tablenote"/>
        <w:rPr>
          <w:rFonts w:cs="Arial"/>
          <w:lang w:eastAsia="en-AU"/>
        </w:rPr>
      </w:pPr>
      <w:r w:rsidRPr="00FF4030">
        <w:rPr>
          <w:rFonts w:cs="Arial"/>
          <w:lang w:eastAsia="en-AU"/>
        </w:rPr>
        <w:t>Emissions from electricity consumed by electric and plug-in hybrid vehicles has only been reported for electricity directly purchased by NDIA. Emissions associated with electricity consumption from public charging stations has not been reported for 2023</w:t>
      </w:r>
      <w:r w:rsidR="004E416F">
        <w:rPr>
          <w:rFonts w:ascii="Symbol" w:eastAsia="Symbol" w:hAnsi="Symbol" w:cs="Symbol"/>
          <w:lang w:eastAsia="en-AU"/>
        </w:rPr>
        <w:sym w:font="Symbol" w:char="F02D"/>
      </w:r>
      <w:r w:rsidRPr="00FF4030">
        <w:rPr>
          <w:rFonts w:cs="Arial"/>
          <w:lang w:eastAsia="en-AU"/>
        </w:rPr>
        <w:t>24.</w:t>
      </w:r>
    </w:p>
    <w:p w14:paraId="190D2939" w14:textId="082BC980" w:rsidR="00FF4030" w:rsidRPr="00FF4030" w:rsidRDefault="00FF4030" w:rsidP="00FF4030">
      <w:pPr>
        <w:pStyle w:val="Tablenote"/>
        <w:rPr>
          <w:rFonts w:cs="Arial"/>
        </w:rPr>
      </w:pPr>
      <w:r w:rsidRPr="00FF4030">
        <w:rPr>
          <w:rFonts w:cs="Arial"/>
          <w:lang w:eastAsia="en-AU"/>
        </w:rPr>
        <w:t>* Indicates emission sources collected for the first time in 2023</w:t>
      </w:r>
      <w:r w:rsidR="004E416F">
        <w:rPr>
          <w:rFonts w:ascii="Symbol" w:eastAsia="Symbol" w:hAnsi="Symbol" w:cs="Symbol"/>
          <w:lang w:eastAsia="en-AU"/>
        </w:rPr>
        <w:sym w:font="Symbol" w:char="F02D"/>
      </w:r>
      <w:r w:rsidRPr="00FF4030">
        <w:rPr>
          <w:rFonts w:cs="Arial"/>
          <w:lang w:eastAsia="en-AU"/>
        </w:rPr>
        <w:t>24. The quality of data is expected to improve over time as emissions reporting matures.</w:t>
      </w:r>
    </w:p>
    <w:p w14:paraId="28F32954" w14:textId="77777777" w:rsidR="00FF4030" w:rsidRPr="00FF4030" w:rsidRDefault="00FF4030" w:rsidP="00FF4030">
      <w:pPr>
        <w:pStyle w:val="Tablenote"/>
        <w:rPr>
          <w:rFonts w:eastAsia="MS Mincho" w:cs="Arial"/>
          <w:lang w:eastAsia="en-AU"/>
        </w:rPr>
      </w:pPr>
      <w:r w:rsidRPr="00FF4030">
        <w:rPr>
          <w:rFonts w:eastAsia="MS Mincho" w:cs="Arial"/>
          <w:vertAlign w:val="superscript"/>
          <w:lang w:eastAsia="en-AU"/>
        </w:rPr>
        <w:lastRenderedPageBreak/>
        <w:t xml:space="preserve">† </w:t>
      </w:r>
      <w:r w:rsidRPr="00FF4030">
        <w:rPr>
          <w:rFonts w:eastAsia="MS Mincho" w:cs="Arial"/>
          <w:lang w:eastAsia="en-AU"/>
        </w:rPr>
        <w:t>Not all solid waste data was available at the time of the report and amendments to data may be required in future reports.</w:t>
      </w:r>
    </w:p>
    <w:p w14:paraId="13854925" w14:textId="12DDF956" w:rsidR="00FF4030" w:rsidRPr="00FF4030" w:rsidRDefault="00FF4030" w:rsidP="00FF4030">
      <w:pPr>
        <w:pStyle w:val="Tablenote"/>
        <w:rPr>
          <w:rFonts w:cs="Arial"/>
          <w:u w:val="single"/>
        </w:rPr>
      </w:pPr>
      <w:r w:rsidRPr="00FF4030">
        <w:rPr>
          <w:rFonts w:eastAsia="MS Mincho" w:cs="Arial"/>
          <w:vertAlign w:val="superscript"/>
          <w:lang w:eastAsia="en-AU"/>
        </w:rPr>
        <w:t xml:space="preserve">†† </w:t>
      </w:r>
      <w:r w:rsidRPr="00FF4030">
        <w:rPr>
          <w:rFonts w:eastAsia="MS Mincho" w:cs="Arial"/>
          <w:lang w:eastAsia="en-AU"/>
        </w:rPr>
        <w:t>Indicates optional emission source for 2023</w:t>
      </w:r>
      <w:r w:rsidR="004E416F">
        <w:rPr>
          <w:rFonts w:ascii="Symbol" w:eastAsia="Symbol" w:hAnsi="Symbol" w:cs="Symbol"/>
          <w:lang w:eastAsia="en-AU"/>
        </w:rPr>
        <w:sym w:font="Symbol" w:char="F02D"/>
      </w:r>
      <w:r w:rsidRPr="00FF4030">
        <w:rPr>
          <w:rFonts w:eastAsia="MS Mincho" w:cs="Arial"/>
          <w:lang w:eastAsia="en-AU"/>
        </w:rPr>
        <w:t>24 remissions reporting.</w:t>
      </w:r>
    </w:p>
    <w:p w14:paraId="3AC1D992" w14:textId="68B316CE" w:rsidR="00FC1329" w:rsidRDefault="00FC1329" w:rsidP="00FC1329">
      <w:pPr>
        <w:rPr>
          <w:u w:val="single"/>
          <w:lang w:val="en-GB"/>
        </w:rPr>
      </w:pPr>
      <w:r>
        <w:rPr>
          <w:u w:val="single"/>
          <w:lang w:val="en-GB"/>
        </w:rPr>
        <w:t xml:space="preserve">Table </w:t>
      </w:r>
      <w:r w:rsidR="00A27A9C">
        <w:rPr>
          <w:u w:val="single"/>
          <w:lang w:val="en-GB"/>
        </w:rPr>
        <w:t>20</w:t>
      </w:r>
      <w:r>
        <w:rPr>
          <w:u w:val="single"/>
          <w:lang w:val="en-GB"/>
        </w:rPr>
        <w:t>: Greenhouse gas emissions inventory – market based method</w:t>
      </w:r>
    </w:p>
    <w:tbl>
      <w:tblPr>
        <w:tblStyle w:val="GridTable4"/>
        <w:tblW w:w="9183" w:type="dxa"/>
        <w:tblCellMar>
          <w:top w:w="28" w:type="dxa"/>
          <w:left w:w="28" w:type="dxa"/>
          <w:bottom w:w="28" w:type="dxa"/>
          <w:right w:w="28" w:type="dxa"/>
        </w:tblCellMar>
        <w:tblLook w:val="0420" w:firstRow="1" w:lastRow="0" w:firstColumn="0" w:lastColumn="0" w:noHBand="0" w:noVBand="1"/>
      </w:tblPr>
      <w:tblGrid>
        <w:gridCol w:w="2835"/>
        <w:gridCol w:w="1587"/>
        <w:gridCol w:w="1587"/>
        <w:gridCol w:w="1587"/>
        <w:gridCol w:w="1587"/>
      </w:tblGrid>
      <w:tr w:rsidR="00FF4030" w:rsidRPr="00A33264" w14:paraId="63EA647B" w14:textId="77777777">
        <w:trPr>
          <w:cnfStyle w:val="100000000000" w:firstRow="1" w:lastRow="0" w:firstColumn="0" w:lastColumn="0" w:oddVBand="0" w:evenVBand="0" w:oddHBand="0" w:evenHBand="0" w:firstRowFirstColumn="0" w:firstRowLastColumn="0" w:lastRowFirstColumn="0" w:lastRowLastColumn="0"/>
          <w:cantSplit/>
        </w:trPr>
        <w:tc>
          <w:tcPr>
            <w:tcW w:w="2835" w:type="dxa"/>
            <w:tcBorders>
              <w:top w:val="single" w:sz="4" w:space="0" w:color="6B2876" w:themeColor="text1"/>
              <w:bottom w:val="single" w:sz="4" w:space="0" w:color="6B2876" w:themeColor="text1"/>
            </w:tcBorders>
          </w:tcPr>
          <w:p w14:paraId="6216B438" w14:textId="77777777" w:rsidR="00FF4030" w:rsidRPr="00A33264" w:rsidRDefault="00FF4030" w:rsidP="00FF4030">
            <w:pPr>
              <w:pStyle w:val="TableBody"/>
              <w:rPr>
                <w:lang w:val="en-GB"/>
              </w:rPr>
            </w:pPr>
            <w:bookmarkStart w:id="427" w:name="ColumnTitle_Table20"/>
            <w:bookmarkEnd w:id="427"/>
            <w:r w:rsidRPr="00A33264">
              <w:rPr>
                <w:lang w:val="en-GB"/>
              </w:rPr>
              <w:t>Emission source</w:t>
            </w:r>
          </w:p>
        </w:tc>
        <w:tc>
          <w:tcPr>
            <w:tcW w:w="1587" w:type="dxa"/>
            <w:tcBorders>
              <w:top w:val="single" w:sz="4" w:space="0" w:color="6B2876" w:themeColor="text1"/>
              <w:bottom w:val="single" w:sz="4" w:space="0" w:color="6B2876" w:themeColor="text1"/>
            </w:tcBorders>
          </w:tcPr>
          <w:p w14:paraId="1C0CBC43" w14:textId="515DB0F4" w:rsidR="00FF4030" w:rsidRPr="00A33264" w:rsidRDefault="00FF4030" w:rsidP="00BB40DF">
            <w:pPr>
              <w:pStyle w:val="TableBody"/>
              <w:jc w:val="right"/>
              <w:rPr>
                <w:szCs w:val="24"/>
                <w:lang w:val="en-GB"/>
              </w:rPr>
            </w:pPr>
            <w:r w:rsidRPr="000B68E0">
              <w:rPr>
                <w:szCs w:val="24"/>
                <w:lang w:val="en-GB" w:eastAsia="en-AU"/>
              </w:rPr>
              <w:t xml:space="preserve">Scope 1 </w:t>
            </w:r>
            <w:r w:rsidR="00E3517A">
              <w:rPr>
                <w:szCs w:val="24"/>
                <w:lang w:val="en-GB" w:eastAsia="en-AU"/>
              </w:rPr>
              <w:br/>
            </w:r>
            <w:r>
              <w:rPr>
                <w:szCs w:val="24"/>
                <w:lang w:val="en-GB" w:eastAsia="en-AU"/>
              </w:rPr>
              <w:t>t</w:t>
            </w:r>
            <w:r w:rsidRPr="000B68E0">
              <w:rPr>
                <w:szCs w:val="24"/>
                <w:lang w:val="en-GB" w:eastAsia="en-AU"/>
              </w:rPr>
              <w:t xml:space="preserve"> CO</w:t>
            </w:r>
            <w:r w:rsidRPr="000B68E0">
              <w:rPr>
                <w:szCs w:val="24"/>
                <w:vertAlign w:val="subscript"/>
                <w:lang w:val="en-GB" w:eastAsia="en-AU"/>
              </w:rPr>
              <w:t>2</w:t>
            </w:r>
            <w:r w:rsidRPr="000B68E0">
              <w:rPr>
                <w:szCs w:val="24"/>
                <w:lang w:val="en-GB" w:eastAsia="en-AU"/>
              </w:rPr>
              <w:t>-e</w:t>
            </w:r>
          </w:p>
        </w:tc>
        <w:tc>
          <w:tcPr>
            <w:tcW w:w="1587" w:type="dxa"/>
            <w:tcBorders>
              <w:top w:val="single" w:sz="4" w:space="0" w:color="6B2876" w:themeColor="text1"/>
              <w:bottom w:val="single" w:sz="4" w:space="0" w:color="6B2876" w:themeColor="text1"/>
            </w:tcBorders>
          </w:tcPr>
          <w:p w14:paraId="2F9F09BE" w14:textId="125A6D4A" w:rsidR="00FF4030" w:rsidRPr="00A33264" w:rsidRDefault="00FF4030" w:rsidP="00BB40DF">
            <w:pPr>
              <w:pStyle w:val="TableBody"/>
              <w:jc w:val="right"/>
              <w:rPr>
                <w:szCs w:val="24"/>
                <w:lang w:val="en-GB"/>
              </w:rPr>
            </w:pPr>
            <w:r w:rsidRPr="000B68E0">
              <w:rPr>
                <w:szCs w:val="24"/>
                <w:lang w:val="en-GB" w:eastAsia="en-AU"/>
              </w:rPr>
              <w:t xml:space="preserve">Scope 2 </w:t>
            </w:r>
            <w:r w:rsidR="00E3517A">
              <w:rPr>
                <w:szCs w:val="24"/>
                <w:lang w:val="en-GB" w:eastAsia="en-AU"/>
              </w:rPr>
              <w:br/>
            </w:r>
            <w:r>
              <w:rPr>
                <w:szCs w:val="24"/>
                <w:lang w:val="en-GB" w:eastAsia="en-AU"/>
              </w:rPr>
              <w:t>t</w:t>
            </w:r>
            <w:r w:rsidRPr="000B68E0">
              <w:rPr>
                <w:szCs w:val="24"/>
                <w:lang w:val="en-GB" w:eastAsia="en-AU"/>
              </w:rPr>
              <w:t xml:space="preserve"> CO</w:t>
            </w:r>
            <w:r w:rsidRPr="000B68E0">
              <w:rPr>
                <w:szCs w:val="24"/>
                <w:vertAlign w:val="subscript"/>
                <w:lang w:val="en-GB" w:eastAsia="en-AU"/>
              </w:rPr>
              <w:t>2</w:t>
            </w:r>
            <w:r w:rsidRPr="000B68E0">
              <w:rPr>
                <w:szCs w:val="24"/>
                <w:lang w:val="en-GB" w:eastAsia="en-AU"/>
              </w:rPr>
              <w:t>-e</w:t>
            </w:r>
          </w:p>
        </w:tc>
        <w:tc>
          <w:tcPr>
            <w:tcW w:w="1587" w:type="dxa"/>
            <w:tcBorders>
              <w:top w:val="single" w:sz="4" w:space="0" w:color="6B2876" w:themeColor="text1"/>
              <w:bottom w:val="single" w:sz="4" w:space="0" w:color="6B2876" w:themeColor="text1"/>
            </w:tcBorders>
          </w:tcPr>
          <w:p w14:paraId="034588BB" w14:textId="321F71E5" w:rsidR="00FF4030" w:rsidRPr="00A33264" w:rsidRDefault="00FF4030" w:rsidP="00BB40DF">
            <w:pPr>
              <w:pStyle w:val="TableBody"/>
              <w:jc w:val="right"/>
              <w:rPr>
                <w:szCs w:val="24"/>
                <w:lang w:val="en-GB"/>
              </w:rPr>
            </w:pPr>
            <w:r w:rsidRPr="000B68E0">
              <w:rPr>
                <w:szCs w:val="24"/>
                <w:lang w:val="en-GB" w:eastAsia="en-AU"/>
              </w:rPr>
              <w:t xml:space="preserve">Scope 3 </w:t>
            </w:r>
            <w:r w:rsidR="00E3517A">
              <w:rPr>
                <w:szCs w:val="24"/>
                <w:lang w:val="en-GB" w:eastAsia="en-AU"/>
              </w:rPr>
              <w:br/>
            </w:r>
            <w:r>
              <w:rPr>
                <w:szCs w:val="24"/>
                <w:lang w:val="en-GB" w:eastAsia="en-AU"/>
              </w:rPr>
              <w:t xml:space="preserve">t </w:t>
            </w:r>
            <w:r w:rsidRPr="000B68E0">
              <w:rPr>
                <w:szCs w:val="24"/>
                <w:lang w:val="en-GB" w:eastAsia="en-AU"/>
              </w:rPr>
              <w:t>CO</w:t>
            </w:r>
            <w:r w:rsidRPr="000B68E0">
              <w:rPr>
                <w:szCs w:val="24"/>
                <w:vertAlign w:val="subscript"/>
                <w:lang w:val="en-GB" w:eastAsia="en-AU"/>
              </w:rPr>
              <w:t>2</w:t>
            </w:r>
            <w:r w:rsidRPr="000B68E0">
              <w:rPr>
                <w:szCs w:val="24"/>
                <w:lang w:val="en-GB" w:eastAsia="en-AU"/>
              </w:rPr>
              <w:t>-e</w:t>
            </w:r>
          </w:p>
        </w:tc>
        <w:tc>
          <w:tcPr>
            <w:tcW w:w="1587" w:type="dxa"/>
            <w:tcBorders>
              <w:top w:val="single" w:sz="4" w:space="0" w:color="6B2876" w:themeColor="text1"/>
              <w:bottom w:val="single" w:sz="4" w:space="0" w:color="6B2876" w:themeColor="text1"/>
            </w:tcBorders>
          </w:tcPr>
          <w:p w14:paraId="1D9B2515" w14:textId="7347C3CF" w:rsidR="00FF4030" w:rsidRPr="00A33264" w:rsidRDefault="00FF4030" w:rsidP="00BB40DF">
            <w:pPr>
              <w:pStyle w:val="TableBody"/>
              <w:jc w:val="right"/>
              <w:rPr>
                <w:szCs w:val="24"/>
                <w:lang w:val="en-GB"/>
              </w:rPr>
            </w:pPr>
            <w:r>
              <w:rPr>
                <w:szCs w:val="24"/>
                <w:lang w:val="en-GB" w:eastAsia="en-AU"/>
              </w:rPr>
              <w:t>Percentage of electricity used</w:t>
            </w:r>
          </w:p>
        </w:tc>
      </w:tr>
      <w:tr w:rsidR="00FF4030" w:rsidRPr="00A33264" w14:paraId="5D216745" w14:textId="77777777">
        <w:trPr>
          <w:cnfStyle w:val="000000100000" w:firstRow="0" w:lastRow="0" w:firstColumn="0" w:lastColumn="0" w:oddVBand="0" w:evenVBand="0" w:oddHBand="1" w:evenHBand="0" w:firstRowFirstColumn="0" w:firstRowLastColumn="0" w:lastRowFirstColumn="0" w:lastRowLastColumn="0"/>
          <w:cantSplit/>
        </w:trPr>
        <w:tc>
          <w:tcPr>
            <w:tcW w:w="2835" w:type="dxa"/>
          </w:tcPr>
          <w:p w14:paraId="321DA8F6" w14:textId="13EC5C62" w:rsidR="00FF4030" w:rsidRPr="00FF4030" w:rsidRDefault="00FF4030" w:rsidP="00FF4030">
            <w:pPr>
              <w:pStyle w:val="TableBody"/>
              <w:rPr>
                <w:szCs w:val="24"/>
                <w:lang w:val="en-GB"/>
              </w:rPr>
            </w:pPr>
            <w:r w:rsidRPr="0048161A">
              <w:rPr>
                <w:szCs w:val="24"/>
              </w:rPr>
              <w:t>Electricity (</w:t>
            </w:r>
            <w:r w:rsidR="00605AEF">
              <w:rPr>
                <w:szCs w:val="24"/>
              </w:rPr>
              <w:t>l</w:t>
            </w:r>
            <w:r w:rsidR="00605AEF" w:rsidRPr="0048161A">
              <w:rPr>
                <w:szCs w:val="24"/>
              </w:rPr>
              <w:t>ocation-based</w:t>
            </w:r>
            <w:r w:rsidRPr="0048161A">
              <w:rPr>
                <w:szCs w:val="24"/>
              </w:rPr>
              <w:t xml:space="preserve"> </w:t>
            </w:r>
            <w:r w:rsidR="00E3517A">
              <w:rPr>
                <w:szCs w:val="24"/>
              </w:rPr>
              <w:t>a</w:t>
            </w:r>
            <w:r w:rsidRPr="0048161A">
              <w:rPr>
                <w:szCs w:val="24"/>
              </w:rPr>
              <w:t>pproach)</w:t>
            </w:r>
          </w:p>
        </w:tc>
        <w:tc>
          <w:tcPr>
            <w:tcW w:w="1587" w:type="dxa"/>
          </w:tcPr>
          <w:p w14:paraId="36E7BCE2" w14:textId="2DAE276D" w:rsidR="00FF4030" w:rsidRPr="00E31719" w:rsidRDefault="00FF4030" w:rsidP="00FF4030">
            <w:pPr>
              <w:pStyle w:val="TableBody"/>
              <w:jc w:val="right"/>
              <w:rPr>
                <w:szCs w:val="24"/>
                <w:lang w:val="en-GB"/>
              </w:rPr>
            </w:pPr>
            <w:r w:rsidRPr="00853EEC">
              <w:t>2,131.428</w:t>
            </w:r>
          </w:p>
        </w:tc>
        <w:tc>
          <w:tcPr>
            <w:tcW w:w="1587" w:type="dxa"/>
          </w:tcPr>
          <w:p w14:paraId="734609EF" w14:textId="0D2B3C05" w:rsidR="00FF4030" w:rsidRPr="00E31719" w:rsidRDefault="00FF4030" w:rsidP="00FF4030">
            <w:pPr>
              <w:pStyle w:val="TableBody"/>
              <w:jc w:val="right"/>
              <w:rPr>
                <w:b/>
                <w:bCs/>
                <w:szCs w:val="24"/>
                <w:lang w:val="en-GB"/>
              </w:rPr>
            </w:pPr>
            <w:r w:rsidRPr="00853EEC">
              <w:t>215.158</w:t>
            </w:r>
          </w:p>
        </w:tc>
        <w:tc>
          <w:tcPr>
            <w:tcW w:w="1587" w:type="dxa"/>
          </w:tcPr>
          <w:p w14:paraId="60F7FBE0" w14:textId="4EAA40DD" w:rsidR="00FF4030" w:rsidRPr="00E31719" w:rsidRDefault="00FF4030" w:rsidP="00FF4030">
            <w:pPr>
              <w:pStyle w:val="TableBody"/>
              <w:jc w:val="right"/>
              <w:rPr>
                <w:szCs w:val="24"/>
                <w:lang w:val="en-GB"/>
              </w:rPr>
            </w:pPr>
            <w:r w:rsidRPr="00853EEC">
              <w:t>2,346.586</w:t>
            </w:r>
          </w:p>
        </w:tc>
        <w:tc>
          <w:tcPr>
            <w:tcW w:w="1587" w:type="dxa"/>
          </w:tcPr>
          <w:p w14:paraId="2486A980" w14:textId="74874F33" w:rsidR="00FF4030" w:rsidRPr="00E31719" w:rsidRDefault="00FF4030" w:rsidP="00FF4030">
            <w:pPr>
              <w:pStyle w:val="TableBody"/>
              <w:jc w:val="right"/>
              <w:rPr>
                <w:szCs w:val="24"/>
                <w:lang w:val="en-GB"/>
              </w:rPr>
            </w:pPr>
            <w:r w:rsidRPr="00853EEC">
              <w:t>100.00%</w:t>
            </w:r>
          </w:p>
        </w:tc>
      </w:tr>
      <w:tr w:rsidR="00FF4030" w:rsidRPr="00A33264" w14:paraId="1D9558FA" w14:textId="77777777">
        <w:trPr>
          <w:cantSplit/>
        </w:trPr>
        <w:tc>
          <w:tcPr>
            <w:tcW w:w="2835" w:type="dxa"/>
            <w:shd w:val="clear" w:color="auto" w:fill="auto"/>
          </w:tcPr>
          <w:p w14:paraId="65839EC0" w14:textId="05F64D78" w:rsidR="00FF4030" w:rsidRPr="00A33264" w:rsidRDefault="00FF4030" w:rsidP="00FF4030">
            <w:pPr>
              <w:pStyle w:val="TableBody"/>
              <w:rPr>
                <w:szCs w:val="24"/>
                <w:lang w:val="en-GB"/>
              </w:rPr>
            </w:pPr>
            <w:r w:rsidRPr="0048161A">
              <w:rPr>
                <w:szCs w:val="24"/>
              </w:rPr>
              <w:t>Market-based electricity emissions</w:t>
            </w:r>
          </w:p>
        </w:tc>
        <w:tc>
          <w:tcPr>
            <w:tcW w:w="1587" w:type="dxa"/>
          </w:tcPr>
          <w:p w14:paraId="056E200B" w14:textId="5506A479" w:rsidR="00FF4030" w:rsidRPr="00E31719" w:rsidRDefault="00FF4030" w:rsidP="00FF4030">
            <w:pPr>
              <w:pStyle w:val="TableBody"/>
              <w:jc w:val="right"/>
              <w:rPr>
                <w:szCs w:val="24"/>
                <w:lang w:val="en-GB"/>
              </w:rPr>
            </w:pPr>
            <w:r w:rsidRPr="00853EEC">
              <w:t>1,810.831</w:t>
            </w:r>
          </w:p>
        </w:tc>
        <w:tc>
          <w:tcPr>
            <w:tcW w:w="1587" w:type="dxa"/>
          </w:tcPr>
          <w:p w14:paraId="6CCFF5DF" w14:textId="7AE0926A" w:rsidR="00FF4030" w:rsidRPr="00E31719" w:rsidRDefault="00FF4030" w:rsidP="00FF4030">
            <w:pPr>
              <w:pStyle w:val="TableBody"/>
              <w:jc w:val="right"/>
              <w:rPr>
                <w:szCs w:val="24"/>
                <w:lang w:val="en-GB"/>
              </w:rPr>
            </w:pPr>
            <w:r w:rsidRPr="00853EEC">
              <w:t>223.559</w:t>
            </w:r>
          </w:p>
        </w:tc>
        <w:tc>
          <w:tcPr>
            <w:tcW w:w="1587" w:type="dxa"/>
          </w:tcPr>
          <w:p w14:paraId="01186ED7" w14:textId="145DF242" w:rsidR="00FF4030" w:rsidRPr="00E31719" w:rsidRDefault="00FF4030" w:rsidP="00FF4030">
            <w:pPr>
              <w:pStyle w:val="TableBody"/>
              <w:jc w:val="right"/>
              <w:rPr>
                <w:szCs w:val="24"/>
                <w:lang w:val="en-GB"/>
              </w:rPr>
            </w:pPr>
            <w:r w:rsidRPr="00853EEC">
              <w:t>2,034.391</w:t>
            </w:r>
          </w:p>
        </w:tc>
        <w:tc>
          <w:tcPr>
            <w:tcW w:w="1587" w:type="dxa"/>
          </w:tcPr>
          <w:p w14:paraId="2160E747" w14:textId="73238A4B" w:rsidR="00FF4030" w:rsidRPr="00E31719" w:rsidRDefault="00FF4030" w:rsidP="00FF4030">
            <w:pPr>
              <w:pStyle w:val="TableBody"/>
              <w:jc w:val="right"/>
              <w:rPr>
                <w:szCs w:val="24"/>
                <w:lang w:val="en-GB"/>
              </w:rPr>
            </w:pPr>
            <w:r w:rsidRPr="00853EEC">
              <w:t>71.70%</w:t>
            </w:r>
          </w:p>
        </w:tc>
      </w:tr>
      <w:tr w:rsidR="00FF4030" w:rsidRPr="00A33264" w14:paraId="55F6ADFD" w14:textId="77777777">
        <w:trPr>
          <w:cnfStyle w:val="000000100000" w:firstRow="0" w:lastRow="0" w:firstColumn="0" w:lastColumn="0" w:oddVBand="0" w:evenVBand="0" w:oddHBand="1" w:evenHBand="0" w:firstRowFirstColumn="0" w:firstRowLastColumn="0" w:lastRowFirstColumn="0" w:lastRowLastColumn="0"/>
          <w:cantSplit/>
        </w:trPr>
        <w:tc>
          <w:tcPr>
            <w:tcW w:w="2835" w:type="dxa"/>
          </w:tcPr>
          <w:p w14:paraId="0583270F" w14:textId="357D418E" w:rsidR="00FF4030" w:rsidRPr="00A33264" w:rsidRDefault="00FF4030" w:rsidP="00FF4030">
            <w:pPr>
              <w:pStyle w:val="TableBody"/>
              <w:rPr>
                <w:szCs w:val="24"/>
                <w:lang w:val="en-GB"/>
              </w:rPr>
            </w:pPr>
            <w:r w:rsidRPr="000B68E0">
              <w:rPr>
                <w:color w:val="000000"/>
                <w:szCs w:val="24"/>
                <w:lang w:val="en-GB" w:eastAsia="en-AU"/>
              </w:rPr>
              <w:t>Total renewable electricity</w:t>
            </w:r>
          </w:p>
        </w:tc>
        <w:tc>
          <w:tcPr>
            <w:tcW w:w="1587" w:type="dxa"/>
          </w:tcPr>
          <w:p w14:paraId="137E1712" w14:textId="7A45512F" w:rsidR="00FF4030" w:rsidRPr="00E31719" w:rsidRDefault="0002789D" w:rsidP="00FF4030">
            <w:pPr>
              <w:pStyle w:val="TableBody"/>
              <w:jc w:val="right"/>
              <w:rPr>
                <w:szCs w:val="24"/>
                <w:lang w:val="en-GB"/>
              </w:rPr>
            </w:pPr>
            <w:r>
              <w:rPr>
                <w:szCs w:val="24"/>
                <w:lang w:val="en-GB"/>
              </w:rPr>
              <w:t>N/A</w:t>
            </w:r>
          </w:p>
        </w:tc>
        <w:tc>
          <w:tcPr>
            <w:tcW w:w="1587" w:type="dxa"/>
          </w:tcPr>
          <w:p w14:paraId="6747DA9A" w14:textId="50486279" w:rsidR="00FF4030" w:rsidRPr="00E31719" w:rsidRDefault="0002789D" w:rsidP="00FF4030">
            <w:pPr>
              <w:pStyle w:val="TableBody"/>
              <w:jc w:val="right"/>
              <w:rPr>
                <w:szCs w:val="24"/>
                <w:lang w:val="en-GB"/>
              </w:rPr>
            </w:pPr>
            <w:r>
              <w:rPr>
                <w:szCs w:val="24"/>
                <w:lang w:val="en-GB"/>
              </w:rPr>
              <w:t>N/A</w:t>
            </w:r>
          </w:p>
        </w:tc>
        <w:tc>
          <w:tcPr>
            <w:tcW w:w="1587" w:type="dxa"/>
          </w:tcPr>
          <w:p w14:paraId="4A9A2BF6" w14:textId="03F6931A" w:rsidR="00FF4030" w:rsidRPr="00E31719" w:rsidRDefault="0002789D" w:rsidP="00FF4030">
            <w:pPr>
              <w:pStyle w:val="TableBody"/>
              <w:jc w:val="right"/>
              <w:rPr>
                <w:szCs w:val="24"/>
                <w:lang w:val="en-GB"/>
              </w:rPr>
            </w:pPr>
            <w:r>
              <w:rPr>
                <w:szCs w:val="24"/>
                <w:lang w:val="en-GB"/>
              </w:rPr>
              <w:t>N/A</w:t>
            </w:r>
          </w:p>
        </w:tc>
        <w:tc>
          <w:tcPr>
            <w:tcW w:w="1587" w:type="dxa"/>
          </w:tcPr>
          <w:p w14:paraId="17954EA4" w14:textId="5846D46E" w:rsidR="00FF4030" w:rsidRPr="00E31719" w:rsidRDefault="00FF4030" w:rsidP="00FF4030">
            <w:pPr>
              <w:pStyle w:val="TableBody"/>
              <w:jc w:val="right"/>
              <w:rPr>
                <w:szCs w:val="24"/>
                <w:lang w:val="en-GB"/>
              </w:rPr>
            </w:pPr>
            <w:r w:rsidRPr="00853EEC">
              <w:t>28.30%</w:t>
            </w:r>
          </w:p>
        </w:tc>
      </w:tr>
      <w:tr w:rsidR="00FF4030" w:rsidRPr="00A33264" w14:paraId="5C67B1B9" w14:textId="77777777">
        <w:trPr>
          <w:cantSplit/>
        </w:trPr>
        <w:tc>
          <w:tcPr>
            <w:tcW w:w="2835" w:type="dxa"/>
          </w:tcPr>
          <w:p w14:paraId="737D9687" w14:textId="7D6A446B" w:rsidR="00FF4030" w:rsidRPr="004F3EEB" w:rsidRDefault="00FF4030" w:rsidP="00BB40DF">
            <w:pPr>
              <w:pStyle w:val="TableBody"/>
              <w:rPr>
                <w:szCs w:val="24"/>
                <w:lang w:val="en-GB"/>
              </w:rPr>
            </w:pPr>
            <w:r w:rsidRPr="0095060C">
              <w:rPr>
                <w:i/>
                <w:iCs/>
                <w:color w:val="000000"/>
                <w:szCs w:val="24"/>
                <w:lang w:val="en-GB" w:eastAsia="en-AU"/>
              </w:rPr>
              <w:t>Mandatory renewables</w:t>
            </w:r>
            <w:r w:rsidR="00D920EE">
              <w:rPr>
                <w:i/>
                <w:iCs/>
                <w:color w:val="000000"/>
                <w:szCs w:val="24"/>
                <w:lang w:val="en-GB" w:eastAsia="en-AU"/>
              </w:rPr>
              <w:t xml:space="preserve"> </w:t>
            </w:r>
            <w:r w:rsidR="004F3EEB" w:rsidRPr="004F3EEB">
              <w:rPr>
                <w:i/>
                <w:iCs/>
                <w:color w:val="000000"/>
                <w:szCs w:val="24"/>
                <w:vertAlign w:val="superscript"/>
                <w:lang w:val="en-GB" w:eastAsia="en-AU"/>
              </w:rPr>
              <w:t>a</w:t>
            </w:r>
          </w:p>
        </w:tc>
        <w:tc>
          <w:tcPr>
            <w:tcW w:w="1587" w:type="dxa"/>
          </w:tcPr>
          <w:p w14:paraId="3404AE28" w14:textId="25760970" w:rsidR="00FF4030" w:rsidRPr="00E2624C" w:rsidRDefault="0002789D" w:rsidP="00FF4030">
            <w:pPr>
              <w:pStyle w:val="TableBody"/>
              <w:jc w:val="right"/>
              <w:rPr>
                <w:i/>
                <w:lang w:val="en-GB"/>
              </w:rPr>
            </w:pPr>
            <w:r w:rsidRPr="0002789D">
              <w:rPr>
                <w:i/>
                <w:iCs/>
                <w:szCs w:val="24"/>
                <w:lang w:val="en-GB"/>
              </w:rPr>
              <w:t>N/A</w:t>
            </w:r>
          </w:p>
        </w:tc>
        <w:tc>
          <w:tcPr>
            <w:tcW w:w="1587" w:type="dxa"/>
          </w:tcPr>
          <w:p w14:paraId="329A0AC6" w14:textId="3C54E1FB" w:rsidR="00FF4030" w:rsidRPr="00E2624C" w:rsidRDefault="0002789D" w:rsidP="00FF4030">
            <w:pPr>
              <w:pStyle w:val="TableBody"/>
              <w:jc w:val="right"/>
              <w:rPr>
                <w:i/>
                <w:lang w:val="en-GB"/>
              </w:rPr>
            </w:pPr>
            <w:r w:rsidRPr="0002789D">
              <w:rPr>
                <w:i/>
                <w:iCs/>
                <w:szCs w:val="24"/>
                <w:lang w:val="en-GB"/>
              </w:rPr>
              <w:t>N/A</w:t>
            </w:r>
          </w:p>
        </w:tc>
        <w:tc>
          <w:tcPr>
            <w:tcW w:w="1587" w:type="dxa"/>
          </w:tcPr>
          <w:p w14:paraId="5A9C2A64" w14:textId="1F6E414A" w:rsidR="00FF4030" w:rsidRPr="00E2624C" w:rsidRDefault="0002789D" w:rsidP="00FF4030">
            <w:pPr>
              <w:pStyle w:val="TableBody"/>
              <w:jc w:val="right"/>
              <w:rPr>
                <w:i/>
                <w:lang w:val="en-GB"/>
              </w:rPr>
            </w:pPr>
            <w:r w:rsidRPr="0002789D">
              <w:rPr>
                <w:i/>
                <w:iCs/>
                <w:szCs w:val="24"/>
                <w:lang w:val="en-GB"/>
              </w:rPr>
              <w:t>N/A</w:t>
            </w:r>
          </w:p>
        </w:tc>
        <w:tc>
          <w:tcPr>
            <w:tcW w:w="1587" w:type="dxa"/>
          </w:tcPr>
          <w:p w14:paraId="34131DB7" w14:textId="6D05C90B" w:rsidR="00FF4030" w:rsidRPr="00E2624C" w:rsidRDefault="00FF4030" w:rsidP="00FF4030">
            <w:pPr>
              <w:pStyle w:val="TableBody"/>
              <w:jc w:val="right"/>
              <w:rPr>
                <w:i/>
                <w:lang w:val="en-GB"/>
              </w:rPr>
            </w:pPr>
            <w:r w:rsidRPr="00E2624C">
              <w:rPr>
                <w:i/>
              </w:rPr>
              <w:t>18.72%</w:t>
            </w:r>
          </w:p>
        </w:tc>
      </w:tr>
      <w:tr w:rsidR="00FF4030" w:rsidRPr="00A33264" w14:paraId="2EFE6A3F" w14:textId="77777777">
        <w:trPr>
          <w:cnfStyle w:val="000000100000" w:firstRow="0" w:lastRow="0" w:firstColumn="0" w:lastColumn="0" w:oddVBand="0" w:evenVBand="0" w:oddHBand="1" w:evenHBand="0" w:firstRowFirstColumn="0" w:firstRowLastColumn="0" w:lastRowFirstColumn="0" w:lastRowLastColumn="0"/>
          <w:cantSplit/>
        </w:trPr>
        <w:tc>
          <w:tcPr>
            <w:tcW w:w="2835" w:type="dxa"/>
          </w:tcPr>
          <w:p w14:paraId="1119E18C" w14:textId="70CFC949" w:rsidR="00FF4030" w:rsidRPr="00A33264" w:rsidRDefault="00FF4030" w:rsidP="00BB40DF">
            <w:pPr>
              <w:pStyle w:val="TableBody"/>
              <w:rPr>
                <w:szCs w:val="24"/>
                <w:lang w:val="en-GB"/>
              </w:rPr>
            </w:pPr>
            <w:r w:rsidRPr="0095060C">
              <w:rPr>
                <w:i/>
                <w:iCs/>
                <w:color w:val="000000"/>
                <w:szCs w:val="24"/>
                <w:lang w:val="en-GB" w:eastAsia="en-AU"/>
              </w:rPr>
              <w:t>Voluntary renewables</w:t>
            </w:r>
            <w:r w:rsidR="00D920EE">
              <w:rPr>
                <w:i/>
                <w:iCs/>
                <w:color w:val="000000"/>
                <w:szCs w:val="24"/>
                <w:lang w:val="en-GB" w:eastAsia="en-AU"/>
              </w:rPr>
              <w:t xml:space="preserve"> </w:t>
            </w:r>
            <w:r w:rsidR="00B17998" w:rsidRPr="00B17998">
              <w:rPr>
                <w:i/>
                <w:iCs/>
                <w:color w:val="000000"/>
                <w:szCs w:val="24"/>
                <w:vertAlign w:val="superscript"/>
                <w:lang w:val="en-GB" w:eastAsia="en-AU"/>
              </w:rPr>
              <w:t>b</w:t>
            </w:r>
          </w:p>
        </w:tc>
        <w:tc>
          <w:tcPr>
            <w:tcW w:w="1587" w:type="dxa"/>
          </w:tcPr>
          <w:p w14:paraId="28EE7B72" w14:textId="63CB64F6" w:rsidR="00FF4030" w:rsidRPr="00E2624C" w:rsidRDefault="0002789D" w:rsidP="00FF4030">
            <w:pPr>
              <w:pStyle w:val="TableBody"/>
              <w:jc w:val="right"/>
              <w:rPr>
                <w:i/>
                <w:lang w:val="en-GB"/>
              </w:rPr>
            </w:pPr>
            <w:r w:rsidRPr="0002789D">
              <w:rPr>
                <w:i/>
                <w:iCs/>
                <w:szCs w:val="24"/>
                <w:lang w:val="en-GB"/>
              </w:rPr>
              <w:t>N/A</w:t>
            </w:r>
          </w:p>
        </w:tc>
        <w:tc>
          <w:tcPr>
            <w:tcW w:w="1587" w:type="dxa"/>
          </w:tcPr>
          <w:p w14:paraId="6002981B" w14:textId="0CED0A3C" w:rsidR="00FF4030" w:rsidRPr="00E2624C" w:rsidRDefault="0002789D" w:rsidP="00FF4030">
            <w:pPr>
              <w:pStyle w:val="TableBody"/>
              <w:jc w:val="right"/>
              <w:rPr>
                <w:i/>
                <w:lang w:val="en-GB"/>
              </w:rPr>
            </w:pPr>
            <w:r w:rsidRPr="0002789D">
              <w:rPr>
                <w:i/>
                <w:iCs/>
                <w:szCs w:val="24"/>
                <w:lang w:val="en-GB"/>
              </w:rPr>
              <w:t>N/A</w:t>
            </w:r>
          </w:p>
        </w:tc>
        <w:tc>
          <w:tcPr>
            <w:tcW w:w="1587" w:type="dxa"/>
          </w:tcPr>
          <w:p w14:paraId="5E923FE3" w14:textId="7CAE639B" w:rsidR="00FF4030" w:rsidRPr="00E2624C" w:rsidRDefault="0002789D" w:rsidP="00FF4030">
            <w:pPr>
              <w:pStyle w:val="TableBody"/>
              <w:jc w:val="right"/>
              <w:rPr>
                <w:i/>
                <w:lang w:val="en-GB"/>
              </w:rPr>
            </w:pPr>
            <w:r w:rsidRPr="0002789D">
              <w:rPr>
                <w:i/>
                <w:iCs/>
                <w:szCs w:val="24"/>
                <w:lang w:val="en-GB"/>
              </w:rPr>
              <w:t>N/A</w:t>
            </w:r>
          </w:p>
        </w:tc>
        <w:tc>
          <w:tcPr>
            <w:tcW w:w="1587" w:type="dxa"/>
          </w:tcPr>
          <w:p w14:paraId="2BA9DFE0" w14:textId="735BE09E" w:rsidR="00FF4030" w:rsidRPr="00E2624C" w:rsidRDefault="00FF4030" w:rsidP="00FF4030">
            <w:pPr>
              <w:pStyle w:val="TableBody"/>
              <w:jc w:val="right"/>
              <w:rPr>
                <w:i/>
                <w:lang w:val="en-GB"/>
              </w:rPr>
            </w:pPr>
            <w:r w:rsidRPr="00E2624C">
              <w:rPr>
                <w:i/>
              </w:rPr>
              <w:t>9.58%</w:t>
            </w:r>
          </w:p>
        </w:tc>
      </w:tr>
    </w:tbl>
    <w:p w14:paraId="731B7218" w14:textId="0C346A88" w:rsidR="00FF4030" w:rsidRDefault="004E416F" w:rsidP="00FF4030">
      <w:pPr>
        <w:pStyle w:val="Tablenote"/>
        <w:rPr>
          <w:lang w:eastAsia="en-AU"/>
        </w:rPr>
      </w:pPr>
      <w:r>
        <w:rPr>
          <w:lang w:eastAsia="en-AU"/>
        </w:rPr>
        <w:t>N</w:t>
      </w:r>
      <w:r w:rsidR="00FF4030">
        <w:rPr>
          <w:lang w:eastAsia="en-AU"/>
        </w:rPr>
        <w:t>otes:</w:t>
      </w:r>
      <w:r>
        <w:rPr>
          <w:lang w:eastAsia="en-AU"/>
        </w:rPr>
        <w:t xml:space="preserve"> </w:t>
      </w:r>
      <w:r w:rsidR="00FF4030">
        <w:rPr>
          <w:lang w:eastAsia="en-AU"/>
        </w:rPr>
        <w:t xml:space="preserve">t </w:t>
      </w:r>
      <w:r w:rsidR="00FF4030" w:rsidRPr="00A33264">
        <w:rPr>
          <w:lang w:eastAsia="en-AU"/>
        </w:rPr>
        <w:t>CO</w:t>
      </w:r>
      <w:r w:rsidR="00FF4030" w:rsidRPr="00A33264">
        <w:rPr>
          <w:vertAlign w:val="subscript"/>
          <w:lang w:eastAsia="en-AU"/>
        </w:rPr>
        <w:t>2</w:t>
      </w:r>
      <w:r w:rsidR="00FF4030" w:rsidRPr="00A33264">
        <w:rPr>
          <w:lang w:eastAsia="en-AU"/>
        </w:rPr>
        <w:t>-e</w:t>
      </w:r>
      <w:r w:rsidR="00FF4030">
        <w:rPr>
          <w:lang w:eastAsia="en-AU"/>
        </w:rPr>
        <w:t xml:space="preserve"> = tonne carbon dioxide equivalent</w:t>
      </w:r>
      <w:r w:rsidR="001373F0">
        <w:rPr>
          <w:lang w:eastAsia="en-AU"/>
        </w:rPr>
        <w:t>.</w:t>
      </w:r>
    </w:p>
    <w:p w14:paraId="33AC52D1" w14:textId="34CC3274" w:rsidR="00B17998" w:rsidRDefault="00893BDC" w:rsidP="00FF4030">
      <w:pPr>
        <w:pStyle w:val="Tablenote"/>
        <w:rPr>
          <w:lang w:val="en-AU" w:eastAsia="en-AU"/>
        </w:rPr>
      </w:pPr>
      <w:r>
        <w:rPr>
          <w:vertAlign w:val="superscript"/>
          <w:lang w:val="en-AU" w:eastAsia="en-AU"/>
        </w:rPr>
        <w:t xml:space="preserve">a </w:t>
      </w:r>
      <w:r w:rsidRPr="00893BDC">
        <w:rPr>
          <w:lang w:val="en-AU" w:eastAsia="en-AU"/>
        </w:rPr>
        <w:t>Mandatory renewables are the portion of electricity consumed from the grid that is generated by renewable sources. This includes the renewable power percentage.</w:t>
      </w:r>
    </w:p>
    <w:p w14:paraId="74610909" w14:textId="259C986A" w:rsidR="00893BDC" w:rsidRDefault="008C010B" w:rsidP="00FF4030">
      <w:pPr>
        <w:pStyle w:val="Tablenote"/>
        <w:rPr>
          <w:lang w:eastAsia="en-AU"/>
        </w:rPr>
      </w:pPr>
      <w:r w:rsidRPr="008C010B">
        <w:rPr>
          <w:vertAlign w:val="superscript"/>
          <w:lang w:val="en-AU" w:eastAsia="en-AU"/>
        </w:rPr>
        <w:t>b</w:t>
      </w:r>
      <w:r>
        <w:rPr>
          <w:vertAlign w:val="superscript"/>
          <w:lang w:val="en-AU" w:eastAsia="en-AU"/>
        </w:rPr>
        <w:t xml:space="preserve"> </w:t>
      </w:r>
      <w:r w:rsidRPr="008C010B">
        <w:rPr>
          <w:lang w:val="en-AU" w:eastAsia="en-AU"/>
        </w:rPr>
        <w:t>Voluntary renewables reflect the eligible carbon credit units surrendered by the entity. This may include purchased large-scale generation certificates, power purchasing agreements, GreenPower and the jurisdictional renewable power percentage (ACT only).</w:t>
      </w:r>
    </w:p>
    <w:p w14:paraId="3A081FC4" w14:textId="1AFB6F3F" w:rsidR="00FF4030" w:rsidRDefault="00FF4030" w:rsidP="00FF4030">
      <w:pPr>
        <w:spacing w:before="60" w:after="120" w:line="240" w:lineRule="auto"/>
        <w:rPr>
          <w:rFonts w:cs="Arial"/>
          <w:sz w:val="20"/>
          <w:szCs w:val="20"/>
          <w:lang w:val="en-GB"/>
        </w:rPr>
      </w:pPr>
      <w:r>
        <w:rPr>
          <w:rFonts w:cs="Arial"/>
          <w:sz w:val="20"/>
          <w:szCs w:val="20"/>
          <w:lang w:val="en-GB"/>
        </w:rPr>
        <w:t>T</w:t>
      </w:r>
      <w:r w:rsidRPr="00B329ED">
        <w:rPr>
          <w:rFonts w:cs="Arial"/>
          <w:sz w:val="20"/>
          <w:szCs w:val="20"/>
          <w:lang w:val="en-GB"/>
        </w:rPr>
        <w:t>he table above presents emissions related to electricity usage using both the location-based and the market-based accounting methods.</w:t>
      </w:r>
    </w:p>
    <w:p w14:paraId="64749FB9" w14:textId="5053D291" w:rsidR="00255A26" w:rsidRPr="00A33264" w:rsidRDefault="00255A26" w:rsidP="00255A26">
      <w:pPr>
        <w:pStyle w:val="Heading3"/>
        <w:rPr>
          <w:lang w:val="en-GB"/>
        </w:rPr>
      </w:pPr>
      <w:bookmarkStart w:id="428" w:name="_Toc175316921"/>
      <w:bookmarkStart w:id="429" w:name="_Toc176786412"/>
      <w:bookmarkStart w:id="430" w:name="_Toc180505694"/>
      <w:r w:rsidRPr="00A33264">
        <w:rPr>
          <w:lang w:val="en-GB"/>
        </w:rPr>
        <w:t>Compliance with Carer Recognition Act</w:t>
      </w:r>
      <w:bookmarkEnd w:id="425"/>
      <w:bookmarkEnd w:id="426"/>
      <w:bookmarkEnd w:id="428"/>
      <w:bookmarkEnd w:id="429"/>
      <w:bookmarkEnd w:id="430"/>
    </w:p>
    <w:p w14:paraId="091379C6" w14:textId="2B8AA49B" w:rsidR="00F14787" w:rsidRPr="00A33264" w:rsidRDefault="00F14787" w:rsidP="00F14787">
      <w:pPr>
        <w:rPr>
          <w:lang w:val="en-GB"/>
        </w:rPr>
      </w:pPr>
      <w:r w:rsidRPr="00A33264">
        <w:rPr>
          <w:lang w:val="en-GB"/>
        </w:rPr>
        <w:t xml:space="preserve">Through the </w:t>
      </w:r>
      <w:r w:rsidRPr="00A33264">
        <w:rPr>
          <w:i/>
          <w:iCs/>
          <w:lang w:val="en-GB"/>
        </w:rPr>
        <w:t>Carer Recognition Act 2010</w:t>
      </w:r>
      <w:r w:rsidR="004E416F">
        <w:rPr>
          <w:lang w:val="en-GB"/>
        </w:rPr>
        <w:t xml:space="preserve"> (Cth)</w:t>
      </w:r>
      <w:r w:rsidRPr="00A33264">
        <w:rPr>
          <w:lang w:val="en-GB"/>
        </w:rPr>
        <w:t xml:space="preserve">, the Australian Government recognises the exceptional contribution made by unpaid carers. The </w:t>
      </w:r>
      <w:r w:rsidR="00993D6D" w:rsidRPr="00A33264">
        <w:rPr>
          <w:lang w:val="en-GB"/>
        </w:rPr>
        <w:t>Act</w:t>
      </w:r>
      <w:r w:rsidR="00847144" w:rsidRPr="00A33264">
        <w:rPr>
          <w:lang w:val="en-GB"/>
        </w:rPr>
        <w:t xml:space="preserve"> </w:t>
      </w:r>
      <w:r w:rsidRPr="00A33264">
        <w:rPr>
          <w:lang w:val="en-GB"/>
        </w:rPr>
        <w:t xml:space="preserve">stipulates that carers should have the same rights, choices and opportunities as other Australians. </w:t>
      </w:r>
    </w:p>
    <w:p w14:paraId="4B336257" w14:textId="77777777" w:rsidR="00F14787" w:rsidRPr="00A33264" w:rsidRDefault="00F14787" w:rsidP="00F14787">
      <w:pPr>
        <w:rPr>
          <w:lang w:val="en-GB"/>
        </w:rPr>
      </w:pPr>
      <w:r w:rsidRPr="00A33264">
        <w:rPr>
          <w:lang w:val="en-GB"/>
        </w:rPr>
        <w:t xml:space="preserve">The NDIA strives to be an inclusive organisation that supports staff who have caring responsibilities. The NDIA implements initiatives to align with celebrations of Carers Week. The NDIA provides a range of resources for staff who are carers, including information about flexible working arrangements and wellbeing supports. </w:t>
      </w:r>
    </w:p>
    <w:p w14:paraId="1417DC17" w14:textId="4698AEA4" w:rsidR="00255A26" w:rsidRPr="00A33264" w:rsidRDefault="00F14787" w:rsidP="00F14787">
      <w:pPr>
        <w:rPr>
          <w:lang w:val="en-GB"/>
        </w:rPr>
      </w:pPr>
      <w:r w:rsidRPr="00A33264">
        <w:rPr>
          <w:lang w:val="en-GB"/>
        </w:rPr>
        <w:t xml:space="preserve">The NDIA consults with carer organisations to develop support mechanisms and implement reforms. Consultation ensures programs and services continue to consider the needs of carers in addition to those of people with disability and meet the requirements of the </w:t>
      </w:r>
      <w:r w:rsidR="00993D6D" w:rsidRPr="00A33264">
        <w:rPr>
          <w:lang w:val="en-GB"/>
        </w:rPr>
        <w:t>Act</w:t>
      </w:r>
      <w:r w:rsidRPr="00A33264">
        <w:rPr>
          <w:lang w:val="en-GB"/>
        </w:rPr>
        <w:t>.</w:t>
      </w:r>
    </w:p>
    <w:p w14:paraId="49F0E054" w14:textId="733E0D18" w:rsidR="00AD5075" w:rsidRDefault="00AD5075" w:rsidP="003131F3">
      <w:pPr>
        <w:pStyle w:val="Heading5"/>
        <w:rPr>
          <w:lang w:val="en-GB"/>
        </w:rPr>
      </w:pPr>
      <w:bookmarkStart w:id="431" w:name="_Toc169593021"/>
      <w:r>
        <w:rPr>
          <w:lang w:val="en-GB"/>
        </w:rPr>
        <w:lastRenderedPageBreak/>
        <w:t>Awareness and understanding</w:t>
      </w:r>
    </w:p>
    <w:p w14:paraId="0DD14BED" w14:textId="53FABAC4" w:rsidR="00096E39" w:rsidRPr="00A33264" w:rsidRDefault="00096E39" w:rsidP="00AD517E">
      <w:pPr>
        <w:rPr>
          <w:b/>
          <w:bCs/>
          <w:lang w:val="en-GB"/>
        </w:rPr>
      </w:pPr>
      <w:r w:rsidRPr="00A33264">
        <w:rPr>
          <w:b/>
          <w:bCs/>
          <w:lang w:val="en-GB"/>
        </w:rPr>
        <w:t>Subsection 7(1)</w:t>
      </w:r>
      <w:bookmarkEnd w:id="431"/>
      <w:r w:rsidR="003D0846" w:rsidRPr="00A33264">
        <w:rPr>
          <w:b/>
          <w:bCs/>
          <w:lang w:val="en-GB"/>
        </w:rPr>
        <w:t xml:space="preserve"> </w:t>
      </w:r>
      <w:r w:rsidR="00993D6D" w:rsidRPr="00A33264">
        <w:rPr>
          <w:b/>
          <w:bCs/>
          <w:lang w:val="en-GB"/>
        </w:rPr>
        <w:t xml:space="preserve">– </w:t>
      </w:r>
      <w:r w:rsidR="003D0846" w:rsidRPr="00A33264">
        <w:rPr>
          <w:b/>
          <w:bCs/>
          <w:lang w:val="en-GB"/>
        </w:rPr>
        <w:t>each</w:t>
      </w:r>
      <w:r w:rsidR="00993D6D" w:rsidRPr="00A33264">
        <w:rPr>
          <w:b/>
          <w:bCs/>
          <w:lang w:val="en-GB"/>
        </w:rPr>
        <w:t xml:space="preserve"> </w:t>
      </w:r>
      <w:r w:rsidR="003D0846" w:rsidRPr="00A33264">
        <w:rPr>
          <w:b/>
          <w:bCs/>
          <w:lang w:val="en-GB"/>
        </w:rPr>
        <w:t>public service agency is to take all practicable measures to ensure that its employees and agents have an awareness and understanding of the Statement for Australia’s Carers.</w:t>
      </w:r>
    </w:p>
    <w:p w14:paraId="70FED712" w14:textId="6A942CB8" w:rsidR="00096E39" w:rsidRPr="00A33264" w:rsidRDefault="00F14787" w:rsidP="00096E39">
      <w:pPr>
        <w:rPr>
          <w:lang w:val="en-GB"/>
        </w:rPr>
      </w:pPr>
      <w:r w:rsidRPr="00A33264">
        <w:rPr>
          <w:lang w:val="en-GB"/>
        </w:rPr>
        <w:t xml:space="preserve">The NDIA promotes staff awareness and understanding of the principles contained within the </w:t>
      </w:r>
      <w:r w:rsidRPr="00A33264">
        <w:rPr>
          <w:i/>
          <w:iCs/>
          <w:lang w:val="en-GB"/>
        </w:rPr>
        <w:t>Carer Recognition Act 2010</w:t>
      </w:r>
      <w:r w:rsidRPr="00A33264">
        <w:rPr>
          <w:lang w:val="en-GB"/>
        </w:rPr>
        <w:t xml:space="preserve"> and the Statement for Australia’s Carers through online tools and resources, including guides on the support available to employees with caring responsibilities and also those who support people with caring responsibilities.</w:t>
      </w:r>
    </w:p>
    <w:p w14:paraId="02267741" w14:textId="028F649F" w:rsidR="00AD5075" w:rsidRDefault="00AD5075" w:rsidP="003131F3">
      <w:pPr>
        <w:pStyle w:val="Heading5"/>
        <w:rPr>
          <w:lang w:val="en-GB"/>
        </w:rPr>
      </w:pPr>
      <w:bookmarkStart w:id="432" w:name="_Toc169593022"/>
      <w:r>
        <w:rPr>
          <w:lang w:val="en-GB"/>
        </w:rPr>
        <w:t>Workplace support for carers</w:t>
      </w:r>
    </w:p>
    <w:p w14:paraId="56CC26F1" w14:textId="4A10D0C8" w:rsidR="00096E39" w:rsidRPr="00A33264" w:rsidRDefault="00096E39" w:rsidP="00AD517E">
      <w:pPr>
        <w:rPr>
          <w:b/>
          <w:bCs/>
          <w:lang w:val="en-GB"/>
        </w:rPr>
      </w:pPr>
      <w:r w:rsidRPr="00A33264">
        <w:rPr>
          <w:b/>
          <w:bCs/>
          <w:lang w:val="en-GB"/>
        </w:rPr>
        <w:t>Subsection 7(2)</w:t>
      </w:r>
      <w:bookmarkEnd w:id="432"/>
      <w:r w:rsidR="003D0846" w:rsidRPr="00A33264">
        <w:rPr>
          <w:b/>
          <w:bCs/>
          <w:lang w:val="en-GB"/>
        </w:rPr>
        <w:t xml:space="preserve"> </w:t>
      </w:r>
      <w:r w:rsidR="00993D6D" w:rsidRPr="00A33264">
        <w:rPr>
          <w:b/>
          <w:bCs/>
          <w:lang w:val="en-GB"/>
        </w:rPr>
        <w:t xml:space="preserve">– </w:t>
      </w:r>
      <w:r w:rsidR="003D0846" w:rsidRPr="00A33264">
        <w:rPr>
          <w:b/>
          <w:bCs/>
          <w:lang w:val="en-GB"/>
        </w:rPr>
        <w:t>each</w:t>
      </w:r>
      <w:r w:rsidR="00993D6D" w:rsidRPr="00A33264">
        <w:rPr>
          <w:b/>
          <w:bCs/>
          <w:lang w:val="en-GB"/>
        </w:rPr>
        <w:t xml:space="preserve"> </w:t>
      </w:r>
      <w:r w:rsidR="003D0846" w:rsidRPr="00A33264">
        <w:rPr>
          <w:b/>
          <w:bCs/>
          <w:lang w:val="en-GB"/>
        </w:rPr>
        <w:t>public service agency’s internal human resources policies, so far as they may significantly affect an employee’s caring role, are to be developed having due regard to the Statement for Australia’s Carers.</w:t>
      </w:r>
    </w:p>
    <w:p w14:paraId="1F8DECAA" w14:textId="3D59893E" w:rsidR="001134EB" w:rsidRPr="00A33264" w:rsidRDefault="001134EB" w:rsidP="001134EB">
      <w:pPr>
        <w:rPr>
          <w:lang w:val="en-GB"/>
        </w:rPr>
      </w:pPr>
      <w:r w:rsidRPr="00A33264">
        <w:rPr>
          <w:lang w:val="en-GB"/>
        </w:rPr>
        <w:t xml:space="preserve">The NDIA complies with its obligations under the </w:t>
      </w:r>
      <w:r w:rsidRPr="00A33264">
        <w:rPr>
          <w:i/>
          <w:iCs/>
          <w:lang w:val="en-GB"/>
        </w:rPr>
        <w:t>Carer Recognition Act 2010</w:t>
      </w:r>
      <w:r w:rsidRPr="00A33264">
        <w:rPr>
          <w:lang w:val="en-GB"/>
        </w:rPr>
        <w:t xml:space="preserve"> and adheres to the principles of the Statement for Australia’s Carers. The NDIA’s Enterprise Agreement 2024</w:t>
      </w:r>
      <w:r w:rsidR="00993D6D" w:rsidRPr="00A33264">
        <w:rPr>
          <w:lang w:val="en-GB"/>
        </w:rPr>
        <w:t>–</w:t>
      </w:r>
      <w:r w:rsidRPr="00A33264">
        <w:rPr>
          <w:lang w:val="en-GB"/>
        </w:rPr>
        <w:t xml:space="preserve">27 and human resources policies are also developed </w:t>
      </w:r>
      <w:r w:rsidR="0012094A" w:rsidRPr="00A33264">
        <w:rPr>
          <w:lang w:val="en-GB"/>
        </w:rPr>
        <w:t>having</w:t>
      </w:r>
      <w:r w:rsidRPr="00A33264">
        <w:rPr>
          <w:lang w:val="en-GB"/>
        </w:rPr>
        <w:t xml:space="preserve"> regard to the Statement for Australia’s Carers.</w:t>
      </w:r>
    </w:p>
    <w:p w14:paraId="4CBCEE89" w14:textId="7DFB449E" w:rsidR="00096E39" w:rsidRPr="00A33264" w:rsidRDefault="001134EB" w:rsidP="003131F3">
      <w:pPr>
        <w:rPr>
          <w:lang w:val="en-GB"/>
        </w:rPr>
      </w:pPr>
      <w:r w:rsidRPr="00A33264">
        <w:rPr>
          <w:lang w:val="en-GB"/>
        </w:rPr>
        <w:t xml:space="preserve">The NDIA supports carers in the workplace through its employment policies, including flexible working arrangements and access to carers leave. </w:t>
      </w:r>
    </w:p>
    <w:p w14:paraId="2F42454F" w14:textId="76F0030A" w:rsidR="00AD5075" w:rsidRDefault="00AD5075" w:rsidP="003131F3">
      <w:pPr>
        <w:pStyle w:val="Heading5"/>
        <w:rPr>
          <w:lang w:val="en-GB"/>
        </w:rPr>
      </w:pPr>
      <w:bookmarkStart w:id="433" w:name="_Toc169593023"/>
      <w:r>
        <w:rPr>
          <w:lang w:val="en-GB"/>
        </w:rPr>
        <w:t>Recognition of the role of carers</w:t>
      </w:r>
    </w:p>
    <w:p w14:paraId="68CE486A" w14:textId="47C176BB" w:rsidR="00096E39" w:rsidRPr="00A33264" w:rsidRDefault="00096E39" w:rsidP="00AD517E">
      <w:pPr>
        <w:rPr>
          <w:b/>
          <w:bCs/>
          <w:lang w:val="en-GB"/>
        </w:rPr>
      </w:pPr>
      <w:r w:rsidRPr="00A33264">
        <w:rPr>
          <w:b/>
          <w:bCs/>
          <w:lang w:val="en-GB"/>
        </w:rPr>
        <w:t>Subsection 8(1)</w:t>
      </w:r>
      <w:bookmarkEnd w:id="433"/>
      <w:r w:rsidR="003D0846" w:rsidRPr="00A33264">
        <w:rPr>
          <w:b/>
          <w:bCs/>
          <w:lang w:val="en-GB"/>
        </w:rPr>
        <w:t xml:space="preserve"> </w:t>
      </w:r>
      <w:r w:rsidR="00993D6D" w:rsidRPr="00A33264">
        <w:rPr>
          <w:b/>
          <w:bCs/>
          <w:lang w:val="en-GB"/>
        </w:rPr>
        <w:t xml:space="preserve">– </w:t>
      </w:r>
      <w:r w:rsidR="003D0846" w:rsidRPr="00A33264">
        <w:rPr>
          <w:b/>
          <w:bCs/>
          <w:lang w:val="en-GB"/>
        </w:rPr>
        <w:t>each</w:t>
      </w:r>
      <w:r w:rsidR="00993D6D" w:rsidRPr="00A33264">
        <w:rPr>
          <w:b/>
          <w:bCs/>
          <w:lang w:val="en-GB"/>
        </w:rPr>
        <w:t xml:space="preserve"> </w:t>
      </w:r>
      <w:r w:rsidR="003D0846" w:rsidRPr="00A33264">
        <w:rPr>
          <w:b/>
          <w:bCs/>
          <w:lang w:val="en-GB"/>
        </w:rPr>
        <w:t xml:space="preserve">public service care agency is to take all practicable measures to ensure that it, and its employees and agents, take action to reflect the principles of the Statement for Australia’s Carers in developing, implementing, providing or evaluating care </w:t>
      </w:r>
      <w:r w:rsidR="00605AEF" w:rsidRPr="00A33264">
        <w:rPr>
          <w:b/>
          <w:bCs/>
          <w:lang w:val="en-GB"/>
        </w:rPr>
        <w:t>supports.</w:t>
      </w:r>
    </w:p>
    <w:p w14:paraId="3D9937A2" w14:textId="4544E175" w:rsidR="0041442E" w:rsidRPr="00A33264" w:rsidRDefault="00EC5D56" w:rsidP="0041442E">
      <w:pPr>
        <w:rPr>
          <w:lang w:val="en-GB"/>
        </w:rPr>
      </w:pPr>
      <w:r w:rsidRPr="00A33264">
        <w:rPr>
          <w:lang w:val="en-GB"/>
        </w:rPr>
        <w:t xml:space="preserve">The NDIA recognises the essential role carers play in supporting people with disability to pursue their goals. NDIA staff are encouraged to listen to carers and support them in their role. The NDIA includes information in </w:t>
      </w:r>
      <w:r w:rsidR="00AD5075">
        <w:rPr>
          <w:lang w:val="en-GB"/>
        </w:rPr>
        <w:t>each</w:t>
      </w:r>
      <w:r w:rsidR="00AD5075" w:rsidRPr="00A33264">
        <w:rPr>
          <w:lang w:val="en-GB"/>
        </w:rPr>
        <w:t xml:space="preserve"> </w:t>
      </w:r>
      <w:r w:rsidRPr="00A33264">
        <w:rPr>
          <w:lang w:val="en-GB"/>
        </w:rPr>
        <w:t xml:space="preserve">participant’s plan about the support they receive from their carers. When developing the participant’s plan, the NDIA focuses on capacity building and social and economic inclusion for participants. This includes support to build the participant’s independence, daily life supports and short breaks or respite. These supports are important in helping carers to sustain their caring role. The NDIA recognises that increasing the capacity of the community to help people with disability and increasing community and workforce participation of people with disability improves the situation of carers. The NDIA encourages feedback from carers to inform improvements to the way the </w:t>
      </w:r>
      <w:r w:rsidR="00CA5D3C">
        <w:rPr>
          <w:lang w:val="en-GB"/>
        </w:rPr>
        <w:t>NDIS</w:t>
      </w:r>
      <w:r w:rsidRPr="00A33264">
        <w:rPr>
          <w:lang w:val="en-GB"/>
        </w:rPr>
        <w:t xml:space="preserve"> supports their needs. The NDIA also engages with participant and carer stakeholder groups to co-design tools </w:t>
      </w:r>
      <w:r w:rsidRPr="00A33264">
        <w:rPr>
          <w:lang w:val="en-GB"/>
        </w:rPr>
        <w:lastRenderedPageBreak/>
        <w:t>and resources which the NDIS publishes on its website to support them to understand the valuable role carers play in helping participants to increase their community and workforce participation.</w:t>
      </w:r>
    </w:p>
    <w:p w14:paraId="1B150883" w14:textId="1A4831A6" w:rsidR="00AD5075" w:rsidRDefault="00AD5075" w:rsidP="003131F3">
      <w:pPr>
        <w:pStyle w:val="Heading5"/>
        <w:rPr>
          <w:lang w:val="en-GB"/>
        </w:rPr>
      </w:pPr>
      <w:bookmarkStart w:id="434" w:name="_Toc169593024"/>
      <w:r>
        <w:rPr>
          <w:lang w:val="en-GB"/>
        </w:rPr>
        <w:t>Consultation with carers</w:t>
      </w:r>
    </w:p>
    <w:p w14:paraId="0096411C" w14:textId="2AC9CEF3" w:rsidR="00096E39" w:rsidRPr="00A33264" w:rsidRDefault="00096E39" w:rsidP="00AD517E">
      <w:pPr>
        <w:rPr>
          <w:b/>
          <w:bCs/>
          <w:lang w:val="en-GB"/>
        </w:rPr>
      </w:pPr>
      <w:r w:rsidRPr="00A33264">
        <w:rPr>
          <w:b/>
          <w:bCs/>
          <w:lang w:val="en-GB"/>
        </w:rPr>
        <w:t>Subsection 8(2)</w:t>
      </w:r>
      <w:bookmarkEnd w:id="434"/>
      <w:r w:rsidR="00993D6D" w:rsidRPr="00A33264">
        <w:rPr>
          <w:b/>
          <w:bCs/>
          <w:lang w:val="en-GB"/>
        </w:rPr>
        <w:t xml:space="preserve"> –</w:t>
      </w:r>
      <w:r w:rsidR="00AC51D7" w:rsidRPr="00A33264">
        <w:rPr>
          <w:b/>
          <w:bCs/>
          <w:lang w:val="en-GB"/>
        </w:rPr>
        <w:t xml:space="preserve"> each</w:t>
      </w:r>
      <w:r w:rsidR="00993D6D" w:rsidRPr="00A33264">
        <w:rPr>
          <w:b/>
          <w:bCs/>
          <w:lang w:val="en-GB"/>
        </w:rPr>
        <w:t xml:space="preserve"> </w:t>
      </w:r>
      <w:r w:rsidR="00AC51D7" w:rsidRPr="00A33264">
        <w:rPr>
          <w:b/>
          <w:bCs/>
          <w:lang w:val="en-GB"/>
        </w:rPr>
        <w:t>public service care agency is to consult carers, or bodies that represent carers, when developing or evaluating care supports.</w:t>
      </w:r>
    </w:p>
    <w:p w14:paraId="75F49593" w14:textId="23082EA3" w:rsidR="00AC51D7" w:rsidRPr="00A33264" w:rsidRDefault="00AC51D7" w:rsidP="00AC51D7">
      <w:pPr>
        <w:rPr>
          <w:lang w:val="en-GB"/>
        </w:rPr>
      </w:pPr>
      <w:bookmarkStart w:id="435" w:name="_Toc169593025"/>
      <w:r w:rsidRPr="00A33264">
        <w:rPr>
          <w:lang w:val="en-GB"/>
        </w:rPr>
        <w:t>Carer representative organisations have significantly contributed to the NDIA’s co</w:t>
      </w:r>
      <w:r w:rsidR="00BD7BB9" w:rsidRPr="00A33264">
        <w:rPr>
          <w:lang w:val="en-GB"/>
        </w:rPr>
        <w:t>-</w:t>
      </w:r>
      <w:r w:rsidRPr="00A33264">
        <w:rPr>
          <w:lang w:val="en-GB"/>
        </w:rPr>
        <w:t xml:space="preserve">design response to the Australian Government’s 2023 reforms. These reforms ensure a better experience for participants and carers and position the </w:t>
      </w:r>
      <w:r w:rsidR="00CA5D3C">
        <w:rPr>
          <w:lang w:val="en-GB"/>
        </w:rPr>
        <w:t>NDIS</w:t>
      </w:r>
      <w:r w:rsidR="00CA5D3C" w:rsidRPr="00A33264">
        <w:rPr>
          <w:lang w:val="en-GB"/>
        </w:rPr>
        <w:t xml:space="preserve"> </w:t>
      </w:r>
      <w:r w:rsidRPr="00A33264">
        <w:rPr>
          <w:lang w:val="en-GB"/>
        </w:rPr>
        <w:t>well for the future.</w:t>
      </w:r>
    </w:p>
    <w:p w14:paraId="00625D21" w14:textId="321B5B32" w:rsidR="00AC51D7" w:rsidRPr="00A33264" w:rsidRDefault="00AC51D7" w:rsidP="00AC51D7">
      <w:pPr>
        <w:rPr>
          <w:lang w:val="en-GB"/>
        </w:rPr>
      </w:pPr>
      <w:r w:rsidRPr="00A33264">
        <w:rPr>
          <w:lang w:val="en-GB"/>
        </w:rPr>
        <w:t xml:space="preserve">Carers Australia is a member of the </w:t>
      </w:r>
      <w:r w:rsidR="00AD5075">
        <w:rPr>
          <w:lang w:val="en-GB"/>
        </w:rPr>
        <w:t>NDIA</w:t>
      </w:r>
      <w:r w:rsidR="00AD5075" w:rsidRPr="00A33264">
        <w:rPr>
          <w:lang w:val="en-GB"/>
        </w:rPr>
        <w:t xml:space="preserve">’s </w:t>
      </w:r>
      <w:r w:rsidRPr="00A33264">
        <w:rPr>
          <w:lang w:val="en-GB"/>
        </w:rPr>
        <w:t xml:space="preserve">Reform for Outcomes </w:t>
      </w:r>
      <w:r w:rsidR="00AD5075">
        <w:rPr>
          <w:lang w:val="en-GB"/>
        </w:rPr>
        <w:t>P</w:t>
      </w:r>
      <w:r w:rsidRPr="00A33264">
        <w:rPr>
          <w:lang w:val="en-GB"/>
        </w:rPr>
        <w:t>rogram Plan Flexibility Co</w:t>
      </w:r>
      <w:r w:rsidR="00AE346F" w:rsidRPr="00A33264">
        <w:rPr>
          <w:lang w:val="en-GB"/>
        </w:rPr>
        <w:t>-</w:t>
      </w:r>
      <w:r w:rsidRPr="00A33264">
        <w:rPr>
          <w:lang w:val="en-GB"/>
        </w:rPr>
        <w:t xml:space="preserve">design Working Group. The purpose of the </w:t>
      </w:r>
      <w:r w:rsidR="00AD5075">
        <w:rPr>
          <w:lang w:val="en-GB"/>
        </w:rPr>
        <w:t>g</w:t>
      </w:r>
      <w:r w:rsidRPr="00A33264">
        <w:rPr>
          <w:lang w:val="en-GB"/>
        </w:rPr>
        <w:t xml:space="preserve">roup is to implement a lifetime planning approach by building more flexible and responsive plans that support participants to pursue their goals. The </w:t>
      </w:r>
      <w:r w:rsidR="00AD5075">
        <w:rPr>
          <w:lang w:val="en-GB"/>
        </w:rPr>
        <w:t>g</w:t>
      </w:r>
      <w:r w:rsidRPr="00A33264">
        <w:rPr>
          <w:lang w:val="en-GB"/>
        </w:rPr>
        <w:t xml:space="preserve">roup held </w:t>
      </w:r>
      <w:r w:rsidR="00993D6D" w:rsidRPr="00A33264">
        <w:rPr>
          <w:lang w:val="en-GB"/>
        </w:rPr>
        <w:t>9</w:t>
      </w:r>
      <w:r w:rsidRPr="00A33264">
        <w:rPr>
          <w:lang w:val="en-GB"/>
        </w:rPr>
        <w:t xml:space="preserve"> sessions between July 2023 and June 2024.</w:t>
      </w:r>
    </w:p>
    <w:p w14:paraId="603CA222" w14:textId="5E866BB9" w:rsidR="00AC51D7" w:rsidRPr="00A33264" w:rsidRDefault="00993D6D" w:rsidP="00AC51D7">
      <w:pPr>
        <w:rPr>
          <w:lang w:val="en-GB"/>
        </w:rPr>
      </w:pPr>
      <w:r w:rsidRPr="00A33264">
        <w:rPr>
          <w:lang w:val="en-GB"/>
        </w:rPr>
        <w:t xml:space="preserve">The </w:t>
      </w:r>
      <w:r w:rsidR="00AC51D7" w:rsidRPr="00A33264">
        <w:rPr>
          <w:lang w:val="en-GB"/>
        </w:rPr>
        <w:t>National Mental Health Consumer and Carer Forum participated as a member of the Evidence</w:t>
      </w:r>
      <w:r w:rsidR="00AE346F" w:rsidRPr="00A33264">
        <w:rPr>
          <w:lang w:val="en-GB"/>
        </w:rPr>
        <w:t>-</w:t>
      </w:r>
      <w:r w:rsidR="00AC51D7" w:rsidRPr="00A33264">
        <w:rPr>
          <w:lang w:val="en-GB"/>
        </w:rPr>
        <w:t>based Supports Co</w:t>
      </w:r>
      <w:r w:rsidR="00AE346F" w:rsidRPr="00A33264">
        <w:rPr>
          <w:lang w:val="en-GB"/>
        </w:rPr>
        <w:t>-</w:t>
      </w:r>
      <w:r w:rsidR="00AC51D7" w:rsidRPr="00A33264">
        <w:rPr>
          <w:lang w:val="en-GB"/>
        </w:rPr>
        <w:t xml:space="preserve">design Working Group. The group’s focus was on how the NDIA can make it easier for participants to get the right support, at the right time, for the right price. The group held </w:t>
      </w:r>
      <w:r w:rsidRPr="00A33264">
        <w:rPr>
          <w:lang w:val="en-GB"/>
        </w:rPr>
        <w:t>8</w:t>
      </w:r>
      <w:r w:rsidR="00AC51D7" w:rsidRPr="00A33264">
        <w:rPr>
          <w:lang w:val="en-GB"/>
        </w:rPr>
        <w:t xml:space="preserve"> sessions between July 2023 and June 2024.</w:t>
      </w:r>
    </w:p>
    <w:p w14:paraId="4C751D11" w14:textId="65DF7AE3" w:rsidR="00AC51D7" w:rsidRPr="00A33264" w:rsidRDefault="00AC51D7" w:rsidP="00AC51D7">
      <w:pPr>
        <w:rPr>
          <w:lang w:val="en-GB"/>
        </w:rPr>
      </w:pPr>
      <w:r w:rsidRPr="00A33264">
        <w:rPr>
          <w:lang w:val="en-GB"/>
        </w:rPr>
        <w:t xml:space="preserve">In addition, both carer organisations were consulted on current risks to the integrity of the NDIS and </w:t>
      </w:r>
      <w:r w:rsidR="00290358" w:rsidRPr="00A33264">
        <w:rPr>
          <w:lang w:val="en-GB"/>
        </w:rPr>
        <w:t xml:space="preserve">on </w:t>
      </w:r>
      <w:r w:rsidRPr="00A33264">
        <w:rPr>
          <w:lang w:val="en-GB"/>
        </w:rPr>
        <w:t xml:space="preserve">the actions planned by the NDIA to better protect participants and uphold the </w:t>
      </w:r>
      <w:r w:rsidR="00CA5D3C">
        <w:rPr>
          <w:lang w:val="en-GB"/>
        </w:rPr>
        <w:t>NDIS</w:t>
      </w:r>
      <w:r w:rsidR="00CA5D3C" w:rsidRPr="00A33264">
        <w:rPr>
          <w:lang w:val="en-GB"/>
        </w:rPr>
        <w:t xml:space="preserve">'s </w:t>
      </w:r>
      <w:r w:rsidRPr="00A33264">
        <w:rPr>
          <w:lang w:val="en-GB"/>
        </w:rPr>
        <w:t>integrity.</w:t>
      </w:r>
    </w:p>
    <w:p w14:paraId="0BA1A289" w14:textId="28468430" w:rsidR="00AC51D7" w:rsidRPr="00A33264" w:rsidRDefault="00AC51D7" w:rsidP="00AC51D7">
      <w:pPr>
        <w:rPr>
          <w:lang w:val="en-GB"/>
        </w:rPr>
      </w:pPr>
      <w:r w:rsidRPr="00A33264">
        <w:rPr>
          <w:lang w:val="en-GB"/>
        </w:rPr>
        <w:t xml:space="preserve">The NDIA continues to consult and engage with both Carers Australia and </w:t>
      </w:r>
      <w:r w:rsidR="00AD5075">
        <w:rPr>
          <w:lang w:val="en-GB"/>
        </w:rPr>
        <w:t xml:space="preserve">the </w:t>
      </w:r>
      <w:r w:rsidRPr="00A33264">
        <w:rPr>
          <w:lang w:val="en-GB"/>
        </w:rPr>
        <w:t>N</w:t>
      </w:r>
      <w:r w:rsidR="00AD5075">
        <w:rPr>
          <w:lang w:val="en-GB"/>
        </w:rPr>
        <w:t xml:space="preserve">ational </w:t>
      </w:r>
      <w:r w:rsidRPr="00A33264">
        <w:rPr>
          <w:lang w:val="en-GB"/>
        </w:rPr>
        <w:t>M</w:t>
      </w:r>
      <w:r w:rsidR="00AD5075">
        <w:rPr>
          <w:lang w:val="en-GB"/>
        </w:rPr>
        <w:t xml:space="preserve">ental </w:t>
      </w:r>
      <w:r w:rsidRPr="00A33264">
        <w:rPr>
          <w:lang w:val="en-GB"/>
        </w:rPr>
        <w:t>H</w:t>
      </w:r>
      <w:r w:rsidR="00AD5075">
        <w:rPr>
          <w:lang w:val="en-GB"/>
        </w:rPr>
        <w:t xml:space="preserve">ealth </w:t>
      </w:r>
      <w:r w:rsidRPr="00A33264">
        <w:rPr>
          <w:lang w:val="en-GB"/>
        </w:rPr>
        <w:t>C</w:t>
      </w:r>
      <w:r w:rsidR="00AD5075">
        <w:rPr>
          <w:lang w:val="en-GB"/>
        </w:rPr>
        <w:t xml:space="preserve">onsumer and </w:t>
      </w:r>
      <w:r w:rsidRPr="00A33264">
        <w:rPr>
          <w:lang w:val="en-GB"/>
        </w:rPr>
        <w:t>C</w:t>
      </w:r>
      <w:r w:rsidR="00AD5075">
        <w:rPr>
          <w:lang w:val="en-GB"/>
        </w:rPr>
        <w:t xml:space="preserve">arer </w:t>
      </w:r>
      <w:r w:rsidRPr="00A33264">
        <w:rPr>
          <w:lang w:val="en-GB"/>
        </w:rPr>
        <w:t>F</w:t>
      </w:r>
      <w:r w:rsidR="00AD5075">
        <w:rPr>
          <w:lang w:val="en-GB"/>
        </w:rPr>
        <w:t>orum</w:t>
      </w:r>
      <w:r w:rsidRPr="00A33264">
        <w:rPr>
          <w:lang w:val="en-GB"/>
        </w:rPr>
        <w:t xml:space="preserve"> </w:t>
      </w:r>
      <w:r w:rsidR="00993D6D" w:rsidRPr="00A33264">
        <w:rPr>
          <w:lang w:val="en-GB"/>
        </w:rPr>
        <w:t xml:space="preserve">each </w:t>
      </w:r>
      <w:r w:rsidRPr="00A33264">
        <w:rPr>
          <w:lang w:val="en-GB"/>
        </w:rPr>
        <w:t>quarter</w:t>
      </w:r>
      <w:r w:rsidR="00993D6D" w:rsidRPr="00A33264">
        <w:rPr>
          <w:lang w:val="en-GB"/>
        </w:rPr>
        <w:t>,</w:t>
      </w:r>
      <w:r w:rsidRPr="00A33264">
        <w:rPr>
          <w:lang w:val="en-GB"/>
        </w:rPr>
        <w:t xml:space="preserve"> as valued members of the NDIA’s Disability Representative and Carer Organisation Forum. Carers Australia also meets monthly with the </w:t>
      </w:r>
      <w:r w:rsidR="00AD5075">
        <w:rPr>
          <w:lang w:val="en-GB"/>
        </w:rPr>
        <w:t>NDIA</w:t>
      </w:r>
      <w:r w:rsidR="00AD5075" w:rsidRPr="00A33264">
        <w:rPr>
          <w:lang w:val="en-GB"/>
        </w:rPr>
        <w:t xml:space="preserve"> </w:t>
      </w:r>
      <w:r w:rsidRPr="00A33264">
        <w:rPr>
          <w:lang w:val="en-GB"/>
        </w:rPr>
        <w:t>via the Stakeholder Engagement Model to discuss areas of particular concern and interest to its members.</w:t>
      </w:r>
    </w:p>
    <w:p w14:paraId="4B5196ED" w14:textId="63DC0B12" w:rsidR="00255A26" w:rsidRPr="00A33264" w:rsidRDefault="00255A26" w:rsidP="00AC51D7">
      <w:pPr>
        <w:pStyle w:val="Heading3"/>
        <w:rPr>
          <w:lang w:val="en-GB"/>
        </w:rPr>
      </w:pPr>
      <w:bookmarkStart w:id="436" w:name="_Toc174354218"/>
      <w:bookmarkStart w:id="437" w:name="_Toc175316922"/>
      <w:bookmarkStart w:id="438" w:name="_Toc176786413"/>
      <w:bookmarkStart w:id="439" w:name="_Toc180505695"/>
      <w:r w:rsidRPr="00A33264">
        <w:rPr>
          <w:lang w:val="en-GB"/>
        </w:rPr>
        <w:t>Information on other specific statutory provisions</w:t>
      </w:r>
      <w:bookmarkEnd w:id="435"/>
      <w:bookmarkEnd w:id="436"/>
      <w:bookmarkEnd w:id="437"/>
      <w:bookmarkEnd w:id="438"/>
      <w:bookmarkEnd w:id="439"/>
    </w:p>
    <w:p w14:paraId="089801A7" w14:textId="37451240" w:rsidR="002C73B7" w:rsidRPr="00A33264" w:rsidRDefault="002C73B7" w:rsidP="002C73B7">
      <w:pPr>
        <w:rPr>
          <w:lang w:val="en-GB"/>
        </w:rPr>
      </w:pPr>
      <w:r w:rsidRPr="00A33264">
        <w:rPr>
          <w:lang w:val="en-GB"/>
        </w:rPr>
        <w:t>The following information addresses other reportable items required by specific statutory provisions.</w:t>
      </w:r>
    </w:p>
    <w:p w14:paraId="2E8C9248" w14:textId="22273F00" w:rsidR="002C73B7" w:rsidRPr="00A33264" w:rsidRDefault="002C73B7" w:rsidP="009C42B2">
      <w:pPr>
        <w:pStyle w:val="Heading4"/>
        <w:rPr>
          <w:lang w:val="en-GB"/>
        </w:rPr>
      </w:pPr>
      <w:bookmarkStart w:id="440" w:name="_Toc169593027"/>
      <w:r w:rsidRPr="00A33264">
        <w:rPr>
          <w:lang w:val="en-GB"/>
        </w:rPr>
        <w:t>National Disability Insurance Scheme Act 2013</w:t>
      </w:r>
    </w:p>
    <w:p w14:paraId="1FD1F344" w14:textId="0B312B19" w:rsidR="002C73B7" w:rsidRPr="00A33264" w:rsidRDefault="002C73B7" w:rsidP="002C73B7">
      <w:pPr>
        <w:rPr>
          <w:lang w:val="en-GB"/>
        </w:rPr>
      </w:pPr>
      <w:r w:rsidRPr="00A33264">
        <w:rPr>
          <w:lang w:val="en-GB"/>
        </w:rPr>
        <w:t>No directions or ministerial statements were given to the NDIA under sections 121 and 125 of the NDIS Act, and no legislative instruments were made during 2023–24.</w:t>
      </w:r>
    </w:p>
    <w:p w14:paraId="5EB1083E" w14:textId="4EA86DE4" w:rsidR="009C42B2" w:rsidRPr="00A33264" w:rsidRDefault="009C42B2" w:rsidP="009C42B2">
      <w:pPr>
        <w:pStyle w:val="Heading4"/>
        <w:rPr>
          <w:lang w:val="en-GB"/>
        </w:rPr>
      </w:pPr>
      <w:r w:rsidRPr="00A33264">
        <w:rPr>
          <w:lang w:val="en-GB"/>
        </w:rPr>
        <w:lastRenderedPageBreak/>
        <w:t>Privacy Act 1988</w:t>
      </w:r>
      <w:bookmarkEnd w:id="440"/>
    </w:p>
    <w:p w14:paraId="69D8E78A" w14:textId="5ECF3AF8" w:rsidR="00B8787E" w:rsidRPr="00A33264" w:rsidRDefault="00B8787E" w:rsidP="00B8787E">
      <w:pPr>
        <w:rPr>
          <w:lang w:val="en-GB"/>
        </w:rPr>
      </w:pPr>
      <w:r w:rsidRPr="00A33264">
        <w:rPr>
          <w:lang w:val="en-GB"/>
        </w:rPr>
        <w:t xml:space="preserve">The NDIA complies with its privacy obligations as required under both the </w:t>
      </w:r>
      <w:r w:rsidRPr="00A33264">
        <w:rPr>
          <w:i/>
          <w:iCs/>
          <w:lang w:val="en-GB"/>
        </w:rPr>
        <w:t>Privacy Act 1988</w:t>
      </w:r>
      <w:r w:rsidRPr="00A33264">
        <w:rPr>
          <w:lang w:val="en-GB"/>
        </w:rPr>
        <w:t xml:space="preserve"> </w:t>
      </w:r>
      <w:r w:rsidR="004E416F">
        <w:rPr>
          <w:lang w:val="en-GB"/>
        </w:rPr>
        <w:t xml:space="preserve">(Cth) </w:t>
      </w:r>
      <w:r w:rsidRPr="00A33264">
        <w:rPr>
          <w:lang w:val="en-GB"/>
        </w:rPr>
        <w:t>and the NDIS Act.</w:t>
      </w:r>
    </w:p>
    <w:p w14:paraId="41377765" w14:textId="0E1D5897" w:rsidR="00B8787E" w:rsidRPr="00A33264" w:rsidRDefault="00B8787E" w:rsidP="00B8787E">
      <w:pPr>
        <w:rPr>
          <w:lang w:val="en-GB"/>
        </w:rPr>
      </w:pPr>
      <w:r w:rsidRPr="00A33264">
        <w:rPr>
          <w:lang w:val="en-GB"/>
        </w:rPr>
        <w:t>Compliance includes the NDIA ensuring its practices and procedures are consistent with requirements under the Australian Privacy Principles, the Notifiable Data Breaches Scheme, and the Australian Government Agencies Privacy Code, such as having an established privacy policy and privacy management plan and maintaining privacy incident and privacy impact assessment registers.</w:t>
      </w:r>
    </w:p>
    <w:p w14:paraId="07EC2481" w14:textId="68B774F2" w:rsidR="00B8787E" w:rsidRPr="00A33264" w:rsidRDefault="00B8787E" w:rsidP="00B8787E">
      <w:pPr>
        <w:rPr>
          <w:lang w:val="en-GB"/>
        </w:rPr>
      </w:pPr>
      <w:r w:rsidRPr="00A33264">
        <w:rPr>
          <w:lang w:val="en-GB"/>
        </w:rPr>
        <w:t xml:space="preserve">The NDIA actively promotes privacy awareness through the appointment of a </w:t>
      </w:r>
      <w:r w:rsidR="00AD5075">
        <w:rPr>
          <w:lang w:val="en-GB"/>
        </w:rPr>
        <w:t>p</w:t>
      </w:r>
      <w:r w:rsidRPr="00A33264">
        <w:rPr>
          <w:lang w:val="en-GB"/>
        </w:rPr>
        <w:t xml:space="preserve">rivacy </w:t>
      </w:r>
      <w:r w:rsidR="00AD5075">
        <w:rPr>
          <w:lang w:val="en-GB"/>
        </w:rPr>
        <w:t>c</w:t>
      </w:r>
      <w:r w:rsidRPr="00A33264">
        <w:rPr>
          <w:lang w:val="en-GB"/>
        </w:rPr>
        <w:t xml:space="preserve">hampion and </w:t>
      </w:r>
      <w:r w:rsidR="00AD5075">
        <w:rPr>
          <w:lang w:val="en-GB"/>
        </w:rPr>
        <w:t>p</w:t>
      </w:r>
      <w:r w:rsidRPr="00A33264">
        <w:rPr>
          <w:lang w:val="en-GB"/>
        </w:rPr>
        <w:t xml:space="preserve">rivacy </w:t>
      </w:r>
      <w:r w:rsidR="00AD5075">
        <w:rPr>
          <w:lang w:val="en-GB"/>
        </w:rPr>
        <w:t>o</w:t>
      </w:r>
      <w:r w:rsidRPr="00A33264">
        <w:rPr>
          <w:lang w:val="en-GB"/>
        </w:rPr>
        <w:t xml:space="preserve">fficers, and through the ongoing development of training materials for NDIA staff. </w:t>
      </w:r>
      <w:r w:rsidR="00AD5075">
        <w:rPr>
          <w:lang w:val="en-GB"/>
        </w:rPr>
        <w:t>The NDIA also provides a</w:t>
      </w:r>
      <w:r w:rsidRPr="00A33264">
        <w:rPr>
          <w:lang w:val="en-GB"/>
        </w:rPr>
        <w:t xml:space="preserve">dvice to staff regarding </w:t>
      </w:r>
      <w:r w:rsidR="00AD5075">
        <w:rPr>
          <w:lang w:val="en-GB"/>
        </w:rPr>
        <w:t>our</w:t>
      </w:r>
      <w:r w:rsidRPr="00A33264">
        <w:rPr>
          <w:lang w:val="en-GB"/>
        </w:rPr>
        <w:t xml:space="preserve"> privacy obligations under law, particularly </w:t>
      </w:r>
      <w:r w:rsidR="00AD5075">
        <w:rPr>
          <w:lang w:val="en-GB"/>
        </w:rPr>
        <w:t>in relation</w:t>
      </w:r>
      <w:r w:rsidRPr="00A33264">
        <w:rPr>
          <w:lang w:val="en-GB"/>
        </w:rPr>
        <w:t xml:space="preserve"> to promoti</w:t>
      </w:r>
      <w:r w:rsidR="00AD5075">
        <w:rPr>
          <w:lang w:val="en-GB"/>
        </w:rPr>
        <w:t>ng</w:t>
      </w:r>
      <w:r w:rsidRPr="00A33264">
        <w:rPr>
          <w:lang w:val="en-GB"/>
        </w:rPr>
        <w:t xml:space="preserve"> one of the general principles guiding actions under the NDIS Act</w:t>
      </w:r>
      <w:r w:rsidR="00B43B3B">
        <w:rPr>
          <w:lang w:val="en-GB"/>
        </w:rPr>
        <w:t>:</w:t>
      </w:r>
      <w:r w:rsidRPr="00A33264">
        <w:rPr>
          <w:lang w:val="en-GB"/>
        </w:rPr>
        <w:t xml:space="preserve"> to ensure that people with disability have their privacy and dignity respected.</w:t>
      </w:r>
    </w:p>
    <w:p w14:paraId="39D4548A" w14:textId="29FEC8E4" w:rsidR="009C42B2" w:rsidRPr="00A33264" w:rsidRDefault="00B8787E" w:rsidP="00B8787E">
      <w:pPr>
        <w:rPr>
          <w:lang w:val="en-GB"/>
        </w:rPr>
      </w:pPr>
      <w:r w:rsidRPr="00A33264">
        <w:rPr>
          <w:lang w:val="en-GB"/>
        </w:rPr>
        <w:t>As at 1 July 2023 the NDIA had 6 privacy complaints open from the Office of the Australian Information Commissioner. During 2023–24 an additional 4 complaints were received. Five complaints were resolved during that period.</w:t>
      </w:r>
    </w:p>
    <w:p w14:paraId="4B96F36E" w14:textId="00F3B61E" w:rsidR="00D80838" w:rsidRPr="00A33264" w:rsidRDefault="00D80838" w:rsidP="00D80838">
      <w:pPr>
        <w:pStyle w:val="Heading3"/>
        <w:rPr>
          <w:lang w:val="en-GB"/>
        </w:rPr>
      </w:pPr>
      <w:bookmarkStart w:id="441" w:name="_Toc175316924"/>
      <w:bookmarkStart w:id="442" w:name="_Toc174354220"/>
      <w:bookmarkStart w:id="443" w:name="_Toc176786414"/>
      <w:bookmarkStart w:id="444" w:name="_Toc180505696"/>
      <w:r w:rsidRPr="00A33264">
        <w:rPr>
          <w:lang w:val="en-GB"/>
        </w:rPr>
        <w:t xml:space="preserve">Correction of material errors in </w:t>
      </w:r>
      <w:bookmarkEnd w:id="441"/>
      <w:r w:rsidR="00ED275F">
        <w:rPr>
          <w:lang w:val="en-GB"/>
        </w:rPr>
        <w:t>NDIA A</w:t>
      </w:r>
      <w:r w:rsidRPr="00A33264">
        <w:rPr>
          <w:lang w:val="en-GB"/>
        </w:rPr>
        <w:t xml:space="preserve">nnual </w:t>
      </w:r>
      <w:r w:rsidR="00ED275F">
        <w:rPr>
          <w:lang w:val="en-GB"/>
        </w:rPr>
        <w:t>R</w:t>
      </w:r>
      <w:r w:rsidRPr="00A33264">
        <w:rPr>
          <w:lang w:val="en-GB"/>
        </w:rPr>
        <w:t>eport</w:t>
      </w:r>
      <w:bookmarkEnd w:id="442"/>
      <w:r w:rsidR="00ED275F">
        <w:rPr>
          <w:lang w:val="en-GB"/>
        </w:rPr>
        <w:t xml:space="preserve"> 2022</w:t>
      </w:r>
      <w:r w:rsidR="00B43B3B" w:rsidRPr="00A33264">
        <w:rPr>
          <w:lang w:val="en-GB"/>
        </w:rPr>
        <w:t>–</w:t>
      </w:r>
      <w:r w:rsidR="00ED275F">
        <w:rPr>
          <w:lang w:val="en-GB"/>
        </w:rPr>
        <w:t>23</w:t>
      </w:r>
      <w:bookmarkEnd w:id="443"/>
      <w:bookmarkEnd w:id="444"/>
    </w:p>
    <w:p w14:paraId="5F72B132" w14:textId="31AF6134" w:rsidR="00D80838" w:rsidRPr="00A33264" w:rsidRDefault="00D80838" w:rsidP="00D80838">
      <w:pPr>
        <w:rPr>
          <w:lang w:val="en-GB"/>
        </w:rPr>
      </w:pPr>
      <w:r w:rsidRPr="00A33264">
        <w:rPr>
          <w:lang w:val="en-GB"/>
        </w:rPr>
        <w:t>Our Annual Report 2022</w:t>
      </w:r>
      <w:r w:rsidR="00AD5075">
        <w:rPr>
          <w:lang w:val="en-GB"/>
        </w:rPr>
        <w:t>–</w:t>
      </w:r>
      <w:r w:rsidRPr="00A33264">
        <w:rPr>
          <w:lang w:val="en-GB"/>
        </w:rPr>
        <w:t>23 contained the following errors:</w:t>
      </w:r>
    </w:p>
    <w:p w14:paraId="5F206CFD" w14:textId="7D181343" w:rsidR="00904297" w:rsidRPr="00A33264" w:rsidRDefault="00904297" w:rsidP="00904297">
      <w:pPr>
        <w:pStyle w:val="Bullet1"/>
        <w:rPr>
          <w:lang w:val="en-GB"/>
        </w:rPr>
      </w:pPr>
      <w:r w:rsidRPr="00A33264">
        <w:rPr>
          <w:lang w:val="en-GB"/>
        </w:rPr>
        <w:t>On page 31</w:t>
      </w:r>
      <w:r w:rsidR="004E416F">
        <w:rPr>
          <w:lang w:val="en-GB"/>
        </w:rPr>
        <w:t>,</w:t>
      </w:r>
      <w:r w:rsidRPr="00A33264">
        <w:rPr>
          <w:lang w:val="en-GB"/>
        </w:rPr>
        <w:t xml:space="preserve"> under the heading </w:t>
      </w:r>
      <w:r w:rsidR="00B43B3B">
        <w:rPr>
          <w:lang w:val="en-GB"/>
        </w:rPr>
        <w:t>‘</w:t>
      </w:r>
      <w:r w:rsidRPr="00A33264">
        <w:rPr>
          <w:lang w:val="en-GB"/>
        </w:rPr>
        <w:t>Analysis of performance</w:t>
      </w:r>
      <w:r w:rsidR="00B43B3B">
        <w:rPr>
          <w:lang w:val="en-GB"/>
        </w:rPr>
        <w:t>’</w:t>
      </w:r>
      <w:r w:rsidRPr="00A33264">
        <w:rPr>
          <w:lang w:val="en-GB"/>
        </w:rPr>
        <w:t>, it was incorrectly reported that the NDIA ha</w:t>
      </w:r>
      <w:r w:rsidR="00B43B3B">
        <w:rPr>
          <w:lang w:val="en-GB"/>
        </w:rPr>
        <w:t>d</w:t>
      </w:r>
      <w:r w:rsidRPr="00A33264">
        <w:rPr>
          <w:lang w:val="en-GB"/>
        </w:rPr>
        <w:t xml:space="preserve"> designed a new CALD Strategy for 2023</w:t>
      </w:r>
      <w:r w:rsidR="004D0E40" w:rsidRPr="00A33264">
        <w:rPr>
          <w:lang w:val="en-GB"/>
        </w:rPr>
        <w:t>–</w:t>
      </w:r>
      <w:r w:rsidRPr="00A33264">
        <w:rPr>
          <w:lang w:val="en-GB"/>
        </w:rPr>
        <w:t>27</w:t>
      </w:r>
      <w:r w:rsidR="00AD5075">
        <w:rPr>
          <w:lang w:val="en-GB"/>
        </w:rPr>
        <w:t>.</w:t>
      </w:r>
      <w:r w:rsidRPr="00A33264">
        <w:rPr>
          <w:lang w:val="en-GB"/>
        </w:rPr>
        <w:t xml:space="preserve"> </w:t>
      </w:r>
      <w:r w:rsidR="00AD5075">
        <w:rPr>
          <w:lang w:val="en-GB"/>
        </w:rPr>
        <w:t>T</w:t>
      </w:r>
      <w:r w:rsidRPr="00A33264">
        <w:rPr>
          <w:lang w:val="en-GB"/>
        </w:rPr>
        <w:t>his should have been referenced as a ne</w:t>
      </w:r>
      <w:r w:rsidR="004D0E40" w:rsidRPr="00A33264">
        <w:rPr>
          <w:lang w:val="en-GB"/>
        </w:rPr>
        <w:t>w</w:t>
      </w:r>
      <w:r w:rsidRPr="00A33264">
        <w:rPr>
          <w:lang w:val="en-GB"/>
        </w:rPr>
        <w:t xml:space="preserve"> CALD Strategy for 2024</w:t>
      </w:r>
      <w:r w:rsidR="004D0E40" w:rsidRPr="00A33264">
        <w:rPr>
          <w:lang w:val="en-GB"/>
        </w:rPr>
        <w:t>–</w:t>
      </w:r>
      <w:r w:rsidRPr="00A33264">
        <w:rPr>
          <w:lang w:val="en-GB"/>
        </w:rPr>
        <w:t>28.</w:t>
      </w:r>
    </w:p>
    <w:p w14:paraId="611BCFC0" w14:textId="6CF7BE3A" w:rsidR="00057213" w:rsidRPr="00A33264" w:rsidRDefault="00057213" w:rsidP="00D80838">
      <w:pPr>
        <w:pStyle w:val="Bullet1"/>
        <w:rPr>
          <w:lang w:val="en-GB"/>
        </w:rPr>
      </w:pPr>
      <w:r w:rsidRPr="00A33264">
        <w:rPr>
          <w:lang w:val="en-GB"/>
        </w:rPr>
        <w:t>On page 98</w:t>
      </w:r>
      <w:r w:rsidR="004E416F">
        <w:rPr>
          <w:lang w:val="en-GB"/>
        </w:rPr>
        <w:t>,</w:t>
      </w:r>
      <w:r w:rsidRPr="00A33264">
        <w:rPr>
          <w:lang w:val="en-GB"/>
        </w:rPr>
        <w:t xml:space="preserve"> in section 5.2.3 Board and committee attendance, there was an error in </w:t>
      </w:r>
      <w:r w:rsidR="00AD5075">
        <w:rPr>
          <w:lang w:val="en-GB"/>
        </w:rPr>
        <w:t>T</w:t>
      </w:r>
      <w:r w:rsidRPr="00A33264">
        <w:rPr>
          <w:lang w:val="en-GB"/>
        </w:rPr>
        <w:t>able 5.2.3A: Number of meetings attended by Board members in 2022</w:t>
      </w:r>
      <w:r w:rsidR="00AD5075">
        <w:rPr>
          <w:lang w:val="en-GB"/>
        </w:rPr>
        <w:t>–</w:t>
      </w:r>
      <w:r w:rsidRPr="00A33264">
        <w:rPr>
          <w:lang w:val="en-GB"/>
        </w:rPr>
        <w:t>23:</w:t>
      </w:r>
    </w:p>
    <w:p w14:paraId="6A5C7FE8" w14:textId="49229C12" w:rsidR="00057213" w:rsidRPr="00A33264" w:rsidRDefault="00705C90" w:rsidP="00057213">
      <w:pPr>
        <w:pStyle w:val="Bullet2"/>
        <w:rPr>
          <w:lang w:val="en-GB"/>
        </w:rPr>
      </w:pPr>
      <w:r w:rsidRPr="00A33264">
        <w:rPr>
          <w:lang w:val="en-GB"/>
        </w:rPr>
        <w:t>Mr</w:t>
      </w:r>
      <w:r w:rsidR="00057213" w:rsidRPr="00A33264">
        <w:rPr>
          <w:lang w:val="en-GB"/>
        </w:rPr>
        <w:t xml:space="preserve"> Glenn Keys was listed as being eligible to attend 3 Audit Committee meetings, 4 Sustainability Committee meetings and 2 Risk Committee meetings</w:t>
      </w:r>
      <w:r w:rsidR="00AD5075">
        <w:rPr>
          <w:lang w:val="en-GB"/>
        </w:rPr>
        <w:t>.</w:t>
      </w:r>
      <w:r w:rsidR="00057213" w:rsidRPr="00A33264">
        <w:rPr>
          <w:lang w:val="en-GB"/>
        </w:rPr>
        <w:t xml:space="preserve"> </w:t>
      </w:r>
      <w:r w:rsidR="00AD5075">
        <w:rPr>
          <w:lang w:val="en-GB"/>
        </w:rPr>
        <w:t>T</w:t>
      </w:r>
      <w:r w:rsidR="00057213" w:rsidRPr="00A33264">
        <w:rPr>
          <w:lang w:val="en-GB"/>
        </w:rPr>
        <w:t>hese should all have been left blank</w:t>
      </w:r>
      <w:r w:rsidR="004D0E40" w:rsidRPr="00A33264">
        <w:rPr>
          <w:lang w:val="en-GB"/>
        </w:rPr>
        <w:t>,</w:t>
      </w:r>
      <w:r w:rsidR="00057213" w:rsidRPr="00A33264">
        <w:rPr>
          <w:lang w:val="en-GB"/>
        </w:rPr>
        <w:t xml:space="preserve"> as </w:t>
      </w:r>
      <w:r w:rsidRPr="00A33264">
        <w:rPr>
          <w:lang w:val="en-GB"/>
        </w:rPr>
        <w:t>Mr</w:t>
      </w:r>
      <w:r w:rsidR="00057213" w:rsidRPr="00A33264">
        <w:rPr>
          <w:lang w:val="en-GB"/>
        </w:rPr>
        <w:t xml:space="preserve"> Keys was not a member of those committees and </w:t>
      </w:r>
      <w:r w:rsidR="00AD5075">
        <w:rPr>
          <w:lang w:val="en-GB"/>
        </w:rPr>
        <w:t xml:space="preserve">was </w:t>
      </w:r>
      <w:r w:rsidR="00057213" w:rsidRPr="00A33264">
        <w:rPr>
          <w:lang w:val="en-GB"/>
        </w:rPr>
        <w:t>therefore ineligible to attend.</w:t>
      </w:r>
    </w:p>
    <w:p w14:paraId="239FC2C0" w14:textId="40E811C6" w:rsidR="00CB6138" w:rsidRPr="00A33264" w:rsidRDefault="00867E1D" w:rsidP="00057213">
      <w:pPr>
        <w:pStyle w:val="Bullet2"/>
        <w:rPr>
          <w:lang w:val="en-GB"/>
        </w:rPr>
      </w:pPr>
      <w:r w:rsidRPr="00A33264">
        <w:rPr>
          <w:lang w:val="en-GB"/>
        </w:rPr>
        <w:t>Mrs</w:t>
      </w:r>
      <w:r w:rsidR="00CB6138" w:rsidRPr="00A33264">
        <w:rPr>
          <w:lang w:val="en-GB"/>
        </w:rPr>
        <w:t xml:space="preserve"> Joan McKenna Kerr was listed as attending 2 </w:t>
      </w:r>
      <w:r w:rsidR="004D0E40" w:rsidRPr="00A33264">
        <w:rPr>
          <w:lang w:val="en-GB"/>
        </w:rPr>
        <w:t>B</w:t>
      </w:r>
      <w:r w:rsidR="00CB6138" w:rsidRPr="00A33264">
        <w:rPr>
          <w:lang w:val="en-GB"/>
        </w:rPr>
        <w:t xml:space="preserve">oard </w:t>
      </w:r>
      <w:r w:rsidR="007751BE" w:rsidRPr="00A33264">
        <w:rPr>
          <w:lang w:val="en-GB"/>
        </w:rPr>
        <w:t>meetings but</w:t>
      </w:r>
      <w:r w:rsidR="00CB6138" w:rsidRPr="00A33264">
        <w:rPr>
          <w:lang w:val="en-GB"/>
        </w:rPr>
        <w:t xml:space="preserve"> should have been listed as attending one meeting.</w:t>
      </w:r>
    </w:p>
    <w:p w14:paraId="21680BCF" w14:textId="18C82A5C" w:rsidR="00166C72" w:rsidRPr="00A33264" w:rsidRDefault="00166C72" w:rsidP="00166C72">
      <w:pPr>
        <w:pStyle w:val="Bullet1"/>
        <w:rPr>
          <w:lang w:val="en-GB"/>
        </w:rPr>
      </w:pPr>
      <w:r w:rsidRPr="00A33264">
        <w:rPr>
          <w:lang w:val="en-GB"/>
        </w:rPr>
        <w:t>On page 129</w:t>
      </w:r>
      <w:r w:rsidR="004E416F">
        <w:rPr>
          <w:lang w:val="en-GB"/>
        </w:rPr>
        <w:t>,</w:t>
      </w:r>
      <w:r w:rsidRPr="00A33264">
        <w:rPr>
          <w:lang w:val="en-GB"/>
        </w:rPr>
        <w:t xml:space="preserve"> in section 6.6.2 Information about remuneration of key management personnel, there was an error in </w:t>
      </w:r>
      <w:r w:rsidR="00AD5075">
        <w:rPr>
          <w:lang w:val="en-GB"/>
        </w:rPr>
        <w:t>T</w:t>
      </w:r>
      <w:r w:rsidRPr="00A33264">
        <w:rPr>
          <w:lang w:val="en-GB"/>
        </w:rPr>
        <w:t>able 6.6.2A: Key management personnel remuneration:</w:t>
      </w:r>
    </w:p>
    <w:p w14:paraId="14336868" w14:textId="6E89726E" w:rsidR="00D80838" w:rsidRPr="00A33264" w:rsidRDefault="00166C72" w:rsidP="00166C72">
      <w:pPr>
        <w:pStyle w:val="Bullet2"/>
        <w:rPr>
          <w:lang w:val="en-GB"/>
        </w:rPr>
      </w:pPr>
      <w:r w:rsidRPr="00A33264">
        <w:rPr>
          <w:lang w:val="en-GB"/>
        </w:rPr>
        <w:lastRenderedPageBreak/>
        <w:t xml:space="preserve">The base salary figure for Hamish Aikman should </w:t>
      </w:r>
      <w:r w:rsidR="00AD5075">
        <w:rPr>
          <w:lang w:val="en-GB"/>
        </w:rPr>
        <w:t xml:space="preserve">have </w:t>
      </w:r>
      <w:r w:rsidRPr="00A33264">
        <w:rPr>
          <w:lang w:val="en-GB"/>
        </w:rPr>
        <w:t>be</w:t>
      </w:r>
      <w:r w:rsidR="00AD5075">
        <w:rPr>
          <w:lang w:val="en-GB"/>
        </w:rPr>
        <w:t>en</w:t>
      </w:r>
      <w:r w:rsidRPr="00A33264">
        <w:rPr>
          <w:lang w:val="en-GB"/>
        </w:rPr>
        <w:t xml:space="preserve"> $317,037</w:t>
      </w:r>
      <w:r w:rsidR="00AD5075">
        <w:rPr>
          <w:lang w:val="en-GB"/>
        </w:rPr>
        <w:t>,</w:t>
      </w:r>
      <w:r w:rsidRPr="00A33264">
        <w:rPr>
          <w:lang w:val="en-GB"/>
        </w:rPr>
        <w:t xml:space="preserve"> with other benefits and allowances $0, </w:t>
      </w:r>
      <w:r w:rsidR="00AD5075">
        <w:rPr>
          <w:lang w:val="en-GB"/>
        </w:rPr>
        <w:t>s</w:t>
      </w:r>
      <w:r w:rsidRPr="00A33264">
        <w:rPr>
          <w:lang w:val="en-GB"/>
        </w:rPr>
        <w:t xml:space="preserve">uperannuation $17,608 and </w:t>
      </w:r>
      <w:r w:rsidR="00AD5075">
        <w:rPr>
          <w:lang w:val="en-GB"/>
        </w:rPr>
        <w:t>l</w:t>
      </w:r>
      <w:r w:rsidRPr="00A33264">
        <w:rPr>
          <w:lang w:val="en-GB"/>
        </w:rPr>
        <w:t xml:space="preserve">ong </w:t>
      </w:r>
      <w:r w:rsidR="00AD5075">
        <w:rPr>
          <w:lang w:val="en-GB"/>
        </w:rPr>
        <w:t>s</w:t>
      </w:r>
      <w:r w:rsidRPr="00A33264">
        <w:rPr>
          <w:lang w:val="en-GB"/>
        </w:rPr>
        <w:t xml:space="preserve">ervice </w:t>
      </w:r>
      <w:r w:rsidR="00AD5075">
        <w:rPr>
          <w:lang w:val="en-GB"/>
        </w:rPr>
        <w:t>l</w:t>
      </w:r>
      <w:r w:rsidRPr="00A33264">
        <w:rPr>
          <w:lang w:val="en-GB"/>
        </w:rPr>
        <w:t xml:space="preserve">eave $8,013. Total </w:t>
      </w:r>
      <w:r w:rsidR="00AD5075">
        <w:rPr>
          <w:lang w:val="en-GB"/>
        </w:rPr>
        <w:t>r</w:t>
      </w:r>
      <w:r w:rsidRPr="00A33264">
        <w:rPr>
          <w:lang w:val="en-GB"/>
        </w:rPr>
        <w:t xml:space="preserve">emuneration should </w:t>
      </w:r>
      <w:r w:rsidR="00AD5075">
        <w:rPr>
          <w:lang w:val="en-GB"/>
        </w:rPr>
        <w:t xml:space="preserve">have </w:t>
      </w:r>
      <w:r w:rsidRPr="00A33264">
        <w:rPr>
          <w:lang w:val="en-GB"/>
        </w:rPr>
        <w:t>be</w:t>
      </w:r>
      <w:r w:rsidR="00AD5075">
        <w:rPr>
          <w:lang w:val="en-GB"/>
        </w:rPr>
        <w:t>en</w:t>
      </w:r>
      <w:r w:rsidRPr="00A33264">
        <w:rPr>
          <w:lang w:val="en-GB"/>
        </w:rPr>
        <w:t xml:space="preserve"> $342,658.</w:t>
      </w:r>
    </w:p>
    <w:p w14:paraId="285D81C4" w14:textId="5844F29E" w:rsidR="00FD3D46" w:rsidRDefault="00FD3D46" w:rsidP="00FD3D46">
      <w:pPr>
        <w:pStyle w:val="Heading3"/>
        <w:rPr>
          <w:lang w:val="en-GB"/>
        </w:rPr>
      </w:pPr>
      <w:bookmarkStart w:id="445" w:name="_Toc176786415"/>
      <w:bookmarkStart w:id="446" w:name="_Toc180505697"/>
      <w:bookmarkStart w:id="447" w:name="_Toc169593032"/>
      <w:bookmarkStart w:id="448" w:name="_Toc174354221"/>
      <w:bookmarkStart w:id="449" w:name="_Toc174354234"/>
      <w:bookmarkStart w:id="450" w:name="_Toc175316925"/>
      <w:r>
        <w:rPr>
          <w:lang w:val="en-GB"/>
        </w:rPr>
        <w:t>Glossary</w:t>
      </w:r>
      <w:bookmarkEnd w:id="445"/>
      <w:bookmarkEnd w:id="446"/>
    </w:p>
    <w:p w14:paraId="2945B93B" w14:textId="4A0BF115" w:rsidR="00FD3D46" w:rsidRPr="00F34525" w:rsidRDefault="00FD3D46" w:rsidP="00FD3D46">
      <w:pPr>
        <w:pStyle w:val="Heading4"/>
        <w:rPr>
          <w:lang w:val="en-GB"/>
        </w:rPr>
      </w:pPr>
      <w:r>
        <w:rPr>
          <w:lang w:val="en-GB"/>
        </w:rPr>
        <w:t>Definitions</w:t>
      </w:r>
    </w:p>
    <w:tbl>
      <w:tblPr>
        <w:tblStyle w:val="GridTable411"/>
        <w:tblW w:w="9253" w:type="dxa"/>
        <w:tblCellMar>
          <w:top w:w="28" w:type="dxa"/>
          <w:left w:w="28" w:type="dxa"/>
          <w:bottom w:w="28" w:type="dxa"/>
          <w:right w:w="28" w:type="dxa"/>
        </w:tblCellMar>
        <w:tblLook w:val="0420" w:firstRow="1" w:lastRow="0" w:firstColumn="0" w:lastColumn="0" w:noHBand="0" w:noVBand="1"/>
      </w:tblPr>
      <w:tblGrid>
        <w:gridCol w:w="2830"/>
        <w:gridCol w:w="6423"/>
      </w:tblGrid>
      <w:tr w:rsidR="00FD3D46" w:rsidRPr="00FC6941" w14:paraId="3F7A50D5" w14:textId="77777777" w:rsidTr="00FD3D46">
        <w:trPr>
          <w:cnfStyle w:val="100000000000" w:firstRow="1" w:lastRow="0" w:firstColumn="0" w:lastColumn="0" w:oddVBand="0" w:evenVBand="0" w:oddHBand="0" w:evenHBand="0" w:firstRowFirstColumn="0" w:firstRowLastColumn="0" w:lastRowFirstColumn="0" w:lastRowLastColumn="0"/>
          <w:cantSplit/>
        </w:trPr>
        <w:tc>
          <w:tcPr>
            <w:tcW w:w="2830" w:type="dxa"/>
            <w:tcBorders>
              <w:top w:val="single" w:sz="4" w:space="0" w:color="6B2876"/>
              <w:bottom w:val="single" w:sz="4" w:space="0" w:color="6B2876"/>
            </w:tcBorders>
          </w:tcPr>
          <w:p w14:paraId="599954FD" w14:textId="73081079" w:rsidR="00FD3D46" w:rsidRPr="00FC6941" w:rsidRDefault="00FD3D46">
            <w:pPr>
              <w:spacing w:before="100" w:after="100"/>
              <w:rPr>
                <w:rFonts w:eastAsia="MS Mincho" w:cs="Arial"/>
                <w:lang w:val="en-GB"/>
              </w:rPr>
            </w:pPr>
            <w:bookmarkStart w:id="451" w:name="ColumnTitle_Definitions"/>
            <w:bookmarkEnd w:id="451"/>
            <w:r>
              <w:rPr>
                <w:rFonts w:eastAsia="MS Mincho" w:cs="Arial"/>
                <w:lang w:val="en-GB"/>
              </w:rPr>
              <w:t>Term</w:t>
            </w:r>
          </w:p>
        </w:tc>
        <w:tc>
          <w:tcPr>
            <w:tcW w:w="6423" w:type="dxa"/>
            <w:tcBorders>
              <w:top w:val="single" w:sz="4" w:space="0" w:color="6B2876"/>
              <w:bottom w:val="single" w:sz="4" w:space="0" w:color="6B2876"/>
            </w:tcBorders>
          </w:tcPr>
          <w:p w14:paraId="6A5E51F0" w14:textId="28318572" w:rsidR="00FD3D46" w:rsidRPr="00FC6941" w:rsidRDefault="00FD3D46">
            <w:pPr>
              <w:spacing w:before="100" w:after="100"/>
              <w:rPr>
                <w:rFonts w:eastAsia="MS Mincho" w:cs="Arial"/>
                <w:lang w:val="en-GB"/>
              </w:rPr>
            </w:pPr>
            <w:r>
              <w:rPr>
                <w:rFonts w:eastAsia="MS Mincho" w:cs="Arial"/>
                <w:lang w:val="en-GB"/>
              </w:rPr>
              <w:t>Definition</w:t>
            </w:r>
          </w:p>
        </w:tc>
      </w:tr>
      <w:tr w:rsidR="0023438D" w:rsidRPr="00FC6941" w14:paraId="439D8CA2" w14:textId="77777777" w:rsidTr="00FD3D46">
        <w:trPr>
          <w:cnfStyle w:val="000000100000" w:firstRow="0" w:lastRow="0" w:firstColumn="0" w:lastColumn="0" w:oddVBand="0" w:evenVBand="0" w:oddHBand="1" w:evenHBand="0" w:firstRowFirstColumn="0" w:firstRowLastColumn="0" w:lastRowFirstColumn="0" w:lastRowLastColumn="0"/>
          <w:cantSplit/>
        </w:trPr>
        <w:tc>
          <w:tcPr>
            <w:tcW w:w="2830" w:type="dxa"/>
          </w:tcPr>
          <w:p w14:paraId="527BE3C1" w14:textId="2F1C9CAD" w:rsidR="0023438D" w:rsidRPr="00FC6941" w:rsidRDefault="0023438D" w:rsidP="0023438D">
            <w:pPr>
              <w:spacing w:before="100" w:after="100"/>
              <w:rPr>
                <w:rFonts w:eastAsia="MS Mincho" w:cs="Arial"/>
                <w:lang w:val="en-GB"/>
              </w:rPr>
            </w:pPr>
            <w:r w:rsidRPr="00EC7B58">
              <w:t>Administrative Appeals Tribunal (AAT)</w:t>
            </w:r>
          </w:p>
        </w:tc>
        <w:tc>
          <w:tcPr>
            <w:tcW w:w="6423" w:type="dxa"/>
          </w:tcPr>
          <w:p w14:paraId="75DD3DEC" w14:textId="2F0A99A6" w:rsidR="0023438D" w:rsidRPr="00FC6941" w:rsidRDefault="0023438D" w:rsidP="0023438D">
            <w:pPr>
              <w:spacing w:before="100" w:after="100"/>
              <w:rPr>
                <w:rFonts w:eastAsia="MS Mincho" w:cs="Arial"/>
                <w:lang w:val="en-GB"/>
              </w:rPr>
            </w:pPr>
            <w:r w:rsidRPr="00EC7B58">
              <w:t>An independent body that conducts reviews of administrative decisions made under Commonwealth laws.</w:t>
            </w:r>
          </w:p>
        </w:tc>
      </w:tr>
      <w:tr w:rsidR="00FD3D46" w:rsidRPr="00FC6941" w14:paraId="1A6A9797" w14:textId="77777777" w:rsidTr="00FD3D46">
        <w:trPr>
          <w:cantSplit/>
        </w:trPr>
        <w:tc>
          <w:tcPr>
            <w:tcW w:w="2830" w:type="dxa"/>
          </w:tcPr>
          <w:p w14:paraId="0E28ED1C" w14:textId="2D7E770B" w:rsidR="00FD3D46" w:rsidRPr="00FC6941" w:rsidRDefault="00593271">
            <w:pPr>
              <w:spacing w:before="100" w:after="100"/>
              <w:rPr>
                <w:rFonts w:eastAsia="MS Mincho" w:cs="Arial"/>
                <w:lang w:val="en-GB"/>
              </w:rPr>
            </w:pPr>
            <w:r w:rsidRPr="00593271">
              <w:rPr>
                <w:rFonts w:eastAsia="MS Mincho" w:cs="Arial"/>
              </w:rPr>
              <w:t>Disability sector</w:t>
            </w:r>
          </w:p>
        </w:tc>
        <w:tc>
          <w:tcPr>
            <w:tcW w:w="6423" w:type="dxa"/>
          </w:tcPr>
          <w:p w14:paraId="531CFEDF" w14:textId="5679C8EE" w:rsidR="00FD3D46" w:rsidRPr="00FC6941" w:rsidRDefault="008600AF">
            <w:pPr>
              <w:spacing w:before="100" w:after="100"/>
              <w:rPr>
                <w:rFonts w:eastAsia="MS Mincho" w:cs="Arial"/>
                <w:lang w:val="en-GB"/>
              </w:rPr>
            </w:pPr>
            <w:r w:rsidRPr="008600AF">
              <w:rPr>
                <w:rFonts w:eastAsia="MS Mincho" w:cs="Arial"/>
              </w:rPr>
              <w:t>Refers to organisations and sole traders who deliver disability support services and the peak bodies that represent them.</w:t>
            </w:r>
          </w:p>
        </w:tc>
      </w:tr>
      <w:tr w:rsidR="003359CA" w:rsidRPr="00FC6941" w14:paraId="71178453" w14:textId="77777777" w:rsidTr="00FD3D46">
        <w:trPr>
          <w:cnfStyle w:val="000000100000" w:firstRow="0" w:lastRow="0" w:firstColumn="0" w:lastColumn="0" w:oddVBand="0" w:evenVBand="0" w:oddHBand="1" w:evenHBand="0" w:firstRowFirstColumn="0" w:firstRowLastColumn="0" w:lastRowFirstColumn="0" w:lastRowLastColumn="0"/>
          <w:cantSplit/>
        </w:trPr>
        <w:tc>
          <w:tcPr>
            <w:tcW w:w="2830" w:type="dxa"/>
          </w:tcPr>
          <w:p w14:paraId="064648E3" w14:textId="3B73E0E6" w:rsidR="003359CA" w:rsidRPr="00FC6941" w:rsidRDefault="00AE51C6" w:rsidP="003359CA">
            <w:pPr>
              <w:spacing w:before="100" w:after="100"/>
              <w:rPr>
                <w:rFonts w:eastAsia="MS Mincho" w:cs="Arial"/>
                <w:highlight w:val="yellow"/>
                <w:lang w:val="en-GB"/>
              </w:rPr>
            </w:pPr>
            <w:r w:rsidRPr="00AE51C6">
              <w:rPr>
                <w:rFonts w:eastAsia="MS Mincho" w:cs="Arial"/>
              </w:rPr>
              <w:t>Early childhood approach</w:t>
            </w:r>
          </w:p>
        </w:tc>
        <w:tc>
          <w:tcPr>
            <w:tcW w:w="6423" w:type="dxa"/>
          </w:tcPr>
          <w:p w14:paraId="5166D573" w14:textId="37244359" w:rsidR="003359CA" w:rsidRPr="00FC6941" w:rsidRDefault="00596BE0" w:rsidP="003359CA">
            <w:pPr>
              <w:spacing w:before="100" w:after="100"/>
              <w:rPr>
                <w:rFonts w:eastAsia="MS Mincho" w:cs="Arial"/>
                <w:lang w:val="en-GB"/>
              </w:rPr>
            </w:pPr>
            <w:r w:rsidRPr="00596BE0">
              <w:rPr>
                <w:rFonts w:eastAsia="MS Mincho" w:cs="Arial"/>
              </w:rPr>
              <w:t>The early childhood approach supports children younger than 6 with developmental delay or children younger than 9 with disability, and their families and carers, to develop the skills they need to participate in daily activities and achieve the best possible outcomes throughout their life.</w:t>
            </w:r>
          </w:p>
        </w:tc>
      </w:tr>
      <w:tr w:rsidR="009F7035" w:rsidRPr="00FC6941" w14:paraId="0653D451" w14:textId="77777777" w:rsidTr="00FD3D46">
        <w:trPr>
          <w:cantSplit/>
        </w:trPr>
        <w:tc>
          <w:tcPr>
            <w:tcW w:w="2830" w:type="dxa"/>
          </w:tcPr>
          <w:p w14:paraId="0EFFD23D" w14:textId="0685BE7A" w:rsidR="009F7035" w:rsidRPr="00FC6941" w:rsidRDefault="00596BE0">
            <w:pPr>
              <w:spacing w:before="100" w:after="100"/>
              <w:rPr>
                <w:rFonts w:eastAsia="MS Mincho" w:cs="Arial"/>
                <w:highlight w:val="yellow"/>
                <w:lang w:val="en-GB"/>
              </w:rPr>
            </w:pPr>
            <w:r w:rsidRPr="00596BE0">
              <w:rPr>
                <w:rFonts w:eastAsia="MS Mincho" w:cs="Arial"/>
              </w:rPr>
              <w:t>Local area coordination partners</w:t>
            </w:r>
          </w:p>
        </w:tc>
        <w:tc>
          <w:tcPr>
            <w:tcW w:w="6423" w:type="dxa"/>
          </w:tcPr>
          <w:p w14:paraId="07313891" w14:textId="78BD529D" w:rsidR="009F7035" w:rsidRPr="00FC6941" w:rsidRDefault="004E059D">
            <w:pPr>
              <w:spacing w:before="100" w:after="100"/>
              <w:rPr>
                <w:rFonts w:eastAsia="MS Mincho" w:cs="Arial"/>
                <w:lang w:val="en-GB"/>
              </w:rPr>
            </w:pPr>
            <w:r w:rsidRPr="004E059D">
              <w:rPr>
                <w:rFonts w:eastAsia="MS Mincho" w:cs="Arial"/>
              </w:rPr>
              <w:t>Local organisations working in partnership with the NDIA, to help participants, their families and carers access the NDIS.</w:t>
            </w:r>
          </w:p>
        </w:tc>
      </w:tr>
      <w:tr w:rsidR="009F7035" w:rsidRPr="00FC6941" w14:paraId="349C1C9C" w14:textId="77777777" w:rsidTr="00FD3D46">
        <w:trPr>
          <w:cnfStyle w:val="000000100000" w:firstRow="0" w:lastRow="0" w:firstColumn="0" w:lastColumn="0" w:oddVBand="0" w:evenVBand="0" w:oddHBand="1" w:evenHBand="0" w:firstRowFirstColumn="0" w:firstRowLastColumn="0" w:lastRowFirstColumn="0" w:lastRowLastColumn="0"/>
          <w:cantSplit/>
        </w:trPr>
        <w:tc>
          <w:tcPr>
            <w:tcW w:w="2830" w:type="dxa"/>
          </w:tcPr>
          <w:p w14:paraId="4A971826" w14:textId="59F5DCBF" w:rsidR="009F7035" w:rsidRPr="00FC6941" w:rsidRDefault="004E059D">
            <w:pPr>
              <w:spacing w:before="100" w:after="100"/>
              <w:rPr>
                <w:rFonts w:eastAsia="MS Mincho" w:cs="Arial"/>
                <w:highlight w:val="yellow"/>
                <w:lang w:val="en-GB"/>
              </w:rPr>
            </w:pPr>
            <w:r w:rsidRPr="004E059D">
              <w:rPr>
                <w:rFonts w:eastAsia="MS Mincho" w:cs="Arial"/>
              </w:rPr>
              <w:t>Partners in the community (PITC)</w:t>
            </w:r>
          </w:p>
        </w:tc>
        <w:tc>
          <w:tcPr>
            <w:tcW w:w="6423" w:type="dxa"/>
          </w:tcPr>
          <w:p w14:paraId="21863496" w14:textId="6ADDB3F9" w:rsidR="009F7035" w:rsidRPr="00FC6941" w:rsidRDefault="004B0C9B">
            <w:pPr>
              <w:spacing w:before="100" w:after="100"/>
              <w:rPr>
                <w:rFonts w:eastAsia="MS Mincho" w:cs="Arial"/>
                <w:lang w:val="en-GB"/>
              </w:rPr>
            </w:pPr>
            <w:r w:rsidRPr="004B0C9B">
              <w:rPr>
                <w:rFonts w:eastAsia="MS Mincho" w:cs="Arial"/>
              </w:rPr>
              <w:t>Experienced and qualified organisations with strong local knowledge and understanding of the needs of people with disability. PITCs work with the NDIA to deliver early childhood and local area coordination services to Australians with disability and children younger than 6 with delays in their development.</w:t>
            </w:r>
          </w:p>
        </w:tc>
      </w:tr>
      <w:tr w:rsidR="009F7035" w:rsidRPr="00FC6941" w14:paraId="02F839D7" w14:textId="77777777" w:rsidTr="00FD3D46">
        <w:trPr>
          <w:cantSplit/>
        </w:trPr>
        <w:tc>
          <w:tcPr>
            <w:tcW w:w="2830" w:type="dxa"/>
          </w:tcPr>
          <w:p w14:paraId="16A0D90C" w14:textId="2A289FE5" w:rsidR="009F7035" w:rsidRPr="00FC6941" w:rsidRDefault="004B0C9B">
            <w:pPr>
              <w:spacing w:before="100" w:after="100"/>
              <w:rPr>
                <w:rFonts w:eastAsia="MS Mincho" w:cs="Arial"/>
                <w:highlight w:val="yellow"/>
                <w:lang w:val="en-GB"/>
              </w:rPr>
            </w:pPr>
            <w:r w:rsidRPr="004B0C9B">
              <w:rPr>
                <w:rFonts w:eastAsia="MS Mincho" w:cs="Arial"/>
                <w:lang w:val="en-GB"/>
              </w:rPr>
              <w:t>Plan</w:t>
            </w:r>
          </w:p>
        </w:tc>
        <w:tc>
          <w:tcPr>
            <w:tcW w:w="6423" w:type="dxa"/>
          </w:tcPr>
          <w:p w14:paraId="33B35CB4" w14:textId="2BD41DEF" w:rsidR="009F7035" w:rsidRPr="00FC6941" w:rsidRDefault="00F34525">
            <w:pPr>
              <w:spacing w:before="100" w:after="100"/>
              <w:rPr>
                <w:rFonts w:eastAsia="MS Mincho" w:cs="Arial"/>
                <w:lang w:val="en-GB"/>
              </w:rPr>
            </w:pPr>
            <w:r w:rsidRPr="00F34525">
              <w:rPr>
                <w:rFonts w:eastAsia="MS Mincho" w:cs="Arial"/>
              </w:rPr>
              <w:t>A written agreement worked out with the participant, stating their goals and needs, and the reasonable and necessary supports the NDIS will fund for them. Each participant has their own individual plan.</w:t>
            </w:r>
          </w:p>
        </w:tc>
      </w:tr>
      <w:tr w:rsidR="009F7035" w:rsidRPr="00FC6941" w14:paraId="585C3A9C" w14:textId="77777777" w:rsidTr="00FD3D46">
        <w:trPr>
          <w:cnfStyle w:val="000000100000" w:firstRow="0" w:lastRow="0" w:firstColumn="0" w:lastColumn="0" w:oddVBand="0" w:evenVBand="0" w:oddHBand="1" w:evenHBand="0" w:firstRowFirstColumn="0" w:firstRowLastColumn="0" w:lastRowFirstColumn="0" w:lastRowLastColumn="0"/>
          <w:cantSplit/>
        </w:trPr>
        <w:tc>
          <w:tcPr>
            <w:tcW w:w="2830" w:type="dxa"/>
          </w:tcPr>
          <w:p w14:paraId="47E1D077" w14:textId="058DD48C" w:rsidR="009F7035" w:rsidRPr="00FC6941" w:rsidRDefault="00F34525">
            <w:pPr>
              <w:spacing w:before="100" w:after="100"/>
              <w:rPr>
                <w:rFonts w:eastAsia="MS Mincho" w:cs="Arial"/>
                <w:highlight w:val="yellow"/>
                <w:lang w:val="en-GB"/>
              </w:rPr>
            </w:pPr>
            <w:r w:rsidRPr="00F34525">
              <w:rPr>
                <w:rFonts w:eastAsia="MS Mincho" w:cs="Arial"/>
              </w:rPr>
              <w:t>Supported independent living</w:t>
            </w:r>
          </w:p>
        </w:tc>
        <w:tc>
          <w:tcPr>
            <w:tcW w:w="6423" w:type="dxa"/>
          </w:tcPr>
          <w:p w14:paraId="3D0733D5" w14:textId="49813770" w:rsidR="009F7035" w:rsidRPr="00FC6941" w:rsidRDefault="00F34525">
            <w:pPr>
              <w:spacing w:before="100" w:after="100"/>
              <w:rPr>
                <w:rFonts w:eastAsia="MS Mincho" w:cs="Arial"/>
                <w:lang w:val="en-GB"/>
              </w:rPr>
            </w:pPr>
            <w:r w:rsidRPr="00F34525">
              <w:rPr>
                <w:rFonts w:eastAsia="MS Mincho" w:cs="Arial"/>
              </w:rPr>
              <w:t>One type of help or supervision with daily tasks to help participants live as independently as possible, while building their skills.</w:t>
            </w:r>
          </w:p>
        </w:tc>
      </w:tr>
    </w:tbl>
    <w:p w14:paraId="60298B80" w14:textId="37C4BE2C" w:rsidR="00FD3D46" w:rsidRPr="005A6441" w:rsidRDefault="00FD3D46" w:rsidP="00FD3D46">
      <w:pPr>
        <w:pStyle w:val="Heading4"/>
        <w:rPr>
          <w:lang w:val="en-GB"/>
        </w:rPr>
      </w:pPr>
      <w:r>
        <w:rPr>
          <w:lang w:val="en-GB"/>
        </w:rPr>
        <w:lastRenderedPageBreak/>
        <w:t>Acronyms</w:t>
      </w:r>
    </w:p>
    <w:tbl>
      <w:tblPr>
        <w:tblStyle w:val="GridTable411"/>
        <w:tblW w:w="9253" w:type="dxa"/>
        <w:tblCellMar>
          <w:top w:w="28" w:type="dxa"/>
          <w:left w:w="28" w:type="dxa"/>
          <w:bottom w:w="28" w:type="dxa"/>
          <w:right w:w="28" w:type="dxa"/>
        </w:tblCellMar>
        <w:tblLook w:val="0420" w:firstRow="1" w:lastRow="0" w:firstColumn="0" w:lastColumn="0" w:noHBand="0" w:noVBand="1"/>
      </w:tblPr>
      <w:tblGrid>
        <w:gridCol w:w="2830"/>
        <w:gridCol w:w="6423"/>
      </w:tblGrid>
      <w:tr w:rsidR="00FD3D46" w:rsidRPr="00FC6941" w14:paraId="4FC1E993" w14:textId="77777777">
        <w:trPr>
          <w:cnfStyle w:val="100000000000" w:firstRow="1" w:lastRow="0" w:firstColumn="0" w:lastColumn="0" w:oddVBand="0" w:evenVBand="0" w:oddHBand="0" w:evenHBand="0" w:firstRowFirstColumn="0" w:firstRowLastColumn="0" w:lastRowFirstColumn="0" w:lastRowLastColumn="0"/>
          <w:cantSplit/>
        </w:trPr>
        <w:tc>
          <w:tcPr>
            <w:tcW w:w="2830" w:type="dxa"/>
            <w:tcBorders>
              <w:top w:val="single" w:sz="4" w:space="0" w:color="6B2876"/>
              <w:bottom w:val="single" w:sz="4" w:space="0" w:color="6B2876"/>
            </w:tcBorders>
          </w:tcPr>
          <w:p w14:paraId="012969D0" w14:textId="77777777" w:rsidR="00FD3D46" w:rsidRPr="00FC6941" w:rsidRDefault="00FD3D46">
            <w:pPr>
              <w:spacing w:before="100" w:after="100"/>
              <w:rPr>
                <w:rFonts w:eastAsia="MS Mincho" w:cs="Arial"/>
                <w:lang w:val="en-GB"/>
              </w:rPr>
            </w:pPr>
            <w:bookmarkStart w:id="452" w:name="ColumnTitle_Acronyms"/>
            <w:bookmarkEnd w:id="452"/>
            <w:r>
              <w:rPr>
                <w:rFonts w:eastAsia="MS Mincho" w:cs="Arial"/>
                <w:lang w:val="en-GB"/>
              </w:rPr>
              <w:t>Term</w:t>
            </w:r>
          </w:p>
        </w:tc>
        <w:tc>
          <w:tcPr>
            <w:tcW w:w="6423" w:type="dxa"/>
            <w:tcBorders>
              <w:top w:val="single" w:sz="4" w:space="0" w:color="6B2876"/>
              <w:bottom w:val="single" w:sz="4" w:space="0" w:color="6B2876"/>
            </w:tcBorders>
          </w:tcPr>
          <w:p w14:paraId="2CCD0191" w14:textId="77777777" w:rsidR="00FD3D46" w:rsidRPr="00FC6941" w:rsidRDefault="00FD3D46">
            <w:pPr>
              <w:spacing w:before="100" w:after="100"/>
              <w:rPr>
                <w:rFonts w:eastAsia="MS Mincho" w:cs="Arial"/>
                <w:lang w:val="en-GB"/>
              </w:rPr>
            </w:pPr>
            <w:r>
              <w:rPr>
                <w:rFonts w:eastAsia="MS Mincho" w:cs="Arial"/>
                <w:lang w:val="en-GB"/>
              </w:rPr>
              <w:t>Definition</w:t>
            </w:r>
          </w:p>
        </w:tc>
      </w:tr>
      <w:tr w:rsidR="00FD3D46" w:rsidRPr="00FC6941" w14:paraId="6B0FEBF7" w14:textId="77777777">
        <w:trPr>
          <w:cnfStyle w:val="000000100000" w:firstRow="0" w:lastRow="0" w:firstColumn="0" w:lastColumn="0" w:oddVBand="0" w:evenVBand="0" w:oddHBand="1" w:evenHBand="0" w:firstRowFirstColumn="0" w:firstRowLastColumn="0" w:lastRowFirstColumn="0" w:lastRowLastColumn="0"/>
          <w:cantSplit/>
        </w:trPr>
        <w:tc>
          <w:tcPr>
            <w:tcW w:w="2830" w:type="dxa"/>
          </w:tcPr>
          <w:p w14:paraId="5D2A7FD5" w14:textId="4AE69A36" w:rsidR="00FD3D46" w:rsidRPr="00FC6941" w:rsidRDefault="003F7DD7">
            <w:pPr>
              <w:spacing w:before="100" w:after="100"/>
              <w:rPr>
                <w:rFonts w:eastAsia="MS Mincho" w:cs="Arial"/>
                <w:lang w:val="en-GB"/>
              </w:rPr>
            </w:pPr>
            <w:r>
              <w:rPr>
                <w:rFonts w:eastAsia="MS Mincho" w:cs="Arial"/>
                <w:lang w:val="en-GB"/>
              </w:rPr>
              <w:t>AAT</w:t>
            </w:r>
          </w:p>
        </w:tc>
        <w:tc>
          <w:tcPr>
            <w:tcW w:w="6423" w:type="dxa"/>
          </w:tcPr>
          <w:p w14:paraId="42770537" w14:textId="2C5968A7" w:rsidR="00FD3D46" w:rsidRPr="00FC6941" w:rsidRDefault="00681C8B">
            <w:pPr>
              <w:spacing w:before="100" w:after="100"/>
              <w:rPr>
                <w:rFonts w:eastAsia="MS Mincho" w:cs="Arial"/>
                <w:lang w:val="en-GB"/>
              </w:rPr>
            </w:pPr>
            <w:r w:rsidRPr="00681C8B">
              <w:rPr>
                <w:rFonts w:eastAsia="MS Mincho" w:cs="Arial"/>
              </w:rPr>
              <w:t>Administrative Appeals Tribunal</w:t>
            </w:r>
          </w:p>
        </w:tc>
      </w:tr>
      <w:tr w:rsidR="00FD3D46" w:rsidRPr="00FC6941" w14:paraId="22FC0038" w14:textId="77777777">
        <w:trPr>
          <w:cantSplit/>
        </w:trPr>
        <w:tc>
          <w:tcPr>
            <w:tcW w:w="2830" w:type="dxa"/>
          </w:tcPr>
          <w:p w14:paraId="5CDC4C87" w14:textId="1DD4C266" w:rsidR="00FD3D46" w:rsidRPr="00FC6941" w:rsidRDefault="00681C8B">
            <w:pPr>
              <w:spacing w:before="100" w:after="100"/>
              <w:rPr>
                <w:rFonts w:eastAsia="MS Mincho" w:cs="Arial"/>
                <w:lang w:val="en-GB"/>
              </w:rPr>
            </w:pPr>
            <w:r>
              <w:rPr>
                <w:rFonts w:eastAsia="MS Mincho" w:cs="Arial"/>
                <w:lang w:val="en-GB"/>
              </w:rPr>
              <w:t>ABS</w:t>
            </w:r>
          </w:p>
        </w:tc>
        <w:tc>
          <w:tcPr>
            <w:tcW w:w="6423" w:type="dxa"/>
          </w:tcPr>
          <w:p w14:paraId="0A70C32B" w14:textId="72F7EE6A" w:rsidR="00FD3D46" w:rsidRPr="00FC6941" w:rsidRDefault="00681C8B">
            <w:pPr>
              <w:spacing w:before="100" w:after="100"/>
              <w:rPr>
                <w:rFonts w:eastAsia="MS Mincho" w:cs="Arial"/>
                <w:lang w:val="en-GB"/>
              </w:rPr>
            </w:pPr>
            <w:r w:rsidRPr="00681C8B">
              <w:rPr>
                <w:rFonts w:eastAsia="MS Mincho" w:cs="Arial"/>
              </w:rPr>
              <w:t>Australian Bureau of Statistics</w:t>
            </w:r>
          </w:p>
        </w:tc>
      </w:tr>
      <w:tr w:rsidR="00FD3D46" w:rsidRPr="00FC6941" w14:paraId="0C0CEB3E" w14:textId="77777777">
        <w:trPr>
          <w:cnfStyle w:val="000000100000" w:firstRow="0" w:lastRow="0" w:firstColumn="0" w:lastColumn="0" w:oddVBand="0" w:evenVBand="0" w:oddHBand="1" w:evenHBand="0" w:firstRowFirstColumn="0" w:firstRowLastColumn="0" w:lastRowFirstColumn="0" w:lastRowLastColumn="0"/>
          <w:cantSplit/>
        </w:trPr>
        <w:tc>
          <w:tcPr>
            <w:tcW w:w="2830" w:type="dxa"/>
          </w:tcPr>
          <w:p w14:paraId="38A135A4" w14:textId="3ECD1C8B" w:rsidR="00FD3D46" w:rsidRPr="00FC6941" w:rsidRDefault="00681C8B">
            <w:pPr>
              <w:spacing w:before="100" w:after="100"/>
              <w:rPr>
                <w:rFonts w:eastAsia="MS Mincho" w:cs="Arial"/>
                <w:highlight w:val="yellow"/>
                <w:lang w:val="en-GB"/>
              </w:rPr>
            </w:pPr>
            <w:r w:rsidRPr="00681C8B">
              <w:rPr>
                <w:rFonts w:eastAsia="MS Mincho" w:cs="Arial"/>
                <w:lang w:val="en-GB"/>
              </w:rPr>
              <w:t>AFSR</w:t>
            </w:r>
          </w:p>
        </w:tc>
        <w:tc>
          <w:tcPr>
            <w:tcW w:w="6423" w:type="dxa"/>
          </w:tcPr>
          <w:p w14:paraId="1B93B17E" w14:textId="0D25C782" w:rsidR="00FD3D46" w:rsidRPr="00FC6941" w:rsidRDefault="00E63D88">
            <w:pPr>
              <w:spacing w:before="100" w:after="100"/>
              <w:rPr>
                <w:rFonts w:eastAsia="MS Mincho" w:cs="Arial"/>
                <w:lang w:val="en-GB"/>
              </w:rPr>
            </w:pPr>
            <w:r w:rsidRPr="00E63D88">
              <w:rPr>
                <w:rFonts w:eastAsia="MS Mincho" w:cs="Arial"/>
              </w:rPr>
              <w:t xml:space="preserve">Annual </w:t>
            </w:r>
            <w:r>
              <w:rPr>
                <w:rFonts w:eastAsia="MS Mincho" w:cs="Arial"/>
              </w:rPr>
              <w:t>F</w:t>
            </w:r>
            <w:r w:rsidRPr="00E63D88">
              <w:rPr>
                <w:rFonts w:eastAsia="MS Mincho" w:cs="Arial"/>
              </w:rPr>
              <w:t xml:space="preserve">inancial </w:t>
            </w:r>
            <w:r>
              <w:rPr>
                <w:rFonts w:eastAsia="MS Mincho" w:cs="Arial"/>
              </w:rPr>
              <w:t>S</w:t>
            </w:r>
            <w:r w:rsidRPr="00E63D88">
              <w:rPr>
                <w:rFonts w:eastAsia="MS Mincho" w:cs="Arial"/>
              </w:rPr>
              <w:t xml:space="preserve">ustainability </w:t>
            </w:r>
            <w:r>
              <w:rPr>
                <w:rFonts w:eastAsia="MS Mincho" w:cs="Arial"/>
              </w:rPr>
              <w:t>R</w:t>
            </w:r>
            <w:r w:rsidRPr="00E63D88">
              <w:rPr>
                <w:rFonts w:eastAsia="MS Mincho" w:cs="Arial"/>
              </w:rPr>
              <w:t>eport</w:t>
            </w:r>
          </w:p>
        </w:tc>
      </w:tr>
      <w:tr w:rsidR="0058020A" w:rsidRPr="00FC6941" w14:paraId="7507F272" w14:textId="77777777">
        <w:trPr>
          <w:cantSplit/>
        </w:trPr>
        <w:tc>
          <w:tcPr>
            <w:tcW w:w="2830" w:type="dxa"/>
          </w:tcPr>
          <w:p w14:paraId="53A445A4" w14:textId="64CFEAAA" w:rsidR="0058020A" w:rsidRPr="00681C8B" w:rsidRDefault="009C2176">
            <w:pPr>
              <w:spacing w:before="100" w:after="100"/>
              <w:rPr>
                <w:rFonts w:eastAsia="MS Mincho" w:cs="Arial"/>
                <w:lang w:val="en-GB"/>
              </w:rPr>
            </w:pPr>
            <w:r>
              <w:rPr>
                <w:rFonts w:eastAsia="MS Mincho" w:cs="Arial"/>
                <w:lang w:val="en-GB"/>
              </w:rPr>
              <w:t>AHRC</w:t>
            </w:r>
          </w:p>
        </w:tc>
        <w:tc>
          <w:tcPr>
            <w:tcW w:w="6423" w:type="dxa"/>
          </w:tcPr>
          <w:p w14:paraId="60108695" w14:textId="546D4B3B" w:rsidR="0058020A" w:rsidRPr="00E63D88" w:rsidRDefault="009C2176">
            <w:pPr>
              <w:spacing w:before="100" w:after="100"/>
              <w:rPr>
                <w:rFonts w:eastAsia="MS Mincho" w:cs="Arial"/>
              </w:rPr>
            </w:pPr>
            <w:r w:rsidRPr="009C2176">
              <w:rPr>
                <w:rFonts w:eastAsia="MS Mincho" w:cs="Arial"/>
              </w:rPr>
              <w:t>Australian Human Rights Commission</w:t>
            </w:r>
          </w:p>
        </w:tc>
      </w:tr>
      <w:tr w:rsidR="009C2176" w:rsidRPr="00FC6941" w14:paraId="3771424D" w14:textId="77777777">
        <w:trPr>
          <w:cnfStyle w:val="000000100000" w:firstRow="0" w:lastRow="0" w:firstColumn="0" w:lastColumn="0" w:oddVBand="0" w:evenVBand="0" w:oddHBand="1" w:evenHBand="0" w:firstRowFirstColumn="0" w:firstRowLastColumn="0" w:lastRowFirstColumn="0" w:lastRowLastColumn="0"/>
          <w:cantSplit/>
        </w:trPr>
        <w:tc>
          <w:tcPr>
            <w:tcW w:w="2830" w:type="dxa"/>
          </w:tcPr>
          <w:p w14:paraId="690E1E73" w14:textId="6C94B6E9" w:rsidR="009C2176" w:rsidRDefault="009C2176">
            <w:pPr>
              <w:spacing w:before="100" w:after="100"/>
              <w:rPr>
                <w:rFonts w:eastAsia="MS Mincho" w:cs="Arial"/>
                <w:lang w:val="en-GB"/>
              </w:rPr>
            </w:pPr>
            <w:r>
              <w:rPr>
                <w:rFonts w:eastAsia="MS Mincho" w:cs="Arial"/>
                <w:lang w:val="en-GB"/>
              </w:rPr>
              <w:t>AIHW</w:t>
            </w:r>
          </w:p>
        </w:tc>
        <w:tc>
          <w:tcPr>
            <w:tcW w:w="6423" w:type="dxa"/>
          </w:tcPr>
          <w:p w14:paraId="5DB3026F" w14:textId="02C2BC21" w:rsidR="009C2176" w:rsidRPr="009C2176" w:rsidRDefault="008D217E">
            <w:pPr>
              <w:spacing w:before="100" w:after="100"/>
              <w:rPr>
                <w:rFonts w:eastAsia="MS Mincho" w:cs="Arial"/>
              </w:rPr>
            </w:pPr>
            <w:r w:rsidRPr="008D217E">
              <w:rPr>
                <w:rFonts w:eastAsia="MS Mincho" w:cs="Arial"/>
              </w:rPr>
              <w:t>Australian Institute of Health and Welfare</w:t>
            </w:r>
          </w:p>
        </w:tc>
      </w:tr>
      <w:tr w:rsidR="008D217E" w:rsidRPr="00FC6941" w14:paraId="11A5B64A" w14:textId="77777777">
        <w:trPr>
          <w:cantSplit/>
        </w:trPr>
        <w:tc>
          <w:tcPr>
            <w:tcW w:w="2830" w:type="dxa"/>
          </w:tcPr>
          <w:p w14:paraId="47DDC295" w14:textId="7682AB1C" w:rsidR="008D217E" w:rsidRDefault="008D217E">
            <w:pPr>
              <w:spacing w:before="100" w:after="100"/>
              <w:rPr>
                <w:rFonts w:eastAsia="MS Mincho" w:cs="Arial"/>
                <w:lang w:val="en-GB"/>
              </w:rPr>
            </w:pPr>
            <w:r>
              <w:rPr>
                <w:rFonts w:eastAsia="MS Mincho" w:cs="Arial"/>
                <w:lang w:val="en-GB"/>
              </w:rPr>
              <w:t>AM</w:t>
            </w:r>
          </w:p>
        </w:tc>
        <w:tc>
          <w:tcPr>
            <w:tcW w:w="6423" w:type="dxa"/>
          </w:tcPr>
          <w:p w14:paraId="217E9EFB" w14:textId="6AE6F9CA" w:rsidR="008D217E" w:rsidRPr="008D217E" w:rsidRDefault="008D217E">
            <w:pPr>
              <w:spacing w:before="100" w:after="100"/>
              <w:rPr>
                <w:rFonts w:eastAsia="MS Mincho" w:cs="Arial"/>
              </w:rPr>
            </w:pPr>
            <w:r>
              <w:rPr>
                <w:rFonts w:eastAsia="MS Mincho" w:cs="Arial"/>
              </w:rPr>
              <w:t>Member of the Order of Australia</w:t>
            </w:r>
          </w:p>
        </w:tc>
      </w:tr>
      <w:tr w:rsidR="008D217E" w:rsidRPr="00FC6941" w14:paraId="211389F1" w14:textId="77777777">
        <w:trPr>
          <w:cnfStyle w:val="000000100000" w:firstRow="0" w:lastRow="0" w:firstColumn="0" w:lastColumn="0" w:oddVBand="0" w:evenVBand="0" w:oddHBand="1" w:evenHBand="0" w:firstRowFirstColumn="0" w:firstRowLastColumn="0" w:lastRowFirstColumn="0" w:lastRowLastColumn="0"/>
          <w:cantSplit/>
        </w:trPr>
        <w:tc>
          <w:tcPr>
            <w:tcW w:w="2830" w:type="dxa"/>
          </w:tcPr>
          <w:p w14:paraId="5FBDF503" w14:textId="570489B6" w:rsidR="008D217E" w:rsidRDefault="00CF2AB7">
            <w:pPr>
              <w:spacing w:before="100" w:after="100"/>
              <w:rPr>
                <w:rFonts w:eastAsia="MS Mincho" w:cs="Arial"/>
                <w:lang w:val="en-GB"/>
              </w:rPr>
            </w:pPr>
            <w:r>
              <w:rPr>
                <w:rFonts w:eastAsia="MS Mincho" w:cs="Arial"/>
                <w:lang w:val="en-GB"/>
              </w:rPr>
              <w:t>ANAO</w:t>
            </w:r>
          </w:p>
        </w:tc>
        <w:tc>
          <w:tcPr>
            <w:tcW w:w="6423" w:type="dxa"/>
          </w:tcPr>
          <w:p w14:paraId="156D66F5" w14:textId="22F9C7C9" w:rsidR="008D217E" w:rsidRDefault="00CF2AB7">
            <w:pPr>
              <w:spacing w:before="100" w:after="100"/>
              <w:rPr>
                <w:rFonts w:eastAsia="MS Mincho" w:cs="Arial"/>
              </w:rPr>
            </w:pPr>
            <w:r w:rsidRPr="00CF2AB7">
              <w:rPr>
                <w:rFonts w:eastAsia="MS Mincho" w:cs="Arial"/>
              </w:rPr>
              <w:t>Australian National Audit Office</w:t>
            </w:r>
          </w:p>
        </w:tc>
      </w:tr>
      <w:tr w:rsidR="00CF2AB7" w:rsidRPr="00FC6941" w14:paraId="4843E488" w14:textId="77777777">
        <w:trPr>
          <w:cantSplit/>
        </w:trPr>
        <w:tc>
          <w:tcPr>
            <w:tcW w:w="2830" w:type="dxa"/>
          </w:tcPr>
          <w:p w14:paraId="119B15DE" w14:textId="5E530CA2" w:rsidR="00CF2AB7" w:rsidRDefault="00CF2AB7">
            <w:pPr>
              <w:spacing w:before="100" w:after="100"/>
              <w:rPr>
                <w:rFonts w:eastAsia="MS Mincho" w:cs="Arial"/>
                <w:lang w:val="en-GB"/>
              </w:rPr>
            </w:pPr>
            <w:r>
              <w:rPr>
                <w:rFonts w:eastAsia="MS Mincho" w:cs="Arial"/>
                <w:lang w:val="en-GB"/>
              </w:rPr>
              <w:t>AO</w:t>
            </w:r>
          </w:p>
        </w:tc>
        <w:tc>
          <w:tcPr>
            <w:tcW w:w="6423" w:type="dxa"/>
          </w:tcPr>
          <w:p w14:paraId="05A28E90" w14:textId="5AE7BF08" w:rsidR="00CF2AB7" w:rsidRPr="00CF2AB7" w:rsidRDefault="002F2DDE">
            <w:pPr>
              <w:spacing w:before="100" w:after="100"/>
              <w:rPr>
                <w:rFonts w:eastAsia="MS Mincho" w:cs="Arial"/>
              </w:rPr>
            </w:pPr>
            <w:r w:rsidRPr="002F2DDE">
              <w:rPr>
                <w:rFonts w:eastAsia="MS Mincho" w:cs="Arial"/>
              </w:rPr>
              <w:t>Order of Australia, Officer in the General Division</w:t>
            </w:r>
          </w:p>
        </w:tc>
      </w:tr>
      <w:tr w:rsidR="002F2DDE" w:rsidRPr="00FC6941" w14:paraId="46C99F77" w14:textId="77777777">
        <w:trPr>
          <w:cnfStyle w:val="000000100000" w:firstRow="0" w:lastRow="0" w:firstColumn="0" w:lastColumn="0" w:oddVBand="0" w:evenVBand="0" w:oddHBand="1" w:evenHBand="0" w:firstRowFirstColumn="0" w:firstRowLastColumn="0" w:lastRowFirstColumn="0" w:lastRowLastColumn="0"/>
          <w:cantSplit/>
        </w:trPr>
        <w:tc>
          <w:tcPr>
            <w:tcW w:w="2830" w:type="dxa"/>
          </w:tcPr>
          <w:p w14:paraId="5F24108D" w14:textId="05E88230" w:rsidR="002F2DDE" w:rsidRDefault="00F73BA9">
            <w:pPr>
              <w:spacing w:before="100" w:after="100"/>
              <w:rPr>
                <w:rFonts w:eastAsia="MS Mincho" w:cs="Arial"/>
                <w:lang w:val="en-GB"/>
              </w:rPr>
            </w:pPr>
            <w:r>
              <w:rPr>
                <w:rFonts w:eastAsia="MS Mincho" w:cs="Arial"/>
                <w:lang w:val="en-GB"/>
              </w:rPr>
              <w:t>APS</w:t>
            </w:r>
          </w:p>
        </w:tc>
        <w:tc>
          <w:tcPr>
            <w:tcW w:w="6423" w:type="dxa"/>
          </w:tcPr>
          <w:p w14:paraId="059BD867" w14:textId="11507616" w:rsidR="002F2DDE" w:rsidRPr="002F2DDE" w:rsidRDefault="00F73BA9">
            <w:pPr>
              <w:spacing w:before="100" w:after="100"/>
              <w:rPr>
                <w:rFonts w:eastAsia="MS Mincho" w:cs="Arial"/>
              </w:rPr>
            </w:pPr>
            <w:r w:rsidRPr="00F73BA9">
              <w:rPr>
                <w:rFonts w:eastAsia="MS Mincho" w:cs="Arial"/>
              </w:rPr>
              <w:t>Australian Public Service</w:t>
            </w:r>
          </w:p>
        </w:tc>
      </w:tr>
      <w:tr w:rsidR="00F73BA9" w:rsidRPr="00FC6941" w14:paraId="7C2CEB8E" w14:textId="77777777">
        <w:trPr>
          <w:cantSplit/>
        </w:trPr>
        <w:tc>
          <w:tcPr>
            <w:tcW w:w="2830" w:type="dxa"/>
          </w:tcPr>
          <w:p w14:paraId="139B0695" w14:textId="56224978" w:rsidR="00F73BA9" w:rsidRDefault="00F73BA9">
            <w:pPr>
              <w:spacing w:before="100" w:after="100"/>
              <w:rPr>
                <w:rFonts w:eastAsia="MS Mincho" w:cs="Arial"/>
                <w:lang w:val="en-GB"/>
              </w:rPr>
            </w:pPr>
            <w:r>
              <w:rPr>
                <w:rFonts w:eastAsia="MS Mincho" w:cs="Arial"/>
                <w:lang w:val="en-GB"/>
              </w:rPr>
              <w:t>CALD</w:t>
            </w:r>
          </w:p>
        </w:tc>
        <w:tc>
          <w:tcPr>
            <w:tcW w:w="6423" w:type="dxa"/>
          </w:tcPr>
          <w:p w14:paraId="3D58366E" w14:textId="2DA86FCD" w:rsidR="00F73BA9" w:rsidRPr="00F73BA9" w:rsidRDefault="008F7C31">
            <w:pPr>
              <w:spacing w:before="100" w:after="100"/>
              <w:rPr>
                <w:rFonts w:eastAsia="MS Mincho" w:cs="Arial"/>
              </w:rPr>
            </w:pPr>
            <w:r w:rsidRPr="008F7C31">
              <w:rPr>
                <w:rFonts w:eastAsia="MS Mincho" w:cs="Arial"/>
              </w:rPr>
              <w:t>Culturally and linguistically diverse</w:t>
            </w:r>
          </w:p>
        </w:tc>
      </w:tr>
      <w:tr w:rsidR="008F7C31" w:rsidRPr="00FC6941" w14:paraId="4B972D7D" w14:textId="77777777">
        <w:trPr>
          <w:cnfStyle w:val="000000100000" w:firstRow="0" w:lastRow="0" w:firstColumn="0" w:lastColumn="0" w:oddVBand="0" w:evenVBand="0" w:oddHBand="1" w:evenHBand="0" w:firstRowFirstColumn="0" w:firstRowLastColumn="0" w:lastRowFirstColumn="0" w:lastRowLastColumn="0"/>
          <w:cantSplit/>
        </w:trPr>
        <w:tc>
          <w:tcPr>
            <w:tcW w:w="2830" w:type="dxa"/>
          </w:tcPr>
          <w:p w14:paraId="768EB2FE" w14:textId="70FEBDBB" w:rsidR="008F7C31" w:rsidRDefault="008F7C31">
            <w:pPr>
              <w:spacing w:before="100" w:after="100"/>
              <w:rPr>
                <w:rFonts w:eastAsia="MS Mincho" w:cs="Arial"/>
                <w:lang w:val="en-GB"/>
              </w:rPr>
            </w:pPr>
            <w:r>
              <w:rPr>
                <w:rFonts w:eastAsia="MS Mincho" w:cs="Arial"/>
                <w:lang w:val="en-GB"/>
              </w:rPr>
              <w:t>CEO</w:t>
            </w:r>
          </w:p>
        </w:tc>
        <w:tc>
          <w:tcPr>
            <w:tcW w:w="6423" w:type="dxa"/>
          </w:tcPr>
          <w:p w14:paraId="5B75A711" w14:textId="0889F140" w:rsidR="008F7C31" w:rsidRPr="008F7C31" w:rsidRDefault="008F7C31">
            <w:pPr>
              <w:spacing w:before="100" w:after="100"/>
              <w:rPr>
                <w:rFonts w:eastAsia="MS Mincho" w:cs="Arial"/>
              </w:rPr>
            </w:pPr>
            <w:r w:rsidRPr="008F7C31">
              <w:rPr>
                <w:rFonts w:eastAsia="MS Mincho" w:cs="Arial"/>
              </w:rPr>
              <w:t>Chief Executive Officer</w:t>
            </w:r>
          </w:p>
        </w:tc>
      </w:tr>
      <w:tr w:rsidR="008F7C31" w:rsidRPr="00FC6941" w14:paraId="5C2F434F" w14:textId="77777777">
        <w:trPr>
          <w:cantSplit/>
        </w:trPr>
        <w:tc>
          <w:tcPr>
            <w:tcW w:w="2830" w:type="dxa"/>
          </w:tcPr>
          <w:p w14:paraId="5636DA4B" w14:textId="11C49ED1" w:rsidR="008F7C31" w:rsidRDefault="008F7C31">
            <w:pPr>
              <w:spacing w:before="100" w:after="100"/>
              <w:rPr>
                <w:rFonts w:eastAsia="MS Mincho" w:cs="Arial"/>
                <w:lang w:val="en-GB"/>
              </w:rPr>
            </w:pPr>
            <w:r>
              <w:rPr>
                <w:rFonts w:eastAsia="MS Mincho" w:cs="Arial"/>
                <w:lang w:val="en-GB"/>
              </w:rPr>
              <w:t>Cth</w:t>
            </w:r>
          </w:p>
        </w:tc>
        <w:tc>
          <w:tcPr>
            <w:tcW w:w="6423" w:type="dxa"/>
          </w:tcPr>
          <w:p w14:paraId="116148B7" w14:textId="37C7082B" w:rsidR="008F7C31" w:rsidRPr="008F7C31" w:rsidRDefault="008F7C31">
            <w:pPr>
              <w:spacing w:before="100" w:after="100"/>
              <w:rPr>
                <w:rFonts w:eastAsia="MS Mincho" w:cs="Arial"/>
              </w:rPr>
            </w:pPr>
            <w:r>
              <w:rPr>
                <w:rFonts w:eastAsia="MS Mincho" w:cs="Arial"/>
              </w:rPr>
              <w:t>Commonwealth</w:t>
            </w:r>
          </w:p>
        </w:tc>
      </w:tr>
      <w:tr w:rsidR="008F7C31" w:rsidRPr="00FC6941" w14:paraId="55CEDB3D" w14:textId="77777777">
        <w:trPr>
          <w:cnfStyle w:val="000000100000" w:firstRow="0" w:lastRow="0" w:firstColumn="0" w:lastColumn="0" w:oddVBand="0" w:evenVBand="0" w:oddHBand="1" w:evenHBand="0" w:firstRowFirstColumn="0" w:firstRowLastColumn="0" w:lastRowFirstColumn="0" w:lastRowLastColumn="0"/>
          <w:cantSplit/>
        </w:trPr>
        <w:tc>
          <w:tcPr>
            <w:tcW w:w="2830" w:type="dxa"/>
          </w:tcPr>
          <w:p w14:paraId="4C50277D" w14:textId="60515B6A" w:rsidR="008F7C31" w:rsidRDefault="008F7C31">
            <w:pPr>
              <w:spacing w:before="100" w:after="100"/>
              <w:rPr>
                <w:rFonts w:eastAsia="MS Mincho" w:cs="Arial"/>
                <w:lang w:val="en-GB"/>
              </w:rPr>
            </w:pPr>
            <w:r>
              <w:rPr>
                <w:rFonts w:eastAsia="MS Mincho" w:cs="Arial"/>
                <w:lang w:val="en-GB"/>
              </w:rPr>
              <w:t>DSS</w:t>
            </w:r>
          </w:p>
        </w:tc>
        <w:tc>
          <w:tcPr>
            <w:tcW w:w="6423" w:type="dxa"/>
          </w:tcPr>
          <w:p w14:paraId="3A07BC48" w14:textId="190A4EE7" w:rsidR="008F7C31" w:rsidRDefault="00964224">
            <w:pPr>
              <w:spacing w:before="100" w:after="100"/>
              <w:rPr>
                <w:rFonts w:eastAsia="MS Mincho" w:cs="Arial"/>
              </w:rPr>
            </w:pPr>
            <w:r w:rsidRPr="00964224">
              <w:rPr>
                <w:rFonts w:eastAsia="MS Mincho" w:cs="Arial"/>
              </w:rPr>
              <w:t>Department of Social Services</w:t>
            </w:r>
          </w:p>
        </w:tc>
      </w:tr>
      <w:tr w:rsidR="00964224" w:rsidRPr="00FC6941" w14:paraId="1FCBC531" w14:textId="77777777">
        <w:trPr>
          <w:cantSplit/>
        </w:trPr>
        <w:tc>
          <w:tcPr>
            <w:tcW w:w="2830" w:type="dxa"/>
          </w:tcPr>
          <w:p w14:paraId="4A61AEB0" w14:textId="25C711B1" w:rsidR="00964224" w:rsidRDefault="00964224">
            <w:pPr>
              <w:spacing w:before="100" w:after="100"/>
              <w:rPr>
                <w:rFonts w:eastAsia="MS Mincho" w:cs="Arial"/>
                <w:lang w:val="en-GB"/>
              </w:rPr>
            </w:pPr>
            <w:r>
              <w:rPr>
                <w:rFonts w:eastAsia="MS Mincho" w:cs="Arial"/>
                <w:lang w:val="en-GB"/>
              </w:rPr>
              <w:t>FCFCA</w:t>
            </w:r>
          </w:p>
        </w:tc>
        <w:tc>
          <w:tcPr>
            <w:tcW w:w="6423" w:type="dxa"/>
          </w:tcPr>
          <w:p w14:paraId="20776789" w14:textId="5C8686D8" w:rsidR="00964224" w:rsidRPr="00964224" w:rsidRDefault="00964224">
            <w:pPr>
              <w:spacing w:before="100" w:after="100"/>
              <w:rPr>
                <w:rFonts w:eastAsia="MS Mincho" w:cs="Arial"/>
              </w:rPr>
            </w:pPr>
            <w:r w:rsidRPr="00964224">
              <w:rPr>
                <w:rFonts w:eastAsia="MS Mincho" w:cs="Arial"/>
              </w:rPr>
              <w:t>Federal Circuit and Family Court of Australia</w:t>
            </w:r>
          </w:p>
        </w:tc>
      </w:tr>
      <w:tr w:rsidR="0007332F" w:rsidRPr="00FC6941" w14:paraId="45AA29A0" w14:textId="77777777">
        <w:trPr>
          <w:cnfStyle w:val="000000100000" w:firstRow="0" w:lastRow="0" w:firstColumn="0" w:lastColumn="0" w:oddVBand="0" w:evenVBand="0" w:oddHBand="1" w:evenHBand="0" w:firstRowFirstColumn="0" w:firstRowLastColumn="0" w:lastRowFirstColumn="0" w:lastRowLastColumn="0"/>
          <w:cantSplit/>
        </w:trPr>
        <w:tc>
          <w:tcPr>
            <w:tcW w:w="2830" w:type="dxa"/>
          </w:tcPr>
          <w:p w14:paraId="555BB1E6" w14:textId="4E90FC9D" w:rsidR="0007332F" w:rsidRDefault="0007332F">
            <w:pPr>
              <w:spacing w:before="100" w:after="100"/>
              <w:rPr>
                <w:rFonts w:eastAsia="MS Mincho" w:cs="Arial"/>
                <w:lang w:val="en-GB"/>
              </w:rPr>
            </w:pPr>
            <w:r>
              <w:rPr>
                <w:rFonts w:eastAsia="MS Mincho" w:cs="Arial"/>
                <w:lang w:val="en-GB"/>
              </w:rPr>
              <w:t>FFT</w:t>
            </w:r>
          </w:p>
        </w:tc>
        <w:tc>
          <w:tcPr>
            <w:tcW w:w="6423" w:type="dxa"/>
          </w:tcPr>
          <w:p w14:paraId="39C4958E" w14:textId="7D5946DC" w:rsidR="0007332F" w:rsidRPr="00964224" w:rsidRDefault="0007332F">
            <w:pPr>
              <w:spacing w:before="100" w:after="100"/>
              <w:rPr>
                <w:rFonts w:eastAsia="MS Mincho" w:cs="Arial"/>
              </w:rPr>
            </w:pPr>
            <w:r w:rsidRPr="0007332F">
              <w:rPr>
                <w:rFonts w:eastAsia="MS Mincho" w:cs="Arial"/>
              </w:rPr>
              <w:t>Fraud Fusion Taskforce</w:t>
            </w:r>
          </w:p>
        </w:tc>
      </w:tr>
      <w:tr w:rsidR="0007332F" w:rsidRPr="00FC6941" w14:paraId="60645AF3" w14:textId="77777777">
        <w:trPr>
          <w:cantSplit/>
        </w:trPr>
        <w:tc>
          <w:tcPr>
            <w:tcW w:w="2830" w:type="dxa"/>
          </w:tcPr>
          <w:p w14:paraId="49EDC7DD" w14:textId="3502DE4F" w:rsidR="0007332F" w:rsidRDefault="00DE2551">
            <w:pPr>
              <w:spacing w:before="100" w:after="100"/>
              <w:rPr>
                <w:rFonts w:eastAsia="MS Mincho" w:cs="Arial"/>
                <w:lang w:val="en-GB"/>
              </w:rPr>
            </w:pPr>
            <w:r w:rsidRPr="00DE2551">
              <w:rPr>
                <w:rFonts w:eastAsia="MS Mincho" w:cs="Arial"/>
              </w:rPr>
              <w:t>FOI Act</w:t>
            </w:r>
          </w:p>
        </w:tc>
        <w:tc>
          <w:tcPr>
            <w:tcW w:w="6423" w:type="dxa"/>
          </w:tcPr>
          <w:p w14:paraId="421951CF" w14:textId="6EAE3361" w:rsidR="0007332F" w:rsidRPr="00DE2551" w:rsidRDefault="00DE2551">
            <w:pPr>
              <w:spacing w:before="100" w:after="100"/>
              <w:rPr>
                <w:rFonts w:eastAsia="MS Mincho" w:cs="Arial"/>
                <w:i/>
                <w:iCs/>
              </w:rPr>
            </w:pPr>
            <w:r w:rsidRPr="00DE2551">
              <w:rPr>
                <w:rFonts w:eastAsia="MS Mincho" w:cs="Arial"/>
                <w:i/>
                <w:iCs/>
              </w:rPr>
              <w:t>Freedom of Information Act 1982 (Cth)</w:t>
            </w:r>
          </w:p>
        </w:tc>
      </w:tr>
      <w:tr w:rsidR="00DE2551" w:rsidRPr="00FC6941" w14:paraId="485D36B5" w14:textId="77777777">
        <w:trPr>
          <w:cnfStyle w:val="000000100000" w:firstRow="0" w:lastRow="0" w:firstColumn="0" w:lastColumn="0" w:oddVBand="0" w:evenVBand="0" w:oddHBand="1" w:evenHBand="0" w:firstRowFirstColumn="0" w:firstRowLastColumn="0" w:lastRowFirstColumn="0" w:lastRowLastColumn="0"/>
          <w:cantSplit/>
        </w:trPr>
        <w:tc>
          <w:tcPr>
            <w:tcW w:w="2830" w:type="dxa"/>
          </w:tcPr>
          <w:p w14:paraId="483BFE56" w14:textId="00B2E069" w:rsidR="00DE2551" w:rsidRPr="00DE2551" w:rsidRDefault="00AA144E">
            <w:pPr>
              <w:spacing w:before="100" w:after="100"/>
              <w:rPr>
                <w:rFonts w:eastAsia="MS Mincho" w:cs="Arial"/>
              </w:rPr>
            </w:pPr>
            <w:r>
              <w:rPr>
                <w:rFonts w:eastAsia="MS Mincho" w:cs="Arial"/>
              </w:rPr>
              <w:t>GST</w:t>
            </w:r>
          </w:p>
        </w:tc>
        <w:tc>
          <w:tcPr>
            <w:tcW w:w="6423" w:type="dxa"/>
          </w:tcPr>
          <w:p w14:paraId="4098FE36" w14:textId="183E14E6" w:rsidR="00DE2551" w:rsidRPr="00AA144E" w:rsidRDefault="00AA144E">
            <w:pPr>
              <w:spacing w:before="100" w:after="100"/>
              <w:rPr>
                <w:rFonts w:eastAsia="MS Mincho" w:cs="Arial"/>
              </w:rPr>
            </w:pPr>
            <w:r w:rsidRPr="00AA144E">
              <w:rPr>
                <w:rFonts w:eastAsia="MS Mincho" w:cs="Arial"/>
              </w:rPr>
              <w:t>Goods and Services Tax</w:t>
            </w:r>
          </w:p>
        </w:tc>
      </w:tr>
      <w:tr w:rsidR="00AA144E" w:rsidRPr="00FC6941" w14:paraId="17679483" w14:textId="77777777">
        <w:trPr>
          <w:cantSplit/>
        </w:trPr>
        <w:tc>
          <w:tcPr>
            <w:tcW w:w="2830" w:type="dxa"/>
          </w:tcPr>
          <w:p w14:paraId="6550404C" w14:textId="4D6F9D32" w:rsidR="00AA144E" w:rsidRDefault="00AA144E">
            <w:pPr>
              <w:spacing w:before="100" w:after="100"/>
              <w:rPr>
                <w:rFonts w:eastAsia="MS Mincho" w:cs="Arial"/>
              </w:rPr>
            </w:pPr>
            <w:r>
              <w:rPr>
                <w:rFonts w:eastAsia="MS Mincho" w:cs="Arial"/>
              </w:rPr>
              <w:t>IAC</w:t>
            </w:r>
          </w:p>
        </w:tc>
        <w:tc>
          <w:tcPr>
            <w:tcW w:w="6423" w:type="dxa"/>
          </w:tcPr>
          <w:p w14:paraId="52BF7E92" w14:textId="61B4261A" w:rsidR="00AA144E" w:rsidRPr="00AA144E" w:rsidRDefault="009D6FFE">
            <w:pPr>
              <w:spacing w:before="100" w:after="100"/>
              <w:rPr>
                <w:rFonts w:eastAsia="MS Mincho" w:cs="Arial"/>
              </w:rPr>
            </w:pPr>
            <w:r w:rsidRPr="009D6FFE">
              <w:rPr>
                <w:rFonts w:eastAsia="MS Mincho" w:cs="Arial"/>
              </w:rPr>
              <w:t>Independent Advisory Council</w:t>
            </w:r>
          </w:p>
        </w:tc>
      </w:tr>
      <w:tr w:rsidR="009D6FFE" w:rsidRPr="00FC6941" w14:paraId="30184B17" w14:textId="77777777">
        <w:trPr>
          <w:cnfStyle w:val="000000100000" w:firstRow="0" w:lastRow="0" w:firstColumn="0" w:lastColumn="0" w:oddVBand="0" w:evenVBand="0" w:oddHBand="1" w:evenHBand="0" w:firstRowFirstColumn="0" w:firstRowLastColumn="0" w:lastRowFirstColumn="0" w:lastRowLastColumn="0"/>
          <w:cantSplit/>
        </w:trPr>
        <w:tc>
          <w:tcPr>
            <w:tcW w:w="2830" w:type="dxa"/>
          </w:tcPr>
          <w:p w14:paraId="1AE35FC9" w14:textId="3DCE21D2" w:rsidR="009D6FFE" w:rsidRDefault="009D6FFE">
            <w:pPr>
              <w:spacing w:before="100" w:after="100"/>
              <w:rPr>
                <w:rFonts w:eastAsia="MS Mincho" w:cs="Arial"/>
              </w:rPr>
            </w:pPr>
            <w:r>
              <w:rPr>
                <w:rFonts w:eastAsia="MS Mincho" w:cs="Arial"/>
              </w:rPr>
              <w:t>IEO</w:t>
            </w:r>
          </w:p>
        </w:tc>
        <w:tc>
          <w:tcPr>
            <w:tcW w:w="6423" w:type="dxa"/>
          </w:tcPr>
          <w:p w14:paraId="1FDE5965" w14:textId="6C2D426C" w:rsidR="009D6FFE" w:rsidRPr="009D6FFE" w:rsidRDefault="009D6FFE">
            <w:pPr>
              <w:spacing w:before="100" w:after="100"/>
              <w:rPr>
                <w:rFonts w:eastAsia="MS Mincho" w:cs="Arial"/>
              </w:rPr>
            </w:pPr>
            <w:r w:rsidRPr="009D6FFE">
              <w:rPr>
                <w:rFonts w:eastAsia="MS Mincho" w:cs="Arial"/>
              </w:rPr>
              <w:t>Index of Education and Occupation</w:t>
            </w:r>
          </w:p>
        </w:tc>
      </w:tr>
      <w:tr w:rsidR="009D6FFE" w:rsidRPr="00FC6941" w14:paraId="308E0DF4" w14:textId="77777777">
        <w:trPr>
          <w:cantSplit/>
        </w:trPr>
        <w:tc>
          <w:tcPr>
            <w:tcW w:w="2830" w:type="dxa"/>
          </w:tcPr>
          <w:p w14:paraId="67DF3635" w14:textId="0753B0C0" w:rsidR="009D6FFE" w:rsidRDefault="009D6FFE">
            <w:pPr>
              <w:spacing w:before="100" w:after="100"/>
              <w:rPr>
                <w:rFonts w:eastAsia="MS Mincho" w:cs="Arial"/>
              </w:rPr>
            </w:pPr>
            <w:r>
              <w:rPr>
                <w:rFonts w:eastAsia="MS Mincho" w:cs="Arial"/>
              </w:rPr>
              <w:t>JCPAA</w:t>
            </w:r>
          </w:p>
        </w:tc>
        <w:tc>
          <w:tcPr>
            <w:tcW w:w="6423" w:type="dxa"/>
          </w:tcPr>
          <w:p w14:paraId="792F8F01" w14:textId="2213CC2E" w:rsidR="009D6FFE" w:rsidRPr="009D6FFE" w:rsidRDefault="00641FA4">
            <w:pPr>
              <w:spacing w:before="100" w:after="100"/>
              <w:rPr>
                <w:rFonts w:eastAsia="MS Mincho" w:cs="Arial"/>
              </w:rPr>
            </w:pPr>
            <w:r w:rsidRPr="00641FA4">
              <w:rPr>
                <w:rFonts w:eastAsia="MS Mincho" w:cs="Arial"/>
              </w:rPr>
              <w:t>Joint Committee of Public Accounts and Audit</w:t>
            </w:r>
          </w:p>
        </w:tc>
      </w:tr>
      <w:tr w:rsidR="00641FA4" w:rsidRPr="00FC6941" w14:paraId="61AC3ADF" w14:textId="77777777">
        <w:trPr>
          <w:cnfStyle w:val="000000100000" w:firstRow="0" w:lastRow="0" w:firstColumn="0" w:lastColumn="0" w:oddVBand="0" w:evenVBand="0" w:oddHBand="1" w:evenHBand="0" w:firstRowFirstColumn="0" w:firstRowLastColumn="0" w:lastRowFirstColumn="0" w:lastRowLastColumn="0"/>
          <w:cantSplit/>
        </w:trPr>
        <w:tc>
          <w:tcPr>
            <w:tcW w:w="2830" w:type="dxa"/>
          </w:tcPr>
          <w:p w14:paraId="49A088D3" w14:textId="3BBB1FAD" w:rsidR="00641FA4" w:rsidRDefault="00641FA4">
            <w:pPr>
              <w:spacing w:before="100" w:after="100"/>
              <w:rPr>
                <w:rFonts w:eastAsia="MS Mincho" w:cs="Arial"/>
              </w:rPr>
            </w:pPr>
            <w:r>
              <w:rPr>
                <w:rFonts w:eastAsia="MS Mincho" w:cs="Arial"/>
              </w:rPr>
              <w:t>KMP</w:t>
            </w:r>
          </w:p>
        </w:tc>
        <w:tc>
          <w:tcPr>
            <w:tcW w:w="6423" w:type="dxa"/>
          </w:tcPr>
          <w:p w14:paraId="2EADEEBB" w14:textId="05B6C62B" w:rsidR="00641FA4" w:rsidRPr="00641FA4" w:rsidRDefault="00641FA4">
            <w:pPr>
              <w:spacing w:before="100" w:after="100"/>
              <w:rPr>
                <w:rFonts w:eastAsia="MS Mincho" w:cs="Arial"/>
              </w:rPr>
            </w:pPr>
            <w:r w:rsidRPr="00641FA4">
              <w:rPr>
                <w:rFonts w:eastAsia="MS Mincho" w:cs="Arial"/>
              </w:rPr>
              <w:t>Key management personnel</w:t>
            </w:r>
          </w:p>
        </w:tc>
      </w:tr>
      <w:tr w:rsidR="00526E33" w:rsidRPr="00FC6941" w14:paraId="3A000952" w14:textId="77777777">
        <w:trPr>
          <w:cantSplit/>
        </w:trPr>
        <w:tc>
          <w:tcPr>
            <w:tcW w:w="2830" w:type="dxa"/>
          </w:tcPr>
          <w:p w14:paraId="13138A87" w14:textId="01036B38" w:rsidR="00526E33" w:rsidRDefault="00526E33" w:rsidP="00526E33">
            <w:pPr>
              <w:spacing w:before="100" w:after="100"/>
              <w:rPr>
                <w:rFonts w:eastAsia="MS Mincho" w:cs="Arial"/>
              </w:rPr>
            </w:pPr>
            <w:r w:rsidRPr="00FE5895">
              <w:lastRenderedPageBreak/>
              <w:t xml:space="preserve">Ministerial Council </w:t>
            </w:r>
          </w:p>
        </w:tc>
        <w:tc>
          <w:tcPr>
            <w:tcW w:w="6423" w:type="dxa"/>
          </w:tcPr>
          <w:p w14:paraId="6FB626EB" w14:textId="7B34FB50" w:rsidR="00526E33" w:rsidRPr="00641FA4" w:rsidRDefault="00526E33" w:rsidP="00526E33">
            <w:pPr>
              <w:spacing w:before="100" w:after="100"/>
              <w:rPr>
                <w:rFonts w:eastAsia="MS Mincho" w:cs="Arial"/>
              </w:rPr>
            </w:pPr>
            <w:r w:rsidRPr="00FE5895">
              <w:t>Disability Reform Ministerial Council</w:t>
            </w:r>
          </w:p>
        </w:tc>
      </w:tr>
      <w:tr w:rsidR="00526E33" w:rsidRPr="00FC6941" w14:paraId="5B429B08" w14:textId="77777777">
        <w:trPr>
          <w:cnfStyle w:val="000000100000" w:firstRow="0" w:lastRow="0" w:firstColumn="0" w:lastColumn="0" w:oddVBand="0" w:evenVBand="0" w:oddHBand="1" w:evenHBand="0" w:firstRowFirstColumn="0" w:firstRowLastColumn="0" w:lastRowFirstColumn="0" w:lastRowLastColumn="0"/>
          <w:cantSplit/>
        </w:trPr>
        <w:tc>
          <w:tcPr>
            <w:tcW w:w="2830" w:type="dxa"/>
          </w:tcPr>
          <w:p w14:paraId="2DBD95F4" w14:textId="31513EAD" w:rsidR="00526E33" w:rsidRPr="00FE5895" w:rsidRDefault="00D77CD9" w:rsidP="00526E33">
            <w:pPr>
              <w:spacing w:before="100" w:after="100"/>
            </w:pPr>
            <w:r>
              <w:t>MPC</w:t>
            </w:r>
          </w:p>
        </w:tc>
        <w:tc>
          <w:tcPr>
            <w:tcW w:w="6423" w:type="dxa"/>
          </w:tcPr>
          <w:p w14:paraId="5D2E7B72" w14:textId="69CA0903" w:rsidR="00526E33" w:rsidRPr="00FE5895" w:rsidRDefault="00D77CD9" w:rsidP="00526E33">
            <w:pPr>
              <w:spacing w:before="100" w:after="100"/>
            </w:pPr>
            <w:r w:rsidRPr="00D77CD9">
              <w:t>Merit Protection Commission</w:t>
            </w:r>
          </w:p>
        </w:tc>
      </w:tr>
      <w:tr w:rsidR="00D77CD9" w:rsidRPr="00FC6941" w14:paraId="429BD00A" w14:textId="77777777">
        <w:trPr>
          <w:cantSplit/>
        </w:trPr>
        <w:tc>
          <w:tcPr>
            <w:tcW w:w="2830" w:type="dxa"/>
          </w:tcPr>
          <w:p w14:paraId="165CB73E" w14:textId="5DFA5298" w:rsidR="00D77CD9" w:rsidRDefault="00D77CD9" w:rsidP="00526E33">
            <w:pPr>
              <w:spacing w:before="100" w:after="100"/>
            </w:pPr>
            <w:r>
              <w:t>NDIA</w:t>
            </w:r>
          </w:p>
        </w:tc>
        <w:tc>
          <w:tcPr>
            <w:tcW w:w="6423" w:type="dxa"/>
          </w:tcPr>
          <w:p w14:paraId="7DEE861C" w14:textId="467A40B8" w:rsidR="00D77CD9" w:rsidRPr="00D77CD9" w:rsidRDefault="00D77CD9" w:rsidP="00526E33">
            <w:pPr>
              <w:spacing w:before="100" w:after="100"/>
            </w:pPr>
            <w:r w:rsidRPr="00D77CD9">
              <w:t>National Disability Insurance Agency</w:t>
            </w:r>
          </w:p>
        </w:tc>
      </w:tr>
      <w:tr w:rsidR="00D77CD9" w:rsidRPr="00FC6941" w14:paraId="449A1CA4" w14:textId="77777777">
        <w:trPr>
          <w:cnfStyle w:val="000000100000" w:firstRow="0" w:lastRow="0" w:firstColumn="0" w:lastColumn="0" w:oddVBand="0" w:evenVBand="0" w:oddHBand="1" w:evenHBand="0" w:firstRowFirstColumn="0" w:firstRowLastColumn="0" w:lastRowFirstColumn="0" w:lastRowLastColumn="0"/>
          <w:cantSplit/>
        </w:trPr>
        <w:tc>
          <w:tcPr>
            <w:tcW w:w="2830" w:type="dxa"/>
          </w:tcPr>
          <w:p w14:paraId="3742851F" w14:textId="17CF0F78" w:rsidR="00D77CD9" w:rsidRDefault="00D77CD9" w:rsidP="00526E33">
            <w:pPr>
              <w:spacing w:before="100" w:after="100"/>
            </w:pPr>
            <w:r>
              <w:t>NDI</w:t>
            </w:r>
            <w:r w:rsidR="00AC3D68">
              <w:t>S</w:t>
            </w:r>
          </w:p>
        </w:tc>
        <w:tc>
          <w:tcPr>
            <w:tcW w:w="6423" w:type="dxa"/>
          </w:tcPr>
          <w:p w14:paraId="0DF9D62C" w14:textId="441B205E" w:rsidR="00D77CD9" w:rsidRPr="00D77CD9" w:rsidRDefault="007C270D" w:rsidP="00526E33">
            <w:pPr>
              <w:spacing w:before="100" w:after="100"/>
            </w:pPr>
            <w:r w:rsidRPr="007C270D">
              <w:t>National Disability Insurance Scheme</w:t>
            </w:r>
          </w:p>
        </w:tc>
      </w:tr>
      <w:tr w:rsidR="007C270D" w:rsidRPr="00FC6941" w14:paraId="1EF7E4F5" w14:textId="77777777">
        <w:trPr>
          <w:cantSplit/>
        </w:trPr>
        <w:tc>
          <w:tcPr>
            <w:tcW w:w="2830" w:type="dxa"/>
          </w:tcPr>
          <w:p w14:paraId="1AA73DC3" w14:textId="07E7C3DD" w:rsidR="007C270D" w:rsidRDefault="007C270D" w:rsidP="007C270D">
            <w:pPr>
              <w:spacing w:before="100" w:after="100"/>
            </w:pPr>
            <w:r w:rsidRPr="00C21186">
              <w:t>NDIS Act</w:t>
            </w:r>
          </w:p>
        </w:tc>
        <w:tc>
          <w:tcPr>
            <w:tcW w:w="6423" w:type="dxa"/>
          </w:tcPr>
          <w:p w14:paraId="1CF931CA" w14:textId="5135B644" w:rsidR="007C270D" w:rsidRPr="007C270D" w:rsidRDefault="007C270D" w:rsidP="007C270D">
            <w:pPr>
              <w:spacing w:before="100" w:after="100"/>
            </w:pPr>
            <w:r w:rsidRPr="00C21186">
              <w:t>National Disability Insurance Scheme Act 2013 (Cth)</w:t>
            </w:r>
          </w:p>
        </w:tc>
      </w:tr>
      <w:tr w:rsidR="009A5AC1" w:rsidRPr="00FC6941" w14:paraId="159BDFE4" w14:textId="77777777">
        <w:trPr>
          <w:cnfStyle w:val="000000100000" w:firstRow="0" w:lastRow="0" w:firstColumn="0" w:lastColumn="0" w:oddVBand="0" w:evenVBand="0" w:oddHBand="1" w:evenHBand="0" w:firstRowFirstColumn="0" w:firstRowLastColumn="0" w:lastRowFirstColumn="0" w:lastRowLastColumn="0"/>
          <w:cantSplit/>
        </w:trPr>
        <w:tc>
          <w:tcPr>
            <w:tcW w:w="2830" w:type="dxa"/>
          </w:tcPr>
          <w:p w14:paraId="3EDF01DF" w14:textId="292EEA85" w:rsidR="009A5AC1" w:rsidRPr="00C21186" w:rsidRDefault="009A5AC1" w:rsidP="009A5AC1">
            <w:pPr>
              <w:spacing w:before="100" w:after="100"/>
            </w:pPr>
            <w:r w:rsidRPr="002977E8">
              <w:t>NDIS Commission</w:t>
            </w:r>
          </w:p>
        </w:tc>
        <w:tc>
          <w:tcPr>
            <w:tcW w:w="6423" w:type="dxa"/>
          </w:tcPr>
          <w:p w14:paraId="0C578BD3" w14:textId="20273EA6" w:rsidR="009A5AC1" w:rsidRPr="00C21186" w:rsidRDefault="009A5AC1" w:rsidP="009A5AC1">
            <w:pPr>
              <w:spacing w:before="100" w:after="100"/>
            </w:pPr>
            <w:r w:rsidRPr="002977E8">
              <w:t>NDIS Quality and Safeguards Commission</w:t>
            </w:r>
          </w:p>
        </w:tc>
      </w:tr>
      <w:tr w:rsidR="00AC3D68" w:rsidRPr="00FC6941" w14:paraId="5077C709" w14:textId="77777777">
        <w:trPr>
          <w:cantSplit/>
        </w:trPr>
        <w:tc>
          <w:tcPr>
            <w:tcW w:w="2830" w:type="dxa"/>
          </w:tcPr>
          <w:p w14:paraId="350987F9" w14:textId="5A5B5B8E" w:rsidR="00AC3D68" w:rsidRPr="002977E8" w:rsidRDefault="00AC3D68" w:rsidP="009A5AC1">
            <w:pPr>
              <w:spacing w:before="100" w:after="100"/>
            </w:pPr>
            <w:r>
              <w:t>PGPA Act</w:t>
            </w:r>
          </w:p>
        </w:tc>
        <w:tc>
          <w:tcPr>
            <w:tcW w:w="6423" w:type="dxa"/>
          </w:tcPr>
          <w:p w14:paraId="49B2190C" w14:textId="498555DA" w:rsidR="00AC3D68" w:rsidRPr="00AF11CA" w:rsidRDefault="00F75F99" w:rsidP="009A5AC1">
            <w:pPr>
              <w:spacing w:before="100" w:after="100"/>
              <w:rPr>
                <w:i/>
                <w:iCs/>
              </w:rPr>
            </w:pPr>
            <w:r w:rsidRPr="00AF11CA">
              <w:rPr>
                <w:i/>
                <w:iCs/>
              </w:rPr>
              <w:t>Public Governance, Performance and Accountability Act 2013 (Cth)</w:t>
            </w:r>
          </w:p>
        </w:tc>
      </w:tr>
      <w:tr w:rsidR="00AC3D68" w:rsidRPr="00FC6941" w14:paraId="3FBE24D9" w14:textId="77777777">
        <w:trPr>
          <w:cnfStyle w:val="000000100000" w:firstRow="0" w:lastRow="0" w:firstColumn="0" w:lastColumn="0" w:oddVBand="0" w:evenVBand="0" w:oddHBand="1" w:evenHBand="0" w:firstRowFirstColumn="0" w:firstRowLastColumn="0" w:lastRowFirstColumn="0" w:lastRowLastColumn="0"/>
          <w:cantSplit/>
        </w:trPr>
        <w:tc>
          <w:tcPr>
            <w:tcW w:w="2830" w:type="dxa"/>
          </w:tcPr>
          <w:p w14:paraId="427694BE" w14:textId="6D2F0136" w:rsidR="00AC3D68" w:rsidRDefault="00AC3D68" w:rsidP="009A5AC1">
            <w:pPr>
              <w:spacing w:before="100" w:after="100"/>
            </w:pPr>
            <w:r>
              <w:t>PGPA Rule</w:t>
            </w:r>
          </w:p>
        </w:tc>
        <w:tc>
          <w:tcPr>
            <w:tcW w:w="6423" w:type="dxa"/>
          </w:tcPr>
          <w:p w14:paraId="5A350999" w14:textId="521CB9AD" w:rsidR="00AC3D68" w:rsidRPr="00AF11CA" w:rsidRDefault="00F75F99" w:rsidP="009A5AC1">
            <w:pPr>
              <w:spacing w:before="100" w:after="100"/>
              <w:rPr>
                <w:i/>
                <w:iCs/>
              </w:rPr>
            </w:pPr>
            <w:r w:rsidRPr="00AF11CA">
              <w:rPr>
                <w:i/>
                <w:iCs/>
              </w:rPr>
              <w:t>Public Governance, Performance and Accountability Rule 2014 (Cth)</w:t>
            </w:r>
          </w:p>
        </w:tc>
      </w:tr>
      <w:tr w:rsidR="00AC3D68" w:rsidRPr="00FC6941" w14:paraId="058CC5A2" w14:textId="77777777">
        <w:trPr>
          <w:cantSplit/>
        </w:trPr>
        <w:tc>
          <w:tcPr>
            <w:tcW w:w="2830" w:type="dxa"/>
          </w:tcPr>
          <w:p w14:paraId="3B4513B1" w14:textId="34156A24" w:rsidR="00AC3D68" w:rsidRDefault="00AC3D68" w:rsidP="009A5AC1">
            <w:pPr>
              <w:spacing w:before="100" w:after="100"/>
            </w:pPr>
            <w:r>
              <w:t>PITC</w:t>
            </w:r>
          </w:p>
        </w:tc>
        <w:tc>
          <w:tcPr>
            <w:tcW w:w="6423" w:type="dxa"/>
          </w:tcPr>
          <w:p w14:paraId="641144E4" w14:textId="7AEA641F" w:rsidR="00AC3D68" w:rsidRPr="002977E8" w:rsidRDefault="00AF11CA" w:rsidP="009A5AC1">
            <w:pPr>
              <w:spacing w:before="100" w:after="100"/>
            </w:pPr>
            <w:r w:rsidRPr="00AF11CA">
              <w:t>Partners in the community</w:t>
            </w:r>
          </w:p>
        </w:tc>
      </w:tr>
      <w:tr w:rsidR="00AC3D68" w:rsidRPr="00FC6941" w14:paraId="2F9F164A" w14:textId="77777777">
        <w:trPr>
          <w:cnfStyle w:val="000000100000" w:firstRow="0" w:lastRow="0" w:firstColumn="0" w:lastColumn="0" w:oddVBand="0" w:evenVBand="0" w:oddHBand="1" w:evenHBand="0" w:firstRowFirstColumn="0" w:firstRowLastColumn="0" w:lastRowFirstColumn="0" w:lastRowLastColumn="0"/>
          <w:cantSplit/>
        </w:trPr>
        <w:tc>
          <w:tcPr>
            <w:tcW w:w="2830" w:type="dxa"/>
          </w:tcPr>
          <w:p w14:paraId="2D8FF422" w14:textId="47111820" w:rsidR="00AC3D68" w:rsidRDefault="00AC3D68" w:rsidP="009A5AC1">
            <w:pPr>
              <w:spacing w:before="100" w:after="100"/>
            </w:pPr>
            <w:r>
              <w:t>PSG</w:t>
            </w:r>
          </w:p>
        </w:tc>
        <w:tc>
          <w:tcPr>
            <w:tcW w:w="6423" w:type="dxa"/>
          </w:tcPr>
          <w:p w14:paraId="06957B12" w14:textId="043299A7" w:rsidR="00AC3D68" w:rsidRPr="002977E8" w:rsidRDefault="00AF11CA" w:rsidP="009A5AC1">
            <w:pPr>
              <w:spacing w:before="100" w:after="100"/>
            </w:pPr>
            <w:r w:rsidRPr="00AF11CA">
              <w:t>Participant Service Guarantee</w:t>
            </w:r>
          </w:p>
        </w:tc>
      </w:tr>
      <w:tr w:rsidR="00AC3D68" w:rsidRPr="00FC6941" w14:paraId="71A80864" w14:textId="77777777">
        <w:trPr>
          <w:cantSplit/>
        </w:trPr>
        <w:tc>
          <w:tcPr>
            <w:tcW w:w="2830" w:type="dxa"/>
          </w:tcPr>
          <w:p w14:paraId="5AE41856" w14:textId="1ACCA509" w:rsidR="00AC3D68" w:rsidRDefault="00AC3D68" w:rsidP="009A5AC1">
            <w:pPr>
              <w:spacing w:before="100" w:after="100"/>
            </w:pPr>
            <w:r>
              <w:t>PSIP</w:t>
            </w:r>
          </w:p>
        </w:tc>
        <w:tc>
          <w:tcPr>
            <w:tcW w:w="6423" w:type="dxa"/>
          </w:tcPr>
          <w:p w14:paraId="7B867E4B" w14:textId="6A4710E7" w:rsidR="00AC3D68" w:rsidRPr="002977E8" w:rsidRDefault="000737AD" w:rsidP="009A5AC1">
            <w:pPr>
              <w:spacing w:before="100" w:after="100"/>
            </w:pPr>
            <w:r w:rsidRPr="000737AD">
              <w:t>Participant Service Improvement Plan 2022–23</w:t>
            </w:r>
          </w:p>
        </w:tc>
      </w:tr>
      <w:tr w:rsidR="00AC3D68" w:rsidRPr="00FC6941" w14:paraId="687C95ED" w14:textId="77777777">
        <w:trPr>
          <w:cnfStyle w:val="000000100000" w:firstRow="0" w:lastRow="0" w:firstColumn="0" w:lastColumn="0" w:oddVBand="0" w:evenVBand="0" w:oddHBand="1" w:evenHBand="0" w:firstRowFirstColumn="0" w:firstRowLastColumn="0" w:lastRowFirstColumn="0" w:lastRowLastColumn="0"/>
          <w:cantSplit/>
        </w:trPr>
        <w:tc>
          <w:tcPr>
            <w:tcW w:w="2830" w:type="dxa"/>
          </w:tcPr>
          <w:p w14:paraId="47CE8AD3" w14:textId="61D015D8" w:rsidR="00AC3D68" w:rsidRDefault="00AC3D68" w:rsidP="009A5AC1">
            <w:pPr>
              <w:spacing w:before="100" w:after="100"/>
            </w:pPr>
            <w:r>
              <w:t>RAP</w:t>
            </w:r>
          </w:p>
        </w:tc>
        <w:tc>
          <w:tcPr>
            <w:tcW w:w="6423" w:type="dxa"/>
          </w:tcPr>
          <w:p w14:paraId="59B0A37B" w14:textId="5A39F1D5" w:rsidR="00AC3D68" w:rsidRPr="002977E8" w:rsidRDefault="000737AD" w:rsidP="009A5AC1">
            <w:pPr>
              <w:spacing w:before="100" w:after="100"/>
            </w:pPr>
            <w:r w:rsidRPr="000737AD">
              <w:t>Reconciliation Action Plan</w:t>
            </w:r>
          </w:p>
        </w:tc>
      </w:tr>
      <w:tr w:rsidR="00AC3D68" w:rsidRPr="00FC6941" w14:paraId="34066D40" w14:textId="77777777">
        <w:trPr>
          <w:cantSplit/>
        </w:trPr>
        <w:tc>
          <w:tcPr>
            <w:tcW w:w="2830" w:type="dxa"/>
          </w:tcPr>
          <w:p w14:paraId="5172CA83" w14:textId="731F3969" w:rsidR="00AC3D68" w:rsidRDefault="00AC3D68" w:rsidP="009A5AC1">
            <w:pPr>
              <w:spacing w:before="100" w:after="100"/>
            </w:pPr>
            <w:r>
              <w:t>SES</w:t>
            </w:r>
          </w:p>
        </w:tc>
        <w:tc>
          <w:tcPr>
            <w:tcW w:w="6423" w:type="dxa"/>
          </w:tcPr>
          <w:p w14:paraId="3BCFF568" w14:textId="7D17829A" w:rsidR="00AC3D68" w:rsidRPr="002977E8" w:rsidRDefault="000737AD" w:rsidP="009A5AC1">
            <w:pPr>
              <w:spacing w:before="100" w:after="100"/>
            </w:pPr>
            <w:r w:rsidRPr="000737AD">
              <w:t>Senior Executive Service</w:t>
            </w:r>
          </w:p>
        </w:tc>
      </w:tr>
      <w:tr w:rsidR="00AC3D68" w:rsidRPr="00FC6941" w14:paraId="738FC3C6" w14:textId="77777777">
        <w:trPr>
          <w:cnfStyle w:val="000000100000" w:firstRow="0" w:lastRow="0" w:firstColumn="0" w:lastColumn="0" w:oddVBand="0" w:evenVBand="0" w:oddHBand="1" w:evenHBand="0" w:firstRowFirstColumn="0" w:firstRowLastColumn="0" w:lastRowFirstColumn="0" w:lastRowLastColumn="0"/>
          <w:cantSplit/>
        </w:trPr>
        <w:tc>
          <w:tcPr>
            <w:tcW w:w="2830" w:type="dxa"/>
          </w:tcPr>
          <w:p w14:paraId="35105B85" w14:textId="20B03593" w:rsidR="00AC3D68" w:rsidRDefault="00AC3D68" w:rsidP="009A5AC1">
            <w:pPr>
              <w:spacing w:before="100" w:after="100"/>
            </w:pPr>
            <w:r>
              <w:t>The Scheme</w:t>
            </w:r>
          </w:p>
        </w:tc>
        <w:tc>
          <w:tcPr>
            <w:tcW w:w="6423" w:type="dxa"/>
          </w:tcPr>
          <w:p w14:paraId="4F93C8EB" w14:textId="128440F9" w:rsidR="00AC3D68" w:rsidRPr="002977E8" w:rsidRDefault="000737AD" w:rsidP="009A5AC1">
            <w:pPr>
              <w:spacing w:before="100" w:after="100"/>
            </w:pPr>
            <w:r w:rsidRPr="000737AD">
              <w:t>National Disability Insurance Scheme</w:t>
            </w:r>
          </w:p>
        </w:tc>
      </w:tr>
      <w:tr w:rsidR="00CB16B8" w:rsidRPr="00FC6941" w14:paraId="6BEFDDD8" w14:textId="77777777">
        <w:trPr>
          <w:cantSplit/>
        </w:trPr>
        <w:tc>
          <w:tcPr>
            <w:tcW w:w="2830" w:type="dxa"/>
          </w:tcPr>
          <w:p w14:paraId="1B1FBCB7" w14:textId="5C71049E" w:rsidR="00CB16B8" w:rsidRDefault="00CB16B8" w:rsidP="009A5AC1">
            <w:pPr>
              <w:spacing w:before="100" w:after="100"/>
            </w:pPr>
            <w:r>
              <w:t>WHS Act</w:t>
            </w:r>
          </w:p>
        </w:tc>
        <w:tc>
          <w:tcPr>
            <w:tcW w:w="6423" w:type="dxa"/>
          </w:tcPr>
          <w:p w14:paraId="2B9771A7" w14:textId="0A85193D" w:rsidR="00CB16B8" w:rsidRPr="00542008" w:rsidRDefault="00542008" w:rsidP="009A5AC1">
            <w:pPr>
              <w:spacing w:before="100" w:after="100"/>
              <w:rPr>
                <w:i/>
                <w:iCs/>
              </w:rPr>
            </w:pPr>
            <w:r w:rsidRPr="00542008">
              <w:rPr>
                <w:i/>
                <w:iCs/>
              </w:rPr>
              <w:t>Work Health and Safety Act 2011 (Cth)</w:t>
            </w:r>
          </w:p>
        </w:tc>
      </w:tr>
      <w:tr w:rsidR="00CB16B8" w:rsidRPr="00FC6941" w14:paraId="56FF07EF" w14:textId="77777777">
        <w:trPr>
          <w:cnfStyle w:val="000000100000" w:firstRow="0" w:lastRow="0" w:firstColumn="0" w:lastColumn="0" w:oddVBand="0" w:evenVBand="0" w:oddHBand="1" w:evenHBand="0" w:firstRowFirstColumn="0" w:firstRowLastColumn="0" w:lastRowFirstColumn="0" w:lastRowLastColumn="0"/>
          <w:cantSplit/>
        </w:trPr>
        <w:tc>
          <w:tcPr>
            <w:tcW w:w="2830" w:type="dxa"/>
          </w:tcPr>
          <w:p w14:paraId="3143C3C0" w14:textId="6802FDBF" w:rsidR="00CB16B8" w:rsidRDefault="00CB16B8" w:rsidP="009A5AC1">
            <w:pPr>
              <w:spacing w:before="100" w:after="100"/>
            </w:pPr>
            <w:r>
              <w:t>YPIRAC</w:t>
            </w:r>
          </w:p>
        </w:tc>
        <w:tc>
          <w:tcPr>
            <w:tcW w:w="6423" w:type="dxa"/>
          </w:tcPr>
          <w:p w14:paraId="0FB96908" w14:textId="7978CD77" w:rsidR="00CB16B8" w:rsidRPr="002977E8" w:rsidRDefault="00542008" w:rsidP="009A5AC1">
            <w:pPr>
              <w:spacing w:before="100" w:after="100"/>
            </w:pPr>
            <w:r w:rsidRPr="00542008">
              <w:t>Younger people in residential aged care</w:t>
            </w:r>
          </w:p>
        </w:tc>
      </w:tr>
    </w:tbl>
    <w:p w14:paraId="1786344C" w14:textId="6DD1E57B" w:rsidR="00255A26" w:rsidRPr="00A33264" w:rsidRDefault="00255A26" w:rsidP="00255A26">
      <w:pPr>
        <w:pStyle w:val="Heading2"/>
        <w:rPr>
          <w:lang w:val="en-GB"/>
        </w:rPr>
      </w:pPr>
      <w:bookmarkStart w:id="453" w:name="_Toc176786416"/>
      <w:bookmarkStart w:id="454" w:name="_Toc180505698"/>
      <w:r w:rsidRPr="00A33264">
        <w:rPr>
          <w:lang w:val="en-GB"/>
        </w:rPr>
        <w:t>Indexes</w:t>
      </w:r>
      <w:bookmarkEnd w:id="447"/>
      <w:bookmarkEnd w:id="448"/>
      <w:bookmarkEnd w:id="449"/>
      <w:bookmarkEnd w:id="450"/>
      <w:bookmarkEnd w:id="453"/>
      <w:bookmarkEnd w:id="454"/>
    </w:p>
    <w:p w14:paraId="16D91763" w14:textId="10212532" w:rsidR="00255A26" w:rsidRPr="00A33264" w:rsidRDefault="00255A26" w:rsidP="00255A26">
      <w:pPr>
        <w:pStyle w:val="Heading3"/>
        <w:rPr>
          <w:lang w:val="en-GB"/>
        </w:rPr>
      </w:pPr>
      <w:bookmarkStart w:id="455" w:name="_Toc175316926"/>
      <w:bookmarkStart w:id="456" w:name="_Toc169593033"/>
      <w:bookmarkStart w:id="457" w:name="_Toc174354222"/>
      <w:bookmarkStart w:id="458" w:name="_Toc176786417"/>
      <w:bookmarkStart w:id="459" w:name="_Toc180505699"/>
      <w:r w:rsidRPr="00A33264">
        <w:rPr>
          <w:lang w:val="en-GB"/>
        </w:rPr>
        <w:t xml:space="preserve">Compliance </w:t>
      </w:r>
      <w:bookmarkEnd w:id="455"/>
      <w:r w:rsidRPr="00A33264">
        <w:rPr>
          <w:lang w:val="en-GB"/>
        </w:rPr>
        <w:t>ind</w:t>
      </w:r>
      <w:bookmarkEnd w:id="456"/>
      <w:bookmarkEnd w:id="457"/>
      <w:r w:rsidR="00813951">
        <w:rPr>
          <w:lang w:val="en-GB"/>
        </w:rPr>
        <w:t>ex</w:t>
      </w:r>
      <w:r w:rsidR="00C24C39" w:rsidRPr="00A33264">
        <w:rPr>
          <w:lang w:val="en-GB"/>
        </w:rPr>
        <w:t>es</w:t>
      </w:r>
      <w:bookmarkEnd w:id="458"/>
      <w:bookmarkEnd w:id="459"/>
    </w:p>
    <w:p w14:paraId="4D128204" w14:textId="6BF8F0BF" w:rsidR="00EA5908" w:rsidRPr="00A33264" w:rsidRDefault="00EA5908" w:rsidP="00EA5908">
      <w:pPr>
        <w:pStyle w:val="Heading4"/>
        <w:rPr>
          <w:lang w:val="en-GB"/>
        </w:rPr>
      </w:pPr>
      <w:r w:rsidRPr="00A33264">
        <w:rPr>
          <w:lang w:val="en-GB"/>
        </w:rPr>
        <w:t>Public Governance, Performance and Accountability Rule 2014</w:t>
      </w:r>
    </w:p>
    <w:p w14:paraId="163D9F56" w14:textId="7BFFBA9E" w:rsidR="00BF5D0D" w:rsidRPr="00A33264" w:rsidRDefault="00BF5D0D" w:rsidP="00BF5D0D">
      <w:pPr>
        <w:rPr>
          <w:lang w:val="en-GB"/>
        </w:rPr>
      </w:pPr>
      <w:r w:rsidRPr="00A33264">
        <w:rPr>
          <w:lang w:val="en-GB"/>
        </w:rPr>
        <w:t xml:space="preserve">Below is the table set out in Schedule 2A of the PGPA Rule. Section 17BE(u) requires </w:t>
      </w:r>
      <w:r w:rsidR="00AD5075">
        <w:rPr>
          <w:lang w:val="en-GB"/>
        </w:rPr>
        <w:t xml:space="preserve">that </w:t>
      </w:r>
      <w:r w:rsidRPr="00A33264">
        <w:rPr>
          <w:lang w:val="en-GB"/>
        </w:rPr>
        <w:t>this table be included in entities’ annual reports.</w:t>
      </w:r>
    </w:p>
    <w:tbl>
      <w:tblPr>
        <w:tblStyle w:val="GridTable4"/>
        <w:tblW w:w="9252" w:type="dxa"/>
        <w:tblCellMar>
          <w:top w:w="28" w:type="dxa"/>
          <w:left w:w="28" w:type="dxa"/>
          <w:bottom w:w="28" w:type="dxa"/>
          <w:right w:w="28" w:type="dxa"/>
        </w:tblCellMar>
        <w:tblLook w:val="0420" w:firstRow="1" w:lastRow="0" w:firstColumn="0" w:lastColumn="0" w:noHBand="0" w:noVBand="1"/>
      </w:tblPr>
      <w:tblGrid>
        <w:gridCol w:w="1678"/>
        <w:gridCol w:w="1391"/>
        <w:gridCol w:w="4172"/>
        <w:gridCol w:w="2011"/>
      </w:tblGrid>
      <w:tr w:rsidR="00117EA9" w:rsidRPr="00A33264" w14:paraId="16A14B3C" w14:textId="1AF29C9A" w:rsidTr="003752D4">
        <w:trPr>
          <w:cnfStyle w:val="100000000000" w:firstRow="1" w:lastRow="0" w:firstColumn="0" w:lastColumn="0" w:oddVBand="0" w:evenVBand="0" w:oddHBand="0" w:evenHBand="0" w:firstRowFirstColumn="0" w:firstRowLastColumn="0" w:lastRowFirstColumn="0" w:lastRowLastColumn="0"/>
          <w:cantSplit/>
        </w:trPr>
        <w:tc>
          <w:tcPr>
            <w:tcW w:w="1678" w:type="dxa"/>
            <w:tcBorders>
              <w:top w:val="single" w:sz="4" w:space="0" w:color="6B2876" w:themeColor="text1"/>
              <w:bottom w:val="single" w:sz="4" w:space="0" w:color="6B2876" w:themeColor="text1"/>
            </w:tcBorders>
          </w:tcPr>
          <w:p w14:paraId="5AB77780" w14:textId="4E35ABCB" w:rsidR="00117EA9" w:rsidRPr="00A33264" w:rsidRDefault="00117EA9" w:rsidP="00117EA9">
            <w:pPr>
              <w:pStyle w:val="TableBody"/>
              <w:rPr>
                <w:lang w:val="en-GB"/>
              </w:rPr>
            </w:pPr>
            <w:bookmarkStart w:id="460" w:name="ColumnTitle_ComplianceIndexes"/>
            <w:bookmarkStart w:id="461" w:name="_Toc169593034"/>
            <w:bookmarkEnd w:id="460"/>
            <w:r w:rsidRPr="00A33264">
              <w:rPr>
                <w:lang w:val="en-GB"/>
              </w:rPr>
              <w:lastRenderedPageBreak/>
              <w:t>PGPA Rule Reference</w:t>
            </w:r>
          </w:p>
        </w:tc>
        <w:tc>
          <w:tcPr>
            <w:tcW w:w="1391" w:type="dxa"/>
            <w:tcBorders>
              <w:top w:val="single" w:sz="4" w:space="0" w:color="6B2876" w:themeColor="text1"/>
              <w:bottom w:val="single" w:sz="4" w:space="0" w:color="6B2876" w:themeColor="text1"/>
            </w:tcBorders>
          </w:tcPr>
          <w:p w14:paraId="4B704A28" w14:textId="2DAEE0EA" w:rsidR="00117EA9" w:rsidRPr="00A33264" w:rsidRDefault="00C65496" w:rsidP="00117EA9">
            <w:pPr>
              <w:pStyle w:val="TableBody"/>
              <w:rPr>
                <w:lang w:val="en-GB"/>
              </w:rPr>
            </w:pPr>
            <w:r w:rsidRPr="00A33264">
              <w:rPr>
                <w:lang w:val="en-GB"/>
              </w:rPr>
              <w:t>Part of Report</w:t>
            </w:r>
          </w:p>
        </w:tc>
        <w:tc>
          <w:tcPr>
            <w:tcW w:w="4172" w:type="dxa"/>
            <w:tcBorders>
              <w:top w:val="single" w:sz="4" w:space="0" w:color="6B2876" w:themeColor="text1"/>
              <w:bottom w:val="single" w:sz="4" w:space="0" w:color="6B2876" w:themeColor="text1"/>
            </w:tcBorders>
          </w:tcPr>
          <w:p w14:paraId="2DD9C683" w14:textId="201D86B3" w:rsidR="00117EA9" w:rsidRPr="00A33264" w:rsidRDefault="00117EA9" w:rsidP="00117EA9">
            <w:pPr>
              <w:pStyle w:val="TableBody"/>
              <w:rPr>
                <w:lang w:val="en-GB"/>
              </w:rPr>
            </w:pPr>
            <w:r w:rsidRPr="00A33264">
              <w:rPr>
                <w:lang w:val="en-GB"/>
              </w:rPr>
              <w:t>Description</w:t>
            </w:r>
          </w:p>
        </w:tc>
        <w:tc>
          <w:tcPr>
            <w:tcW w:w="2011" w:type="dxa"/>
            <w:tcBorders>
              <w:top w:val="single" w:sz="4" w:space="0" w:color="6B2876" w:themeColor="text1"/>
              <w:bottom w:val="single" w:sz="4" w:space="0" w:color="6B2876" w:themeColor="text1"/>
            </w:tcBorders>
          </w:tcPr>
          <w:p w14:paraId="686E8A0C" w14:textId="27C53C39" w:rsidR="00117EA9" w:rsidRPr="00A33264" w:rsidRDefault="00117EA9" w:rsidP="00117EA9">
            <w:pPr>
              <w:pStyle w:val="TableBody"/>
              <w:rPr>
                <w:lang w:val="en-GB"/>
              </w:rPr>
            </w:pPr>
            <w:r w:rsidRPr="00A33264">
              <w:rPr>
                <w:lang w:val="en-GB"/>
              </w:rPr>
              <w:t>Requirement</w:t>
            </w:r>
          </w:p>
        </w:tc>
      </w:tr>
      <w:tr w:rsidR="000F7D48" w:rsidRPr="00A33264" w14:paraId="511399DF" w14:textId="408C7A05" w:rsidTr="00FB72C4">
        <w:trPr>
          <w:cnfStyle w:val="000000100000" w:firstRow="0" w:lastRow="0" w:firstColumn="0" w:lastColumn="0" w:oddVBand="0" w:evenVBand="0" w:oddHBand="1" w:evenHBand="0" w:firstRowFirstColumn="0" w:firstRowLastColumn="0" w:lastRowFirstColumn="0" w:lastRowLastColumn="0"/>
          <w:cantSplit/>
        </w:trPr>
        <w:tc>
          <w:tcPr>
            <w:tcW w:w="1678" w:type="dxa"/>
          </w:tcPr>
          <w:p w14:paraId="44D006C0" w14:textId="2CD394ED" w:rsidR="000F7D48" w:rsidRPr="000F7354" w:rsidRDefault="005656C9">
            <w:pPr>
              <w:pStyle w:val="TableBody"/>
              <w:rPr>
                <w:lang w:val="en-GB"/>
              </w:rPr>
            </w:pPr>
            <w:r w:rsidRPr="000F7354">
              <w:rPr>
                <w:lang w:val="en-GB"/>
              </w:rPr>
              <w:t>17BE</w:t>
            </w:r>
          </w:p>
        </w:tc>
        <w:tc>
          <w:tcPr>
            <w:tcW w:w="1391" w:type="dxa"/>
          </w:tcPr>
          <w:p w14:paraId="7B9FD84D" w14:textId="22B37E48" w:rsidR="000F7D48" w:rsidRPr="000F7354" w:rsidRDefault="00DC20A1">
            <w:pPr>
              <w:pStyle w:val="TableBody"/>
              <w:rPr>
                <w:lang w:val="en-GB"/>
              </w:rPr>
            </w:pPr>
            <w:r w:rsidRPr="000F7354">
              <w:rPr>
                <w:color w:val="F7EEF7"/>
                <w:lang w:val="en-GB"/>
              </w:rPr>
              <w:t>blank</w:t>
            </w:r>
          </w:p>
        </w:tc>
        <w:tc>
          <w:tcPr>
            <w:tcW w:w="4172" w:type="dxa"/>
          </w:tcPr>
          <w:p w14:paraId="3E39F909" w14:textId="7721C084" w:rsidR="000F7D48" w:rsidRPr="000F7354" w:rsidRDefault="005656C9">
            <w:pPr>
              <w:pStyle w:val="TableBody"/>
              <w:rPr>
                <w:lang w:val="en-GB"/>
              </w:rPr>
            </w:pPr>
            <w:r w:rsidRPr="000F7354">
              <w:rPr>
                <w:lang w:val="en-GB"/>
              </w:rPr>
              <w:t>Contents of annual report</w:t>
            </w:r>
          </w:p>
        </w:tc>
        <w:tc>
          <w:tcPr>
            <w:tcW w:w="2011" w:type="dxa"/>
          </w:tcPr>
          <w:p w14:paraId="6831EF2D" w14:textId="75140634" w:rsidR="000F7D48" w:rsidRPr="00A33264" w:rsidRDefault="00DC20A1">
            <w:pPr>
              <w:pStyle w:val="TableBody"/>
              <w:rPr>
                <w:lang w:val="en-GB"/>
              </w:rPr>
            </w:pPr>
            <w:r w:rsidRPr="00A33264">
              <w:rPr>
                <w:color w:val="F7EEF7"/>
                <w:lang w:val="en-GB"/>
              </w:rPr>
              <w:t>blank</w:t>
            </w:r>
          </w:p>
        </w:tc>
      </w:tr>
      <w:tr w:rsidR="00ED063E" w:rsidRPr="00A33264" w14:paraId="0026D953" w14:textId="15BCCF6A" w:rsidTr="00FB72C4">
        <w:trPr>
          <w:cantSplit/>
        </w:trPr>
        <w:tc>
          <w:tcPr>
            <w:tcW w:w="1678" w:type="dxa"/>
            <w:shd w:val="clear" w:color="auto" w:fill="auto"/>
          </w:tcPr>
          <w:p w14:paraId="7802E46A" w14:textId="36016387" w:rsidR="00ED063E" w:rsidRPr="00A33264" w:rsidRDefault="00ED063E" w:rsidP="00ED063E">
            <w:pPr>
              <w:pStyle w:val="TableBody"/>
              <w:rPr>
                <w:lang w:val="en-GB"/>
              </w:rPr>
            </w:pPr>
            <w:r w:rsidRPr="00A33264">
              <w:rPr>
                <w:lang w:val="en-GB" w:eastAsia="en-AU"/>
              </w:rPr>
              <w:t>17BE(a)</w:t>
            </w:r>
          </w:p>
        </w:tc>
        <w:tc>
          <w:tcPr>
            <w:tcW w:w="1391" w:type="dxa"/>
          </w:tcPr>
          <w:p w14:paraId="22019FA2" w14:textId="7D3B4545" w:rsidR="00ED063E" w:rsidRPr="00A33264" w:rsidRDefault="000F4065" w:rsidP="00ED063E">
            <w:pPr>
              <w:pStyle w:val="TableBody"/>
              <w:rPr>
                <w:lang w:val="en-GB"/>
              </w:rPr>
            </w:pPr>
            <w:r w:rsidRPr="00A33264">
              <w:rPr>
                <w:lang w:val="en-GB"/>
              </w:rPr>
              <w:t>6.1</w:t>
            </w:r>
          </w:p>
        </w:tc>
        <w:tc>
          <w:tcPr>
            <w:tcW w:w="4172" w:type="dxa"/>
          </w:tcPr>
          <w:p w14:paraId="3355DDB3" w14:textId="3E6F6916" w:rsidR="00ED063E" w:rsidRPr="00A33264" w:rsidRDefault="00ED063E" w:rsidP="00ED063E">
            <w:pPr>
              <w:pStyle w:val="TableBody"/>
              <w:rPr>
                <w:lang w:val="en-GB"/>
              </w:rPr>
            </w:pPr>
            <w:r w:rsidRPr="00A33264">
              <w:rPr>
                <w:lang w:val="en-GB" w:eastAsia="en-AU"/>
              </w:rPr>
              <w:t>Details of the legislation establishing the body</w:t>
            </w:r>
          </w:p>
        </w:tc>
        <w:tc>
          <w:tcPr>
            <w:tcW w:w="2011" w:type="dxa"/>
          </w:tcPr>
          <w:p w14:paraId="076DD533" w14:textId="19C73E5C" w:rsidR="00ED063E" w:rsidRPr="00A33264" w:rsidRDefault="00ED063E" w:rsidP="00ED063E">
            <w:pPr>
              <w:pStyle w:val="TableBody"/>
              <w:rPr>
                <w:lang w:val="en-GB"/>
              </w:rPr>
            </w:pPr>
            <w:r w:rsidRPr="00A33264">
              <w:rPr>
                <w:lang w:val="en-GB" w:eastAsia="en-AU"/>
              </w:rPr>
              <w:t>Mandatory</w:t>
            </w:r>
          </w:p>
        </w:tc>
      </w:tr>
      <w:tr w:rsidR="00ED063E" w:rsidRPr="00A33264" w14:paraId="0C96BA87" w14:textId="51A21992" w:rsidTr="00FB72C4">
        <w:trPr>
          <w:cnfStyle w:val="000000100000" w:firstRow="0" w:lastRow="0" w:firstColumn="0" w:lastColumn="0" w:oddVBand="0" w:evenVBand="0" w:oddHBand="1" w:evenHBand="0" w:firstRowFirstColumn="0" w:firstRowLastColumn="0" w:lastRowFirstColumn="0" w:lastRowLastColumn="0"/>
          <w:cantSplit/>
        </w:trPr>
        <w:tc>
          <w:tcPr>
            <w:tcW w:w="1678" w:type="dxa"/>
          </w:tcPr>
          <w:p w14:paraId="6D6BE897" w14:textId="6E53F21B" w:rsidR="00ED063E" w:rsidRPr="00A33264" w:rsidRDefault="00ED063E" w:rsidP="00ED063E">
            <w:pPr>
              <w:pStyle w:val="TableBody"/>
              <w:rPr>
                <w:lang w:val="en-GB"/>
              </w:rPr>
            </w:pPr>
            <w:r w:rsidRPr="00A33264">
              <w:rPr>
                <w:lang w:val="en-GB" w:eastAsia="en-AU"/>
              </w:rPr>
              <w:t>17BE(b)(i)</w:t>
            </w:r>
          </w:p>
        </w:tc>
        <w:tc>
          <w:tcPr>
            <w:tcW w:w="1391" w:type="dxa"/>
          </w:tcPr>
          <w:p w14:paraId="5FC6E5D6" w14:textId="31CC5A25" w:rsidR="00ED063E" w:rsidRPr="00A33264" w:rsidRDefault="000F4065" w:rsidP="00ED063E">
            <w:pPr>
              <w:pStyle w:val="TableBody"/>
              <w:rPr>
                <w:lang w:val="en-GB"/>
              </w:rPr>
            </w:pPr>
            <w:r w:rsidRPr="00A33264">
              <w:rPr>
                <w:lang w:val="en-GB"/>
              </w:rPr>
              <w:t>6.1</w:t>
            </w:r>
          </w:p>
        </w:tc>
        <w:tc>
          <w:tcPr>
            <w:tcW w:w="4172" w:type="dxa"/>
          </w:tcPr>
          <w:p w14:paraId="6C6C2A11" w14:textId="531F576B" w:rsidR="00ED063E" w:rsidRPr="00A33264" w:rsidRDefault="00ED063E" w:rsidP="00ED063E">
            <w:pPr>
              <w:pStyle w:val="TableBody"/>
              <w:rPr>
                <w:lang w:val="en-GB"/>
              </w:rPr>
            </w:pPr>
            <w:r w:rsidRPr="00A33264">
              <w:rPr>
                <w:lang w:val="en-GB" w:eastAsia="en-AU"/>
              </w:rPr>
              <w:t>A summary of the objects and functions of the entity as set out in legislation</w:t>
            </w:r>
          </w:p>
        </w:tc>
        <w:tc>
          <w:tcPr>
            <w:tcW w:w="2011" w:type="dxa"/>
          </w:tcPr>
          <w:p w14:paraId="52BBE994" w14:textId="0BB002C0" w:rsidR="00ED063E" w:rsidRPr="00A33264" w:rsidRDefault="00ED063E" w:rsidP="00ED063E">
            <w:pPr>
              <w:pStyle w:val="TableBody"/>
              <w:rPr>
                <w:lang w:val="en-GB"/>
              </w:rPr>
            </w:pPr>
            <w:r w:rsidRPr="00A33264">
              <w:rPr>
                <w:lang w:val="en-GB" w:eastAsia="en-AU"/>
              </w:rPr>
              <w:t>Mandatory</w:t>
            </w:r>
          </w:p>
        </w:tc>
      </w:tr>
      <w:tr w:rsidR="00ED063E" w:rsidRPr="00A33264" w14:paraId="47BB52B8" w14:textId="77777777" w:rsidTr="00FB72C4">
        <w:trPr>
          <w:cantSplit/>
        </w:trPr>
        <w:tc>
          <w:tcPr>
            <w:tcW w:w="1678" w:type="dxa"/>
          </w:tcPr>
          <w:p w14:paraId="31D3E770" w14:textId="257BDB43" w:rsidR="00ED063E" w:rsidRPr="00A33264" w:rsidRDefault="00ED063E" w:rsidP="00ED063E">
            <w:pPr>
              <w:pStyle w:val="TableBody"/>
              <w:rPr>
                <w:lang w:val="en-GB"/>
              </w:rPr>
            </w:pPr>
            <w:r w:rsidRPr="00A33264">
              <w:rPr>
                <w:lang w:val="en-GB" w:eastAsia="en-AU"/>
              </w:rPr>
              <w:t>17BE(b)(ii)</w:t>
            </w:r>
          </w:p>
        </w:tc>
        <w:tc>
          <w:tcPr>
            <w:tcW w:w="1391" w:type="dxa"/>
          </w:tcPr>
          <w:p w14:paraId="2C7B6C83" w14:textId="21EF8659" w:rsidR="00ED063E" w:rsidRPr="00A33264" w:rsidRDefault="00C655C7" w:rsidP="00ED063E">
            <w:pPr>
              <w:pStyle w:val="TableBody"/>
              <w:rPr>
                <w:lang w:val="en-GB"/>
              </w:rPr>
            </w:pPr>
            <w:r w:rsidRPr="00A33264">
              <w:rPr>
                <w:lang w:val="en-GB"/>
              </w:rPr>
              <w:t>1.</w:t>
            </w:r>
            <w:r w:rsidR="00F01AF0">
              <w:rPr>
                <w:lang w:val="en-GB"/>
              </w:rPr>
              <w:t>4</w:t>
            </w:r>
          </w:p>
          <w:p w14:paraId="05409116" w14:textId="45BBD475" w:rsidR="00C655C7" w:rsidRPr="00A33264" w:rsidRDefault="00C655C7" w:rsidP="00ED063E">
            <w:pPr>
              <w:pStyle w:val="TableBody"/>
              <w:rPr>
                <w:lang w:val="en-GB"/>
              </w:rPr>
            </w:pPr>
            <w:r w:rsidRPr="00A33264">
              <w:rPr>
                <w:lang w:val="en-GB"/>
              </w:rPr>
              <w:t>1.</w:t>
            </w:r>
            <w:r w:rsidR="00F01AF0">
              <w:rPr>
                <w:lang w:val="en-GB"/>
              </w:rPr>
              <w:t>5</w:t>
            </w:r>
          </w:p>
          <w:p w14:paraId="29627A1F" w14:textId="107C0655" w:rsidR="00C655C7" w:rsidRPr="00A33264" w:rsidRDefault="00C655C7" w:rsidP="00ED063E">
            <w:pPr>
              <w:pStyle w:val="TableBody"/>
              <w:rPr>
                <w:lang w:val="en-GB"/>
              </w:rPr>
            </w:pPr>
            <w:r w:rsidRPr="00A33264">
              <w:rPr>
                <w:lang w:val="en-GB"/>
              </w:rPr>
              <w:t>1.</w:t>
            </w:r>
            <w:r w:rsidR="00F01AF0">
              <w:rPr>
                <w:lang w:val="en-GB"/>
              </w:rPr>
              <w:t>6</w:t>
            </w:r>
          </w:p>
        </w:tc>
        <w:tc>
          <w:tcPr>
            <w:tcW w:w="4172" w:type="dxa"/>
          </w:tcPr>
          <w:p w14:paraId="41F3C736" w14:textId="74698952" w:rsidR="00ED063E" w:rsidRPr="00A33264" w:rsidRDefault="00ED063E" w:rsidP="00ED063E">
            <w:pPr>
              <w:pStyle w:val="TableBody"/>
              <w:rPr>
                <w:lang w:val="en-GB"/>
              </w:rPr>
            </w:pPr>
            <w:r w:rsidRPr="00A33264">
              <w:rPr>
                <w:lang w:val="en-GB" w:eastAsia="en-AU"/>
              </w:rPr>
              <w:t>The purposes of the entity as included in the entity’s corporate plan for the reporting period</w:t>
            </w:r>
          </w:p>
        </w:tc>
        <w:tc>
          <w:tcPr>
            <w:tcW w:w="2011" w:type="dxa"/>
          </w:tcPr>
          <w:p w14:paraId="402E3530" w14:textId="7A66437B" w:rsidR="00ED063E" w:rsidRPr="00A33264" w:rsidRDefault="00ED063E" w:rsidP="00ED063E">
            <w:pPr>
              <w:pStyle w:val="TableBody"/>
              <w:rPr>
                <w:lang w:val="en-GB"/>
              </w:rPr>
            </w:pPr>
            <w:r w:rsidRPr="00A33264">
              <w:rPr>
                <w:lang w:val="en-GB" w:eastAsia="en-AU"/>
              </w:rPr>
              <w:t>Mandatory</w:t>
            </w:r>
          </w:p>
        </w:tc>
      </w:tr>
      <w:tr w:rsidR="00ED063E" w:rsidRPr="00A33264" w14:paraId="3C180C41" w14:textId="77777777" w:rsidTr="00FB72C4">
        <w:trPr>
          <w:cnfStyle w:val="000000100000" w:firstRow="0" w:lastRow="0" w:firstColumn="0" w:lastColumn="0" w:oddVBand="0" w:evenVBand="0" w:oddHBand="1" w:evenHBand="0" w:firstRowFirstColumn="0" w:firstRowLastColumn="0" w:lastRowFirstColumn="0" w:lastRowLastColumn="0"/>
          <w:cantSplit/>
        </w:trPr>
        <w:tc>
          <w:tcPr>
            <w:tcW w:w="1678" w:type="dxa"/>
          </w:tcPr>
          <w:p w14:paraId="71A89A94" w14:textId="1B977115" w:rsidR="00ED063E" w:rsidRPr="00A33264" w:rsidRDefault="00ED063E" w:rsidP="00ED063E">
            <w:pPr>
              <w:pStyle w:val="TableBody"/>
              <w:rPr>
                <w:lang w:val="en-GB"/>
              </w:rPr>
            </w:pPr>
            <w:r w:rsidRPr="00A33264">
              <w:rPr>
                <w:lang w:val="en-GB" w:eastAsia="en-AU"/>
              </w:rPr>
              <w:t>17BE(c)</w:t>
            </w:r>
          </w:p>
        </w:tc>
        <w:tc>
          <w:tcPr>
            <w:tcW w:w="1391" w:type="dxa"/>
          </w:tcPr>
          <w:p w14:paraId="6C3F08AA" w14:textId="7CD5E0DE" w:rsidR="00820C69" w:rsidRPr="00A33264" w:rsidRDefault="00820C69" w:rsidP="00ED063E">
            <w:pPr>
              <w:pStyle w:val="TableBody"/>
              <w:rPr>
                <w:lang w:val="en-GB"/>
              </w:rPr>
            </w:pPr>
            <w:r w:rsidRPr="00A33264">
              <w:rPr>
                <w:lang w:val="en-GB"/>
              </w:rPr>
              <w:t>5.1.1</w:t>
            </w:r>
          </w:p>
        </w:tc>
        <w:tc>
          <w:tcPr>
            <w:tcW w:w="4172" w:type="dxa"/>
          </w:tcPr>
          <w:p w14:paraId="493C46FC" w14:textId="0FC60CBF" w:rsidR="00ED063E" w:rsidRPr="00A33264" w:rsidRDefault="00ED063E" w:rsidP="00ED063E">
            <w:pPr>
              <w:pStyle w:val="TableBody"/>
              <w:rPr>
                <w:lang w:val="en-GB"/>
              </w:rPr>
            </w:pPr>
            <w:r w:rsidRPr="00A33264">
              <w:rPr>
                <w:lang w:val="en-GB" w:eastAsia="en-AU"/>
              </w:rPr>
              <w:t>The names of the persons holding the position of responsible Minister or responsible Ministers during the reporting period, and the titles of those responsible Ministers</w:t>
            </w:r>
          </w:p>
        </w:tc>
        <w:tc>
          <w:tcPr>
            <w:tcW w:w="2011" w:type="dxa"/>
          </w:tcPr>
          <w:p w14:paraId="287C1AAC" w14:textId="4037CDAE" w:rsidR="00ED063E" w:rsidRPr="00A33264" w:rsidRDefault="00ED063E" w:rsidP="00ED063E">
            <w:pPr>
              <w:pStyle w:val="TableBody"/>
              <w:rPr>
                <w:lang w:val="en-GB"/>
              </w:rPr>
            </w:pPr>
            <w:r w:rsidRPr="00A33264">
              <w:rPr>
                <w:lang w:val="en-GB" w:eastAsia="en-AU"/>
              </w:rPr>
              <w:t>Mandatory</w:t>
            </w:r>
          </w:p>
        </w:tc>
      </w:tr>
      <w:tr w:rsidR="00ED063E" w:rsidRPr="00A33264" w14:paraId="1F7A6B88" w14:textId="77777777" w:rsidTr="00FB72C4">
        <w:trPr>
          <w:cantSplit/>
        </w:trPr>
        <w:tc>
          <w:tcPr>
            <w:tcW w:w="1678" w:type="dxa"/>
          </w:tcPr>
          <w:p w14:paraId="4DE1F089" w14:textId="1BDA0102" w:rsidR="00ED063E" w:rsidRPr="00A33264" w:rsidRDefault="00ED063E" w:rsidP="00ED063E">
            <w:pPr>
              <w:pStyle w:val="TableBody"/>
              <w:rPr>
                <w:lang w:val="en-GB"/>
              </w:rPr>
            </w:pPr>
            <w:r w:rsidRPr="00A33264">
              <w:rPr>
                <w:lang w:val="en-GB" w:eastAsia="en-AU"/>
              </w:rPr>
              <w:t>17BE(d)</w:t>
            </w:r>
          </w:p>
        </w:tc>
        <w:tc>
          <w:tcPr>
            <w:tcW w:w="1391" w:type="dxa"/>
          </w:tcPr>
          <w:p w14:paraId="6FD5841F" w14:textId="53AC9B50" w:rsidR="00ED063E" w:rsidRPr="00A33264" w:rsidRDefault="00820C69" w:rsidP="00ED063E">
            <w:pPr>
              <w:pStyle w:val="TableBody"/>
              <w:rPr>
                <w:lang w:val="en-GB"/>
              </w:rPr>
            </w:pPr>
            <w:r w:rsidRPr="00A33264">
              <w:rPr>
                <w:lang w:val="en-GB"/>
              </w:rPr>
              <w:t>6.9</w:t>
            </w:r>
            <w:r w:rsidR="003F25CD" w:rsidRPr="00A33264">
              <w:rPr>
                <w:lang w:val="en-GB"/>
              </w:rPr>
              <w:t>.1</w:t>
            </w:r>
          </w:p>
        </w:tc>
        <w:tc>
          <w:tcPr>
            <w:tcW w:w="4172" w:type="dxa"/>
          </w:tcPr>
          <w:p w14:paraId="6D3A8D9F" w14:textId="3BE3BBE7" w:rsidR="00ED063E" w:rsidRPr="00A33264" w:rsidRDefault="00ED063E" w:rsidP="00ED063E">
            <w:pPr>
              <w:pStyle w:val="TableBody"/>
              <w:rPr>
                <w:lang w:val="en-GB"/>
              </w:rPr>
            </w:pPr>
            <w:r w:rsidRPr="00A33264">
              <w:rPr>
                <w:lang w:val="en-GB" w:eastAsia="en-AU"/>
              </w:rPr>
              <w:t>Directions given to the entity by the Minister under an Act or instrument during the reporting period</w:t>
            </w:r>
          </w:p>
        </w:tc>
        <w:tc>
          <w:tcPr>
            <w:tcW w:w="2011" w:type="dxa"/>
          </w:tcPr>
          <w:p w14:paraId="7A581068" w14:textId="37DA59C3" w:rsidR="00ED063E" w:rsidRPr="00A33264" w:rsidRDefault="00ED063E" w:rsidP="00ED063E">
            <w:pPr>
              <w:pStyle w:val="TableBody"/>
              <w:rPr>
                <w:lang w:val="en-GB"/>
              </w:rPr>
            </w:pPr>
            <w:r w:rsidRPr="00A33264">
              <w:rPr>
                <w:lang w:val="en-GB" w:eastAsia="en-AU"/>
              </w:rPr>
              <w:t>If applicable, mandatory</w:t>
            </w:r>
          </w:p>
        </w:tc>
      </w:tr>
      <w:tr w:rsidR="00ED063E" w:rsidRPr="00A33264" w14:paraId="2A29C1B4" w14:textId="77777777" w:rsidTr="00FB72C4">
        <w:trPr>
          <w:cnfStyle w:val="000000100000" w:firstRow="0" w:lastRow="0" w:firstColumn="0" w:lastColumn="0" w:oddVBand="0" w:evenVBand="0" w:oddHBand="1" w:evenHBand="0" w:firstRowFirstColumn="0" w:firstRowLastColumn="0" w:lastRowFirstColumn="0" w:lastRowLastColumn="0"/>
          <w:cantSplit/>
        </w:trPr>
        <w:tc>
          <w:tcPr>
            <w:tcW w:w="1678" w:type="dxa"/>
          </w:tcPr>
          <w:p w14:paraId="26099DC0" w14:textId="15655D0E" w:rsidR="00ED063E" w:rsidRPr="00A33264" w:rsidRDefault="00ED063E" w:rsidP="00ED063E">
            <w:pPr>
              <w:pStyle w:val="TableBody"/>
              <w:rPr>
                <w:lang w:val="en-GB"/>
              </w:rPr>
            </w:pPr>
            <w:r w:rsidRPr="00A33264">
              <w:rPr>
                <w:lang w:val="en-GB" w:eastAsia="en-AU"/>
              </w:rPr>
              <w:t>17BE(e)</w:t>
            </w:r>
          </w:p>
        </w:tc>
        <w:tc>
          <w:tcPr>
            <w:tcW w:w="1391" w:type="dxa"/>
          </w:tcPr>
          <w:p w14:paraId="59F58C31" w14:textId="56E0D31E" w:rsidR="00ED063E" w:rsidRPr="00A33264" w:rsidRDefault="00FB72C4" w:rsidP="00ED063E">
            <w:pPr>
              <w:pStyle w:val="TableBody"/>
              <w:rPr>
                <w:lang w:val="en-GB"/>
              </w:rPr>
            </w:pPr>
            <w:r w:rsidRPr="00A33264">
              <w:rPr>
                <w:lang w:val="en-GB"/>
              </w:rPr>
              <w:t>6.9</w:t>
            </w:r>
            <w:r w:rsidR="003F25CD" w:rsidRPr="00A33264">
              <w:rPr>
                <w:lang w:val="en-GB"/>
              </w:rPr>
              <w:t>.1</w:t>
            </w:r>
          </w:p>
        </w:tc>
        <w:tc>
          <w:tcPr>
            <w:tcW w:w="4172" w:type="dxa"/>
          </w:tcPr>
          <w:p w14:paraId="3C100B8B" w14:textId="2AAC4F75" w:rsidR="00ED063E" w:rsidRPr="00A33264" w:rsidRDefault="00ED063E" w:rsidP="00ED063E">
            <w:pPr>
              <w:pStyle w:val="TableBody"/>
              <w:rPr>
                <w:lang w:val="en-GB"/>
              </w:rPr>
            </w:pPr>
            <w:r w:rsidRPr="00A33264">
              <w:rPr>
                <w:lang w:val="en-GB" w:eastAsia="en-AU"/>
              </w:rPr>
              <w:t>Any government policy order that applied in relation to the entity during the reporting period under section 22 of the Act</w:t>
            </w:r>
          </w:p>
        </w:tc>
        <w:tc>
          <w:tcPr>
            <w:tcW w:w="2011" w:type="dxa"/>
          </w:tcPr>
          <w:p w14:paraId="4E97A1DF" w14:textId="4EB2679A" w:rsidR="00ED063E" w:rsidRPr="00A33264" w:rsidRDefault="00ED063E" w:rsidP="00ED063E">
            <w:pPr>
              <w:pStyle w:val="TableBody"/>
              <w:rPr>
                <w:lang w:val="en-GB"/>
              </w:rPr>
            </w:pPr>
            <w:r w:rsidRPr="00A33264">
              <w:rPr>
                <w:lang w:val="en-GB" w:eastAsia="en-AU"/>
              </w:rPr>
              <w:t>If applicable, mandatory</w:t>
            </w:r>
          </w:p>
        </w:tc>
      </w:tr>
      <w:tr w:rsidR="00ED063E" w:rsidRPr="00A33264" w14:paraId="09C1D340" w14:textId="77777777" w:rsidTr="00FB72C4">
        <w:trPr>
          <w:cantSplit/>
        </w:trPr>
        <w:tc>
          <w:tcPr>
            <w:tcW w:w="1678" w:type="dxa"/>
          </w:tcPr>
          <w:p w14:paraId="1BBFFE04" w14:textId="6CAFA5D2" w:rsidR="00ED063E" w:rsidRPr="00A33264" w:rsidRDefault="00ED063E" w:rsidP="00ED063E">
            <w:pPr>
              <w:pStyle w:val="TableBody"/>
              <w:rPr>
                <w:lang w:val="en-GB"/>
              </w:rPr>
            </w:pPr>
            <w:r w:rsidRPr="00A33264">
              <w:rPr>
                <w:lang w:val="en-GB" w:eastAsia="en-AU"/>
              </w:rPr>
              <w:t>17BE(f)</w:t>
            </w:r>
          </w:p>
        </w:tc>
        <w:tc>
          <w:tcPr>
            <w:tcW w:w="1391" w:type="dxa"/>
          </w:tcPr>
          <w:p w14:paraId="2F80963A" w14:textId="1BF0BF04" w:rsidR="00ED063E" w:rsidRPr="00A33264" w:rsidRDefault="00FB72C4" w:rsidP="00ED063E">
            <w:pPr>
              <w:pStyle w:val="TableBody"/>
              <w:rPr>
                <w:lang w:val="en-GB"/>
              </w:rPr>
            </w:pPr>
            <w:r w:rsidRPr="00A33264">
              <w:rPr>
                <w:lang w:val="en-GB"/>
              </w:rPr>
              <w:t>6.9</w:t>
            </w:r>
            <w:r w:rsidR="003F25CD" w:rsidRPr="00A33264">
              <w:rPr>
                <w:lang w:val="en-GB"/>
              </w:rPr>
              <w:t>.1</w:t>
            </w:r>
          </w:p>
        </w:tc>
        <w:tc>
          <w:tcPr>
            <w:tcW w:w="4172" w:type="dxa"/>
          </w:tcPr>
          <w:p w14:paraId="2F70FA5F" w14:textId="43183B33" w:rsidR="00ED063E" w:rsidRPr="00A33264" w:rsidRDefault="00ED063E" w:rsidP="00ED063E">
            <w:pPr>
              <w:pStyle w:val="TableBody"/>
              <w:rPr>
                <w:lang w:val="en-GB" w:eastAsia="en-AU"/>
              </w:rPr>
            </w:pPr>
            <w:r w:rsidRPr="00A33264">
              <w:rPr>
                <w:lang w:val="en-GB" w:eastAsia="en-AU"/>
              </w:rPr>
              <w:t>Particulars of non</w:t>
            </w:r>
            <w:r w:rsidR="00AE346F" w:rsidRPr="00A33264">
              <w:rPr>
                <w:lang w:val="en-GB" w:eastAsia="en-AU"/>
              </w:rPr>
              <w:t>-</w:t>
            </w:r>
            <w:r w:rsidRPr="00A33264">
              <w:rPr>
                <w:lang w:val="en-GB" w:eastAsia="en-AU"/>
              </w:rPr>
              <w:t>compliance with:</w:t>
            </w:r>
          </w:p>
          <w:p w14:paraId="1C41D133" w14:textId="77777777" w:rsidR="00ED063E" w:rsidRPr="00A33264" w:rsidRDefault="00ED063E" w:rsidP="00ED063E">
            <w:pPr>
              <w:pStyle w:val="TableBody"/>
              <w:rPr>
                <w:lang w:val="en-GB" w:eastAsia="en-AU"/>
              </w:rPr>
            </w:pPr>
            <w:r w:rsidRPr="00A33264">
              <w:rPr>
                <w:lang w:val="en-GB" w:eastAsia="en-AU"/>
              </w:rPr>
              <w:t>(a) a direction given to the entity by the Minister under an Act or instrument during the reporting period; or</w:t>
            </w:r>
          </w:p>
          <w:p w14:paraId="73100071" w14:textId="24035E55" w:rsidR="00ED063E" w:rsidRPr="00A33264" w:rsidRDefault="00ED063E" w:rsidP="00ED063E">
            <w:pPr>
              <w:pStyle w:val="TableBody"/>
              <w:rPr>
                <w:lang w:val="en-GB"/>
              </w:rPr>
            </w:pPr>
            <w:r w:rsidRPr="00A33264">
              <w:rPr>
                <w:lang w:val="en-GB" w:eastAsia="en-AU"/>
              </w:rPr>
              <w:t>(b) a government policy order that applied in relation to the entity during the reporting period under section 22 of the Act</w:t>
            </w:r>
          </w:p>
        </w:tc>
        <w:tc>
          <w:tcPr>
            <w:tcW w:w="2011" w:type="dxa"/>
          </w:tcPr>
          <w:p w14:paraId="47EDD2EE" w14:textId="2D3D7003" w:rsidR="00ED063E" w:rsidRPr="00A33264" w:rsidRDefault="00ED063E" w:rsidP="00ED063E">
            <w:pPr>
              <w:pStyle w:val="TableBody"/>
              <w:rPr>
                <w:lang w:val="en-GB"/>
              </w:rPr>
            </w:pPr>
            <w:r w:rsidRPr="00A33264">
              <w:rPr>
                <w:lang w:val="en-GB" w:eastAsia="en-AU"/>
              </w:rPr>
              <w:t>If applicable, mandatory</w:t>
            </w:r>
          </w:p>
        </w:tc>
      </w:tr>
      <w:tr w:rsidR="00ED063E" w:rsidRPr="00A33264" w14:paraId="4C5FAA48" w14:textId="77777777" w:rsidTr="00FB72C4">
        <w:trPr>
          <w:cnfStyle w:val="000000100000" w:firstRow="0" w:lastRow="0" w:firstColumn="0" w:lastColumn="0" w:oddVBand="0" w:evenVBand="0" w:oddHBand="1" w:evenHBand="0" w:firstRowFirstColumn="0" w:firstRowLastColumn="0" w:lastRowFirstColumn="0" w:lastRowLastColumn="0"/>
          <w:cantSplit/>
        </w:trPr>
        <w:tc>
          <w:tcPr>
            <w:tcW w:w="1678" w:type="dxa"/>
          </w:tcPr>
          <w:p w14:paraId="174507F4" w14:textId="29794AEC" w:rsidR="00ED063E" w:rsidRPr="00A33264" w:rsidRDefault="00ED063E" w:rsidP="00ED063E">
            <w:pPr>
              <w:pStyle w:val="TableBody"/>
              <w:rPr>
                <w:lang w:val="en-GB"/>
              </w:rPr>
            </w:pPr>
            <w:r w:rsidRPr="00A33264">
              <w:rPr>
                <w:lang w:val="en-GB" w:eastAsia="en-AU"/>
              </w:rPr>
              <w:lastRenderedPageBreak/>
              <w:t>17BE(g)</w:t>
            </w:r>
          </w:p>
        </w:tc>
        <w:tc>
          <w:tcPr>
            <w:tcW w:w="1391" w:type="dxa"/>
          </w:tcPr>
          <w:p w14:paraId="4E4EE1FF" w14:textId="697449C9" w:rsidR="00ED063E" w:rsidRPr="00A33264" w:rsidRDefault="00FB72C4" w:rsidP="00ED063E">
            <w:pPr>
              <w:pStyle w:val="TableBody"/>
              <w:rPr>
                <w:lang w:val="en-GB"/>
              </w:rPr>
            </w:pPr>
            <w:r w:rsidRPr="00A33264">
              <w:rPr>
                <w:lang w:val="en-GB"/>
              </w:rPr>
              <w:t>2</w:t>
            </w:r>
          </w:p>
        </w:tc>
        <w:tc>
          <w:tcPr>
            <w:tcW w:w="4172" w:type="dxa"/>
          </w:tcPr>
          <w:p w14:paraId="4340E2FB" w14:textId="30469D53" w:rsidR="00ED063E" w:rsidRPr="00A33264" w:rsidRDefault="00ED063E" w:rsidP="00ED063E">
            <w:pPr>
              <w:pStyle w:val="TableBody"/>
              <w:rPr>
                <w:lang w:val="en-GB"/>
              </w:rPr>
            </w:pPr>
            <w:r w:rsidRPr="00A33264">
              <w:rPr>
                <w:lang w:val="en-GB" w:eastAsia="en-AU"/>
              </w:rPr>
              <w:t>Annual performance statements in accordance with paragraph 39(1)(b) of the Act and section 16F of the rule</w:t>
            </w:r>
          </w:p>
        </w:tc>
        <w:tc>
          <w:tcPr>
            <w:tcW w:w="2011" w:type="dxa"/>
          </w:tcPr>
          <w:p w14:paraId="2B508DE1" w14:textId="28FF009A" w:rsidR="00ED063E" w:rsidRPr="00A33264" w:rsidRDefault="00ED063E" w:rsidP="00ED063E">
            <w:pPr>
              <w:pStyle w:val="TableBody"/>
              <w:rPr>
                <w:lang w:val="en-GB"/>
              </w:rPr>
            </w:pPr>
            <w:r w:rsidRPr="00A33264">
              <w:rPr>
                <w:lang w:val="en-GB" w:eastAsia="en-AU"/>
              </w:rPr>
              <w:t>Mandatory</w:t>
            </w:r>
          </w:p>
        </w:tc>
      </w:tr>
      <w:tr w:rsidR="00ED063E" w:rsidRPr="00A33264" w14:paraId="117DBDEA" w14:textId="77777777" w:rsidTr="00FB72C4">
        <w:trPr>
          <w:cantSplit/>
        </w:trPr>
        <w:tc>
          <w:tcPr>
            <w:tcW w:w="1678" w:type="dxa"/>
          </w:tcPr>
          <w:p w14:paraId="4B3C8B58" w14:textId="2D3C0D49" w:rsidR="00ED063E" w:rsidRPr="00A33264" w:rsidRDefault="00ED063E" w:rsidP="00ED063E">
            <w:pPr>
              <w:pStyle w:val="TableBody"/>
              <w:rPr>
                <w:lang w:val="en-GB"/>
              </w:rPr>
            </w:pPr>
            <w:r w:rsidRPr="00A33264">
              <w:rPr>
                <w:lang w:val="en-GB" w:eastAsia="en-AU"/>
              </w:rPr>
              <w:t>17BE(h), 17BE(i)</w:t>
            </w:r>
          </w:p>
        </w:tc>
        <w:tc>
          <w:tcPr>
            <w:tcW w:w="1391" w:type="dxa"/>
          </w:tcPr>
          <w:p w14:paraId="6CBA8E20" w14:textId="0FF4FB98" w:rsidR="00ED063E" w:rsidRPr="00A33264" w:rsidRDefault="00FB72C4" w:rsidP="00ED063E">
            <w:pPr>
              <w:pStyle w:val="TableBody"/>
              <w:rPr>
                <w:lang w:val="en-GB"/>
              </w:rPr>
            </w:pPr>
            <w:r w:rsidRPr="00A33264">
              <w:rPr>
                <w:lang w:val="en-GB"/>
              </w:rPr>
              <w:t>6.9</w:t>
            </w:r>
            <w:r w:rsidR="003F25CD" w:rsidRPr="00A33264">
              <w:rPr>
                <w:lang w:val="en-GB"/>
              </w:rPr>
              <w:t>.6</w:t>
            </w:r>
          </w:p>
        </w:tc>
        <w:tc>
          <w:tcPr>
            <w:tcW w:w="4172" w:type="dxa"/>
          </w:tcPr>
          <w:p w14:paraId="4BEB55B0" w14:textId="14852D6D" w:rsidR="00ED063E" w:rsidRPr="00A33264" w:rsidRDefault="00ED063E" w:rsidP="00ED063E">
            <w:pPr>
              <w:pStyle w:val="TableBody"/>
              <w:rPr>
                <w:lang w:val="en-GB"/>
              </w:rPr>
            </w:pPr>
            <w:r w:rsidRPr="00A33264">
              <w:rPr>
                <w:lang w:val="en-GB" w:eastAsia="en-AU"/>
              </w:rPr>
              <w:t>A statement of significant issues reported to the Minister under paragraph 19(1)(e) of the Act that relates to non</w:t>
            </w:r>
            <w:r w:rsidR="00AE346F" w:rsidRPr="00A33264">
              <w:rPr>
                <w:lang w:val="en-GB" w:eastAsia="en-AU"/>
              </w:rPr>
              <w:t>-</w:t>
            </w:r>
            <w:r w:rsidRPr="00A33264">
              <w:rPr>
                <w:lang w:val="en-GB" w:eastAsia="en-AU"/>
              </w:rPr>
              <w:t>compliance with finance law and action taken to remedy non</w:t>
            </w:r>
            <w:r w:rsidR="00BF5D0D" w:rsidRPr="00A33264">
              <w:rPr>
                <w:lang w:val="en-GB" w:eastAsia="en-AU"/>
              </w:rPr>
              <w:t>-</w:t>
            </w:r>
            <w:r w:rsidRPr="00A33264">
              <w:rPr>
                <w:lang w:val="en-GB" w:eastAsia="en-AU"/>
              </w:rPr>
              <w:t>compliance</w:t>
            </w:r>
          </w:p>
        </w:tc>
        <w:tc>
          <w:tcPr>
            <w:tcW w:w="2011" w:type="dxa"/>
          </w:tcPr>
          <w:p w14:paraId="1E4328B7" w14:textId="59C6E1CB" w:rsidR="00ED063E" w:rsidRPr="00A33264" w:rsidRDefault="00ED063E" w:rsidP="00ED063E">
            <w:pPr>
              <w:pStyle w:val="TableBody"/>
              <w:rPr>
                <w:lang w:val="en-GB"/>
              </w:rPr>
            </w:pPr>
            <w:r w:rsidRPr="00A33264">
              <w:rPr>
                <w:lang w:val="en-GB" w:eastAsia="en-AU"/>
              </w:rPr>
              <w:t>If applicable, mandatory</w:t>
            </w:r>
          </w:p>
        </w:tc>
      </w:tr>
      <w:tr w:rsidR="00ED063E" w:rsidRPr="00A33264" w14:paraId="1E5726CE" w14:textId="77777777" w:rsidTr="00FB72C4">
        <w:trPr>
          <w:cnfStyle w:val="000000100000" w:firstRow="0" w:lastRow="0" w:firstColumn="0" w:lastColumn="0" w:oddVBand="0" w:evenVBand="0" w:oddHBand="1" w:evenHBand="0" w:firstRowFirstColumn="0" w:firstRowLastColumn="0" w:lastRowFirstColumn="0" w:lastRowLastColumn="0"/>
          <w:cantSplit/>
        </w:trPr>
        <w:tc>
          <w:tcPr>
            <w:tcW w:w="1678" w:type="dxa"/>
          </w:tcPr>
          <w:p w14:paraId="1098F269" w14:textId="73D68348" w:rsidR="00ED063E" w:rsidRPr="00A33264" w:rsidRDefault="00ED063E" w:rsidP="00ED063E">
            <w:pPr>
              <w:pStyle w:val="TableBody"/>
              <w:rPr>
                <w:lang w:val="en-GB"/>
              </w:rPr>
            </w:pPr>
            <w:r w:rsidRPr="00A33264">
              <w:rPr>
                <w:lang w:val="en-GB" w:eastAsia="en-AU"/>
              </w:rPr>
              <w:t>17BE(j)</w:t>
            </w:r>
          </w:p>
        </w:tc>
        <w:tc>
          <w:tcPr>
            <w:tcW w:w="1391" w:type="dxa"/>
          </w:tcPr>
          <w:p w14:paraId="56986C80" w14:textId="0F23CDE3" w:rsidR="00ED063E" w:rsidRPr="00A33264" w:rsidRDefault="000E2FC5" w:rsidP="00ED063E">
            <w:pPr>
              <w:pStyle w:val="TableBody"/>
              <w:rPr>
                <w:lang w:val="en-GB"/>
              </w:rPr>
            </w:pPr>
            <w:r w:rsidRPr="00A33264">
              <w:rPr>
                <w:lang w:val="en-GB"/>
              </w:rPr>
              <w:t>5.2</w:t>
            </w:r>
          </w:p>
        </w:tc>
        <w:tc>
          <w:tcPr>
            <w:tcW w:w="4172" w:type="dxa"/>
          </w:tcPr>
          <w:p w14:paraId="308759D8" w14:textId="5EBB4127" w:rsidR="00ED063E" w:rsidRPr="00A33264" w:rsidRDefault="00ED063E" w:rsidP="00ED063E">
            <w:pPr>
              <w:pStyle w:val="TableBody"/>
              <w:rPr>
                <w:lang w:val="en-GB"/>
              </w:rPr>
            </w:pPr>
            <w:r w:rsidRPr="00A33264">
              <w:rPr>
                <w:lang w:val="en-GB" w:eastAsia="en-AU"/>
              </w:rPr>
              <w:t>Information on the accountable authority, or each member of the accountable authority, of the entity during the reporting period</w:t>
            </w:r>
          </w:p>
        </w:tc>
        <w:tc>
          <w:tcPr>
            <w:tcW w:w="2011" w:type="dxa"/>
          </w:tcPr>
          <w:p w14:paraId="538E8A29" w14:textId="3DD11E62" w:rsidR="00ED063E" w:rsidRPr="00A33264" w:rsidRDefault="00ED063E" w:rsidP="00ED063E">
            <w:pPr>
              <w:pStyle w:val="TableBody"/>
              <w:rPr>
                <w:lang w:val="en-GB"/>
              </w:rPr>
            </w:pPr>
            <w:r w:rsidRPr="00A33264">
              <w:rPr>
                <w:lang w:val="en-GB" w:eastAsia="en-AU"/>
              </w:rPr>
              <w:t>Mandatory</w:t>
            </w:r>
          </w:p>
        </w:tc>
      </w:tr>
      <w:tr w:rsidR="00ED063E" w:rsidRPr="00A33264" w14:paraId="2C1EE5F7" w14:textId="77777777" w:rsidTr="00FB72C4">
        <w:trPr>
          <w:cantSplit/>
        </w:trPr>
        <w:tc>
          <w:tcPr>
            <w:tcW w:w="1678" w:type="dxa"/>
          </w:tcPr>
          <w:p w14:paraId="54355E58" w14:textId="0777523A" w:rsidR="00ED063E" w:rsidRPr="00A33264" w:rsidRDefault="00ED063E" w:rsidP="00ED063E">
            <w:pPr>
              <w:pStyle w:val="TableBody"/>
              <w:rPr>
                <w:lang w:val="en-GB"/>
              </w:rPr>
            </w:pPr>
            <w:r w:rsidRPr="00A33264">
              <w:rPr>
                <w:lang w:val="en-GB" w:eastAsia="en-AU"/>
              </w:rPr>
              <w:t>17BE(k)</w:t>
            </w:r>
          </w:p>
        </w:tc>
        <w:tc>
          <w:tcPr>
            <w:tcW w:w="1391" w:type="dxa"/>
          </w:tcPr>
          <w:p w14:paraId="1E713102" w14:textId="7932C729" w:rsidR="00ED063E" w:rsidRPr="00A33264" w:rsidRDefault="00A86569" w:rsidP="00ED063E">
            <w:pPr>
              <w:pStyle w:val="TableBody"/>
              <w:rPr>
                <w:lang w:val="en-GB"/>
              </w:rPr>
            </w:pPr>
            <w:r w:rsidRPr="00A33264">
              <w:rPr>
                <w:lang w:val="en-GB"/>
              </w:rPr>
              <w:t>5.4.1</w:t>
            </w:r>
          </w:p>
        </w:tc>
        <w:tc>
          <w:tcPr>
            <w:tcW w:w="4172" w:type="dxa"/>
          </w:tcPr>
          <w:p w14:paraId="7771E7CC" w14:textId="50BF663C" w:rsidR="00ED063E" w:rsidRPr="00A33264" w:rsidRDefault="00ED063E" w:rsidP="00ED063E">
            <w:pPr>
              <w:pStyle w:val="TableBody"/>
              <w:rPr>
                <w:lang w:val="en-GB"/>
              </w:rPr>
            </w:pPr>
            <w:r w:rsidRPr="00A33264">
              <w:rPr>
                <w:lang w:val="en-GB" w:eastAsia="en-AU"/>
              </w:rPr>
              <w:t>Outline of the organisational structure of the entity (including any subsidiaries of the entity)</w:t>
            </w:r>
          </w:p>
        </w:tc>
        <w:tc>
          <w:tcPr>
            <w:tcW w:w="2011" w:type="dxa"/>
          </w:tcPr>
          <w:p w14:paraId="67D687A6" w14:textId="1A877630" w:rsidR="00ED063E" w:rsidRPr="00A33264" w:rsidRDefault="00ED063E" w:rsidP="00ED063E">
            <w:pPr>
              <w:pStyle w:val="TableBody"/>
              <w:rPr>
                <w:lang w:val="en-GB"/>
              </w:rPr>
            </w:pPr>
            <w:r w:rsidRPr="00A33264">
              <w:rPr>
                <w:lang w:val="en-GB" w:eastAsia="en-AU"/>
              </w:rPr>
              <w:t>Mandatory</w:t>
            </w:r>
          </w:p>
        </w:tc>
      </w:tr>
      <w:tr w:rsidR="00ED063E" w:rsidRPr="00A33264" w14:paraId="699F27B6" w14:textId="77777777" w:rsidTr="00FB72C4">
        <w:trPr>
          <w:cnfStyle w:val="000000100000" w:firstRow="0" w:lastRow="0" w:firstColumn="0" w:lastColumn="0" w:oddVBand="0" w:evenVBand="0" w:oddHBand="1" w:evenHBand="0" w:firstRowFirstColumn="0" w:firstRowLastColumn="0" w:lastRowFirstColumn="0" w:lastRowLastColumn="0"/>
          <w:cantSplit/>
        </w:trPr>
        <w:tc>
          <w:tcPr>
            <w:tcW w:w="1678" w:type="dxa"/>
          </w:tcPr>
          <w:p w14:paraId="11BC1D48" w14:textId="079A324C" w:rsidR="00ED063E" w:rsidRPr="00A33264" w:rsidRDefault="00ED063E" w:rsidP="00ED063E">
            <w:pPr>
              <w:pStyle w:val="TableBody"/>
              <w:rPr>
                <w:lang w:val="en-GB"/>
              </w:rPr>
            </w:pPr>
            <w:r w:rsidRPr="00A33264">
              <w:rPr>
                <w:lang w:val="en-GB" w:eastAsia="en-AU"/>
              </w:rPr>
              <w:t>17BE(ka)</w:t>
            </w:r>
          </w:p>
        </w:tc>
        <w:tc>
          <w:tcPr>
            <w:tcW w:w="1391" w:type="dxa"/>
          </w:tcPr>
          <w:p w14:paraId="78BC1C82" w14:textId="46457526" w:rsidR="00ED063E" w:rsidRPr="00A33264" w:rsidRDefault="00BF5D0D" w:rsidP="00ED063E">
            <w:pPr>
              <w:pStyle w:val="TableBody"/>
              <w:rPr>
                <w:lang w:val="en-GB"/>
              </w:rPr>
            </w:pPr>
            <w:r w:rsidRPr="00A33264">
              <w:rPr>
                <w:lang w:val="en-GB"/>
              </w:rPr>
              <w:t>6.4</w:t>
            </w:r>
          </w:p>
        </w:tc>
        <w:tc>
          <w:tcPr>
            <w:tcW w:w="4172" w:type="dxa"/>
          </w:tcPr>
          <w:p w14:paraId="59C1E94E" w14:textId="45034CDA" w:rsidR="00ED063E" w:rsidRPr="00A33264" w:rsidRDefault="00ED063E" w:rsidP="00ED063E">
            <w:pPr>
              <w:pStyle w:val="TableBody"/>
              <w:rPr>
                <w:lang w:val="en-GB" w:eastAsia="en-AU"/>
              </w:rPr>
            </w:pPr>
            <w:r w:rsidRPr="00A33264">
              <w:rPr>
                <w:lang w:val="en-GB" w:eastAsia="en-AU"/>
              </w:rPr>
              <w:t>Statistics on the entity’s employees on an ongoing and non</w:t>
            </w:r>
            <w:r w:rsidR="00AE346F" w:rsidRPr="00A33264">
              <w:rPr>
                <w:lang w:val="en-GB" w:eastAsia="en-AU"/>
              </w:rPr>
              <w:t>-</w:t>
            </w:r>
            <w:r w:rsidRPr="00A33264">
              <w:rPr>
                <w:lang w:val="en-GB" w:eastAsia="en-AU"/>
              </w:rPr>
              <w:t>ongoing basis, including the following:</w:t>
            </w:r>
          </w:p>
          <w:p w14:paraId="7F20498C" w14:textId="0E3EF0FF" w:rsidR="00ED063E" w:rsidRPr="00A33264" w:rsidRDefault="00ED063E" w:rsidP="00ED063E">
            <w:pPr>
              <w:pStyle w:val="TableBody"/>
              <w:rPr>
                <w:lang w:val="en-GB" w:eastAsia="en-AU"/>
              </w:rPr>
            </w:pPr>
            <w:r w:rsidRPr="00A33264">
              <w:rPr>
                <w:lang w:val="en-GB" w:eastAsia="en-AU"/>
              </w:rPr>
              <w:t>(a) statistics on full</w:t>
            </w:r>
            <w:r w:rsidR="00AE346F" w:rsidRPr="00A33264">
              <w:rPr>
                <w:lang w:val="en-GB" w:eastAsia="en-AU"/>
              </w:rPr>
              <w:t>-</w:t>
            </w:r>
            <w:r w:rsidRPr="00A33264">
              <w:rPr>
                <w:lang w:val="en-GB" w:eastAsia="en-AU"/>
              </w:rPr>
              <w:t>time employees;</w:t>
            </w:r>
          </w:p>
          <w:p w14:paraId="14B27580" w14:textId="44D1FA95" w:rsidR="00ED063E" w:rsidRPr="00A33264" w:rsidRDefault="00ED063E" w:rsidP="00ED063E">
            <w:pPr>
              <w:pStyle w:val="TableBody"/>
              <w:rPr>
                <w:lang w:val="en-GB" w:eastAsia="en-AU"/>
              </w:rPr>
            </w:pPr>
            <w:r w:rsidRPr="00A33264">
              <w:rPr>
                <w:lang w:val="en-GB" w:eastAsia="en-AU"/>
              </w:rPr>
              <w:t>(b) statistics on part</w:t>
            </w:r>
            <w:r w:rsidR="00AE346F" w:rsidRPr="00A33264">
              <w:rPr>
                <w:lang w:val="en-GB" w:eastAsia="en-AU"/>
              </w:rPr>
              <w:t>-</w:t>
            </w:r>
            <w:r w:rsidRPr="00A33264">
              <w:rPr>
                <w:lang w:val="en-GB" w:eastAsia="en-AU"/>
              </w:rPr>
              <w:t>time employees;</w:t>
            </w:r>
          </w:p>
          <w:p w14:paraId="1D5269DF" w14:textId="77777777" w:rsidR="00ED063E" w:rsidRPr="00A33264" w:rsidRDefault="00ED063E" w:rsidP="00ED063E">
            <w:pPr>
              <w:pStyle w:val="TableBody"/>
              <w:rPr>
                <w:lang w:val="en-GB" w:eastAsia="en-AU"/>
              </w:rPr>
            </w:pPr>
            <w:r w:rsidRPr="00A33264">
              <w:rPr>
                <w:lang w:val="en-GB" w:eastAsia="en-AU"/>
              </w:rPr>
              <w:t>(c) statistics on gender;</w:t>
            </w:r>
          </w:p>
          <w:p w14:paraId="639EA0C2" w14:textId="7DB45697" w:rsidR="00ED063E" w:rsidRPr="00A33264" w:rsidRDefault="00ED063E" w:rsidP="00ED063E">
            <w:pPr>
              <w:pStyle w:val="TableBody"/>
              <w:rPr>
                <w:lang w:val="en-GB"/>
              </w:rPr>
            </w:pPr>
            <w:r w:rsidRPr="00A33264">
              <w:rPr>
                <w:lang w:val="en-GB" w:eastAsia="en-AU"/>
              </w:rPr>
              <w:t>(d) statistics on staff location</w:t>
            </w:r>
          </w:p>
        </w:tc>
        <w:tc>
          <w:tcPr>
            <w:tcW w:w="2011" w:type="dxa"/>
          </w:tcPr>
          <w:p w14:paraId="578A244B" w14:textId="59CDC815" w:rsidR="00ED063E" w:rsidRPr="00A33264" w:rsidRDefault="00ED063E" w:rsidP="00ED063E">
            <w:pPr>
              <w:pStyle w:val="TableBody"/>
              <w:rPr>
                <w:lang w:val="en-GB"/>
              </w:rPr>
            </w:pPr>
            <w:r w:rsidRPr="00A33264">
              <w:rPr>
                <w:lang w:val="en-GB" w:eastAsia="en-AU"/>
              </w:rPr>
              <w:t>Mandatory</w:t>
            </w:r>
          </w:p>
        </w:tc>
      </w:tr>
      <w:tr w:rsidR="00ED063E" w:rsidRPr="00A33264" w14:paraId="4DA0BFEE" w14:textId="77777777" w:rsidTr="00FB72C4">
        <w:trPr>
          <w:cantSplit/>
        </w:trPr>
        <w:tc>
          <w:tcPr>
            <w:tcW w:w="1678" w:type="dxa"/>
          </w:tcPr>
          <w:p w14:paraId="2E581D74" w14:textId="41883C11" w:rsidR="00ED063E" w:rsidRPr="00A33264" w:rsidRDefault="00ED063E" w:rsidP="00ED063E">
            <w:pPr>
              <w:pStyle w:val="TableBody"/>
              <w:rPr>
                <w:lang w:val="en-GB"/>
              </w:rPr>
            </w:pPr>
            <w:r w:rsidRPr="00A33264">
              <w:rPr>
                <w:lang w:val="en-GB" w:eastAsia="en-AU"/>
              </w:rPr>
              <w:t>17BE(l)</w:t>
            </w:r>
          </w:p>
        </w:tc>
        <w:tc>
          <w:tcPr>
            <w:tcW w:w="1391" w:type="dxa"/>
          </w:tcPr>
          <w:p w14:paraId="056EC057" w14:textId="4B7198C9" w:rsidR="00ED063E" w:rsidRPr="00A33264" w:rsidRDefault="00C655C7" w:rsidP="00ED063E">
            <w:pPr>
              <w:pStyle w:val="TableBody"/>
              <w:rPr>
                <w:lang w:val="en-GB"/>
              </w:rPr>
            </w:pPr>
            <w:r w:rsidRPr="00A33264">
              <w:rPr>
                <w:lang w:val="en-GB"/>
              </w:rPr>
              <w:t>6.9.2</w:t>
            </w:r>
          </w:p>
        </w:tc>
        <w:tc>
          <w:tcPr>
            <w:tcW w:w="4172" w:type="dxa"/>
          </w:tcPr>
          <w:p w14:paraId="04D56AE1" w14:textId="0A6AE31C" w:rsidR="00ED063E" w:rsidRPr="00A33264" w:rsidRDefault="00ED063E" w:rsidP="00ED063E">
            <w:pPr>
              <w:pStyle w:val="TableBody"/>
              <w:rPr>
                <w:lang w:val="en-GB"/>
              </w:rPr>
            </w:pPr>
            <w:r w:rsidRPr="00A33264">
              <w:rPr>
                <w:lang w:val="en-GB" w:eastAsia="en-AU"/>
              </w:rPr>
              <w:t>Outline of the location (whether or not in Australia) of major activities or facilities of the entity</w:t>
            </w:r>
          </w:p>
        </w:tc>
        <w:tc>
          <w:tcPr>
            <w:tcW w:w="2011" w:type="dxa"/>
          </w:tcPr>
          <w:p w14:paraId="0A71DFBB" w14:textId="4681B3C2" w:rsidR="00ED063E" w:rsidRPr="00A33264" w:rsidRDefault="00ED063E" w:rsidP="00ED063E">
            <w:pPr>
              <w:pStyle w:val="TableBody"/>
              <w:rPr>
                <w:lang w:val="en-GB"/>
              </w:rPr>
            </w:pPr>
            <w:r w:rsidRPr="00A33264">
              <w:rPr>
                <w:lang w:val="en-GB" w:eastAsia="en-AU"/>
              </w:rPr>
              <w:t>Mandatory</w:t>
            </w:r>
          </w:p>
        </w:tc>
      </w:tr>
      <w:tr w:rsidR="00ED063E" w:rsidRPr="00A33264" w14:paraId="666291FE" w14:textId="77777777" w:rsidTr="00FB72C4">
        <w:trPr>
          <w:cnfStyle w:val="000000100000" w:firstRow="0" w:lastRow="0" w:firstColumn="0" w:lastColumn="0" w:oddVBand="0" w:evenVBand="0" w:oddHBand="1" w:evenHBand="0" w:firstRowFirstColumn="0" w:firstRowLastColumn="0" w:lastRowFirstColumn="0" w:lastRowLastColumn="0"/>
          <w:cantSplit/>
        </w:trPr>
        <w:tc>
          <w:tcPr>
            <w:tcW w:w="1678" w:type="dxa"/>
          </w:tcPr>
          <w:p w14:paraId="48ABC6D0" w14:textId="22752355" w:rsidR="00ED063E" w:rsidRPr="00A33264" w:rsidRDefault="00ED063E" w:rsidP="00ED063E">
            <w:pPr>
              <w:pStyle w:val="TableBody"/>
              <w:rPr>
                <w:lang w:val="en-GB"/>
              </w:rPr>
            </w:pPr>
            <w:r w:rsidRPr="00A33264">
              <w:rPr>
                <w:lang w:val="en-GB" w:eastAsia="en-AU"/>
              </w:rPr>
              <w:t>17BE(m)</w:t>
            </w:r>
          </w:p>
        </w:tc>
        <w:tc>
          <w:tcPr>
            <w:tcW w:w="1391" w:type="dxa"/>
          </w:tcPr>
          <w:p w14:paraId="76F11F9B" w14:textId="77777777" w:rsidR="000E2FC5" w:rsidRPr="00A33264" w:rsidRDefault="000E2FC5" w:rsidP="00ED063E">
            <w:pPr>
              <w:pStyle w:val="TableBody"/>
              <w:rPr>
                <w:lang w:val="en-GB"/>
              </w:rPr>
            </w:pPr>
            <w:r w:rsidRPr="00A33264">
              <w:rPr>
                <w:lang w:val="en-GB"/>
              </w:rPr>
              <w:t>5.1</w:t>
            </w:r>
          </w:p>
          <w:p w14:paraId="269B5162" w14:textId="373C89EB" w:rsidR="00ED063E" w:rsidRPr="00A33264" w:rsidRDefault="000E2FC5" w:rsidP="00ED063E">
            <w:pPr>
              <w:pStyle w:val="TableBody"/>
              <w:rPr>
                <w:lang w:val="en-GB"/>
              </w:rPr>
            </w:pPr>
            <w:r w:rsidRPr="00A33264">
              <w:rPr>
                <w:lang w:val="en-GB"/>
              </w:rPr>
              <w:t>5.2</w:t>
            </w:r>
          </w:p>
          <w:p w14:paraId="5EDF389D" w14:textId="700A3D66" w:rsidR="00C655C7" w:rsidRPr="00A33264" w:rsidRDefault="00C655C7" w:rsidP="00ED063E">
            <w:pPr>
              <w:pStyle w:val="TableBody"/>
              <w:rPr>
                <w:lang w:val="en-GB"/>
              </w:rPr>
            </w:pPr>
            <w:r w:rsidRPr="00A33264">
              <w:rPr>
                <w:lang w:val="en-GB"/>
              </w:rPr>
              <w:t>5.6</w:t>
            </w:r>
          </w:p>
          <w:p w14:paraId="00F705D7" w14:textId="3A7400D2" w:rsidR="000E2FC5" w:rsidRPr="00A33264" w:rsidRDefault="000E2FC5" w:rsidP="00ED063E">
            <w:pPr>
              <w:pStyle w:val="TableBody"/>
              <w:rPr>
                <w:lang w:val="en-GB"/>
              </w:rPr>
            </w:pPr>
            <w:r w:rsidRPr="00A33264">
              <w:rPr>
                <w:lang w:val="en-GB"/>
              </w:rPr>
              <w:t>5.8</w:t>
            </w:r>
          </w:p>
        </w:tc>
        <w:tc>
          <w:tcPr>
            <w:tcW w:w="4172" w:type="dxa"/>
          </w:tcPr>
          <w:p w14:paraId="1FA7A847" w14:textId="41974D36" w:rsidR="00ED063E" w:rsidRPr="00A33264" w:rsidRDefault="00ED063E" w:rsidP="00ED063E">
            <w:pPr>
              <w:pStyle w:val="TableBody"/>
              <w:rPr>
                <w:lang w:val="en-GB"/>
              </w:rPr>
            </w:pPr>
            <w:r w:rsidRPr="00A33264">
              <w:rPr>
                <w:lang w:val="en-GB" w:eastAsia="en-AU"/>
              </w:rPr>
              <w:t>Information relating to the main corporate governance practices used by the entity during the reporting period</w:t>
            </w:r>
          </w:p>
        </w:tc>
        <w:tc>
          <w:tcPr>
            <w:tcW w:w="2011" w:type="dxa"/>
          </w:tcPr>
          <w:p w14:paraId="7DEF74D9" w14:textId="78D9E30E" w:rsidR="00ED063E" w:rsidRPr="00A33264" w:rsidRDefault="00ED063E" w:rsidP="00ED063E">
            <w:pPr>
              <w:pStyle w:val="TableBody"/>
              <w:rPr>
                <w:lang w:val="en-GB"/>
              </w:rPr>
            </w:pPr>
            <w:r w:rsidRPr="00A33264">
              <w:rPr>
                <w:lang w:val="en-GB" w:eastAsia="en-AU"/>
              </w:rPr>
              <w:t>Mandatory</w:t>
            </w:r>
          </w:p>
        </w:tc>
      </w:tr>
      <w:tr w:rsidR="00ED063E" w:rsidRPr="00A33264" w14:paraId="05758CEF" w14:textId="77777777" w:rsidTr="00FB72C4">
        <w:trPr>
          <w:cantSplit/>
        </w:trPr>
        <w:tc>
          <w:tcPr>
            <w:tcW w:w="1678" w:type="dxa"/>
          </w:tcPr>
          <w:p w14:paraId="546E1C4A" w14:textId="02D92E7A" w:rsidR="00ED063E" w:rsidRPr="00A33264" w:rsidRDefault="00ED063E" w:rsidP="00977DA7">
            <w:pPr>
              <w:pStyle w:val="TableBody"/>
              <w:rPr>
                <w:lang w:val="en-GB"/>
              </w:rPr>
            </w:pPr>
            <w:r w:rsidRPr="00A33264">
              <w:rPr>
                <w:lang w:val="en-GB" w:eastAsia="en-AU"/>
              </w:rPr>
              <w:lastRenderedPageBreak/>
              <w:t>17BE(n), 17BE(o)</w:t>
            </w:r>
          </w:p>
        </w:tc>
        <w:tc>
          <w:tcPr>
            <w:tcW w:w="1391" w:type="dxa"/>
          </w:tcPr>
          <w:p w14:paraId="1F402C16" w14:textId="228E2CC0" w:rsidR="00ED063E" w:rsidRPr="00A33264" w:rsidRDefault="00FB72C4" w:rsidP="00977DA7">
            <w:pPr>
              <w:pStyle w:val="TableBody"/>
              <w:rPr>
                <w:highlight w:val="yellow"/>
                <w:lang w:val="en-GB"/>
              </w:rPr>
            </w:pPr>
            <w:r w:rsidRPr="00A33264">
              <w:rPr>
                <w:lang w:val="en-GB"/>
              </w:rPr>
              <w:t>3</w:t>
            </w:r>
            <w:r w:rsidR="00390397">
              <w:rPr>
                <w:lang w:val="en-GB"/>
              </w:rPr>
              <w:t>.2</w:t>
            </w:r>
          </w:p>
        </w:tc>
        <w:tc>
          <w:tcPr>
            <w:tcW w:w="4172" w:type="dxa"/>
          </w:tcPr>
          <w:p w14:paraId="6479F89E" w14:textId="77777777" w:rsidR="00ED063E" w:rsidRPr="00A33264" w:rsidRDefault="00ED063E" w:rsidP="00977DA7">
            <w:pPr>
              <w:pStyle w:val="TableBody"/>
              <w:rPr>
                <w:lang w:val="en-GB" w:eastAsia="en-AU"/>
              </w:rPr>
            </w:pPr>
            <w:r w:rsidRPr="00A33264">
              <w:rPr>
                <w:lang w:val="en-GB" w:eastAsia="en-AU"/>
              </w:rPr>
              <w:t>For transactions with a related Commonwealth entity or related company where the value of the transaction, or if there is more than one transaction, the aggregate of those transactions, is more than $10,000 (inclusive of GST):</w:t>
            </w:r>
          </w:p>
          <w:p w14:paraId="3643A3BC" w14:textId="446CDAE3" w:rsidR="00ED063E" w:rsidRPr="00A33264" w:rsidRDefault="00ED063E" w:rsidP="00977DA7">
            <w:pPr>
              <w:pStyle w:val="TableBody"/>
              <w:rPr>
                <w:lang w:val="en-GB" w:eastAsia="en-AU"/>
              </w:rPr>
            </w:pPr>
            <w:r w:rsidRPr="00A33264">
              <w:rPr>
                <w:lang w:val="en-GB" w:eastAsia="en-AU"/>
              </w:rPr>
              <w:t>(a) the decision</w:t>
            </w:r>
            <w:r w:rsidR="00AE346F" w:rsidRPr="00A33264">
              <w:rPr>
                <w:lang w:val="en-GB" w:eastAsia="en-AU"/>
              </w:rPr>
              <w:t>-</w:t>
            </w:r>
            <w:r w:rsidRPr="00A33264">
              <w:rPr>
                <w:lang w:val="en-GB" w:eastAsia="en-AU"/>
              </w:rPr>
              <w:t>making process undertaken by the accountable authority to approve the entity paying for a good or service from, or providing a grant to, the related Commonwealth entity or related company; and</w:t>
            </w:r>
          </w:p>
          <w:p w14:paraId="7BE7FC5D" w14:textId="5BED3112" w:rsidR="00ED063E" w:rsidRPr="00A33264" w:rsidRDefault="00ED063E" w:rsidP="00977DA7">
            <w:pPr>
              <w:pStyle w:val="TableBody"/>
              <w:rPr>
                <w:lang w:val="en-GB"/>
              </w:rPr>
            </w:pPr>
            <w:r w:rsidRPr="00A33264">
              <w:rPr>
                <w:lang w:val="en-GB" w:eastAsia="en-AU"/>
              </w:rPr>
              <w:t>(b) the value of the transaction, or if there is more than one transaction, the number of transactions and the aggregate of value of the transactions</w:t>
            </w:r>
          </w:p>
        </w:tc>
        <w:tc>
          <w:tcPr>
            <w:tcW w:w="2011" w:type="dxa"/>
          </w:tcPr>
          <w:p w14:paraId="0DC97AB8" w14:textId="59E87829" w:rsidR="00ED063E" w:rsidRPr="00A33264" w:rsidRDefault="00ED063E" w:rsidP="00977DA7">
            <w:pPr>
              <w:pStyle w:val="TableBody"/>
              <w:rPr>
                <w:lang w:val="en-GB"/>
              </w:rPr>
            </w:pPr>
            <w:r w:rsidRPr="00A33264">
              <w:rPr>
                <w:lang w:val="en-GB" w:eastAsia="en-AU"/>
              </w:rPr>
              <w:t>If applicable, mandatory</w:t>
            </w:r>
          </w:p>
        </w:tc>
      </w:tr>
      <w:tr w:rsidR="00977DA7" w:rsidRPr="00A33264" w14:paraId="6B7EFC73" w14:textId="77777777" w:rsidTr="00FB72C4">
        <w:trPr>
          <w:cnfStyle w:val="000000100000" w:firstRow="0" w:lastRow="0" w:firstColumn="0" w:lastColumn="0" w:oddVBand="0" w:evenVBand="0" w:oddHBand="1" w:evenHBand="0" w:firstRowFirstColumn="0" w:firstRowLastColumn="0" w:lastRowFirstColumn="0" w:lastRowLastColumn="0"/>
          <w:cantSplit/>
        </w:trPr>
        <w:tc>
          <w:tcPr>
            <w:tcW w:w="1678" w:type="dxa"/>
          </w:tcPr>
          <w:p w14:paraId="241A7724" w14:textId="5139B138" w:rsidR="00977DA7" w:rsidRPr="00A33264" w:rsidRDefault="00977DA7" w:rsidP="00C65496">
            <w:pPr>
              <w:pStyle w:val="TableBody"/>
              <w:rPr>
                <w:lang w:val="en-GB"/>
              </w:rPr>
            </w:pPr>
            <w:r w:rsidRPr="00A33264">
              <w:rPr>
                <w:lang w:val="en-GB"/>
              </w:rPr>
              <w:t>17BE(p)</w:t>
            </w:r>
          </w:p>
        </w:tc>
        <w:tc>
          <w:tcPr>
            <w:tcW w:w="1391" w:type="dxa"/>
          </w:tcPr>
          <w:p w14:paraId="6D943DB2" w14:textId="2A7ACACC" w:rsidR="00FB72C4" w:rsidRPr="00A33264" w:rsidRDefault="00FB72C4" w:rsidP="00C65496">
            <w:pPr>
              <w:pStyle w:val="TableBody"/>
              <w:rPr>
                <w:lang w:val="en-GB"/>
              </w:rPr>
            </w:pPr>
            <w:r w:rsidRPr="00A33264">
              <w:rPr>
                <w:lang w:val="en-GB"/>
              </w:rPr>
              <w:t>3</w:t>
            </w:r>
            <w:r w:rsidR="00390397">
              <w:rPr>
                <w:lang w:val="en-GB"/>
              </w:rPr>
              <w:t>.2</w:t>
            </w:r>
          </w:p>
          <w:p w14:paraId="48A082BA" w14:textId="330F509C" w:rsidR="00977DA7" w:rsidRPr="00A33264" w:rsidRDefault="000E2FC5" w:rsidP="00C65496">
            <w:pPr>
              <w:pStyle w:val="TableBody"/>
              <w:rPr>
                <w:lang w:val="en-GB"/>
              </w:rPr>
            </w:pPr>
            <w:r w:rsidRPr="00A33264">
              <w:rPr>
                <w:lang w:val="en-GB"/>
              </w:rPr>
              <w:t>5.2.4</w:t>
            </w:r>
          </w:p>
          <w:p w14:paraId="2AEE934F" w14:textId="77777777" w:rsidR="000F4065" w:rsidRPr="00A33264" w:rsidRDefault="000F4065" w:rsidP="00C65496">
            <w:pPr>
              <w:pStyle w:val="TableBody"/>
              <w:rPr>
                <w:lang w:val="en-GB"/>
              </w:rPr>
            </w:pPr>
            <w:r w:rsidRPr="00A33264">
              <w:rPr>
                <w:lang w:val="en-GB"/>
              </w:rPr>
              <w:t>5.4.1</w:t>
            </w:r>
          </w:p>
          <w:p w14:paraId="265970C7" w14:textId="0B313976" w:rsidR="000F4065" w:rsidRPr="00A33264" w:rsidRDefault="000F4065" w:rsidP="00C65496">
            <w:pPr>
              <w:pStyle w:val="TableBody"/>
              <w:rPr>
                <w:lang w:val="en-GB"/>
              </w:rPr>
            </w:pPr>
            <w:r w:rsidRPr="00A33264">
              <w:rPr>
                <w:lang w:val="en-GB"/>
              </w:rPr>
              <w:t>6.1</w:t>
            </w:r>
          </w:p>
        </w:tc>
        <w:tc>
          <w:tcPr>
            <w:tcW w:w="4172" w:type="dxa"/>
          </w:tcPr>
          <w:p w14:paraId="50484DD2" w14:textId="04C7A975" w:rsidR="00977DA7" w:rsidRPr="00A33264" w:rsidRDefault="00977DA7" w:rsidP="00C65496">
            <w:pPr>
              <w:pStyle w:val="TableBody"/>
              <w:rPr>
                <w:lang w:val="en-GB"/>
              </w:rPr>
            </w:pPr>
            <w:r w:rsidRPr="00A33264">
              <w:rPr>
                <w:lang w:val="en-GB"/>
              </w:rPr>
              <w:t>Any significant activities and changes that affected the operation or structure of the entity during the reporting period</w:t>
            </w:r>
          </w:p>
        </w:tc>
        <w:tc>
          <w:tcPr>
            <w:tcW w:w="2011" w:type="dxa"/>
          </w:tcPr>
          <w:p w14:paraId="00DE4EBB" w14:textId="7ABCAF5D" w:rsidR="00977DA7" w:rsidRPr="00A33264" w:rsidRDefault="00977DA7" w:rsidP="00C65496">
            <w:pPr>
              <w:pStyle w:val="TableBody"/>
              <w:rPr>
                <w:lang w:val="en-GB"/>
              </w:rPr>
            </w:pPr>
            <w:r w:rsidRPr="00A33264">
              <w:rPr>
                <w:lang w:val="en-GB"/>
              </w:rPr>
              <w:t>If applicable, mandatory</w:t>
            </w:r>
          </w:p>
        </w:tc>
      </w:tr>
      <w:tr w:rsidR="00977DA7" w:rsidRPr="00A33264" w14:paraId="584B24D5" w14:textId="77777777" w:rsidTr="00FB72C4">
        <w:trPr>
          <w:cantSplit/>
        </w:trPr>
        <w:tc>
          <w:tcPr>
            <w:tcW w:w="1678" w:type="dxa"/>
          </w:tcPr>
          <w:p w14:paraId="478A0176" w14:textId="33A07607" w:rsidR="00977DA7" w:rsidRPr="00A33264" w:rsidRDefault="00977DA7" w:rsidP="00C65496">
            <w:pPr>
              <w:pStyle w:val="TableBody"/>
              <w:rPr>
                <w:lang w:val="en-GB"/>
              </w:rPr>
            </w:pPr>
            <w:r w:rsidRPr="00A33264">
              <w:rPr>
                <w:lang w:val="en-GB"/>
              </w:rPr>
              <w:t>17BE(q)</w:t>
            </w:r>
          </w:p>
        </w:tc>
        <w:tc>
          <w:tcPr>
            <w:tcW w:w="1391" w:type="dxa"/>
          </w:tcPr>
          <w:p w14:paraId="1466D6D6" w14:textId="4520067F" w:rsidR="00977DA7" w:rsidRPr="00A33264" w:rsidRDefault="00C655C7" w:rsidP="00C65496">
            <w:pPr>
              <w:pStyle w:val="TableBody"/>
              <w:rPr>
                <w:lang w:val="en-GB"/>
              </w:rPr>
            </w:pPr>
            <w:r w:rsidRPr="00A33264">
              <w:rPr>
                <w:lang w:val="en-GB"/>
              </w:rPr>
              <w:t>6.8</w:t>
            </w:r>
          </w:p>
        </w:tc>
        <w:tc>
          <w:tcPr>
            <w:tcW w:w="4172" w:type="dxa"/>
          </w:tcPr>
          <w:p w14:paraId="484C8C22" w14:textId="05C35F2E" w:rsidR="00977DA7" w:rsidRPr="00A33264" w:rsidRDefault="00977DA7" w:rsidP="00C65496">
            <w:pPr>
              <w:pStyle w:val="TableBody"/>
              <w:rPr>
                <w:lang w:val="en-GB"/>
              </w:rPr>
            </w:pPr>
            <w:r w:rsidRPr="00A33264">
              <w:rPr>
                <w:lang w:val="en-GB"/>
              </w:rPr>
              <w:t>Particulars of judicial decisions or decisions of administrative tribunals that may have a significant effect on the operations of the entity</w:t>
            </w:r>
          </w:p>
        </w:tc>
        <w:tc>
          <w:tcPr>
            <w:tcW w:w="2011" w:type="dxa"/>
          </w:tcPr>
          <w:p w14:paraId="3BA8DDA0" w14:textId="3327133F" w:rsidR="00977DA7" w:rsidRPr="00A33264" w:rsidRDefault="00977DA7" w:rsidP="00C65496">
            <w:pPr>
              <w:pStyle w:val="TableBody"/>
              <w:rPr>
                <w:lang w:val="en-GB"/>
              </w:rPr>
            </w:pPr>
            <w:r w:rsidRPr="00A33264">
              <w:rPr>
                <w:lang w:val="en-GB"/>
              </w:rPr>
              <w:t>If applicable, mandatory</w:t>
            </w:r>
          </w:p>
        </w:tc>
      </w:tr>
      <w:tr w:rsidR="00977DA7" w:rsidRPr="00A33264" w14:paraId="1001FF34" w14:textId="77777777" w:rsidTr="00FB72C4">
        <w:trPr>
          <w:cnfStyle w:val="000000100000" w:firstRow="0" w:lastRow="0" w:firstColumn="0" w:lastColumn="0" w:oddVBand="0" w:evenVBand="0" w:oddHBand="1" w:evenHBand="0" w:firstRowFirstColumn="0" w:firstRowLastColumn="0" w:lastRowFirstColumn="0" w:lastRowLastColumn="0"/>
          <w:cantSplit/>
        </w:trPr>
        <w:tc>
          <w:tcPr>
            <w:tcW w:w="1678" w:type="dxa"/>
          </w:tcPr>
          <w:p w14:paraId="5CFE9AD9" w14:textId="7D1A1FD1" w:rsidR="00977DA7" w:rsidRPr="00A33264" w:rsidRDefault="00977DA7" w:rsidP="00C65496">
            <w:pPr>
              <w:pStyle w:val="TableBody"/>
              <w:rPr>
                <w:lang w:val="en-GB"/>
              </w:rPr>
            </w:pPr>
            <w:r w:rsidRPr="00A33264">
              <w:rPr>
                <w:lang w:val="en-GB"/>
              </w:rPr>
              <w:lastRenderedPageBreak/>
              <w:t>17BE(r)</w:t>
            </w:r>
          </w:p>
        </w:tc>
        <w:tc>
          <w:tcPr>
            <w:tcW w:w="1391" w:type="dxa"/>
          </w:tcPr>
          <w:p w14:paraId="61E22ED1" w14:textId="77777777" w:rsidR="00977DA7" w:rsidRPr="00A33264" w:rsidRDefault="00820C69" w:rsidP="00C65496">
            <w:pPr>
              <w:pStyle w:val="TableBody"/>
              <w:rPr>
                <w:lang w:val="en-GB"/>
              </w:rPr>
            </w:pPr>
            <w:r w:rsidRPr="00A33264">
              <w:rPr>
                <w:lang w:val="en-GB"/>
              </w:rPr>
              <w:t>6.7</w:t>
            </w:r>
          </w:p>
          <w:p w14:paraId="2E875C96" w14:textId="3B564CD6" w:rsidR="00C655C7" w:rsidRPr="00A33264" w:rsidRDefault="00C655C7" w:rsidP="000F4065">
            <w:pPr>
              <w:pStyle w:val="TableBody"/>
              <w:rPr>
                <w:lang w:val="en-GB"/>
              </w:rPr>
            </w:pPr>
            <w:r w:rsidRPr="00A33264">
              <w:rPr>
                <w:lang w:val="en-GB"/>
              </w:rPr>
              <w:t>6.8</w:t>
            </w:r>
          </w:p>
        </w:tc>
        <w:tc>
          <w:tcPr>
            <w:tcW w:w="4172" w:type="dxa"/>
          </w:tcPr>
          <w:p w14:paraId="2E250E1F" w14:textId="77777777" w:rsidR="00977DA7" w:rsidRPr="00A33264" w:rsidRDefault="00977DA7" w:rsidP="00C65496">
            <w:pPr>
              <w:pStyle w:val="TableBody"/>
              <w:rPr>
                <w:lang w:val="en-GB"/>
              </w:rPr>
            </w:pPr>
            <w:r w:rsidRPr="00A33264">
              <w:rPr>
                <w:lang w:val="en-GB"/>
              </w:rPr>
              <w:t>Particulars of any reports on the entity given by:</w:t>
            </w:r>
          </w:p>
          <w:p w14:paraId="5E9B83B7" w14:textId="2B236187" w:rsidR="00977DA7" w:rsidRPr="00A33264" w:rsidRDefault="00977DA7" w:rsidP="00C65496">
            <w:pPr>
              <w:pStyle w:val="TableBody"/>
              <w:rPr>
                <w:lang w:val="en-GB"/>
              </w:rPr>
            </w:pPr>
            <w:r w:rsidRPr="00A33264">
              <w:rPr>
                <w:lang w:val="en-GB"/>
              </w:rPr>
              <w:t>(a) the Auditor</w:t>
            </w:r>
            <w:r w:rsidR="00AE346F" w:rsidRPr="00A33264">
              <w:rPr>
                <w:lang w:val="en-GB"/>
              </w:rPr>
              <w:t>-</w:t>
            </w:r>
            <w:r w:rsidRPr="00A33264">
              <w:rPr>
                <w:lang w:val="en-GB"/>
              </w:rPr>
              <w:t>General (other than a report under section 43 of the Act); or</w:t>
            </w:r>
          </w:p>
          <w:p w14:paraId="0F18F620" w14:textId="77777777" w:rsidR="00977DA7" w:rsidRPr="00A33264" w:rsidRDefault="00977DA7" w:rsidP="00C65496">
            <w:pPr>
              <w:pStyle w:val="TableBody"/>
              <w:rPr>
                <w:lang w:val="en-GB"/>
              </w:rPr>
            </w:pPr>
            <w:r w:rsidRPr="00A33264">
              <w:rPr>
                <w:lang w:val="en-GB"/>
              </w:rPr>
              <w:t>(b) a Parliamentary Committee; or</w:t>
            </w:r>
          </w:p>
          <w:p w14:paraId="4BA6D9A7" w14:textId="77777777" w:rsidR="00977DA7" w:rsidRPr="00A33264" w:rsidRDefault="00977DA7" w:rsidP="00C65496">
            <w:pPr>
              <w:pStyle w:val="TableBody"/>
              <w:rPr>
                <w:lang w:val="en-GB"/>
              </w:rPr>
            </w:pPr>
            <w:r w:rsidRPr="00A33264">
              <w:rPr>
                <w:lang w:val="en-GB"/>
              </w:rPr>
              <w:t>(c) the Commonwealth Ombudsman; or</w:t>
            </w:r>
          </w:p>
          <w:p w14:paraId="19F7B399" w14:textId="5AF8C611" w:rsidR="00977DA7" w:rsidRPr="00A33264" w:rsidRDefault="00977DA7" w:rsidP="00C65496">
            <w:pPr>
              <w:pStyle w:val="TableBody"/>
              <w:rPr>
                <w:lang w:val="en-GB"/>
              </w:rPr>
            </w:pPr>
            <w:r w:rsidRPr="00A33264">
              <w:rPr>
                <w:lang w:val="en-GB"/>
              </w:rPr>
              <w:t>(d) the Office of the Australian Information Commissioner</w:t>
            </w:r>
          </w:p>
        </w:tc>
        <w:tc>
          <w:tcPr>
            <w:tcW w:w="2011" w:type="dxa"/>
          </w:tcPr>
          <w:p w14:paraId="4EB1A489" w14:textId="14D35152" w:rsidR="00977DA7" w:rsidRPr="00A33264" w:rsidRDefault="00977DA7" w:rsidP="00C65496">
            <w:pPr>
              <w:pStyle w:val="TableBody"/>
              <w:rPr>
                <w:lang w:val="en-GB"/>
              </w:rPr>
            </w:pPr>
            <w:r w:rsidRPr="00A33264">
              <w:rPr>
                <w:lang w:val="en-GB"/>
              </w:rPr>
              <w:t>If applicable, mandatory</w:t>
            </w:r>
          </w:p>
        </w:tc>
      </w:tr>
      <w:tr w:rsidR="00977DA7" w:rsidRPr="00A33264" w14:paraId="1C1ABF1C" w14:textId="77777777" w:rsidTr="00FB72C4">
        <w:trPr>
          <w:cantSplit/>
        </w:trPr>
        <w:tc>
          <w:tcPr>
            <w:tcW w:w="1678" w:type="dxa"/>
          </w:tcPr>
          <w:p w14:paraId="5EB45A73" w14:textId="09E373C9" w:rsidR="00977DA7" w:rsidRPr="00A33264" w:rsidRDefault="00977DA7" w:rsidP="00C65496">
            <w:pPr>
              <w:pStyle w:val="TableBody"/>
              <w:rPr>
                <w:lang w:val="en-GB"/>
              </w:rPr>
            </w:pPr>
            <w:r w:rsidRPr="00A33264">
              <w:rPr>
                <w:lang w:val="en-GB"/>
              </w:rPr>
              <w:t>17BE(s)</w:t>
            </w:r>
          </w:p>
        </w:tc>
        <w:tc>
          <w:tcPr>
            <w:tcW w:w="1391" w:type="dxa"/>
          </w:tcPr>
          <w:p w14:paraId="47FED866" w14:textId="5F3117A3" w:rsidR="00977DA7" w:rsidRPr="00A33264" w:rsidRDefault="00DC20A1" w:rsidP="00C65496">
            <w:pPr>
              <w:pStyle w:val="TableBody"/>
              <w:rPr>
                <w:lang w:val="en-GB"/>
              </w:rPr>
            </w:pPr>
            <w:r w:rsidRPr="00A33264">
              <w:rPr>
                <w:lang w:val="en-GB"/>
              </w:rPr>
              <w:t>Not applicable</w:t>
            </w:r>
          </w:p>
        </w:tc>
        <w:tc>
          <w:tcPr>
            <w:tcW w:w="4172" w:type="dxa"/>
          </w:tcPr>
          <w:p w14:paraId="16C0AD1B" w14:textId="5081B861" w:rsidR="00977DA7" w:rsidRPr="00A33264" w:rsidRDefault="00977DA7" w:rsidP="00C65496">
            <w:pPr>
              <w:pStyle w:val="TableBody"/>
              <w:rPr>
                <w:lang w:val="en-GB"/>
              </w:rPr>
            </w:pPr>
            <w:r w:rsidRPr="00A33264">
              <w:rPr>
                <w:lang w:val="en-GB"/>
              </w:rPr>
              <w:t>An explanation of information not obtained from a subsidiary of the entity and the effect of not having the information on the annual report</w:t>
            </w:r>
          </w:p>
        </w:tc>
        <w:tc>
          <w:tcPr>
            <w:tcW w:w="2011" w:type="dxa"/>
          </w:tcPr>
          <w:p w14:paraId="78BD956F" w14:textId="1B8B38AF" w:rsidR="00977DA7" w:rsidRPr="00A33264" w:rsidRDefault="00977DA7" w:rsidP="00C65496">
            <w:pPr>
              <w:pStyle w:val="TableBody"/>
              <w:rPr>
                <w:lang w:val="en-GB"/>
              </w:rPr>
            </w:pPr>
            <w:r w:rsidRPr="00A33264">
              <w:rPr>
                <w:lang w:val="en-GB"/>
              </w:rPr>
              <w:t>If applicable, mandatory</w:t>
            </w:r>
          </w:p>
        </w:tc>
      </w:tr>
      <w:tr w:rsidR="00977DA7" w:rsidRPr="00A33264" w14:paraId="22AFB56B" w14:textId="77777777" w:rsidTr="00FB72C4">
        <w:trPr>
          <w:cnfStyle w:val="000000100000" w:firstRow="0" w:lastRow="0" w:firstColumn="0" w:lastColumn="0" w:oddVBand="0" w:evenVBand="0" w:oddHBand="1" w:evenHBand="0" w:firstRowFirstColumn="0" w:firstRowLastColumn="0" w:lastRowFirstColumn="0" w:lastRowLastColumn="0"/>
          <w:cantSplit/>
        </w:trPr>
        <w:tc>
          <w:tcPr>
            <w:tcW w:w="1678" w:type="dxa"/>
          </w:tcPr>
          <w:p w14:paraId="06EAB182" w14:textId="470A4413" w:rsidR="00977DA7" w:rsidRPr="00A33264" w:rsidRDefault="00977DA7" w:rsidP="00C65496">
            <w:pPr>
              <w:pStyle w:val="TableBody"/>
              <w:rPr>
                <w:lang w:val="en-GB"/>
              </w:rPr>
            </w:pPr>
            <w:r w:rsidRPr="00A33264">
              <w:rPr>
                <w:lang w:val="en-GB"/>
              </w:rPr>
              <w:t>17BE(t)</w:t>
            </w:r>
          </w:p>
        </w:tc>
        <w:tc>
          <w:tcPr>
            <w:tcW w:w="1391" w:type="dxa"/>
          </w:tcPr>
          <w:p w14:paraId="74A88750" w14:textId="41CFA97F" w:rsidR="00C655C7" w:rsidRPr="00A33264" w:rsidRDefault="00C655C7" w:rsidP="00C65496">
            <w:pPr>
              <w:pStyle w:val="TableBody"/>
              <w:rPr>
                <w:lang w:val="en-GB"/>
              </w:rPr>
            </w:pPr>
            <w:r w:rsidRPr="00A33264">
              <w:rPr>
                <w:lang w:val="en-GB"/>
              </w:rPr>
              <w:t>6.9.3</w:t>
            </w:r>
          </w:p>
        </w:tc>
        <w:tc>
          <w:tcPr>
            <w:tcW w:w="4172" w:type="dxa"/>
          </w:tcPr>
          <w:p w14:paraId="005C0605" w14:textId="5DFEFC80" w:rsidR="00977DA7" w:rsidRPr="00A33264" w:rsidRDefault="00977DA7" w:rsidP="00C65496">
            <w:pPr>
              <w:pStyle w:val="TableBody"/>
              <w:rPr>
                <w:lang w:val="en-GB"/>
              </w:rPr>
            </w:pPr>
            <w:r w:rsidRPr="00A33264">
              <w:rPr>
                <w:lang w:val="en-GB"/>
              </w:rPr>
              <w:t>Details of any indemnity that applied during the reporting period to the accountable authority, any member of the accountable authority or officer of the entity against a liability (including premiums paid, or agreed to be paid, for insurance against the authority, member or officer’s liability for legal costs)</w:t>
            </w:r>
          </w:p>
        </w:tc>
        <w:tc>
          <w:tcPr>
            <w:tcW w:w="2011" w:type="dxa"/>
          </w:tcPr>
          <w:p w14:paraId="655FAE54" w14:textId="1A29AA39" w:rsidR="00977DA7" w:rsidRPr="00A33264" w:rsidRDefault="00977DA7" w:rsidP="00C65496">
            <w:pPr>
              <w:pStyle w:val="TableBody"/>
              <w:rPr>
                <w:lang w:val="en-GB"/>
              </w:rPr>
            </w:pPr>
            <w:r w:rsidRPr="00A33264">
              <w:rPr>
                <w:lang w:val="en-GB"/>
              </w:rPr>
              <w:t>If applicable, mandatory</w:t>
            </w:r>
          </w:p>
        </w:tc>
      </w:tr>
      <w:tr w:rsidR="00977DA7" w:rsidRPr="00A33264" w14:paraId="5F9E4FA1" w14:textId="77777777" w:rsidTr="00FB72C4">
        <w:trPr>
          <w:cantSplit/>
        </w:trPr>
        <w:tc>
          <w:tcPr>
            <w:tcW w:w="1678" w:type="dxa"/>
          </w:tcPr>
          <w:p w14:paraId="75E9DA4A" w14:textId="4B73F984" w:rsidR="00977DA7" w:rsidRPr="00A33264" w:rsidRDefault="00977DA7" w:rsidP="00C65496">
            <w:pPr>
              <w:pStyle w:val="TableBody"/>
              <w:rPr>
                <w:lang w:val="en-GB"/>
              </w:rPr>
            </w:pPr>
            <w:r w:rsidRPr="00A33264">
              <w:rPr>
                <w:lang w:val="en-GB"/>
              </w:rPr>
              <w:lastRenderedPageBreak/>
              <w:t>17BE(taa)</w:t>
            </w:r>
          </w:p>
        </w:tc>
        <w:tc>
          <w:tcPr>
            <w:tcW w:w="1391" w:type="dxa"/>
          </w:tcPr>
          <w:p w14:paraId="3D1B9934" w14:textId="77777777" w:rsidR="000F4065" w:rsidRPr="00A33264" w:rsidRDefault="000F4065" w:rsidP="00C65496">
            <w:pPr>
              <w:pStyle w:val="TableBody"/>
              <w:rPr>
                <w:lang w:val="en-GB"/>
              </w:rPr>
            </w:pPr>
            <w:r w:rsidRPr="00A33264">
              <w:rPr>
                <w:lang w:val="en-GB"/>
              </w:rPr>
              <w:t>5.2.1</w:t>
            </w:r>
          </w:p>
          <w:p w14:paraId="5BE223C1" w14:textId="4CADA83A" w:rsidR="00FD3B65" w:rsidRPr="00A33264" w:rsidRDefault="00FD3B65" w:rsidP="00C65496">
            <w:pPr>
              <w:pStyle w:val="TableBody"/>
              <w:rPr>
                <w:lang w:val="en-GB"/>
              </w:rPr>
            </w:pPr>
            <w:r w:rsidRPr="00A33264">
              <w:rPr>
                <w:lang w:val="en-GB"/>
              </w:rPr>
              <w:t>5.2.2A</w:t>
            </w:r>
          </w:p>
          <w:p w14:paraId="5B3EAA37" w14:textId="77777777" w:rsidR="00FD3B65" w:rsidRPr="00A33264" w:rsidRDefault="00FD3B65" w:rsidP="00C65496">
            <w:pPr>
              <w:pStyle w:val="TableBody"/>
              <w:rPr>
                <w:lang w:val="en-GB"/>
              </w:rPr>
            </w:pPr>
            <w:r w:rsidRPr="00A33264">
              <w:rPr>
                <w:lang w:val="en-GB"/>
              </w:rPr>
              <w:t>5.2.3A</w:t>
            </w:r>
          </w:p>
          <w:p w14:paraId="1FE75A13" w14:textId="2883D71D" w:rsidR="000F4065" w:rsidRPr="00A33264" w:rsidRDefault="000F4065" w:rsidP="00C65496">
            <w:pPr>
              <w:pStyle w:val="TableBody"/>
              <w:rPr>
                <w:lang w:val="en-GB"/>
              </w:rPr>
            </w:pPr>
            <w:r w:rsidRPr="00A33264">
              <w:rPr>
                <w:lang w:val="en-GB"/>
              </w:rPr>
              <w:t>6.2</w:t>
            </w:r>
            <w:r w:rsidR="00F01AF0">
              <w:rPr>
                <w:lang w:val="en-GB"/>
              </w:rPr>
              <w:t>A</w:t>
            </w:r>
          </w:p>
          <w:p w14:paraId="27684437" w14:textId="4645A65C" w:rsidR="00FD3B65" w:rsidRPr="00A33264" w:rsidRDefault="00FD3B65" w:rsidP="00C65496">
            <w:pPr>
              <w:pStyle w:val="TableBody"/>
              <w:rPr>
                <w:lang w:val="en-GB"/>
              </w:rPr>
            </w:pPr>
            <w:r w:rsidRPr="00A33264">
              <w:rPr>
                <w:lang w:val="en-GB"/>
              </w:rPr>
              <w:t>6.2</w:t>
            </w:r>
            <w:r w:rsidR="00F01AF0">
              <w:rPr>
                <w:lang w:val="en-GB"/>
              </w:rPr>
              <w:t>.1</w:t>
            </w:r>
          </w:p>
        </w:tc>
        <w:tc>
          <w:tcPr>
            <w:tcW w:w="4172" w:type="dxa"/>
          </w:tcPr>
          <w:p w14:paraId="6FA19481" w14:textId="77777777" w:rsidR="00977DA7" w:rsidRPr="00A33264" w:rsidRDefault="00977DA7" w:rsidP="00C65496">
            <w:pPr>
              <w:pStyle w:val="TableBody"/>
              <w:rPr>
                <w:lang w:val="en-GB"/>
              </w:rPr>
            </w:pPr>
            <w:r w:rsidRPr="00A33264">
              <w:rPr>
                <w:lang w:val="en-GB"/>
              </w:rPr>
              <w:t>The following information about the audit committee for the entity:</w:t>
            </w:r>
          </w:p>
          <w:p w14:paraId="24CB1279" w14:textId="77777777" w:rsidR="00977DA7" w:rsidRPr="00A33264" w:rsidRDefault="00977DA7" w:rsidP="00C65496">
            <w:pPr>
              <w:pStyle w:val="TableBody"/>
              <w:rPr>
                <w:lang w:val="en-GB"/>
              </w:rPr>
            </w:pPr>
            <w:r w:rsidRPr="00A33264">
              <w:rPr>
                <w:lang w:val="en-GB"/>
              </w:rPr>
              <w:t>(a) a direct electronic address of the charter determining the functions of the audit committee;</w:t>
            </w:r>
          </w:p>
          <w:p w14:paraId="1D907E4E" w14:textId="77777777" w:rsidR="00977DA7" w:rsidRPr="00A33264" w:rsidRDefault="00977DA7" w:rsidP="00C65496">
            <w:pPr>
              <w:pStyle w:val="TableBody"/>
              <w:rPr>
                <w:lang w:val="en-GB"/>
              </w:rPr>
            </w:pPr>
            <w:r w:rsidRPr="00A33264">
              <w:rPr>
                <w:lang w:val="en-GB"/>
              </w:rPr>
              <w:t>(b) the name of each member of the audit committee;</w:t>
            </w:r>
          </w:p>
          <w:p w14:paraId="4B4A41B7" w14:textId="77777777" w:rsidR="00977DA7" w:rsidRPr="00A33264" w:rsidRDefault="00977DA7" w:rsidP="00C65496">
            <w:pPr>
              <w:pStyle w:val="TableBody"/>
              <w:rPr>
                <w:lang w:val="en-GB"/>
              </w:rPr>
            </w:pPr>
            <w:r w:rsidRPr="00A33264">
              <w:rPr>
                <w:lang w:val="en-GB"/>
              </w:rPr>
              <w:t>(c) the qualifications, knowledge, skills or experience of each member of the audit committee;</w:t>
            </w:r>
          </w:p>
          <w:p w14:paraId="7AC7D8FA" w14:textId="77777777" w:rsidR="00977DA7" w:rsidRPr="00A33264" w:rsidRDefault="00977DA7" w:rsidP="00C65496">
            <w:pPr>
              <w:pStyle w:val="TableBody"/>
              <w:rPr>
                <w:lang w:val="en-GB"/>
              </w:rPr>
            </w:pPr>
            <w:r w:rsidRPr="00A33264">
              <w:rPr>
                <w:lang w:val="en-GB"/>
              </w:rPr>
              <w:t>(d) information about each member’s attendance at meetings of the audit committee;</w:t>
            </w:r>
          </w:p>
          <w:p w14:paraId="660DCB38" w14:textId="5FDBE44E" w:rsidR="00977DA7" w:rsidRPr="00A33264" w:rsidRDefault="00977DA7" w:rsidP="00C65496">
            <w:pPr>
              <w:pStyle w:val="TableBody"/>
              <w:rPr>
                <w:lang w:val="en-GB"/>
              </w:rPr>
            </w:pPr>
            <w:r w:rsidRPr="00A33264">
              <w:rPr>
                <w:lang w:val="en-GB"/>
              </w:rPr>
              <w:t>(e) the remuneration of each member of the audit committee</w:t>
            </w:r>
          </w:p>
        </w:tc>
        <w:tc>
          <w:tcPr>
            <w:tcW w:w="2011" w:type="dxa"/>
          </w:tcPr>
          <w:p w14:paraId="3A3A09FF" w14:textId="11D27D59" w:rsidR="00977DA7" w:rsidRPr="00A33264" w:rsidRDefault="00977DA7" w:rsidP="00C65496">
            <w:pPr>
              <w:pStyle w:val="TableBody"/>
              <w:rPr>
                <w:lang w:val="en-GB"/>
              </w:rPr>
            </w:pPr>
            <w:r w:rsidRPr="00A33264">
              <w:rPr>
                <w:lang w:val="en-GB"/>
              </w:rPr>
              <w:t>Mandatory</w:t>
            </w:r>
          </w:p>
        </w:tc>
      </w:tr>
      <w:tr w:rsidR="00977DA7" w:rsidRPr="00A33264" w14:paraId="65F4343D" w14:textId="77777777" w:rsidTr="00FB72C4">
        <w:trPr>
          <w:cnfStyle w:val="000000100000" w:firstRow="0" w:lastRow="0" w:firstColumn="0" w:lastColumn="0" w:oddVBand="0" w:evenVBand="0" w:oddHBand="1" w:evenHBand="0" w:firstRowFirstColumn="0" w:firstRowLastColumn="0" w:lastRowFirstColumn="0" w:lastRowLastColumn="0"/>
          <w:cantSplit/>
        </w:trPr>
        <w:tc>
          <w:tcPr>
            <w:tcW w:w="1678" w:type="dxa"/>
          </w:tcPr>
          <w:p w14:paraId="2D7A4C40" w14:textId="531F8038" w:rsidR="00977DA7" w:rsidRPr="00A33264" w:rsidRDefault="00977DA7" w:rsidP="00C65496">
            <w:pPr>
              <w:pStyle w:val="TableBody"/>
              <w:rPr>
                <w:lang w:val="en-GB"/>
              </w:rPr>
            </w:pPr>
            <w:r w:rsidRPr="00A33264">
              <w:rPr>
                <w:lang w:val="en-GB"/>
              </w:rPr>
              <w:t>17BE(ta)</w:t>
            </w:r>
          </w:p>
        </w:tc>
        <w:tc>
          <w:tcPr>
            <w:tcW w:w="1391" w:type="dxa"/>
          </w:tcPr>
          <w:p w14:paraId="47CBF51D" w14:textId="63CD7C18" w:rsidR="00977DA7" w:rsidRPr="00A33264" w:rsidRDefault="00C655C7" w:rsidP="00C65496">
            <w:pPr>
              <w:pStyle w:val="TableBody"/>
              <w:rPr>
                <w:lang w:val="en-GB"/>
              </w:rPr>
            </w:pPr>
            <w:r w:rsidRPr="00A33264">
              <w:rPr>
                <w:lang w:val="en-GB"/>
              </w:rPr>
              <w:t>6.6</w:t>
            </w:r>
          </w:p>
        </w:tc>
        <w:tc>
          <w:tcPr>
            <w:tcW w:w="4172" w:type="dxa"/>
          </w:tcPr>
          <w:p w14:paraId="76872669" w14:textId="1FF58ED5" w:rsidR="00977DA7" w:rsidRPr="00A33264" w:rsidRDefault="00977DA7" w:rsidP="00C65496">
            <w:pPr>
              <w:pStyle w:val="TableBody"/>
              <w:rPr>
                <w:lang w:val="en-GB"/>
              </w:rPr>
            </w:pPr>
            <w:r w:rsidRPr="00A33264">
              <w:rPr>
                <w:lang w:val="en-GB"/>
              </w:rPr>
              <w:t>Information about executive remuneration</w:t>
            </w:r>
          </w:p>
        </w:tc>
        <w:tc>
          <w:tcPr>
            <w:tcW w:w="2011" w:type="dxa"/>
          </w:tcPr>
          <w:p w14:paraId="39D971EC" w14:textId="2A7545F1" w:rsidR="00977DA7" w:rsidRPr="00A33264" w:rsidRDefault="00977DA7" w:rsidP="00C65496">
            <w:pPr>
              <w:pStyle w:val="TableBody"/>
              <w:rPr>
                <w:lang w:val="en-GB"/>
              </w:rPr>
            </w:pPr>
            <w:r w:rsidRPr="00A33264">
              <w:rPr>
                <w:lang w:val="en-GB"/>
              </w:rPr>
              <w:t>Mandatory</w:t>
            </w:r>
          </w:p>
        </w:tc>
      </w:tr>
      <w:tr w:rsidR="00977DA7" w:rsidRPr="00A33264" w14:paraId="117FF8D1" w14:textId="77777777" w:rsidTr="00FB72C4">
        <w:trPr>
          <w:cantSplit/>
        </w:trPr>
        <w:tc>
          <w:tcPr>
            <w:tcW w:w="1678" w:type="dxa"/>
          </w:tcPr>
          <w:p w14:paraId="6AB06B7D" w14:textId="44B897EA" w:rsidR="00977DA7" w:rsidRPr="00A33264" w:rsidRDefault="00977DA7" w:rsidP="00977DA7">
            <w:pPr>
              <w:pStyle w:val="TableBody"/>
              <w:rPr>
                <w:b/>
                <w:bCs/>
                <w:lang w:val="en-GB"/>
              </w:rPr>
            </w:pPr>
            <w:r w:rsidRPr="00A33264">
              <w:rPr>
                <w:b/>
                <w:bCs/>
                <w:lang w:val="en-GB"/>
              </w:rPr>
              <w:t>17BF</w:t>
            </w:r>
          </w:p>
        </w:tc>
        <w:tc>
          <w:tcPr>
            <w:tcW w:w="1391" w:type="dxa"/>
          </w:tcPr>
          <w:p w14:paraId="0D1888EF" w14:textId="181590D4" w:rsidR="00977DA7" w:rsidRPr="00A33264" w:rsidRDefault="00DC20A1" w:rsidP="00977DA7">
            <w:pPr>
              <w:pStyle w:val="TableBody"/>
              <w:rPr>
                <w:lang w:val="en-GB"/>
              </w:rPr>
            </w:pPr>
            <w:r w:rsidRPr="00A33264">
              <w:rPr>
                <w:color w:val="F9F9F9" w:themeColor="background1"/>
                <w:lang w:val="en-GB"/>
              </w:rPr>
              <w:t>blank</w:t>
            </w:r>
          </w:p>
        </w:tc>
        <w:tc>
          <w:tcPr>
            <w:tcW w:w="4172" w:type="dxa"/>
          </w:tcPr>
          <w:p w14:paraId="0149E93B" w14:textId="2FBCB2E3" w:rsidR="00977DA7" w:rsidRPr="00A33264" w:rsidRDefault="00977DA7" w:rsidP="00977DA7">
            <w:pPr>
              <w:pStyle w:val="TableBody"/>
              <w:rPr>
                <w:b/>
                <w:bCs/>
                <w:lang w:val="en-GB"/>
              </w:rPr>
            </w:pPr>
            <w:r w:rsidRPr="00A33264">
              <w:rPr>
                <w:b/>
                <w:bCs/>
                <w:lang w:val="en-GB"/>
              </w:rPr>
              <w:t>Disclosure requirements for government business enterprises</w:t>
            </w:r>
          </w:p>
        </w:tc>
        <w:tc>
          <w:tcPr>
            <w:tcW w:w="2011" w:type="dxa"/>
          </w:tcPr>
          <w:p w14:paraId="0B853CF3" w14:textId="166B4DDB" w:rsidR="00977DA7" w:rsidRPr="00A33264" w:rsidRDefault="00DC20A1" w:rsidP="00977DA7">
            <w:pPr>
              <w:pStyle w:val="TableBody"/>
              <w:rPr>
                <w:lang w:val="en-GB"/>
              </w:rPr>
            </w:pPr>
            <w:r w:rsidRPr="00A33264">
              <w:rPr>
                <w:color w:val="F9F9F9" w:themeColor="background1"/>
                <w:lang w:val="en-GB"/>
              </w:rPr>
              <w:t>blank</w:t>
            </w:r>
          </w:p>
        </w:tc>
      </w:tr>
      <w:tr w:rsidR="00C65496" w:rsidRPr="00A33264" w14:paraId="73CD7F9B" w14:textId="77777777" w:rsidTr="00FB72C4">
        <w:trPr>
          <w:cnfStyle w:val="000000100000" w:firstRow="0" w:lastRow="0" w:firstColumn="0" w:lastColumn="0" w:oddVBand="0" w:evenVBand="0" w:oddHBand="1" w:evenHBand="0" w:firstRowFirstColumn="0" w:firstRowLastColumn="0" w:lastRowFirstColumn="0" w:lastRowLastColumn="0"/>
          <w:cantSplit/>
        </w:trPr>
        <w:tc>
          <w:tcPr>
            <w:tcW w:w="1678" w:type="dxa"/>
          </w:tcPr>
          <w:p w14:paraId="6B7DF8F5" w14:textId="4F057B62" w:rsidR="00C65496" w:rsidRPr="00A33264" w:rsidRDefault="00C65496" w:rsidP="00C65496">
            <w:pPr>
              <w:pStyle w:val="TableBody"/>
              <w:rPr>
                <w:lang w:val="en-GB"/>
              </w:rPr>
            </w:pPr>
            <w:r w:rsidRPr="00A33264">
              <w:rPr>
                <w:lang w:val="en-GB" w:eastAsia="en-AU"/>
              </w:rPr>
              <w:t>17BF(1)(a)(i)</w:t>
            </w:r>
          </w:p>
        </w:tc>
        <w:tc>
          <w:tcPr>
            <w:tcW w:w="1391" w:type="dxa"/>
          </w:tcPr>
          <w:p w14:paraId="5AC4D174" w14:textId="45F475F9" w:rsidR="00C65496" w:rsidRPr="00A33264" w:rsidRDefault="00806298" w:rsidP="00C65496">
            <w:pPr>
              <w:pStyle w:val="TableBody"/>
              <w:rPr>
                <w:lang w:val="en-GB"/>
              </w:rPr>
            </w:pPr>
            <w:r w:rsidRPr="00A33264">
              <w:rPr>
                <w:lang w:val="en-GB"/>
              </w:rPr>
              <w:t>3</w:t>
            </w:r>
            <w:r w:rsidR="00390397">
              <w:rPr>
                <w:lang w:val="en-GB"/>
              </w:rPr>
              <w:t>.2</w:t>
            </w:r>
          </w:p>
        </w:tc>
        <w:tc>
          <w:tcPr>
            <w:tcW w:w="4172" w:type="dxa"/>
          </w:tcPr>
          <w:p w14:paraId="4BA4321F" w14:textId="69515909" w:rsidR="00C65496" w:rsidRPr="00A33264" w:rsidRDefault="00C65496" w:rsidP="00C65496">
            <w:pPr>
              <w:pStyle w:val="TableBody"/>
              <w:rPr>
                <w:lang w:val="en-GB"/>
              </w:rPr>
            </w:pPr>
            <w:r w:rsidRPr="00A33264">
              <w:rPr>
                <w:lang w:val="en-GB" w:eastAsia="en-AU"/>
              </w:rPr>
              <w:t>An assessment of significant changes in the entity’s overall financial structure and financial conditions</w:t>
            </w:r>
          </w:p>
        </w:tc>
        <w:tc>
          <w:tcPr>
            <w:tcW w:w="2011" w:type="dxa"/>
          </w:tcPr>
          <w:p w14:paraId="7523A713" w14:textId="70D1A1CE" w:rsidR="00C65496" w:rsidRPr="00A33264" w:rsidRDefault="00C65496" w:rsidP="00C65496">
            <w:pPr>
              <w:pStyle w:val="TableBody"/>
              <w:rPr>
                <w:lang w:val="en-GB"/>
              </w:rPr>
            </w:pPr>
            <w:r w:rsidRPr="00A33264">
              <w:rPr>
                <w:lang w:val="en-GB" w:eastAsia="en-AU"/>
              </w:rPr>
              <w:t>If applicable, mandatory</w:t>
            </w:r>
          </w:p>
        </w:tc>
      </w:tr>
      <w:tr w:rsidR="00FB72C4" w:rsidRPr="00A33264" w14:paraId="06DA5B6E" w14:textId="77777777" w:rsidTr="00FB72C4">
        <w:trPr>
          <w:cantSplit/>
        </w:trPr>
        <w:tc>
          <w:tcPr>
            <w:tcW w:w="1678" w:type="dxa"/>
          </w:tcPr>
          <w:p w14:paraId="36F28F43" w14:textId="35395F7C" w:rsidR="00FB72C4" w:rsidRPr="00A33264" w:rsidRDefault="00FB72C4" w:rsidP="00FB72C4">
            <w:pPr>
              <w:pStyle w:val="TableBody"/>
              <w:rPr>
                <w:lang w:val="en-GB"/>
              </w:rPr>
            </w:pPr>
            <w:r w:rsidRPr="00A33264">
              <w:rPr>
                <w:lang w:val="en-GB" w:eastAsia="en-AU"/>
              </w:rPr>
              <w:t>17BF(1)(a)(ii)</w:t>
            </w:r>
          </w:p>
        </w:tc>
        <w:tc>
          <w:tcPr>
            <w:tcW w:w="1391" w:type="dxa"/>
          </w:tcPr>
          <w:p w14:paraId="126ECFC4" w14:textId="00D0EBD0" w:rsidR="00FB72C4" w:rsidRPr="00A33264" w:rsidRDefault="00806298" w:rsidP="00FB72C4">
            <w:pPr>
              <w:pStyle w:val="TableBody"/>
              <w:rPr>
                <w:lang w:val="en-GB"/>
              </w:rPr>
            </w:pPr>
            <w:r w:rsidRPr="00A33264">
              <w:rPr>
                <w:lang w:val="en-GB"/>
              </w:rPr>
              <w:t>3</w:t>
            </w:r>
            <w:r w:rsidR="00390397">
              <w:rPr>
                <w:lang w:val="en-GB"/>
              </w:rPr>
              <w:t>.2</w:t>
            </w:r>
          </w:p>
        </w:tc>
        <w:tc>
          <w:tcPr>
            <w:tcW w:w="4172" w:type="dxa"/>
          </w:tcPr>
          <w:p w14:paraId="40253E30" w14:textId="26F11992" w:rsidR="00FB72C4" w:rsidRPr="00A33264" w:rsidRDefault="00FB72C4" w:rsidP="00FB72C4">
            <w:pPr>
              <w:pStyle w:val="TableBody"/>
              <w:rPr>
                <w:lang w:val="en-GB"/>
              </w:rPr>
            </w:pPr>
            <w:r w:rsidRPr="00A33264">
              <w:rPr>
                <w:lang w:val="en-GB" w:eastAsia="en-AU"/>
              </w:rPr>
              <w:t>An assessment of any events or risks that could cause financial information that is reported not to be indicative of future operations or financial conditions</w:t>
            </w:r>
          </w:p>
        </w:tc>
        <w:tc>
          <w:tcPr>
            <w:tcW w:w="2011" w:type="dxa"/>
          </w:tcPr>
          <w:p w14:paraId="6FCF82D0" w14:textId="0A6EAB04" w:rsidR="00FB72C4" w:rsidRPr="00A33264" w:rsidRDefault="00FB72C4" w:rsidP="00FB72C4">
            <w:pPr>
              <w:pStyle w:val="TableBody"/>
              <w:rPr>
                <w:lang w:val="en-GB"/>
              </w:rPr>
            </w:pPr>
            <w:r w:rsidRPr="00A33264">
              <w:rPr>
                <w:lang w:val="en-GB" w:eastAsia="en-AU"/>
              </w:rPr>
              <w:t>If applicable, mandatory</w:t>
            </w:r>
          </w:p>
        </w:tc>
      </w:tr>
      <w:tr w:rsidR="00FB72C4" w:rsidRPr="00A33264" w14:paraId="2EBFF3D6" w14:textId="77777777" w:rsidTr="00FB72C4">
        <w:trPr>
          <w:cnfStyle w:val="000000100000" w:firstRow="0" w:lastRow="0" w:firstColumn="0" w:lastColumn="0" w:oddVBand="0" w:evenVBand="0" w:oddHBand="1" w:evenHBand="0" w:firstRowFirstColumn="0" w:firstRowLastColumn="0" w:lastRowFirstColumn="0" w:lastRowLastColumn="0"/>
          <w:cantSplit/>
        </w:trPr>
        <w:tc>
          <w:tcPr>
            <w:tcW w:w="1678" w:type="dxa"/>
          </w:tcPr>
          <w:p w14:paraId="62D95265" w14:textId="52A37C0A" w:rsidR="00FB72C4" w:rsidRPr="00A33264" w:rsidRDefault="00FB72C4" w:rsidP="00FB72C4">
            <w:pPr>
              <w:pStyle w:val="TableBody"/>
              <w:rPr>
                <w:lang w:val="en-GB"/>
              </w:rPr>
            </w:pPr>
            <w:r w:rsidRPr="00A33264">
              <w:rPr>
                <w:lang w:val="en-GB" w:eastAsia="en-AU"/>
              </w:rPr>
              <w:t>17BF(1)(b)</w:t>
            </w:r>
          </w:p>
        </w:tc>
        <w:tc>
          <w:tcPr>
            <w:tcW w:w="1391" w:type="dxa"/>
          </w:tcPr>
          <w:p w14:paraId="463AE0FB" w14:textId="166C99A7" w:rsidR="00FB72C4" w:rsidRPr="00A33264" w:rsidRDefault="00806298" w:rsidP="00FB72C4">
            <w:pPr>
              <w:pStyle w:val="TableBody"/>
              <w:rPr>
                <w:lang w:val="en-GB"/>
              </w:rPr>
            </w:pPr>
            <w:r w:rsidRPr="00A33264">
              <w:rPr>
                <w:lang w:val="en-GB"/>
              </w:rPr>
              <w:t>3</w:t>
            </w:r>
            <w:r w:rsidR="00390397">
              <w:rPr>
                <w:lang w:val="en-GB"/>
              </w:rPr>
              <w:t>.2</w:t>
            </w:r>
          </w:p>
        </w:tc>
        <w:tc>
          <w:tcPr>
            <w:tcW w:w="4172" w:type="dxa"/>
          </w:tcPr>
          <w:p w14:paraId="5BD5D36D" w14:textId="22EA4064" w:rsidR="00FB72C4" w:rsidRPr="00A33264" w:rsidRDefault="00FB72C4" w:rsidP="00FB72C4">
            <w:pPr>
              <w:pStyle w:val="TableBody"/>
              <w:rPr>
                <w:lang w:val="en-GB" w:eastAsia="en-AU"/>
              </w:rPr>
            </w:pPr>
            <w:r w:rsidRPr="00A33264">
              <w:rPr>
                <w:lang w:val="en-GB" w:eastAsia="en-AU"/>
              </w:rPr>
              <w:t>Information on dividends paid or recommended</w:t>
            </w:r>
          </w:p>
        </w:tc>
        <w:tc>
          <w:tcPr>
            <w:tcW w:w="2011" w:type="dxa"/>
          </w:tcPr>
          <w:p w14:paraId="351CD90F" w14:textId="01F1A2D9" w:rsidR="00FB72C4" w:rsidRPr="00A33264" w:rsidRDefault="00FB72C4" w:rsidP="00FB72C4">
            <w:pPr>
              <w:pStyle w:val="TableBody"/>
              <w:rPr>
                <w:lang w:val="en-GB"/>
              </w:rPr>
            </w:pPr>
            <w:r w:rsidRPr="00A33264">
              <w:rPr>
                <w:lang w:val="en-GB" w:eastAsia="en-AU"/>
              </w:rPr>
              <w:t>If applicable, mandatory</w:t>
            </w:r>
          </w:p>
        </w:tc>
      </w:tr>
      <w:tr w:rsidR="00FB72C4" w:rsidRPr="00A33264" w14:paraId="4388B9FD" w14:textId="77777777" w:rsidTr="00FB72C4">
        <w:trPr>
          <w:cantSplit/>
        </w:trPr>
        <w:tc>
          <w:tcPr>
            <w:tcW w:w="1678" w:type="dxa"/>
          </w:tcPr>
          <w:p w14:paraId="45E53E97" w14:textId="2E010E57" w:rsidR="00FB72C4" w:rsidRPr="00A33264" w:rsidRDefault="00FB72C4" w:rsidP="00FB72C4">
            <w:pPr>
              <w:pStyle w:val="TableBody"/>
              <w:rPr>
                <w:lang w:val="en-GB"/>
              </w:rPr>
            </w:pPr>
            <w:r w:rsidRPr="00A33264">
              <w:rPr>
                <w:lang w:val="en-GB" w:eastAsia="en-AU"/>
              </w:rPr>
              <w:lastRenderedPageBreak/>
              <w:t>17BF(1)(c)</w:t>
            </w:r>
          </w:p>
        </w:tc>
        <w:tc>
          <w:tcPr>
            <w:tcW w:w="1391" w:type="dxa"/>
          </w:tcPr>
          <w:p w14:paraId="069EF8E8" w14:textId="3FED311B" w:rsidR="00FB72C4" w:rsidRPr="00A33264" w:rsidRDefault="00806298" w:rsidP="00FB72C4">
            <w:pPr>
              <w:pStyle w:val="TableBody"/>
              <w:rPr>
                <w:lang w:val="en-GB"/>
              </w:rPr>
            </w:pPr>
            <w:r w:rsidRPr="00A33264">
              <w:rPr>
                <w:lang w:val="en-GB"/>
              </w:rPr>
              <w:t>3</w:t>
            </w:r>
            <w:r w:rsidR="00390397">
              <w:rPr>
                <w:lang w:val="en-GB"/>
              </w:rPr>
              <w:t>.2</w:t>
            </w:r>
          </w:p>
        </w:tc>
        <w:tc>
          <w:tcPr>
            <w:tcW w:w="4172" w:type="dxa"/>
          </w:tcPr>
          <w:p w14:paraId="1E8D6AB4" w14:textId="77777777" w:rsidR="00FB72C4" w:rsidRPr="00A33264" w:rsidRDefault="00FB72C4" w:rsidP="00FB72C4">
            <w:pPr>
              <w:pStyle w:val="TableBody"/>
              <w:rPr>
                <w:lang w:val="en-GB" w:eastAsia="en-AU"/>
              </w:rPr>
            </w:pPr>
            <w:r w:rsidRPr="00A33264">
              <w:rPr>
                <w:lang w:val="en-GB" w:eastAsia="en-AU"/>
              </w:rPr>
              <w:t>Details of any community service obligations the government business enterprise has including:</w:t>
            </w:r>
          </w:p>
          <w:p w14:paraId="32432CC5" w14:textId="77777777" w:rsidR="00FB72C4" w:rsidRPr="00A33264" w:rsidRDefault="00FB72C4" w:rsidP="00FB72C4">
            <w:pPr>
              <w:pStyle w:val="TableBody"/>
              <w:rPr>
                <w:lang w:val="en-GB" w:eastAsia="en-AU"/>
              </w:rPr>
            </w:pPr>
            <w:r w:rsidRPr="00A33264">
              <w:rPr>
                <w:lang w:val="en-GB" w:eastAsia="en-AU"/>
              </w:rPr>
              <w:t>(a) an outline of actions taken to fulfil those obligations; and</w:t>
            </w:r>
          </w:p>
          <w:p w14:paraId="1BBF8BCA" w14:textId="56194FF1" w:rsidR="00FB72C4" w:rsidRPr="00A33264" w:rsidRDefault="00FB72C4" w:rsidP="00FB72C4">
            <w:pPr>
              <w:pStyle w:val="TableBody"/>
              <w:rPr>
                <w:lang w:val="en-GB"/>
              </w:rPr>
            </w:pPr>
            <w:r w:rsidRPr="00A33264">
              <w:rPr>
                <w:lang w:val="en-GB" w:eastAsia="en-AU"/>
              </w:rPr>
              <w:t>(b) an assessment of the cost of fulfilling those obligations</w:t>
            </w:r>
          </w:p>
        </w:tc>
        <w:tc>
          <w:tcPr>
            <w:tcW w:w="2011" w:type="dxa"/>
          </w:tcPr>
          <w:p w14:paraId="1E627E01" w14:textId="241CAA3E" w:rsidR="00FB72C4" w:rsidRPr="00A33264" w:rsidRDefault="00FB72C4" w:rsidP="00FB72C4">
            <w:pPr>
              <w:pStyle w:val="TableBody"/>
              <w:rPr>
                <w:lang w:val="en-GB"/>
              </w:rPr>
            </w:pPr>
            <w:r w:rsidRPr="00A33264">
              <w:rPr>
                <w:lang w:val="en-GB" w:eastAsia="en-AU"/>
              </w:rPr>
              <w:t>If applicable, mandatory</w:t>
            </w:r>
          </w:p>
        </w:tc>
      </w:tr>
      <w:tr w:rsidR="00FB72C4" w:rsidRPr="00A33264" w14:paraId="417AC32E" w14:textId="77777777" w:rsidTr="00FB72C4">
        <w:trPr>
          <w:cnfStyle w:val="000000100000" w:firstRow="0" w:lastRow="0" w:firstColumn="0" w:lastColumn="0" w:oddVBand="0" w:evenVBand="0" w:oddHBand="1" w:evenHBand="0" w:firstRowFirstColumn="0" w:firstRowLastColumn="0" w:lastRowFirstColumn="0" w:lastRowLastColumn="0"/>
          <w:cantSplit/>
        </w:trPr>
        <w:tc>
          <w:tcPr>
            <w:tcW w:w="1678" w:type="dxa"/>
          </w:tcPr>
          <w:p w14:paraId="0351DD2E" w14:textId="7ABBD041" w:rsidR="00FB72C4" w:rsidRPr="00A33264" w:rsidRDefault="00FB72C4" w:rsidP="00FB72C4">
            <w:pPr>
              <w:pStyle w:val="TableBody"/>
              <w:rPr>
                <w:lang w:val="en-GB"/>
              </w:rPr>
            </w:pPr>
            <w:r w:rsidRPr="00A33264">
              <w:rPr>
                <w:lang w:val="en-GB" w:eastAsia="en-AU"/>
              </w:rPr>
              <w:t>17BF(2)</w:t>
            </w:r>
          </w:p>
        </w:tc>
        <w:tc>
          <w:tcPr>
            <w:tcW w:w="1391" w:type="dxa"/>
          </w:tcPr>
          <w:p w14:paraId="769EEA8D" w14:textId="3C42BE47" w:rsidR="00FB72C4" w:rsidRPr="00A33264" w:rsidRDefault="00806298" w:rsidP="00FB72C4">
            <w:pPr>
              <w:pStyle w:val="TableBody"/>
              <w:rPr>
                <w:lang w:val="en-GB"/>
              </w:rPr>
            </w:pPr>
            <w:r w:rsidRPr="00A33264">
              <w:rPr>
                <w:lang w:val="en-GB"/>
              </w:rPr>
              <w:t>3</w:t>
            </w:r>
            <w:r w:rsidR="00390397">
              <w:rPr>
                <w:lang w:val="en-GB"/>
              </w:rPr>
              <w:t>.2</w:t>
            </w:r>
          </w:p>
        </w:tc>
        <w:tc>
          <w:tcPr>
            <w:tcW w:w="4172" w:type="dxa"/>
          </w:tcPr>
          <w:p w14:paraId="49990FF2" w14:textId="09AE0F3A" w:rsidR="00FB72C4" w:rsidRPr="00A33264" w:rsidRDefault="00FB72C4" w:rsidP="00FB72C4">
            <w:pPr>
              <w:pStyle w:val="TableBody"/>
              <w:rPr>
                <w:lang w:val="en-GB"/>
              </w:rPr>
            </w:pPr>
            <w:r w:rsidRPr="00A33264">
              <w:rPr>
                <w:lang w:val="en-GB" w:eastAsia="en-AU"/>
              </w:rPr>
              <w:t>A statement regarding the exclusion of information on the grounds that the information is commercially sensitive and would be likely to result in unreasonable commercial prejudice to the government business enterprise</w:t>
            </w:r>
          </w:p>
        </w:tc>
        <w:tc>
          <w:tcPr>
            <w:tcW w:w="2011" w:type="dxa"/>
          </w:tcPr>
          <w:p w14:paraId="100596E7" w14:textId="758AD778" w:rsidR="00FB72C4" w:rsidRPr="00A33264" w:rsidRDefault="00FB72C4" w:rsidP="00FB72C4">
            <w:pPr>
              <w:pStyle w:val="TableBody"/>
              <w:rPr>
                <w:lang w:val="en-GB"/>
              </w:rPr>
            </w:pPr>
            <w:r w:rsidRPr="00A33264">
              <w:rPr>
                <w:lang w:val="en-GB" w:eastAsia="en-AU"/>
              </w:rPr>
              <w:t>If applicable, mandatory</w:t>
            </w:r>
          </w:p>
        </w:tc>
      </w:tr>
    </w:tbl>
    <w:p w14:paraId="112CEEA7" w14:textId="426B1638" w:rsidR="00BF5D0D" w:rsidRPr="00A33264" w:rsidRDefault="00BF5D0D" w:rsidP="00BF5D0D">
      <w:pPr>
        <w:pStyle w:val="Heading4"/>
        <w:rPr>
          <w:lang w:val="en-GB"/>
        </w:rPr>
      </w:pPr>
      <w:r w:rsidRPr="00A33264">
        <w:rPr>
          <w:lang w:val="en-GB"/>
        </w:rPr>
        <w:t>The NDIS Act</w:t>
      </w:r>
    </w:p>
    <w:tbl>
      <w:tblPr>
        <w:tblStyle w:val="GridTable4"/>
        <w:tblW w:w="9253" w:type="dxa"/>
        <w:tblCellMar>
          <w:top w:w="28" w:type="dxa"/>
          <w:left w:w="28" w:type="dxa"/>
          <w:bottom w:w="28" w:type="dxa"/>
          <w:right w:w="28" w:type="dxa"/>
        </w:tblCellMar>
        <w:tblLook w:val="0420" w:firstRow="1" w:lastRow="0" w:firstColumn="0" w:lastColumn="0" w:noHBand="0" w:noVBand="1"/>
      </w:tblPr>
      <w:tblGrid>
        <w:gridCol w:w="1696"/>
        <w:gridCol w:w="1276"/>
        <w:gridCol w:w="4253"/>
        <w:gridCol w:w="2028"/>
      </w:tblGrid>
      <w:tr w:rsidR="00EA5908" w:rsidRPr="00A33264" w14:paraId="1AEF8862" w14:textId="77777777" w:rsidTr="003752D4">
        <w:trPr>
          <w:cnfStyle w:val="100000000000" w:firstRow="1" w:lastRow="0" w:firstColumn="0" w:lastColumn="0" w:oddVBand="0" w:evenVBand="0" w:oddHBand="0" w:evenHBand="0" w:firstRowFirstColumn="0" w:firstRowLastColumn="0" w:lastRowFirstColumn="0" w:lastRowLastColumn="0"/>
          <w:cantSplit/>
        </w:trPr>
        <w:tc>
          <w:tcPr>
            <w:tcW w:w="1696" w:type="dxa"/>
            <w:tcBorders>
              <w:top w:val="single" w:sz="4" w:space="0" w:color="6B2876" w:themeColor="text1"/>
              <w:bottom w:val="single" w:sz="4" w:space="0" w:color="6B2876" w:themeColor="text1"/>
            </w:tcBorders>
          </w:tcPr>
          <w:p w14:paraId="35AA1C64" w14:textId="362A6DE6" w:rsidR="00EA5908" w:rsidRPr="00A33264" w:rsidRDefault="00EA5908" w:rsidP="00EA5908">
            <w:pPr>
              <w:pStyle w:val="TableBody"/>
              <w:rPr>
                <w:b w:val="0"/>
                <w:bCs w:val="0"/>
                <w:lang w:val="en-GB"/>
              </w:rPr>
            </w:pPr>
            <w:bookmarkStart w:id="462" w:name="ColumnTitle_TheNDISAct"/>
            <w:bookmarkEnd w:id="462"/>
            <w:r w:rsidRPr="00A33264">
              <w:rPr>
                <w:szCs w:val="24"/>
                <w:lang w:val="en-GB"/>
              </w:rPr>
              <w:t>NDIS Act Chapter 6, Part 5, Subsection 172</w:t>
            </w:r>
          </w:p>
        </w:tc>
        <w:tc>
          <w:tcPr>
            <w:tcW w:w="1276" w:type="dxa"/>
            <w:tcBorders>
              <w:top w:val="single" w:sz="4" w:space="0" w:color="6B2876" w:themeColor="text1"/>
              <w:bottom w:val="single" w:sz="4" w:space="0" w:color="6B2876" w:themeColor="text1"/>
            </w:tcBorders>
          </w:tcPr>
          <w:p w14:paraId="5A100A09" w14:textId="14C6EC32" w:rsidR="00EA5908" w:rsidRPr="00A33264" w:rsidRDefault="00EA5908" w:rsidP="00EA5908">
            <w:pPr>
              <w:pStyle w:val="TableBody"/>
              <w:rPr>
                <w:b w:val="0"/>
                <w:bCs w:val="0"/>
                <w:lang w:val="en-GB"/>
              </w:rPr>
            </w:pPr>
            <w:r w:rsidRPr="00A33264">
              <w:rPr>
                <w:szCs w:val="24"/>
                <w:lang w:val="en-GB"/>
              </w:rPr>
              <w:t>Part of report</w:t>
            </w:r>
          </w:p>
        </w:tc>
        <w:tc>
          <w:tcPr>
            <w:tcW w:w="4253" w:type="dxa"/>
            <w:tcBorders>
              <w:top w:val="single" w:sz="4" w:space="0" w:color="6B2876" w:themeColor="text1"/>
              <w:bottom w:val="single" w:sz="4" w:space="0" w:color="6B2876" w:themeColor="text1"/>
            </w:tcBorders>
          </w:tcPr>
          <w:p w14:paraId="345DCFB7" w14:textId="2E5FF343" w:rsidR="00EA5908" w:rsidRPr="00A33264" w:rsidRDefault="00EA5908" w:rsidP="00EA5908">
            <w:pPr>
              <w:pStyle w:val="TableBody"/>
              <w:rPr>
                <w:b w:val="0"/>
                <w:bCs w:val="0"/>
                <w:lang w:val="en-GB"/>
              </w:rPr>
            </w:pPr>
            <w:r w:rsidRPr="00A33264">
              <w:rPr>
                <w:szCs w:val="24"/>
                <w:lang w:val="en-GB"/>
              </w:rPr>
              <w:t>Description</w:t>
            </w:r>
          </w:p>
        </w:tc>
        <w:tc>
          <w:tcPr>
            <w:tcW w:w="2028" w:type="dxa"/>
            <w:tcBorders>
              <w:top w:val="single" w:sz="4" w:space="0" w:color="6B2876" w:themeColor="text1"/>
              <w:bottom w:val="single" w:sz="4" w:space="0" w:color="6B2876" w:themeColor="text1"/>
            </w:tcBorders>
          </w:tcPr>
          <w:p w14:paraId="0DF66E29" w14:textId="3204148D" w:rsidR="00EA5908" w:rsidRPr="00A33264" w:rsidRDefault="00EA5908" w:rsidP="00EA5908">
            <w:pPr>
              <w:pStyle w:val="TableBody"/>
              <w:rPr>
                <w:b w:val="0"/>
                <w:bCs w:val="0"/>
                <w:lang w:val="en-GB"/>
              </w:rPr>
            </w:pPr>
            <w:r w:rsidRPr="00A33264">
              <w:rPr>
                <w:szCs w:val="24"/>
                <w:lang w:val="en-GB"/>
              </w:rPr>
              <w:t>Requirement</w:t>
            </w:r>
          </w:p>
        </w:tc>
      </w:tr>
      <w:tr w:rsidR="00EA5908" w:rsidRPr="00A33264" w14:paraId="3F88F2A5" w14:textId="77777777" w:rsidTr="00EA5908">
        <w:trPr>
          <w:cnfStyle w:val="000000100000" w:firstRow="0" w:lastRow="0" w:firstColumn="0" w:lastColumn="0" w:oddVBand="0" w:evenVBand="0" w:oddHBand="1" w:evenHBand="0" w:firstRowFirstColumn="0" w:firstRowLastColumn="0" w:lastRowFirstColumn="0" w:lastRowLastColumn="0"/>
          <w:cantSplit/>
        </w:trPr>
        <w:tc>
          <w:tcPr>
            <w:tcW w:w="1696" w:type="dxa"/>
          </w:tcPr>
          <w:p w14:paraId="331DB68D" w14:textId="4BC31491" w:rsidR="00EA5908" w:rsidRPr="00A33264" w:rsidRDefault="00EA5908" w:rsidP="00EA5908">
            <w:pPr>
              <w:pStyle w:val="TableBody"/>
              <w:rPr>
                <w:lang w:val="en-GB"/>
              </w:rPr>
            </w:pPr>
            <w:r w:rsidRPr="00A33264">
              <w:rPr>
                <w:color w:val="000000"/>
                <w:szCs w:val="24"/>
                <w:lang w:val="en-GB"/>
              </w:rPr>
              <w:t>2)(a)</w:t>
            </w:r>
          </w:p>
        </w:tc>
        <w:tc>
          <w:tcPr>
            <w:tcW w:w="1276" w:type="dxa"/>
          </w:tcPr>
          <w:p w14:paraId="15F0FBFE" w14:textId="369F2623" w:rsidR="00EA5908" w:rsidRPr="00A33264" w:rsidRDefault="000F4065" w:rsidP="00EA5908">
            <w:pPr>
              <w:pStyle w:val="TableBody"/>
              <w:rPr>
                <w:lang w:val="en-GB"/>
              </w:rPr>
            </w:pPr>
            <w:r w:rsidRPr="00A33264">
              <w:rPr>
                <w:lang w:val="en-GB"/>
              </w:rPr>
              <w:t>6.13.1</w:t>
            </w:r>
          </w:p>
        </w:tc>
        <w:tc>
          <w:tcPr>
            <w:tcW w:w="4253" w:type="dxa"/>
          </w:tcPr>
          <w:p w14:paraId="58FFFEA9" w14:textId="46C3FC38" w:rsidR="00EA5908" w:rsidRPr="00A33264" w:rsidRDefault="00EA5908" w:rsidP="00EA5908">
            <w:pPr>
              <w:pStyle w:val="TableBody"/>
              <w:rPr>
                <w:lang w:val="en-GB"/>
              </w:rPr>
            </w:pPr>
            <w:r w:rsidRPr="00A33264">
              <w:rPr>
                <w:color w:val="000000"/>
                <w:szCs w:val="24"/>
                <w:lang w:val="en-GB"/>
              </w:rPr>
              <w:t>Details of any directions given under section 121 in the period</w:t>
            </w:r>
          </w:p>
        </w:tc>
        <w:tc>
          <w:tcPr>
            <w:tcW w:w="2028" w:type="dxa"/>
          </w:tcPr>
          <w:p w14:paraId="6FD98CDB" w14:textId="58131BF5" w:rsidR="00EA5908" w:rsidRPr="00A33264" w:rsidRDefault="00EA5908" w:rsidP="00EA5908">
            <w:pPr>
              <w:pStyle w:val="TableBody"/>
              <w:rPr>
                <w:lang w:val="en-GB"/>
              </w:rPr>
            </w:pPr>
            <w:r w:rsidRPr="00A33264">
              <w:rPr>
                <w:color w:val="000000"/>
                <w:szCs w:val="24"/>
                <w:lang w:val="en-GB"/>
              </w:rPr>
              <w:t>Mandatory</w:t>
            </w:r>
          </w:p>
        </w:tc>
      </w:tr>
      <w:tr w:rsidR="00EA5908" w:rsidRPr="00A33264" w14:paraId="30D252D5" w14:textId="77777777" w:rsidTr="00EA5908">
        <w:trPr>
          <w:cantSplit/>
        </w:trPr>
        <w:tc>
          <w:tcPr>
            <w:tcW w:w="1696" w:type="dxa"/>
          </w:tcPr>
          <w:p w14:paraId="2978C997" w14:textId="3FD0E3E1" w:rsidR="00EA5908" w:rsidRPr="00A33264" w:rsidRDefault="00EA5908" w:rsidP="00EA5908">
            <w:pPr>
              <w:pStyle w:val="TableBody"/>
              <w:rPr>
                <w:lang w:val="en-GB"/>
              </w:rPr>
            </w:pPr>
            <w:r w:rsidRPr="00A33264">
              <w:rPr>
                <w:color w:val="000000"/>
                <w:szCs w:val="24"/>
                <w:lang w:val="en-GB"/>
              </w:rPr>
              <w:t>(2)(b)</w:t>
            </w:r>
          </w:p>
        </w:tc>
        <w:tc>
          <w:tcPr>
            <w:tcW w:w="1276" w:type="dxa"/>
          </w:tcPr>
          <w:p w14:paraId="19DA811F" w14:textId="72FFF375" w:rsidR="00EA5908" w:rsidRPr="00A33264" w:rsidRDefault="000F4065" w:rsidP="00EA5908">
            <w:pPr>
              <w:pStyle w:val="TableBody"/>
              <w:rPr>
                <w:lang w:val="en-GB"/>
              </w:rPr>
            </w:pPr>
            <w:r w:rsidRPr="00A33264">
              <w:rPr>
                <w:lang w:val="en-GB"/>
              </w:rPr>
              <w:t>6.13.1</w:t>
            </w:r>
          </w:p>
        </w:tc>
        <w:tc>
          <w:tcPr>
            <w:tcW w:w="4253" w:type="dxa"/>
          </w:tcPr>
          <w:p w14:paraId="6E983EE0" w14:textId="67AFC995" w:rsidR="00EA5908" w:rsidRPr="00A33264" w:rsidRDefault="00EA5908" w:rsidP="00EA5908">
            <w:pPr>
              <w:pStyle w:val="TableBody"/>
              <w:rPr>
                <w:lang w:val="en-GB"/>
              </w:rPr>
            </w:pPr>
            <w:r w:rsidRPr="00A33264">
              <w:rPr>
                <w:color w:val="000000"/>
                <w:szCs w:val="24"/>
                <w:lang w:val="en-GB"/>
              </w:rPr>
              <w:t>Details of any statements given under section 125 in the period</w:t>
            </w:r>
          </w:p>
        </w:tc>
        <w:tc>
          <w:tcPr>
            <w:tcW w:w="2028" w:type="dxa"/>
          </w:tcPr>
          <w:p w14:paraId="61B1158D" w14:textId="529FD09E" w:rsidR="00EA5908" w:rsidRPr="00A33264" w:rsidRDefault="00EA5908" w:rsidP="00EA5908">
            <w:pPr>
              <w:pStyle w:val="TableBody"/>
              <w:rPr>
                <w:lang w:val="en-GB"/>
              </w:rPr>
            </w:pPr>
            <w:r w:rsidRPr="00A33264">
              <w:rPr>
                <w:color w:val="000000"/>
                <w:szCs w:val="24"/>
                <w:lang w:val="en-GB"/>
              </w:rPr>
              <w:t>Mandatory</w:t>
            </w:r>
          </w:p>
        </w:tc>
      </w:tr>
      <w:tr w:rsidR="00EA5908" w:rsidRPr="00A33264" w14:paraId="5469C2AD" w14:textId="77777777" w:rsidTr="00EA5908">
        <w:trPr>
          <w:cnfStyle w:val="000000100000" w:firstRow="0" w:lastRow="0" w:firstColumn="0" w:lastColumn="0" w:oddVBand="0" w:evenVBand="0" w:oddHBand="1" w:evenHBand="0" w:firstRowFirstColumn="0" w:firstRowLastColumn="0" w:lastRowFirstColumn="0" w:lastRowLastColumn="0"/>
          <w:cantSplit/>
        </w:trPr>
        <w:tc>
          <w:tcPr>
            <w:tcW w:w="1696" w:type="dxa"/>
          </w:tcPr>
          <w:p w14:paraId="22472908" w14:textId="702468AF" w:rsidR="00EA5908" w:rsidRPr="00A33264" w:rsidRDefault="00EA5908" w:rsidP="00EA5908">
            <w:pPr>
              <w:pStyle w:val="TableBody"/>
              <w:rPr>
                <w:lang w:val="en-GB"/>
              </w:rPr>
            </w:pPr>
            <w:r w:rsidRPr="00A33264">
              <w:rPr>
                <w:color w:val="000000"/>
                <w:szCs w:val="24"/>
                <w:lang w:val="en-GB"/>
              </w:rPr>
              <w:t>(2)(c)</w:t>
            </w:r>
          </w:p>
        </w:tc>
        <w:tc>
          <w:tcPr>
            <w:tcW w:w="1276" w:type="dxa"/>
          </w:tcPr>
          <w:p w14:paraId="1EFDDC05" w14:textId="7607E450" w:rsidR="00EA5908" w:rsidRPr="00A33264" w:rsidRDefault="00806298" w:rsidP="00EA5908">
            <w:pPr>
              <w:pStyle w:val="TableBody"/>
              <w:rPr>
                <w:highlight w:val="yellow"/>
                <w:lang w:val="en-GB"/>
              </w:rPr>
            </w:pPr>
            <w:r w:rsidRPr="00A33264">
              <w:rPr>
                <w:lang w:val="en-GB"/>
              </w:rPr>
              <w:t>4</w:t>
            </w:r>
          </w:p>
        </w:tc>
        <w:tc>
          <w:tcPr>
            <w:tcW w:w="4253" w:type="dxa"/>
          </w:tcPr>
          <w:p w14:paraId="0E45ED58" w14:textId="5DD53FC7" w:rsidR="00EA5908" w:rsidRPr="00A33264" w:rsidRDefault="00EA5908" w:rsidP="00EA5908">
            <w:pPr>
              <w:pStyle w:val="Pa11"/>
              <w:spacing w:after="100"/>
              <w:rPr>
                <w:rFonts w:ascii="Arial" w:hAnsi="Arial" w:cs="Arial"/>
                <w:color w:val="000000"/>
                <w:lang w:val="en-GB"/>
              </w:rPr>
            </w:pPr>
            <w:r w:rsidRPr="00A33264">
              <w:rPr>
                <w:rFonts w:ascii="Arial" w:hAnsi="Arial" w:cs="Arial"/>
                <w:color w:val="000000"/>
                <w:lang w:val="en-GB"/>
              </w:rPr>
              <w:t>Information (including statistics) and analysis that relates to either or both of the following in the period:</w:t>
            </w:r>
          </w:p>
          <w:p w14:paraId="2BAEEF7C" w14:textId="39957DA5" w:rsidR="00EA5908" w:rsidRPr="00A33264" w:rsidRDefault="00EA5908" w:rsidP="00EF7026">
            <w:pPr>
              <w:pStyle w:val="Pa66"/>
              <w:numPr>
                <w:ilvl w:val="0"/>
                <w:numId w:val="11"/>
              </w:numPr>
              <w:spacing w:after="100"/>
              <w:ind w:left="357" w:hanging="357"/>
              <w:rPr>
                <w:rFonts w:ascii="Arial" w:hAnsi="Arial" w:cs="Arial"/>
                <w:color w:val="000000"/>
                <w:lang w:val="en-GB"/>
              </w:rPr>
            </w:pPr>
            <w:r w:rsidRPr="00A33264">
              <w:rPr>
                <w:rFonts w:ascii="Arial" w:hAnsi="Arial" w:cs="Arial"/>
                <w:color w:val="000000"/>
                <w:lang w:val="en-GB"/>
              </w:rPr>
              <w:t xml:space="preserve">participants; </w:t>
            </w:r>
          </w:p>
          <w:p w14:paraId="0BEE6391" w14:textId="3698A37E" w:rsidR="00EA5908" w:rsidRPr="00A33264" w:rsidRDefault="00EA5908" w:rsidP="00EF7026">
            <w:pPr>
              <w:pStyle w:val="TableBody"/>
              <w:numPr>
                <w:ilvl w:val="0"/>
                <w:numId w:val="11"/>
              </w:numPr>
              <w:ind w:left="357" w:hanging="357"/>
              <w:rPr>
                <w:lang w:val="en-GB"/>
              </w:rPr>
            </w:pPr>
            <w:r w:rsidRPr="00A33264">
              <w:rPr>
                <w:color w:val="000000"/>
                <w:szCs w:val="24"/>
                <w:lang w:val="en-GB"/>
              </w:rPr>
              <w:t>funding or provision of supports by the Agency</w:t>
            </w:r>
          </w:p>
        </w:tc>
        <w:tc>
          <w:tcPr>
            <w:tcW w:w="2028" w:type="dxa"/>
          </w:tcPr>
          <w:p w14:paraId="536E6A8C" w14:textId="18C4D804" w:rsidR="00EA5908" w:rsidRPr="00A33264" w:rsidRDefault="00EA5908" w:rsidP="00EA5908">
            <w:pPr>
              <w:pStyle w:val="TableBody"/>
              <w:rPr>
                <w:lang w:val="en-GB"/>
              </w:rPr>
            </w:pPr>
            <w:r w:rsidRPr="00A33264">
              <w:rPr>
                <w:color w:val="000000"/>
                <w:szCs w:val="24"/>
                <w:lang w:val="en-GB"/>
              </w:rPr>
              <w:t>Mandatory</w:t>
            </w:r>
          </w:p>
        </w:tc>
      </w:tr>
      <w:tr w:rsidR="00EA5908" w:rsidRPr="00A33264" w14:paraId="444F8D2B" w14:textId="77777777" w:rsidTr="00EA5908">
        <w:trPr>
          <w:cantSplit/>
        </w:trPr>
        <w:tc>
          <w:tcPr>
            <w:tcW w:w="1696" w:type="dxa"/>
          </w:tcPr>
          <w:p w14:paraId="17168BA0" w14:textId="15F8D2C0" w:rsidR="00EA5908" w:rsidRPr="00A33264" w:rsidRDefault="00EA5908" w:rsidP="00EA5908">
            <w:pPr>
              <w:pStyle w:val="TableBody"/>
              <w:rPr>
                <w:lang w:val="en-GB"/>
              </w:rPr>
            </w:pPr>
            <w:r w:rsidRPr="00A33264">
              <w:rPr>
                <w:color w:val="000000"/>
                <w:szCs w:val="24"/>
                <w:lang w:val="en-GB"/>
              </w:rPr>
              <w:lastRenderedPageBreak/>
              <w:t>(3)</w:t>
            </w:r>
          </w:p>
        </w:tc>
        <w:tc>
          <w:tcPr>
            <w:tcW w:w="1276" w:type="dxa"/>
          </w:tcPr>
          <w:p w14:paraId="56F73BF6" w14:textId="57BC8BC7" w:rsidR="00EA5908" w:rsidRPr="00A33264" w:rsidRDefault="000F4065" w:rsidP="00EA5908">
            <w:pPr>
              <w:pStyle w:val="TableBody"/>
              <w:rPr>
                <w:lang w:val="en-GB"/>
              </w:rPr>
            </w:pPr>
            <w:r w:rsidRPr="00A33264">
              <w:rPr>
                <w:lang w:val="en-GB"/>
              </w:rPr>
              <w:t>6.13.1</w:t>
            </w:r>
          </w:p>
        </w:tc>
        <w:tc>
          <w:tcPr>
            <w:tcW w:w="4253" w:type="dxa"/>
          </w:tcPr>
          <w:p w14:paraId="65C4271A" w14:textId="57D6F778" w:rsidR="00EA5908" w:rsidRPr="00A33264" w:rsidRDefault="00A32056" w:rsidP="00EA5908">
            <w:pPr>
              <w:pStyle w:val="TableBody"/>
              <w:rPr>
                <w:lang w:val="en-GB"/>
              </w:rPr>
            </w:pPr>
            <w:r w:rsidRPr="00A33264">
              <w:rPr>
                <w:color w:val="000000"/>
                <w:szCs w:val="24"/>
                <w:lang w:val="en-GB"/>
              </w:rPr>
              <w:t>The Minister may, by legislative instrument, prescribe particular information, or analysis, described in paragraph (2)(c) that must be included in the annual report.</w:t>
            </w:r>
          </w:p>
        </w:tc>
        <w:tc>
          <w:tcPr>
            <w:tcW w:w="2028" w:type="dxa"/>
          </w:tcPr>
          <w:p w14:paraId="311D0F60" w14:textId="38491135" w:rsidR="00EA5908" w:rsidRPr="00A33264" w:rsidRDefault="00EA5908" w:rsidP="00EA5908">
            <w:pPr>
              <w:pStyle w:val="TableBody"/>
              <w:rPr>
                <w:lang w:val="en-GB"/>
              </w:rPr>
            </w:pPr>
            <w:r w:rsidRPr="00A33264">
              <w:rPr>
                <w:color w:val="000000"/>
                <w:szCs w:val="24"/>
                <w:lang w:val="en-GB"/>
              </w:rPr>
              <w:t xml:space="preserve">Mandatory </w:t>
            </w:r>
            <w:r w:rsidR="00A32056" w:rsidRPr="00A33264">
              <w:rPr>
                <w:color w:val="000000"/>
                <w:szCs w:val="24"/>
                <w:lang w:val="en-GB"/>
              </w:rPr>
              <w:t>(if applicable)</w:t>
            </w:r>
          </w:p>
        </w:tc>
      </w:tr>
      <w:tr w:rsidR="00EA5908" w:rsidRPr="00A33264" w14:paraId="5314B7B2" w14:textId="77777777" w:rsidTr="00EA5908">
        <w:trPr>
          <w:cnfStyle w:val="000000100000" w:firstRow="0" w:lastRow="0" w:firstColumn="0" w:lastColumn="0" w:oddVBand="0" w:evenVBand="0" w:oddHBand="1" w:evenHBand="0" w:firstRowFirstColumn="0" w:firstRowLastColumn="0" w:lastRowFirstColumn="0" w:lastRowLastColumn="0"/>
          <w:cantSplit/>
        </w:trPr>
        <w:tc>
          <w:tcPr>
            <w:tcW w:w="1696" w:type="dxa"/>
          </w:tcPr>
          <w:p w14:paraId="321E2512" w14:textId="4F285D20" w:rsidR="00EA5908" w:rsidRPr="00A33264" w:rsidRDefault="00EA5908" w:rsidP="00EA5908">
            <w:pPr>
              <w:pStyle w:val="TableBody"/>
              <w:rPr>
                <w:lang w:val="en-GB"/>
              </w:rPr>
            </w:pPr>
            <w:r w:rsidRPr="00A33264">
              <w:rPr>
                <w:color w:val="000000"/>
                <w:szCs w:val="24"/>
                <w:lang w:val="en-GB"/>
              </w:rPr>
              <w:t>(4)(a)</w:t>
            </w:r>
          </w:p>
        </w:tc>
        <w:tc>
          <w:tcPr>
            <w:tcW w:w="1276" w:type="dxa"/>
          </w:tcPr>
          <w:p w14:paraId="4980EB65" w14:textId="5DA32F66" w:rsidR="00EA5908" w:rsidRPr="00A33264" w:rsidRDefault="00806298" w:rsidP="00EA5908">
            <w:pPr>
              <w:pStyle w:val="TableBody"/>
              <w:rPr>
                <w:lang w:val="en-GB"/>
              </w:rPr>
            </w:pPr>
            <w:r w:rsidRPr="00A33264">
              <w:rPr>
                <w:lang w:val="en-GB"/>
              </w:rPr>
              <w:t>4</w:t>
            </w:r>
          </w:p>
        </w:tc>
        <w:tc>
          <w:tcPr>
            <w:tcW w:w="4253" w:type="dxa"/>
          </w:tcPr>
          <w:p w14:paraId="71D362F2" w14:textId="3AD0AF9F" w:rsidR="00EA5908" w:rsidRPr="00A33264" w:rsidRDefault="00EA5908" w:rsidP="00EA5908">
            <w:pPr>
              <w:pStyle w:val="TableBody"/>
              <w:rPr>
                <w:lang w:val="en-GB"/>
              </w:rPr>
            </w:pPr>
            <w:r w:rsidRPr="00A33264">
              <w:rPr>
                <w:color w:val="000000"/>
                <w:szCs w:val="24"/>
                <w:lang w:val="en-GB"/>
              </w:rPr>
              <w:t xml:space="preserve">The summary, that was prepared under section 180B when the annual report was being prepared, of the annual financial sustainability report </w:t>
            </w:r>
            <w:r w:rsidR="00A32056" w:rsidRPr="00A33264">
              <w:rPr>
                <w:color w:val="000000"/>
                <w:szCs w:val="24"/>
                <w:lang w:val="en-GB"/>
              </w:rPr>
              <w:t>prepared then</w:t>
            </w:r>
          </w:p>
        </w:tc>
        <w:tc>
          <w:tcPr>
            <w:tcW w:w="2028" w:type="dxa"/>
          </w:tcPr>
          <w:p w14:paraId="5587D546" w14:textId="334C4F6C" w:rsidR="00EA5908" w:rsidRPr="00A33264" w:rsidRDefault="00EA5908" w:rsidP="00EA5908">
            <w:pPr>
              <w:pStyle w:val="TableBody"/>
              <w:rPr>
                <w:lang w:val="en-GB"/>
              </w:rPr>
            </w:pPr>
            <w:r w:rsidRPr="00A33264">
              <w:rPr>
                <w:color w:val="000000"/>
                <w:szCs w:val="24"/>
                <w:lang w:val="en-GB"/>
              </w:rPr>
              <w:t xml:space="preserve">Mandatory </w:t>
            </w:r>
          </w:p>
        </w:tc>
      </w:tr>
      <w:tr w:rsidR="00EA5908" w:rsidRPr="00A33264" w14:paraId="5DE87003" w14:textId="77777777" w:rsidTr="00EA5908">
        <w:trPr>
          <w:cantSplit/>
        </w:trPr>
        <w:tc>
          <w:tcPr>
            <w:tcW w:w="1696" w:type="dxa"/>
          </w:tcPr>
          <w:p w14:paraId="466E2933" w14:textId="380912F0" w:rsidR="00EA5908" w:rsidRPr="00A33264" w:rsidRDefault="00EA5908" w:rsidP="00EA5908">
            <w:pPr>
              <w:pStyle w:val="TableBody"/>
              <w:rPr>
                <w:lang w:val="en-GB"/>
              </w:rPr>
            </w:pPr>
            <w:r w:rsidRPr="00A33264">
              <w:rPr>
                <w:color w:val="000000"/>
                <w:szCs w:val="24"/>
                <w:lang w:val="en-GB"/>
              </w:rPr>
              <w:t>(4)(b)</w:t>
            </w:r>
          </w:p>
        </w:tc>
        <w:tc>
          <w:tcPr>
            <w:tcW w:w="1276" w:type="dxa"/>
          </w:tcPr>
          <w:p w14:paraId="0B2F7427" w14:textId="0CEFC8EF" w:rsidR="00EA5908" w:rsidRPr="00A33264" w:rsidRDefault="00FB72C4" w:rsidP="00EA5908">
            <w:pPr>
              <w:pStyle w:val="TableBody"/>
              <w:rPr>
                <w:lang w:val="en-GB"/>
              </w:rPr>
            </w:pPr>
            <w:r w:rsidRPr="00A33264">
              <w:rPr>
                <w:lang w:val="en-GB"/>
              </w:rPr>
              <w:t>4</w:t>
            </w:r>
            <w:r w:rsidR="00806298" w:rsidRPr="00A33264">
              <w:rPr>
                <w:lang w:val="en-GB"/>
              </w:rPr>
              <w:t>.4</w:t>
            </w:r>
          </w:p>
        </w:tc>
        <w:tc>
          <w:tcPr>
            <w:tcW w:w="4253" w:type="dxa"/>
          </w:tcPr>
          <w:p w14:paraId="3687C1DA" w14:textId="72EE38E1" w:rsidR="00EA5908" w:rsidRPr="00A33264" w:rsidRDefault="00EA5908" w:rsidP="00EA5908">
            <w:pPr>
              <w:pStyle w:val="TableBody"/>
              <w:rPr>
                <w:lang w:val="en-GB"/>
              </w:rPr>
            </w:pPr>
            <w:r w:rsidRPr="00A33264">
              <w:rPr>
                <w:color w:val="000000"/>
                <w:szCs w:val="24"/>
                <w:lang w:val="en-GB"/>
              </w:rPr>
              <w:t>The report of the reviewing actuary’s review under subsection 180E(2) of the summary mentioned in paragraph (4)(a)</w:t>
            </w:r>
          </w:p>
        </w:tc>
        <w:tc>
          <w:tcPr>
            <w:tcW w:w="2028" w:type="dxa"/>
          </w:tcPr>
          <w:p w14:paraId="11249F31" w14:textId="6BB92065" w:rsidR="00EA5908" w:rsidRPr="00A33264" w:rsidRDefault="00EA5908" w:rsidP="00EA5908">
            <w:pPr>
              <w:pStyle w:val="TableBody"/>
              <w:rPr>
                <w:lang w:val="en-GB"/>
              </w:rPr>
            </w:pPr>
            <w:r w:rsidRPr="00A33264">
              <w:rPr>
                <w:color w:val="000000"/>
                <w:szCs w:val="24"/>
                <w:lang w:val="en-GB"/>
              </w:rPr>
              <w:t>Mandatory</w:t>
            </w:r>
          </w:p>
        </w:tc>
      </w:tr>
    </w:tbl>
    <w:p w14:paraId="3B084194" w14:textId="6D406109" w:rsidR="00EA5908" w:rsidRPr="00A33264" w:rsidRDefault="00EA5908" w:rsidP="00EA5908">
      <w:pPr>
        <w:pStyle w:val="Heading4"/>
        <w:rPr>
          <w:lang w:val="en-GB"/>
        </w:rPr>
      </w:pPr>
      <w:r w:rsidRPr="00A33264">
        <w:rPr>
          <w:lang w:val="en-GB"/>
        </w:rPr>
        <w:t>Information provided in compliance with other statutory provisions</w:t>
      </w:r>
    </w:p>
    <w:tbl>
      <w:tblPr>
        <w:tblStyle w:val="GridTable4"/>
        <w:tblW w:w="9252" w:type="dxa"/>
        <w:tblCellMar>
          <w:top w:w="28" w:type="dxa"/>
          <w:left w:w="28" w:type="dxa"/>
          <w:bottom w:w="28" w:type="dxa"/>
          <w:right w:w="28" w:type="dxa"/>
        </w:tblCellMar>
        <w:tblLook w:val="0420" w:firstRow="1" w:lastRow="0" w:firstColumn="0" w:lastColumn="0" w:noHBand="0" w:noVBand="1"/>
      </w:tblPr>
      <w:tblGrid>
        <w:gridCol w:w="1724"/>
        <w:gridCol w:w="1391"/>
        <w:gridCol w:w="4129"/>
        <w:gridCol w:w="2008"/>
      </w:tblGrid>
      <w:tr w:rsidR="00EA5908" w:rsidRPr="00A33264" w14:paraId="5BDDFD62" w14:textId="77777777" w:rsidTr="003752D4">
        <w:trPr>
          <w:cnfStyle w:val="100000000000" w:firstRow="1" w:lastRow="0" w:firstColumn="0" w:lastColumn="0" w:oddVBand="0" w:evenVBand="0" w:oddHBand="0" w:evenHBand="0" w:firstRowFirstColumn="0" w:firstRowLastColumn="0" w:lastRowFirstColumn="0" w:lastRowLastColumn="0"/>
          <w:cantSplit/>
        </w:trPr>
        <w:tc>
          <w:tcPr>
            <w:tcW w:w="1724" w:type="dxa"/>
            <w:tcBorders>
              <w:top w:val="single" w:sz="4" w:space="0" w:color="6B2876" w:themeColor="text1"/>
              <w:bottom w:val="single" w:sz="4" w:space="0" w:color="6B2876" w:themeColor="text1"/>
            </w:tcBorders>
          </w:tcPr>
          <w:p w14:paraId="4FB0FF62" w14:textId="4EEE12F7" w:rsidR="00EA5908" w:rsidRPr="00A33264" w:rsidRDefault="00EA5908">
            <w:pPr>
              <w:pStyle w:val="TableBody"/>
              <w:rPr>
                <w:lang w:val="en-GB"/>
              </w:rPr>
            </w:pPr>
            <w:bookmarkStart w:id="463" w:name="ColumnTitle_StatutoryProvisions"/>
            <w:bookmarkEnd w:id="463"/>
            <w:r w:rsidRPr="00A33264">
              <w:rPr>
                <w:lang w:val="en-GB"/>
              </w:rPr>
              <w:t>Act</w:t>
            </w:r>
          </w:p>
        </w:tc>
        <w:tc>
          <w:tcPr>
            <w:tcW w:w="1391" w:type="dxa"/>
            <w:tcBorders>
              <w:top w:val="single" w:sz="4" w:space="0" w:color="6B2876" w:themeColor="text1"/>
              <w:bottom w:val="single" w:sz="4" w:space="0" w:color="6B2876" w:themeColor="text1"/>
            </w:tcBorders>
          </w:tcPr>
          <w:p w14:paraId="544236A1" w14:textId="4F376D23" w:rsidR="00EA5908" w:rsidRPr="00A33264" w:rsidRDefault="00EA5908">
            <w:pPr>
              <w:pStyle w:val="TableBody"/>
              <w:rPr>
                <w:lang w:val="en-GB"/>
              </w:rPr>
            </w:pPr>
            <w:r w:rsidRPr="00A33264">
              <w:rPr>
                <w:lang w:val="en-GB"/>
              </w:rPr>
              <w:t>Part of report</w:t>
            </w:r>
          </w:p>
        </w:tc>
        <w:tc>
          <w:tcPr>
            <w:tcW w:w="4129" w:type="dxa"/>
            <w:tcBorders>
              <w:top w:val="single" w:sz="4" w:space="0" w:color="6B2876" w:themeColor="text1"/>
              <w:bottom w:val="single" w:sz="4" w:space="0" w:color="6B2876" w:themeColor="text1"/>
            </w:tcBorders>
          </w:tcPr>
          <w:p w14:paraId="0B36AB23" w14:textId="1C1B15BA" w:rsidR="00EA5908" w:rsidRPr="00A33264" w:rsidRDefault="00EA5908">
            <w:pPr>
              <w:pStyle w:val="TableBody"/>
              <w:rPr>
                <w:lang w:val="en-GB"/>
              </w:rPr>
            </w:pPr>
            <w:r w:rsidRPr="00A33264">
              <w:rPr>
                <w:lang w:val="en-GB"/>
              </w:rPr>
              <w:t>Description</w:t>
            </w:r>
          </w:p>
        </w:tc>
        <w:tc>
          <w:tcPr>
            <w:tcW w:w="2008" w:type="dxa"/>
            <w:tcBorders>
              <w:top w:val="single" w:sz="4" w:space="0" w:color="6B2876" w:themeColor="text1"/>
              <w:bottom w:val="single" w:sz="4" w:space="0" w:color="6B2876" w:themeColor="text1"/>
            </w:tcBorders>
          </w:tcPr>
          <w:p w14:paraId="4B501FBA" w14:textId="7A1423E5" w:rsidR="00EA5908" w:rsidRPr="00A33264" w:rsidRDefault="00EA5908">
            <w:pPr>
              <w:pStyle w:val="TableBody"/>
              <w:rPr>
                <w:lang w:val="en-GB"/>
              </w:rPr>
            </w:pPr>
            <w:r w:rsidRPr="00A33264">
              <w:rPr>
                <w:lang w:val="en-GB"/>
              </w:rPr>
              <w:t>Requirement</w:t>
            </w:r>
          </w:p>
        </w:tc>
      </w:tr>
      <w:tr w:rsidR="00EA5908" w:rsidRPr="00A33264" w14:paraId="0F7B803C" w14:textId="77777777" w:rsidTr="00C578BF">
        <w:trPr>
          <w:cnfStyle w:val="000000100000" w:firstRow="0" w:lastRow="0" w:firstColumn="0" w:lastColumn="0" w:oddVBand="0" w:evenVBand="0" w:oddHBand="1" w:evenHBand="0" w:firstRowFirstColumn="0" w:firstRowLastColumn="0" w:lastRowFirstColumn="0" w:lastRowLastColumn="0"/>
          <w:cantSplit/>
        </w:trPr>
        <w:tc>
          <w:tcPr>
            <w:tcW w:w="1724" w:type="dxa"/>
          </w:tcPr>
          <w:p w14:paraId="05E0DFEA" w14:textId="5A896998" w:rsidR="00EA5908" w:rsidRPr="00A33264" w:rsidRDefault="00EA5908" w:rsidP="00EA5908">
            <w:pPr>
              <w:pStyle w:val="TableBody"/>
              <w:rPr>
                <w:i/>
                <w:iCs/>
                <w:lang w:val="en-GB"/>
              </w:rPr>
            </w:pPr>
            <w:r w:rsidRPr="00A33264">
              <w:rPr>
                <w:i/>
                <w:iCs/>
                <w:szCs w:val="24"/>
                <w:lang w:val="en-GB"/>
              </w:rPr>
              <w:t>Work Health and Safety Act 2011 Schedule 2</w:t>
            </w:r>
          </w:p>
        </w:tc>
        <w:tc>
          <w:tcPr>
            <w:tcW w:w="1391" w:type="dxa"/>
          </w:tcPr>
          <w:p w14:paraId="1EFACD1B" w14:textId="34DF86F2" w:rsidR="00EA5908" w:rsidRPr="00A33264" w:rsidRDefault="008F321B" w:rsidP="00EA5908">
            <w:pPr>
              <w:pStyle w:val="TableBody"/>
              <w:rPr>
                <w:lang w:val="en-GB"/>
              </w:rPr>
            </w:pPr>
            <w:r w:rsidRPr="00A33264">
              <w:rPr>
                <w:lang w:val="en-GB"/>
              </w:rPr>
              <w:t>6.3</w:t>
            </w:r>
          </w:p>
        </w:tc>
        <w:tc>
          <w:tcPr>
            <w:tcW w:w="4129" w:type="dxa"/>
          </w:tcPr>
          <w:p w14:paraId="569872AB" w14:textId="64A4C54E" w:rsidR="00EA5908" w:rsidRPr="00A33264" w:rsidRDefault="00EA5908" w:rsidP="00EA5908">
            <w:pPr>
              <w:rPr>
                <w:rFonts w:cs="Arial"/>
                <w:lang w:val="en-GB"/>
              </w:rPr>
            </w:pPr>
            <w:r w:rsidRPr="00A33264">
              <w:rPr>
                <w:rFonts w:cs="Arial"/>
                <w:lang w:val="en-GB"/>
              </w:rPr>
              <w:t>4(1) – Work Health and Safety</w:t>
            </w:r>
          </w:p>
          <w:p w14:paraId="169B4806" w14:textId="554F2677" w:rsidR="00EA5908" w:rsidRPr="00A33264" w:rsidRDefault="00EA5908" w:rsidP="00EA5908">
            <w:pPr>
              <w:pStyle w:val="TableBody"/>
              <w:rPr>
                <w:lang w:val="en-GB"/>
              </w:rPr>
            </w:pPr>
            <w:r w:rsidRPr="00A33264">
              <w:rPr>
                <w:szCs w:val="24"/>
                <w:lang w:val="en-GB"/>
              </w:rPr>
              <w:t>4(2) – Summary of incidents pursuant to section 38 of the WHS Act</w:t>
            </w:r>
          </w:p>
        </w:tc>
        <w:tc>
          <w:tcPr>
            <w:tcW w:w="2008" w:type="dxa"/>
          </w:tcPr>
          <w:p w14:paraId="5E26BF08" w14:textId="2032406B" w:rsidR="00EA5908" w:rsidRPr="00A33264" w:rsidRDefault="00EA5908" w:rsidP="00EA5908">
            <w:pPr>
              <w:pStyle w:val="TableBody"/>
              <w:rPr>
                <w:lang w:val="en-GB"/>
              </w:rPr>
            </w:pPr>
            <w:r w:rsidRPr="00A33264">
              <w:rPr>
                <w:szCs w:val="24"/>
                <w:lang w:val="en-GB"/>
              </w:rPr>
              <w:t>Mandatory</w:t>
            </w:r>
          </w:p>
        </w:tc>
      </w:tr>
      <w:tr w:rsidR="00EA5908" w:rsidRPr="00A33264" w14:paraId="03662C53" w14:textId="77777777" w:rsidTr="00C578BF">
        <w:trPr>
          <w:cantSplit/>
        </w:trPr>
        <w:tc>
          <w:tcPr>
            <w:tcW w:w="1724" w:type="dxa"/>
          </w:tcPr>
          <w:p w14:paraId="0FF3279C" w14:textId="05A1A042" w:rsidR="00EA5908" w:rsidRPr="00A33264" w:rsidRDefault="00EA5908" w:rsidP="00EA5908">
            <w:pPr>
              <w:pStyle w:val="TableBody"/>
              <w:rPr>
                <w:i/>
                <w:iCs/>
                <w:lang w:val="en-GB"/>
              </w:rPr>
            </w:pPr>
            <w:r w:rsidRPr="00A33264">
              <w:rPr>
                <w:i/>
                <w:iCs/>
                <w:szCs w:val="24"/>
                <w:lang w:val="en-GB"/>
              </w:rPr>
              <w:t>Commonwealth Electoral Act 1918</w:t>
            </w:r>
          </w:p>
        </w:tc>
        <w:tc>
          <w:tcPr>
            <w:tcW w:w="1391" w:type="dxa"/>
          </w:tcPr>
          <w:p w14:paraId="7E434CC8" w14:textId="7E45DD82" w:rsidR="00EA5908" w:rsidRPr="00A33264" w:rsidRDefault="00A32056" w:rsidP="00EA5908">
            <w:pPr>
              <w:pStyle w:val="TableBody"/>
              <w:rPr>
                <w:lang w:val="en-GB"/>
              </w:rPr>
            </w:pPr>
            <w:r w:rsidRPr="00A33264">
              <w:rPr>
                <w:lang w:val="en-GB"/>
              </w:rPr>
              <w:t>6.10</w:t>
            </w:r>
          </w:p>
        </w:tc>
        <w:tc>
          <w:tcPr>
            <w:tcW w:w="4129" w:type="dxa"/>
          </w:tcPr>
          <w:p w14:paraId="76E58EF0" w14:textId="5982AFDD" w:rsidR="00EA5908" w:rsidRPr="00A33264" w:rsidRDefault="00EA5908" w:rsidP="00EA5908">
            <w:pPr>
              <w:pStyle w:val="TableBody"/>
              <w:rPr>
                <w:lang w:val="en-GB"/>
              </w:rPr>
            </w:pPr>
            <w:r w:rsidRPr="00A33264">
              <w:rPr>
                <w:szCs w:val="24"/>
                <w:lang w:val="en-GB"/>
              </w:rPr>
              <w:t>311A – Advertising and Market Research</w:t>
            </w:r>
          </w:p>
        </w:tc>
        <w:tc>
          <w:tcPr>
            <w:tcW w:w="2008" w:type="dxa"/>
          </w:tcPr>
          <w:p w14:paraId="5FA977CF" w14:textId="42DDFEBF" w:rsidR="00EA5908" w:rsidRPr="00A33264" w:rsidRDefault="00EA5908" w:rsidP="00EA5908">
            <w:pPr>
              <w:pStyle w:val="TableBody"/>
              <w:rPr>
                <w:lang w:val="en-GB"/>
              </w:rPr>
            </w:pPr>
            <w:r w:rsidRPr="00A33264">
              <w:rPr>
                <w:szCs w:val="24"/>
                <w:lang w:val="en-GB"/>
              </w:rPr>
              <w:t>Mandatory</w:t>
            </w:r>
          </w:p>
        </w:tc>
      </w:tr>
      <w:tr w:rsidR="00EA5908" w:rsidRPr="00A33264" w14:paraId="3FB7A5BB" w14:textId="77777777" w:rsidTr="00C578BF">
        <w:trPr>
          <w:cnfStyle w:val="000000100000" w:firstRow="0" w:lastRow="0" w:firstColumn="0" w:lastColumn="0" w:oddVBand="0" w:evenVBand="0" w:oddHBand="1" w:evenHBand="0" w:firstRowFirstColumn="0" w:firstRowLastColumn="0" w:lastRowFirstColumn="0" w:lastRowLastColumn="0"/>
          <w:cantSplit/>
        </w:trPr>
        <w:tc>
          <w:tcPr>
            <w:tcW w:w="1724" w:type="dxa"/>
          </w:tcPr>
          <w:p w14:paraId="01BF23C1" w14:textId="594FCF5E" w:rsidR="00EA5908" w:rsidRPr="00A33264" w:rsidRDefault="00EA5908" w:rsidP="00EA5908">
            <w:pPr>
              <w:pStyle w:val="TableBody"/>
              <w:rPr>
                <w:i/>
                <w:iCs/>
                <w:lang w:val="en-GB"/>
              </w:rPr>
            </w:pPr>
            <w:r w:rsidRPr="00A33264">
              <w:rPr>
                <w:i/>
                <w:iCs/>
                <w:szCs w:val="24"/>
                <w:lang w:val="en-GB"/>
              </w:rPr>
              <w:t>Environment Protection and Biodiversity Conservation Act 1999</w:t>
            </w:r>
          </w:p>
        </w:tc>
        <w:tc>
          <w:tcPr>
            <w:tcW w:w="1391" w:type="dxa"/>
          </w:tcPr>
          <w:p w14:paraId="1CCB4E0D" w14:textId="51BA8025" w:rsidR="00EA5908" w:rsidRPr="00A33264" w:rsidRDefault="00391523" w:rsidP="00EA5908">
            <w:pPr>
              <w:pStyle w:val="TableBody"/>
              <w:rPr>
                <w:lang w:val="en-GB"/>
              </w:rPr>
            </w:pPr>
            <w:r w:rsidRPr="00A33264">
              <w:rPr>
                <w:lang w:val="en-GB"/>
              </w:rPr>
              <w:t>6.11</w:t>
            </w:r>
          </w:p>
        </w:tc>
        <w:tc>
          <w:tcPr>
            <w:tcW w:w="4129" w:type="dxa"/>
          </w:tcPr>
          <w:p w14:paraId="3E7DFF46" w14:textId="65D32ED3" w:rsidR="00EA5908" w:rsidRPr="00A33264" w:rsidRDefault="00EA5908" w:rsidP="00EA5908">
            <w:pPr>
              <w:pStyle w:val="TableBody"/>
              <w:rPr>
                <w:lang w:val="en-GB"/>
              </w:rPr>
            </w:pPr>
            <w:r w:rsidRPr="00A33264">
              <w:rPr>
                <w:szCs w:val="24"/>
                <w:lang w:val="en-GB"/>
              </w:rPr>
              <w:t>516A – Ecologically sustainable development and environmental performance</w:t>
            </w:r>
          </w:p>
        </w:tc>
        <w:tc>
          <w:tcPr>
            <w:tcW w:w="2008" w:type="dxa"/>
          </w:tcPr>
          <w:p w14:paraId="02B6F3E7" w14:textId="71B84125" w:rsidR="00EA5908" w:rsidRPr="00A33264" w:rsidRDefault="00EA5908" w:rsidP="00EA5908">
            <w:pPr>
              <w:pStyle w:val="TableBody"/>
              <w:rPr>
                <w:lang w:val="en-GB"/>
              </w:rPr>
            </w:pPr>
            <w:r w:rsidRPr="00A33264">
              <w:rPr>
                <w:szCs w:val="24"/>
                <w:lang w:val="en-GB"/>
              </w:rPr>
              <w:t>Mandatory</w:t>
            </w:r>
          </w:p>
        </w:tc>
      </w:tr>
      <w:tr w:rsidR="00EA5908" w:rsidRPr="00A33264" w14:paraId="14F74203" w14:textId="77777777" w:rsidTr="00C578BF">
        <w:trPr>
          <w:cantSplit/>
        </w:trPr>
        <w:tc>
          <w:tcPr>
            <w:tcW w:w="1724" w:type="dxa"/>
          </w:tcPr>
          <w:p w14:paraId="035DD55A" w14:textId="7833A847" w:rsidR="00EA5908" w:rsidRPr="00A33264" w:rsidRDefault="00EA5908" w:rsidP="00EA5908">
            <w:pPr>
              <w:pStyle w:val="TableBody"/>
              <w:rPr>
                <w:i/>
                <w:iCs/>
                <w:lang w:val="en-GB"/>
              </w:rPr>
            </w:pPr>
            <w:r w:rsidRPr="00A33264">
              <w:rPr>
                <w:i/>
                <w:iCs/>
                <w:szCs w:val="24"/>
                <w:lang w:val="en-GB"/>
              </w:rPr>
              <w:lastRenderedPageBreak/>
              <w:t xml:space="preserve">Carer Recognition Act 2010 </w:t>
            </w:r>
          </w:p>
        </w:tc>
        <w:tc>
          <w:tcPr>
            <w:tcW w:w="1391" w:type="dxa"/>
          </w:tcPr>
          <w:p w14:paraId="41CE7CB7" w14:textId="0220D226" w:rsidR="00EA5908" w:rsidRPr="00A33264" w:rsidRDefault="000F4065" w:rsidP="00EA5908">
            <w:pPr>
              <w:pStyle w:val="TableBody"/>
              <w:rPr>
                <w:lang w:val="en-GB"/>
              </w:rPr>
            </w:pPr>
            <w:r w:rsidRPr="00A33264">
              <w:rPr>
                <w:lang w:val="en-GB"/>
              </w:rPr>
              <w:t>6.12</w:t>
            </w:r>
          </w:p>
        </w:tc>
        <w:tc>
          <w:tcPr>
            <w:tcW w:w="4129" w:type="dxa"/>
          </w:tcPr>
          <w:p w14:paraId="1F0F5148" w14:textId="622F766B" w:rsidR="00EA5908" w:rsidRPr="00A33264" w:rsidRDefault="00EA5908" w:rsidP="00EA5908">
            <w:pPr>
              <w:pStyle w:val="TableBody"/>
              <w:rPr>
                <w:lang w:val="en-GB"/>
              </w:rPr>
            </w:pPr>
            <w:r w:rsidRPr="00A33264">
              <w:rPr>
                <w:szCs w:val="24"/>
                <w:lang w:val="en-GB"/>
              </w:rPr>
              <w:t>4 – Statement of compliance with Carer Recognition Act</w:t>
            </w:r>
          </w:p>
        </w:tc>
        <w:tc>
          <w:tcPr>
            <w:tcW w:w="2008" w:type="dxa"/>
          </w:tcPr>
          <w:p w14:paraId="29AE0B61" w14:textId="44A8293E" w:rsidR="00EA5908" w:rsidRPr="00A33264" w:rsidRDefault="00EA5908" w:rsidP="00EA5908">
            <w:pPr>
              <w:pStyle w:val="TableBody"/>
              <w:rPr>
                <w:lang w:val="en-GB"/>
              </w:rPr>
            </w:pPr>
            <w:r w:rsidRPr="00A33264">
              <w:rPr>
                <w:szCs w:val="24"/>
                <w:lang w:val="en-GB"/>
              </w:rPr>
              <w:t>Mandatory</w:t>
            </w:r>
          </w:p>
        </w:tc>
      </w:tr>
      <w:tr w:rsidR="00EA5908" w:rsidRPr="00A33264" w14:paraId="114A5F56" w14:textId="77777777" w:rsidTr="00C578BF">
        <w:trPr>
          <w:cnfStyle w:val="000000100000" w:firstRow="0" w:lastRow="0" w:firstColumn="0" w:lastColumn="0" w:oddVBand="0" w:evenVBand="0" w:oddHBand="1" w:evenHBand="0" w:firstRowFirstColumn="0" w:firstRowLastColumn="0" w:lastRowFirstColumn="0" w:lastRowLastColumn="0"/>
          <w:cantSplit/>
        </w:trPr>
        <w:tc>
          <w:tcPr>
            <w:tcW w:w="1724" w:type="dxa"/>
          </w:tcPr>
          <w:p w14:paraId="58AAEA4B" w14:textId="3D4E28AD" w:rsidR="00EA5908" w:rsidRPr="00A33264" w:rsidRDefault="00EA5908" w:rsidP="00EA5908">
            <w:pPr>
              <w:pStyle w:val="TableBody"/>
              <w:rPr>
                <w:i/>
                <w:iCs/>
                <w:lang w:val="en-GB"/>
              </w:rPr>
            </w:pPr>
            <w:r w:rsidRPr="00A33264">
              <w:rPr>
                <w:i/>
                <w:iCs/>
                <w:szCs w:val="24"/>
                <w:lang w:val="en-GB"/>
              </w:rPr>
              <w:t>Privacy Act 1988</w:t>
            </w:r>
          </w:p>
        </w:tc>
        <w:tc>
          <w:tcPr>
            <w:tcW w:w="1391" w:type="dxa"/>
          </w:tcPr>
          <w:p w14:paraId="2FEB2154" w14:textId="726729CE" w:rsidR="00EA5908" w:rsidRPr="00A33264" w:rsidRDefault="000F4065" w:rsidP="00EA5908">
            <w:pPr>
              <w:pStyle w:val="TableBody"/>
              <w:rPr>
                <w:lang w:val="en-GB"/>
              </w:rPr>
            </w:pPr>
            <w:r w:rsidRPr="00A33264">
              <w:rPr>
                <w:lang w:val="en-GB"/>
              </w:rPr>
              <w:t>6.13.2</w:t>
            </w:r>
          </w:p>
        </w:tc>
        <w:tc>
          <w:tcPr>
            <w:tcW w:w="4129" w:type="dxa"/>
          </w:tcPr>
          <w:p w14:paraId="6A6A6470" w14:textId="7A7B5115" w:rsidR="00EA5908" w:rsidRPr="00A33264" w:rsidRDefault="00EA5908" w:rsidP="00EA5908">
            <w:pPr>
              <w:pStyle w:val="TableBody"/>
              <w:rPr>
                <w:lang w:val="en-GB"/>
              </w:rPr>
            </w:pPr>
            <w:r w:rsidRPr="00A33264">
              <w:rPr>
                <w:szCs w:val="24"/>
                <w:lang w:val="en-GB"/>
              </w:rPr>
              <w:t>Statement of Compliance</w:t>
            </w:r>
          </w:p>
        </w:tc>
        <w:tc>
          <w:tcPr>
            <w:tcW w:w="2008" w:type="dxa"/>
          </w:tcPr>
          <w:p w14:paraId="0E9BFD20" w14:textId="43AFF106" w:rsidR="00EA5908" w:rsidRPr="00A33264" w:rsidRDefault="00EA5908" w:rsidP="00EA5908">
            <w:pPr>
              <w:pStyle w:val="TableBody"/>
              <w:rPr>
                <w:lang w:val="en-GB"/>
              </w:rPr>
            </w:pPr>
            <w:r w:rsidRPr="00A33264">
              <w:rPr>
                <w:szCs w:val="24"/>
                <w:lang w:val="en-GB"/>
              </w:rPr>
              <w:t>Mandatory</w:t>
            </w:r>
          </w:p>
        </w:tc>
      </w:tr>
    </w:tbl>
    <w:p w14:paraId="624A0C91" w14:textId="4ECE63AE" w:rsidR="00B86427" w:rsidRPr="00C94ACC" w:rsidRDefault="00255A26" w:rsidP="00B86427">
      <w:pPr>
        <w:pStyle w:val="Heading3"/>
        <w:rPr>
          <w:lang w:val="en-GB"/>
        </w:rPr>
      </w:pPr>
      <w:bookmarkStart w:id="464" w:name="_Toc174354223"/>
      <w:bookmarkStart w:id="465" w:name="_Toc175316927"/>
      <w:bookmarkStart w:id="466" w:name="_Toc176786418"/>
      <w:bookmarkStart w:id="467" w:name="_Toc180505700"/>
      <w:bookmarkStart w:id="468" w:name="_Hlk181024545"/>
      <w:r w:rsidRPr="00A33264">
        <w:rPr>
          <w:lang w:val="en-GB"/>
        </w:rPr>
        <w:t>Tables index</w:t>
      </w:r>
      <w:bookmarkEnd w:id="461"/>
      <w:bookmarkEnd w:id="464"/>
      <w:bookmarkEnd w:id="465"/>
      <w:bookmarkEnd w:id="466"/>
      <w:bookmarkEnd w:id="467"/>
    </w:p>
    <w:tbl>
      <w:tblPr>
        <w:tblStyle w:val="GridTable411"/>
        <w:tblW w:w="9253" w:type="dxa"/>
        <w:tblCellMar>
          <w:top w:w="28" w:type="dxa"/>
          <w:left w:w="28" w:type="dxa"/>
          <w:bottom w:w="28" w:type="dxa"/>
          <w:right w:w="28" w:type="dxa"/>
        </w:tblCellMar>
        <w:tblLook w:val="0420" w:firstRow="1" w:lastRow="0" w:firstColumn="0" w:lastColumn="0" w:noHBand="0" w:noVBand="1"/>
      </w:tblPr>
      <w:tblGrid>
        <w:gridCol w:w="1838"/>
        <w:gridCol w:w="6379"/>
        <w:gridCol w:w="1036"/>
      </w:tblGrid>
      <w:tr w:rsidR="00FC6941" w:rsidRPr="00FC6941" w14:paraId="18686D24" w14:textId="77777777">
        <w:trPr>
          <w:cnfStyle w:val="100000000000" w:firstRow="1" w:lastRow="0" w:firstColumn="0" w:lastColumn="0" w:oddVBand="0" w:evenVBand="0" w:oddHBand="0" w:evenHBand="0" w:firstRowFirstColumn="0" w:firstRowLastColumn="0" w:lastRowFirstColumn="0" w:lastRowLastColumn="0"/>
          <w:cantSplit/>
        </w:trPr>
        <w:tc>
          <w:tcPr>
            <w:tcW w:w="1838" w:type="dxa"/>
            <w:tcBorders>
              <w:top w:val="single" w:sz="4" w:space="0" w:color="6B2876"/>
              <w:bottom w:val="single" w:sz="4" w:space="0" w:color="6B2876"/>
            </w:tcBorders>
          </w:tcPr>
          <w:p w14:paraId="6E200CE0" w14:textId="77777777" w:rsidR="00FC6941" w:rsidRPr="00FC6941" w:rsidRDefault="00FC6941" w:rsidP="00FC6941">
            <w:pPr>
              <w:spacing w:before="100" w:after="100"/>
              <w:rPr>
                <w:rFonts w:eastAsia="MS Mincho" w:cs="Arial"/>
                <w:lang w:val="en-GB"/>
              </w:rPr>
            </w:pPr>
            <w:bookmarkStart w:id="469" w:name="ColumnTitle_TableIndex"/>
            <w:bookmarkStart w:id="470" w:name="_Toc169593035"/>
            <w:bookmarkStart w:id="471" w:name="_Toc174354224"/>
            <w:bookmarkStart w:id="472" w:name="_Toc175316928"/>
            <w:bookmarkEnd w:id="469"/>
            <w:r w:rsidRPr="00FC6941">
              <w:rPr>
                <w:rFonts w:eastAsia="MS Mincho" w:cs="Arial"/>
                <w:lang w:val="en-GB"/>
              </w:rPr>
              <w:t>Table</w:t>
            </w:r>
          </w:p>
        </w:tc>
        <w:tc>
          <w:tcPr>
            <w:tcW w:w="6379" w:type="dxa"/>
            <w:tcBorders>
              <w:top w:val="single" w:sz="4" w:space="0" w:color="6B2876"/>
              <w:bottom w:val="single" w:sz="4" w:space="0" w:color="6B2876"/>
            </w:tcBorders>
          </w:tcPr>
          <w:p w14:paraId="5E9AF0DF" w14:textId="77777777" w:rsidR="00FC6941" w:rsidRPr="00FC6941" w:rsidRDefault="00FC6941" w:rsidP="00FC6941">
            <w:pPr>
              <w:spacing w:before="100" w:after="100"/>
              <w:rPr>
                <w:rFonts w:eastAsia="MS Mincho" w:cs="Arial"/>
                <w:lang w:val="en-GB"/>
              </w:rPr>
            </w:pPr>
            <w:r w:rsidRPr="00FC6941">
              <w:rPr>
                <w:rFonts w:eastAsia="MS Mincho" w:cs="Arial"/>
                <w:lang w:val="en-GB"/>
              </w:rPr>
              <w:t>Title</w:t>
            </w:r>
          </w:p>
        </w:tc>
        <w:tc>
          <w:tcPr>
            <w:tcW w:w="1036" w:type="dxa"/>
            <w:tcBorders>
              <w:top w:val="single" w:sz="4" w:space="0" w:color="6B2876"/>
              <w:bottom w:val="single" w:sz="4" w:space="0" w:color="6B2876"/>
            </w:tcBorders>
          </w:tcPr>
          <w:p w14:paraId="791792D2" w14:textId="77777777" w:rsidR="00FC6941" w:rsidRPr="00FC6941" w:rsidRDefault="00FC6941" w:rsidP="00FC6941">
            <w:pPr>
              <w:spacing w:before="100" w:after="100"/>
              <w:rPr>
                <w:rFonts w:eastAsia="MS Mincho" w:cs="Arial"/>
                <w:lang w:val="en-GB"/>
              </w:rPr>
            </w:pPr>
            <w:r w:rsidRPr="00FC6941">
              <w:rPr>
                <w:rFonts w:eastAsia="MS Mincho" w:cs="Arial"/>
                <w:lang w:val="en-GB"/>
              </w:rPr>
              <w:t>Page</w:t>
            </w:r>
          </w:p>
        </w:tc>
      </w:tr>
      <w:tr w:rsidR="00C74028" w:rsidRPr="00FC6941" w14:paraId="1E76258D" w14:textId="77777777">
        <w:trPr>
          <w:cnfStyle w:val="000000100000" w:firstRow="0" w:lastRow="0" w:firstColumn="0" w:lastColumn="0" w:oddVBand="0" w:evenVBand="0" w:oddHBand="1" w:evenHBand="0" w:firstRowFirstColumn="0" w:firstRowLastColumn="0" w:lastRowFirstColumn="0" w:lastRowLastColumn="0"/>
          <w:cantSplit/>
        </w:trPr>
        <w:tc>
          <w:tcPr>
            <w:tcW w:w="1838" w:type="dxa"/>
          </w:tcPr>
          <w:p w14:paraId="792FB273" w14:textId="167238A8" w:rsidR="00C74028" w:rsidRPr="00FC6941" w:rsidRDefault="00C74028" w:rsidP="00C74028">
            <w:pPr>
              <w:spacing w:before="100" w:after="100"/>
              <w:rPr>
                <w:rFonts w:eastAsia="MS Mincho" w:cs="Arial"/>
                <w:lang w:val="en-GB"/>
              </w:rPr>
            </w:pPr>
            <w:r w:rsidRPr="00FC6941">
              <w:rPr>
                <w:rFonts w:eastAsia="MS Mincho" w:cs="Arial"/>
                <w:lang w:val="en-GB"/>
              </w:rPr>
              <w:t xml:space="preserve">Table </w:t>
            </w:r>
            <w:r>
              <w:rPr>
                <w:rFonts w:eastAsia="MS Mincho" w:cs="Arial"/>
                <w:lang w:val="en-GB"/>
              </w:rPr>
              <w:t>1</w:t>
            </w:r>
          </w:p>
        </w:tc>
        <w:tc>
          <w:tcPr>
            <w:tcW w:w="6379" w:type="dxa"/>
          </w:tcPr>
          <w:p w14:paraId="35DDE4B5" w14:textId="77777777" w:rsidR="00C74028" w:rsidRPr="00FC6941" w:rsidRDefault="00C74028" w:rsidP="00C74028">
            <w:pPr>
              <w:spacing w:before="100" w:after="100"/>
              <w:rPr>
                <w:rFonts w:eastAsia="MS Mincho" w:cs="Arial"/>
                <w:lang w:val="en-GB"/>
              </w:rPr>
            </w:pPr>
            <w:r w:rsidRPr="00FC6941">
              <w:rPr>
                <w:rFonts w:eastAsia="MS Mincho" w:cs="Arial"/>
                <w:lang w:val="en-GB"/>
              </w:rPr>
              <w:t>Comparison with previous projections</w:t>
            </w:r>
          </w:p>
        </w:tc>
        <w:tc>
          <w:tcPr>
            <w:tcW w:w="1036" w:type="dxa"/>
          </w:tcPr>
          <w:p w14:paraId="1C9BC235" w14:textId="4A52D23A" w:rsidR="00C74028" w:rsidRPr="00FC6941" w:rsidRDefault="00C74028" w:rsidP="00C74028">
            <w:pPr>
              <w:spacing w:before="100" w:after="100"/>
              <w:rPr>
                <w:rFonts w:eastAsia="MS Mincho" w:cs="Arial"/>
                <w:lang w:val="en-GB"/>
              </w:rPr>
            </w:pPr>
            <w:r>
              <w:rPr>
                <w:rFonts w:eastAsia="MS Mincho" w:cs="Arial"/>
                <w:lang w:val="en-GB"/>
              </w:rPr>
              <w:t>74</w:t>
            </w:r>
          </w:p>
        </w:tc>
      </w:tr>
      <w:tr w:rsidR="00C74028" w:rsidRPr="00FC6941" w14:paraId="1D2D30F2" w14:textId="77777777">
        <w:trPr>
          <w:cantSplit/>
        </w:trPr>
        <w:tc>
          <w:tcPr>
            <w:tcW w:w="1838" w:type="dxa"/>
          </w:tcPr>
          <w:p w14:paraId="358B51D6" w14:textId="36F4379C" w:rsidR="00C74028" w:rsidRPr="00FC6941" w:rsidRDefault="00C74028" w:rsidP="00C74028">
            <w:pPr>
              <w:spacing w:before="100" w:after="100"/>
              <w:rPr>
                <w:rFonts w:eastAsia="MS Mincho" w:cs="Arial"/>
                <w:lang w:val="en-GB"/>
              </w:rPr>
            </w:pPr>
            <w:r w:rsidRPr="00FC6941">
              <w:rPr>
                <w:rFonts w:eastAsia="MS Mincho" w:cs="Arial"/>
                <w:lang w:val="en-GB"/>
              </w:rPr>
              <w:t xml:space="preserve">Table </w:t>
            </w:r>
            <w:r>
              <w:rPr>
                <w:rFonts w:eastAsia="MS Mincho" w:cs="Arial"/>
                <w:lang w:val="en-GB"/>
              </w:rPr>
              <w:t>2</w:t>
            </w:r>
          </w:p>
        </w:tc>
        <w:tc>
          <w:tcPr>
            <w:tcW w:w="6379" w:type="dxa"/>
          </w:tcPr>
          <w:p w14:paraId="3CCF60C0" w14:textId="567FEA21" w:rsidR="00C74028" w:rsidRPr="00FC6941" w:rsidRDefault="00C74028" w:rsidP="00C74028">
            <w:pPr>
              <w:spacing w:before="100" w:after="100"/>
              <w:rPr>
                <w:rFonts w:eastAsia="MS Mincho" w:cs="Arial"/>
                <w:lang w:val="en-GB"/>
              </w:rPr>
            </w:pPr>
            <w:r w:rsidRPr="00FC6941">
              <w:rPr>
                <w:rFonts w:eastAsia="MS Mincho" w:cs="Arial"/>
                <w:lang w:val="en-GB"/>
              </w:rPr>
              <w:t xml:space="preserve">Movement in projected </w:t>
            </w:r>
            <w:r>
              <w:rPr>
                <w:rFonts w:eastAsia="MS Mincho" w:cs="Arial"/>
                <w:lang w:val="en-GB"/>
              </w:rPr>
              <w:t>NDIS</w:t>
            </w:r>
            <w:r w:rsidRPr="00FC6941">
              <w:rPr>
                <w:rFonts w:eastAsia="MS Mincho" w:cs="Arial"/>
                <w:lang w:val="en-GB"/>
              </w:rPr>
              <w:t xml:space="preserve"> expenses since previous review</w:t>
            </w:r>
          </w:p>
        </w:tc>
        <w:tc>
          <w:tcPr>
            <w:tcW w:w="1036" w:type="dxa"/>
          </w:tcPr>
          <w:p w14:paraId="7ABF6FB3" w14:textId="52F73BA9" w:rsidR="00C74028" w:rsidRPr="00FC6941" w:rsidRDefault="00C74028" w:rsidP="00C74028">
            <w:pPr>
              <w:spacing w:before="100" w:after="100"/>
              <w:rPr>
                <w:rFonts w:eastAsia="MS Mincho" w:cs="Arial"/>
                <w:lang w:val="en-GB"/>
              </w:rPr>
            </w:pPr>
            <w:r>
              <w:rPr>
                <w:rFonts w:eastAsia="MS Mincho" w:cs="Arial"/>
                <w:lang w:val="en-GB"/>
              </w:rPr>
              <w:t>75</w:t>
            </w:r>
          </w:p>
        </w:tc>
      </w:tr>
      <w:tr w:rsidR="00C74028" w:rsidRPr="00FC6941" w14:paraId="43E3300A" w14:textId="77777777">
        <w:trPr>
          <w:cnfStyle w:val="000000100000" w:firstRow="0" w:lastRow="0" w:firstColumn="0" w:lastColumn="0" w:oddVBand="0" w:evenVBand="0" w:oddHBand="1" w:evenHBand="0" w:firstRowFirstColumn="0" w:firstRowLastColumn="0" w:lastRowFirstColumn="0" w:lastRowLastColumn="0"/>
          <w:cantSplit/>
        </w:trPr>
        <w:tc>
          <w:tcPr>
            <w:tcW w:w="1838" w:type="dxa"/>
          </w:tcPr>
          <w:p w14:paraId="69BB84C2" w14:textId="52062673" w:rsidR="00C74028" w:rsidRPr="00FC6941" w:rsidRDefault="00C74028" w:rsidP="00C74028">
            <w:pPr>
              <w:spacing w:before="100" w:after="100"/>
              <w:rPr>
                <w:rFonts w:eastAsia="MS Mincho" w:cs="Arial"/>
                <w:lang w:val="en-GB"/>
              </w:rPr>
            </w:pPr>
            <w:r w:rsidRPr="00FC6941">
              <w:rPr>
                <w:rFonts w:eastAsia="MS Mincho" w:cs="Arial"/>
                <w:lang w:val="en-GB"/>
              </w:rPr>
              <w:t xml:space="preserve">Table </w:t>
            </w:r>
            <w:r>
              <w:rPr>
                <w:rFonts w:eastAsia="MS Mincho" w:cs="Arial"/>
                <w:lang w:val="en-GB"/>
              </w:rPr>
              <w:t>3</w:t>
            </w:r>
          </w:p>
        </w:tc>
        <w:tc>
          <w:tcPr>
            <w:tcW w:w="6379" w:type="dxa"/>
          </w:tcPr>
          <w:p w14:paraId="59E1064E" w14:textId="77777777" w:rsidR="00C74028" w:rsidRPr="00FC6941" w:rsidRDefault="00C74028" w:rsidP="00C74028">
            <w:pPr>
              <w:spacing w:before="100" w:after="100"/>
              <w:rPr>
                <w:rFonts w:eastAsia="MS Mincho" w:cs="Arial"/>
                <w:highlight w:val="yellow"/>
                <w:lang w:val="en-GB"/>
              </w:rPr>
            </w:pPr>
            <w:r w:rsidRPr="00FC6941">
              <w:rPr>
                <w:rFonts w:eastAsia="MS Mincho" w:cs="Arial"/>
                <w:lang w:val="en-GB"/>
              </w:rPr>
              <w:t>Details of accountable authority (the Board) during the reporting period (2023–24)</w:t>
            </w:r>
          </w:p>
        </w:tc>
        <w:tc>
          <w:tcPr>
            <w:tcW w:w="1036" w:type="dxa"/>
          </w:tcPr>
          <w:p w14:paraId="28BBB388" w14:textId="5300B373" w:rsidR="00C74028" w:rsidRPr="00FC6941" w:rsidRDefault="00C74028" w:rsidP="00C74028">
            <w:pPr>
              <w:spacing w:before="100" w:after="100"/>
              <w:rPr>
                <w:rFonts w:eastAsia="MS Mincho" w:cs="Arial"/>
                <w:lang w:val="en-GB"/>
              </w:rPr>
            </w:pPr>
            <w:r>
              <w:rPr>
                <w:rFonts w:eastAsia="MS Mincho" w:cs="Arial"/>
                <w:lang w:val="en-GB"/>
              </w:rPr>
              <w:t>88</w:t>
            </w:r>
          </w:p>
        </w:tc>
      </w:tr>
      <w:tr w:rsidR="00C74028" w:rsidRPr="00FC6941" w14:paraId="013E0E36" w14:textId="77777777">
        <w:trPr>
          <w:cantSplit/>
        </w:trPr>
        <w:tc>
          <w:tcPr>
            <w:tcW w:w="1838" w:type="dxa"/>
          </w:tcPr>
          <w:p w14:paraId="7DB6BBFB" w14:textId="50FDEE41" w:rsidR="00C74028" w:rsidRPr="00FC6941" w:rsidRDefault="00C74028" w:rsidP="00C74028">
            <w:pPr>
              <w:spacing w:before="100" w:after="100"/>
              <w:rPr>
                <w:rFonts w:eastAsia="MS Mincho" w:cs="Arial"/>
                <w:lang w:val="en-GB"/>
              </w:rPr>
            </w:pPr>
            <w:r w:rsidRPr="00FC6941">
              <w:rPr>
                <w:rFonts w:eastAsia="MS Mincho" w:cs="Arial"/>
                <w:lang w:val="en-GB"/>
              </w:rPr>
              <w:t xml:space="preserve">Table </w:t>
            </w:r>
            <w:r>
              <w:rPr>
                <w:rFonts w:eastAsia="MS Mincho" w:cs="Arial"/>
                <w:lang w:val="en-GB"/>
              </w:rPr>
              <w:t>4</w:t>
            </w:r>
          </w:p>
        </w:tc>
        <w:tc>
          <w:tcPr>
            <w:tcW w:w="6379" w:type="dxa"/>
          </w:tcPr>
          <w:p w14:paraId="66568FE8" w14:textId="77777777" w:rsidR="00C74028" w:rsidRPr="00FC6941" w:rsidRDefault="00C74028" w:rsidP="00C74028">
            <w:pPr>
              <w:spacing w:before="100" w:after="100"/>
              <w:rPr>
                <w:rFonts w:eastAsia="MS Mincho" w:cs="Arial"/>
                <w:lang w:val="en-GB"/>
              </w:rPr>
            </w:pPr>
            <w:r w:rsidRPr="00FC6941">
              <w:rPr>
                <w:rFonts w:eastAsia="MS Mincho" w:cs="Arial"/>
                <w:lang w:val="en-GB"/>
              </w:rPr>
              <w:t>Board committees and members as at 30 June 2024</w:t>
            </w:r>
          </w:p>
        </w:tc>
        <w:tc>
          <w:tcPr>
            <w:tcW w:w="1036" w:type="dxa"/>
          </w:tcPr>
          <w:p w14:paraId="21DB9DB6" w14:textId="2AC69558" w:rsidR="00C74028" w:rsidRPr="00FC6941" w:rsidRDefault="00C74028" w:rsidP="00C74028">
            <w:pPr>
              <w:spacing w:before="100" w:after="100"/>
              <w:rPr>
                <w:rFonts w:eastAsia="MS Mincho" w:cs="Arial"/>
                <w:lang w:val="en-GB"/>
              </w:rPr>
            </w:pPr>
            <w:r>
              <w:rPr>
                <w:rFonts w:eastAsia="MS Mincho" w:cs="Arial"/>
                <w:lang w:val="en-GB"/>
              </w:rPr>
              <w:t>96</w:t>
            </w:r>
          </w:p>
        </w:tc>
      </w:tr>
      <w:tr w:rsidR="00C74028" w:rsidRPr="00FC6941" w14:paraId="7B19C732" w14:textId="77777777">
        <w:trPr>
          <w:cnfStyle w:val="000000100000" w:firstRow="0" w:lastRow="0" w:firstColumn="0" w:lastColumn="0" w:oddVBand="0" w:evenVBand="0" w:oddHBand="1" w:evenHBand="0" w:firstRowFirstColumn="0" w:firstRowLastColumn="0" w:lastRowFirstColumn="0" w:lastRowLastColumn="0"/>
          <w:cantSplit/>
        </w:trPr>
        <w:tc>
          <w:tcPr>
            <w:tcW w:w="1838" w:type="dxa"/>
          </w:tcPr>
          <w:p w14:paraId="44B3DED8" w14:textId="38AA23B5" w:rsidR="00C74028" w:rsidRPr="00FC6941" w:rsidRDefault="00C74028" w:rsidP="00C74028">
            <w:pPr>
              <w:spacing w:before="100" w:after="100"/>
              <w:rPr>
                <w:rFonts w:eastAsia="MS Mincho" w:cs="Arial"/>
                <w:lang w:val="en-GB"/>
              </w:rPr>
            </w:pPr>
            <w:r w:rsidRPr="00FC6941">
              <w:rPr>
                <w:rFonts w:eastAsia="MS Mincho" w:cs="Arial"/>
                <w:lang w:val="en-GB"/>
              </w:rPr>
              <w:t xml:space="preserve">Table </w:t>
            </w:r>
            <w:r>
              <w:rPr>
                <w:rFonts w:eastAsia="MS Mincho" w:cs="Arial"/>
                <w:lang w:val="en-GB"/>
              </w:rPr>
              <w:t>5</w:t>
            </w:r>
          </w:p>
        </w:tc>
        <w:tc>
          <w:tcPr>
            <w:tcW w:w="6379" w:type="dxa"/>
          </w:tcPr>
          <w:p w14:paraId="4378EB46" w14:textId="77777777" w:rsidR="00C74028" w:rsidRPr="00FC6941" w:rsidRDefault="00C74028" w:rsidP="00C74028">
            <w:pPr>
              <w:spacing w:before="100" w:after="100"/>
              <w:rPr>
                <w:rFonts w:eastAsia="MS Mincho" w:cs="Arial"/>
                <w:lang w:val="en-GB"/>
              </w:rPr>
            </w:pPr>
            <w:r w:rsidRPr="00FC6941">
              <w:rPr>
                <w:rFonts w:eastAsia="MS Mincho" w:cs="Arial"/>
                <w:lang w:val="en-GB"/>
              </w:rPr>
              <w:t>Number of meetings attended by Board members in 2023–24</w:t>
            </w:r>
          </w:p>
        </w:tc>
        <w:tc>
          <w:tcPr>
            <w:tcW w:w="1036" w:type="dxa"/>
          </w:tcPr>
          <w:p w14:paraId="10E6A377" w14:textId="2D8CDCC1" w:rsidR="00C74028" w:rsidRPr="00FC6941" w:rsidRDefault="00C74028" w:rsidP="00C74028">
            <w:pPr>
              <w:spacing w:before="100" w:after="100"/>
              <w:rPr>
                <w:rFonts w:eastAsia="MS Mincho" w:cs="Arial"/>
                <w:lang w:val="en-GB"/>
              </w:rPr>
            </w:pPr>
            <w:r>
              <w:rPr>
                <w:rFonts w:eastAsia="MS Mincho" w:cs="Arial"/>
                <w:lang w:val="en-GB"/>
              </w:rPr>
              <w:t>97</w:t>
            </w:r>
          </w:p>
        </w:tc>
      </w:tr>
      <w:tr w:rsidR="00460680" w:rsidRPr="00FC6941" w14:paraId="38FC9926" w14:textId="77777777">
        <w:trPr>
          <w:cantSplit/>
        </w:trPr>
        <w:tc>
          <w:tcPr>
            <w:tcW w:w="1838" w:type="dxa"/>
          </w:tcPr>
          <w:p w14:paraId="26FBC77F" w14:textId="7228A666" w:rsidR="00460680" w:rsidRPr="00FC6941" w:rsidRDefault="00460680" w:rsidP="00460680">
            <w:pPr>
              <w:spacing w:before="100" w:after="100"/>
              <w:rPr>
                <w:rFonts w:eastAsia="MS Mincho" w:cs="Arial"/>
                <w:lang w:val="en-GB"/>
              </w:rPr>
            </w:pPr>
            <w:r w:rsidRPr="00FC6941">
              <w:rPr>
                <w:rFonts w:eastAsia="MS Mincho" w:cs="Arial"/>
                <w:lang w:val="en-GB"/>
              </w:rPr>
              <w:t xml:space="preserve">Table </w:t>
            </w:r>
            <w:r>
              <w:rPr>
                <w:rFonts w:eastAsia="MS Mincho" w:cs="Arial"/>
                <w:lang w:val="en-GB"/>
              </w:rPr>
              <w:t>6</w:t>
            </w:r>
          </w:p>
        </w:tc>
        <w:tc>
          <w:tcPr>
            <w:tcW w:w="6379" w:type="dxa"/>
          </w:tcPr>
          <w:p w14:paraId="24211035" w14:textId="77777777" w:rsidR="00460680" w:rsidRPr="00FC6941" w:rsidRDefault="00460680" w:rsidP="00460680">
            <w:pPr>
              <w:spacing w:before="100" w:after="100"/>
              <w:rPr>
                <w:rFonts w:eastAsia="MS Mincho" w:cs="Arial"/>
                <w:lang w:val="en-GB"/>
              </w:rPr>
            </w:pPr>
            <w:r w:rsidRPr="00FC6941">
              <w:rPr>
                <w:rFonts w:eastAsia="MS Mincho" w:cs="Arial"/>
                <w:lang w:val="en-GB"/>
              </w:rPr>
              <w:t>Audit and Risk Committee remuneration</w:t>
            </w:r>
          </w:p>
        </w:tc>
        <w:tc>
          <w:tcPr>
            <w:tcW w:w="1036" w:type="dxa"/>
          </w:tcPr>
          <w:p w14:paraId="23777628" w14:textId="40D294F4" w:rsidR="00460680" w:rsidRPr="00460680" w:rsidRDefault="00460680" w:rsidP="00460680">
            <w:pPr>
              <w:spacing w:before="100" w:after="100"/>
              <w:rPr>
                <w:rFonts w:eastAsia="MS Mincho" w:cs="Arial"/>
                <w:lang w:val="en-GB"/>
              </w:rPr>
            </w:pPr>
            <w:r w:rsidRPr="00CE19E4">
              <w:rPr>
                <w:rFonts w:eastAsia="MS Mincho" w:cs="Arial"/>
                <w:lang w:val="en-GB"/>
              </w:rPr>
              <w:t>11</w:t>
            </w:r>
            <w:r w:rsidRPr="00460680">
              <w:rPr>
                <w:rFonts w:eastAsia="MS Mincho" w:cs="Arial"/>
                <w:lang w:val="en-GB"/>
              </w:rPr>
              <w:t>0</w:t>
            </w:r>
          </w:p>
        </w:tc>
      </w:tr>
      <w:tr w:rsidR="00460680" w:rsidRPr="00FC6941" w14:paraId="1E5D515A" w14:textId="77777777">
        <w:trPr>
          <w:cnfStyle w:val="000000100000" w:firstRow="0" w:lastRow="0" w:firstColumn="0" w:lastColumn="0" w:oddVBand="0" w:evenVBand="0" w:oddHBand="1" w:evenHBand="0" w:firstRowFirstColumn="0" w:firstRowLastColumn="0" w:lastRowFirstColumn="0" w:lastRowLastColumn="0"/>
          <w:cantSplit/>
        </w:trPr>
        <w:tc>
          <w:tcPr>
            <w:tcW w:w="1838" w:type="dxa"/>
          </w:tcPr>
          <w:p w14:paraId="4D8C1E9F" w14:textId="1C849A7B" w:rsidR="00460680" w:rsidRPr="00FC6941" w:rsidRDefault="00460680" w:rsidP="00460680">
            <w:pPr>
              <w:spacing w:before="100" w:after="100"/>
              <w:rPr>
                <w:rFonts w:eastAsia="MS Mincho" w:cs="Arial"/>
                <w:lang w:val="en-GB"/>
              </w:rPr>
            </w:pPr>
            <w:r w:rsidRPr="00FC6941">
              <w:rPr>
                <w:rFonts w:eastAsia="MS Mincho" w:cs="Arial"/>
                <w:lang w:val="en-GB"/>
              </w:rPr>
              <w:t xml:space="preserve">Table </w:t>
            </w:r>
            <w:r>
              <w:rPr>
                <w:rFonts w:eastAsia="MS Mincho" w:cs="Arial"/>
                <w:lang w:val="en-GB"/>
              </w:rPr>
              <w:t>7</w:t>
            </w:r>
          </w:p>
        </w:tc>
        <w:tc>
          <w:tcPr>
            <w:tcW w:w="6379" w:type="dxa"/>
          </w:tcPr>
          <w:p w14:paraId="137F8F1C" w14:textId="77777777" w:rsidR="00460680" w:rsidRPr="00FC6941" w:rsidRDefault="00460680" w:rsidP="00460680">
            <w:pPr>
              <w:spacing w:before="100" w:after="100"/>
              <w:rPr>
                <w:rFonts w:eastAsia="MS Mincho" w:cs="Arial"/>
                <w:lang w:val="en-GB"/>
              </w:rPr>
            </w:pPr>
            <w:r w:rsidRPr="00FC6941">
              <w:rPr>
                <w:rFonts w:eastAsia="MS Mincho" w:cs="Arial"/>
                <w:lang w:val="en-GB"/>
              </w:rPr>
              <w:t>Summary of reported incidents pursuant to section 38 of the WHS Act (2023–24)</w:t>
            </w:r>
          </w:p>
        </w:tc>
        <w:tc>
          <w:tcPr>
            <w:tcW w:w="1036" w:type="dxa"/>
          </w:tcPr>
          <w:p w14:paraId="1FA1D461" w14:textId="1AFE6FA2" w:rsidR="00460680" w:rsidRPr="00460680" w:rsidRDefault="00460680" w:rsidP="00460680">
            <w:pPr>
              <w:spacing w:before="100" w:after="100"/>
              <w:rPr>
                <w:rFonts w:eastAsia="MS Mincho" w:cs="Arial"/>
                <w:lang w:val="en-GB"/>
              </w:rPr>
            </w:pPr>
            <w:r w:rsidRPr="00CE19E4">
              <w:rPr>
                <w:rFonts w:eastAsia="MS Mincho" w:cs="Arial"/>
                <w:lang w:val="en-GB"/>
              </w:rPr>
              <w:t>11</w:t>
            </w:r>
            <w:r w:rsidRPr="00460680">
              <w:rPr>
                <w:rFonts w:eastAsia="MS Mincho" w:cs="Arial"/>
                <w:lang w:val="en-GB"/>
              </w:rPr>
              <w:t>1</w:t>
            </w:r>
          </w:p>
        </w:tc>
      </w:tr>
      <w:tr w:rsidR="00460680" w:rsidRPr="00FC6941" w14:paraId="495D68E4" w14:textId="77777777">
        <w:trPr>
          <w:cantSplit/>
        </w:trPr>
        <w:tc>
          <w:tcPr>
            <w:tcW w:w="1838" w:type="dxa"/>
          </w:tcPr>
          <w:p w14:paraId="7D06A170" w14:textId="26272B3D" w:rsidR="00460680" w:rsidRPr="00FC6941" w:rsidRDefault="00460680" w:rsidP="00460680">
            <w:pPr>
              <w:spacing w:before="100" w:after="100"/>
              <w:rPr>
                <w:rFonts w:eastAsia="MS Mincho" w:cs="Arial"/>
                <w:lang w:val="en-GB"/>
              </w:rPr>
            </w:pPr>
            <w:r w:rsidRPr="00FC6941">
              <w:rPr>
                <w:rFonts w:eastAsia="MS Mincho" w:cs="Arial"/>
                <w:lang w:val="en-GB"/>
              </w:rPr>
              <w:t xml:space="preserve">Table </w:t>
            </w:r>
            <w:r>
              <w:rPr>
                <w:rFonts w:eastAsia="MS Mincho" w:cs="Arial"/>
                <w:lang w:val="en-GB"/>
              </w:rPr>
              <w:t>8</w:t>
            </w:r>
          </w:p>
        </w:tc>
        <w:tc>
          <w:tcPr>
            <w:tcW w:w="6379" w:type="dxa"/>
          </w:tcPr>
          <w:p w14:paraId="026C4B4A" w14:textId="77777777" w:rsidR="00460680" w:rsidRPr="00FC6941" w:rsidRDefault="00460680" w:rsidP="00460680">
            <w:pPr>
              <w:spacing w:before="100" w:after="100"/>
              <w:rPr>
                <w:rFonts w:eastAsia="MS Mincho" w:cs="Arial"/>
                <w:lang w:val="en-GB"/>
              </w:rPr>
            </w:pPr>
            <w:r w:rsidRPr="00FC6941">
              <w:rPr>
                <w:rFonts w:eastAsia="MS Mincho" w:cs="Arial"/>
                <w:lang w:val="en-GB"/>
              </w:rPr>
              <w:t>All ongoing employees current reporting period (2023–24)</w:t>
            </w:r>
          </w:p>
        </w:tc>
        <w:tc>
          <w:tcPr>
            <w:tcW w:w="1036" w:type="dxa"/>
          </w:tcPr>
          <w:p w14:paraId="0F910444" w14:textId="51AC868C" w:rsidR="00460680" w:rsidRPr="00460680" w:rsidRDefault="00460680" w:rsidP="00460680">
            <w:pPr>
              <w:spacing w:before="100" w:after="100"/>
              <w:rPr>
                <w:rFonts w:eastAsia="MS Mincho" w:cs="Arial"/>
                <w:lang w:val="en-GB"/>
              </w:rPr>
            </w:pPr>
            <w:r w:rsidRPr="00CE19E4">
              <w:rPr>
                <w:rFonts w:eastAsia="MS Mincho" w:cs="Arial"/>
                <w:lang w:val="en-GB"/>
              </w:rPr>
              <w:t>11</w:t>
            </w:r>
            <w:r w:rsidRPr="00460680">
              <w:rPr>
                <w:rFonts w:eastAsia="MS Mincho" w:cs="Arial"/>
                <w:lang w:val="en-GB"/>
              </w:rPr>
              <w:t>2</w:t>
            </w:r>
          </w:p>
        </w:tc>
      </w:tr>
      <w:tr w:rsidR="00460680" w:rsidRPr="00FC6941" w14:paraId="3B6397CA" w14:textId="77777777">
        <w:trPr>
          <w:cnfStyle w:val="000000100000" w:firstRow="0" w:lastRow="0" w:firstColumn="0" w:lastColumn="0" w:oddVBand="0" w:evenVBand="0" w:oddHBand="1" w:evenHBand="0" w:firstRowFirstColumn="0" w:firstRowLastColumn="0" w:lastRowFirstColumn="0" w:lastRowLastColumn="0"/>
          <w:cantSplit/>
        </w:trPr>
        <w:tc>
          <w:tcPr>
            <w:tcW w:w="1838" w:type="dxa"/>
          </w:tcPr>
          <w:p w14:paraId="1F8DC88C" w14:textId="47B292BC" w:rsidR="00460680" w:rsidRPr="00FC6941" w:rsidRDefault="00460680" w:rsidP="00460680">
            <w:pPr>
              <w:spacing w:before="100" w:after="100"/>
              <w:rPr>
                <w:rFonts w:eastAsia="MS Mincho" w:cs="Arial"/>
                <w:lang w:val="en-GB"/>
              </w:rPr>
            </w:pPr>
            <w:r w:rsidRPr="00FC6941">
              <w:rPr>
                <w:rFonts w:eastAsia="MS Mincho" w:cs="Arial"/>
                <w:lang w:val="en-GB"/>
              </w:rPr>
              <w:t xml:space="preserve">Table </w:t>
            </w:r>
            <w:r>
              <w:rPr>
                <w:rFonts w:eastAsia="MS Mincho" w:cs="Arial"/>
                <w:lang w:val="en-GB"/>
              </w:rPr>
              <w:t>9</w:t>
            </w:r>
          </w:p>
        </w:tc>
        <w:tc>
          <w:tcPr>
            <w:tcW w:w="6379" w:type="dxa"/>
          </w:tcPr>
          <w:p w14:paraId="1D5374E9" w14:textId="77777777" w:rsidR="00460680" w:rsidRPr="00FC6941" w:rsidRDefault="00460680" w:rsidP="00460680">
            <w:pPr>
              <w:spacing w:before="100" w:after="100"/>
              <w:rPr>
                <w:rFonts w:eastAsia="MS Mincho" w:cs="Arial"/>
                <w:lang w:val="en-GB"/>
              </w:rPr>
            </w:pPr>
            <w:r w:rsidRPr="00FC6941">
              <w:rPr>
                <w:rFonts w:eastAsia="MS Mincho" w:cs="Arial"/>
                <w:lang w:val="en-GB"/>
              </w:rPr>
              <w:t>All non-ongoing employees current reporting period (2023–24)</w:t>
            </w:r>
          </w:p>
        </w:tc>
        <w:tc>
          <w:tcPr>
            <w:tcW w:w="1036" w:type="dxa"/>
          </w:tcPr>
          <w:p w14:paraId="25B8BE27" w14:textId="747DE802" w:rsidR="00460680" w:rsidRPr="00460680" w:rsidRDefault="00460680" w:rsidP="00460680">
            <w:pPr>
              <w:spacing w:before="100" w:after="100"/>
              <w:rPr>
                <w:rFonts w:eastAsia="MS Mincho" w:cs="Arial"/>
                <w:lang w:val="en-GB"/>
              </w:rPr>
            </w:pPr>
            <w:r w:rsidRPr="00CE19E4">
              <w:rPr>
                <w:rFonts w:eastAsia="MS Mincho" w:cs="Arial"/>
                <w:lang w:val="en-GB"/>
              </w:rPr>
              <w:t>11</w:t>
            </w:r>
            <w:r w:rsidRPr="00460680">
              <w:rPr>
                <w:rFonts w:eastAsia="MS Mincho" w:cs="Arial"/>
                <w:lang w:val="en-GB"/>
              </w:rPr>
              <w:t>3</w:t>
            </w:r>
          </w:p>
        </w:tc>
      </w:tr>
      <w:tr w:rsidR="00460680" w:rsidRPr="00FC6941" w14:paraId="4ADF7588" w14:textId="77777777">
        <w:trPr>
          <w:cantSplit/>
        </w:trPr>
        <w:tc>
          <w:tcPr>
            <w:tcW w:w="1838" w:type="dxa"/>
          </w:tcPr>
          <w:p w14:paraId="76C2EE01" w14:textId="28B40C64" w:rsidR="00460680" w:rsidRPr="00FC6941" w:rsidRDefault="00460680" w:rsidP="00460680">
            <w:pPr>
              <w:spacing w:before="100" w:after="100"/>
              <w:rPr>
                <w:rFonts w:eastAsia="MS Mincho" w:cs="Arial"/>
                <w:lang w:val="en-GB"/>
              </w:rPr>
            </w:pPr>
            <w:r w:rsidRPr="00FC6941">
              <w:rPr>
                <w:rFonts w:eastAsia="MS Mincho" w:cs="Arial"/>
                <w:lang w:val="en-GB"/>
              </w:rPr>
              <w:t xml:space="preserve">Table </w:t>
            </w:r>
            <w:r>
              <w:rPr>
                <w:rFonts w:eastAsia="MS Mincho" w:cs="Arial"/>
                <w:lang w:val="en-GB"/>
              </w:rPr>
              <w:t>10</w:t>
            </w:r>
          </w:p>
        </w:tc>
        <w:tc>
          <w:tcPr>
            <w:tcW w:w="6379" w:type="dxa"/>
          </w:tcPr>
          <w:p w14:paraId="2F31A376" w14:textId="77777777" w:rsidR="00460680" w:rsidRPr="00FC6941" w:rsidRDefault="00460680" w:rsidP="00460680">
            <w:pPr>
              <w:spacing w:before="100" w:after="100"/>
              <w:rPr>
                <w:rFonts w:eastAsia="MS Mincho" w:cs="Arial"/>
                <w:lang w:val="en-GB"/>
              </w:rPr>
            </w:pPr>
            <w:r w:rsidRPr="00FC6941">
              <w:rPr>
                <w:rFonts w:eastAsia="MS Mincho" w:cs="Arial"/>
                <w:lang w:val="en-GB"/>
              </w:rPr>
              <w:t>Key management personnel</w:t>
            </w:r>
          </w:p>
        </w:tc>
        <w:tc>
          <w:tcPr>
            <w:tcW w:w="1036" w:type="dxa"/>
          </w:tcPr>
          <w:p w14:paraId="1E58AC87" w14:textId="69D81292" w:rsidR="00460680" w:rsidRPr="00460680" w:rsidRDefault="00460680" w:rsidP="00460680">
            <w:pPr>
              <w:spacing w:before="100" w:after="100"/>
              <w:rPr>
                <w:rFonts w:eastAsia="MS Mincho" w:cs="Arial"/>
                <w:lang w:val="en-GB"/>
              </w:rPr>
            </w:pPr>
            <w:r w:rsidRPr="00CE19E4">
              <w:rPr>
                <w:rFonts w:eastAsia="MS Mincho" w:cs="Arial"/>
                <w:lang w:val="en-GB"/>
              </w:rPr>
              <w:t>11</w:t>
            </w:r>
            <w:r w:rsidRPr="00460680">
              <w:rPr>
                <w:rFonts w:eastAsia="MS Mincho" w:cs="Arial"/>
                <w:lang w:val="en-GB"/>
              </w:rPr>
              <w:t>5</w:t>
            </w:r>
          </w:p>
        </w:tc>
      </w:tr>
      <w:tr w:rsidR="00460680" w:rsidRPr="00FC6941" w14:paraId="7E117398" w14:textId="77777777">
        <w:trPr>
          <w:cnfStyle w:val="000000100000" w:firstRow="0" w:lastRow="0" w:firstColumn="0" w:lastColumn="0" w:oddVBand="0" w:evenVBand="0" w:oddHBand="1" w:evenHBand="0" w:firstRowFirstColumn="0" w:firstRowLastColumn="0" w:lastRowFirstColumn="0" w:lastRowLastColumn="0"/>
          <w:cantSplit/>
        </w:trPr>
        <w:tc>
          <w:tcPr>
            <w:tcW w:w="1838" w:type="dxa"/>
          </w:tcPr>
          <w:p w14:paraId="79ACCEF9" w14:textId="1E4C26DB" w:rsidR="00460680" w:rsidRPr="00FC6941" w:rsidRDefault="00460680" w:rsidP="00460680">
            <w:pPr>
              <w:spacing w:before="100" w:after="100"/>
              <w:rPr>
                <w:rFonts w:eastAsia="MS Mincho" w:cs="Arial"/>
                <w:lang w:val="en-GB"/>
              </w:rPr>
            </w:pPr>
            <w:r w:rsidRPr="00FC6941">
              <w:rPr>
                <w:rFonts w:eastAsia="MS Mincho" w:cs="Arial"/>
                <w:lang w:val="en-GB"/>
              </w:rPr>
              <w:t xml:space="preserve">Table </w:t>
            </w:r>
            <w:r>
              <w:rPr>
                <w:rFonts w:eastAsia="MS Mincho" w:cs="Arial"/>
                <w:lang w:val="en-GB"/>
              </w:rPr>
              <w:t>11</w:t>
            </w:r>
          </w:p>
        </w:tc>
        <w:tc>
          <w:tcPr>
            <w:tcW w:w="6379" w:type="dxa"/>
          </w:tcPr>
          <w:p w14:paraId="758D2E39" w14:textId="77777777" w:rsidR="00460680" w:rsidRPr="00FC6941" w:rsidRDefault="00460680" w:rsidP="00460680">
            <w:pPr>
              <w:spacing w:before="100" w:after="100"/>
              <w:rPr>
                <w:rFonts w:eastAsia="MS Mincho" w:cs="Arial"/>
                <w:lang w:val="en-GB"/>
              </w:rPr>
            </w:pPr>
            <w:r w:rsidRPr="00FC6941">
              <w:rPr>
                <w:rFonts w:eastAsia="MS Mincho" w:cs="Arial"/>
                <w:lang w:val="en-GB"/>
              </w:rPr>
              <w:t>Key management personnel remuneration</w:t>
            </w:r>
          </w:p>
        </w:tc>
        <w:tc>
          <w:tcPr>
            <w:tcW w:w="1036" w:type="dxa"/>
          </w:tcPr>
          <w:p w14:paraId="44334601" w14:textId="2EC80159" w:rsidR="00460680" w:rsidRPr="00460680" w:rsidRDefault="00460680" w:rsidP="00460680">
            <w:pPr>
              <w:spacing w:before="100" w:after="100"/>
              <w:rPr>
                <w:rFonts w:eastAsia="MS Mincho" w:cs="Arial"/>
                <w:lang w:val="en-GB"/>
              </w:rPr>
            </w:pPr>
            <w:r w:rsidRPr="00CE19E4">
              <w:rPr>
                <w:rFonts w:eastAsia="MS Mincho" w:cs="Arial"/>
                <w:lang w:val="en-GB"/>
              </w:rPr>
              <w:t>11</w:t>
            </w:r>
            <w:r w:rsidRPr="00460680">
              <w:rPr>
                <w:rFonts w:eastAsia="MS Mincho" w:cs="Arial"/>
                <w:lang w:val="en-GB"/>
              </w:rPr>
              <w:t>7</w:t>
            </w:r>
          </w:p>
        </w:tc>
      </w:tr>
      <w:tr w:rsidR="00460680" w:rsidRPr="00FC6941" w14:paraId="0A327973" w14:textId="77777777">
        <w:trPr>
          <w:cantSplit/>
        </w:trPr>
        <w:tc>
          <w:tcPr>
            <w:tcW w:w="1838" w:type="dxa"/>
          </w:tcPr>
          <w:p w14:paraId="7E8C893F" w14:textId="6A7B60D2" w:rsidR="00460680" w:rsidRPr="00FC6941" w:rsidRDefault="00460680" w:rsidP="00460680">
            <w:pPr>
              <w:spacing w:before="100" w:after="100"/>
              <w:rPr>
                <w:rFonts w:eastAsia="MS Mincho" w:cs="Arial"/>
                <w:lang w:val="en-GB"/>
              </w:rPr>
            </w:pPr>
            <w:r w:rsidRPr="00FC6941">
              <w:rPr>
                <w:rFonts w:eastAsia="MS Mincho" w:cs="Arial"/>
                <w:lang w:val="en-GB"/>
              </w:rPr>
              <w:t xml:space="preserve">Table </w:t>
            </w:r>
            <w:r>
              <w:rPr>
                <w:rFonts w:eastAsia="MS Mincho" w:cs="Arial"/>
                <w:lang w:val="en-GB"/>
              </w:rPr>
              <w:t>12</w:t>
            </w:r>
          </w:p>
        </w:tc>
        <w:tc>
          <w:tcPr>
            <w:tcW w:w="6379" w:type="dxa"/>
          </w:tcPr>
          <w:p w14:paraId="707A3FFA" w14:textId="77777777" w:rsidR="00460680" w:rsidRPr="00FC6941" w:rsidRDefault="00460680" w:rsidP="00460680">
            <w:pPr>
              <w:spacing w:before="100" w:after="100"/>
              <w:rPr>
                <w:rFonts w:eastAsia="MS Mincho" w:cs="Arial"/>
                <w:lang w:val="en-GB"/>
              </w:rPr>
            </w:pPr>
            <w:r w:rsidRPr="00FC6941">
              <w:rPr>
                <w:rFonts w:eastAsia="MS Mincho" w:cs="Arial"/>
                <w:lang w:val="en-GB"/>
              </w:rPr>
              <w:t>Senior executive remuneration</w:t>
            </w:r>
          </w:p>
        </w:tc>
        <w:tc>
          <w:tcPr>
            <w:tcW w:w="1036" w:type="dxa"/>
          </w:tcPr>
          <w:p w14:paraId="1CF55109" w14:textId="77A257FE" w:rsidR="00460680" w:rsidRPr="00460680" w:rsidRDefault="00460680" w:rsidP="00460680">
            <w:pPr>
              <w:spacing w:before="100" w:after="100"/>
              <w:rPr>
                <w:rFonts w:eastAsia="MS Mincho" w:cs="Arial"/>
                <w:lang w:val="en-GB"/>
              </w:rPr>
            </w:pPr>
            <w:r w:rsidRPr="00CE19E4">
              <w:rPr>
                <w:rFonts w:eastAsia="MS Mincho" w:cs="Arial"/>
                <w:lang w:val="en-GB"/>
              </w:rPr>
              <w:t>12</w:t>
            </w:r>
            <w:r w:rsidRPr="00460680">
              <w:rPr>
                <w:rFonts w:eastAsia="MS Mincho" w:cs="Arial"/>
                <w:lang w:val="en-GB"/>
              </w:rPr>
              <w:t>2</w:t>
            </w:r>
          </w:p>
        </w:tc>
      </w:tr>
      <w:tr w:rsidR="00460680" w:rsidRPr="00FC6941" w14:paraId="27622F28" w14:textId="77777777">
        <w:trPr>
          <w:cnfStyle w:val="000000100000" w:firstRow="0" w:lastRow="0" w:firstColumn="0" w:lastColumn="0" w:oddVBand="0" w:evenVBand="0" w:oddHBand="1" w:evenHBand="0" w:firstRowFirstColumn="0" w:firstRowLastColumn="0" w:lastRowFirstColumn="0" w:lastRowLastColumn="0"/>
          <w:cantSplit/>
        </w:trPr>
        <w:tc>
          <w:tcPr>
            <w:tcW w:w="1838" w:type="dxa"/>
          </w:tcPr>
          <w:p w14:paraId="4D69E693" w14:textId="1A3E3A26" w:rsidR="00460680" w:rsidRPr="00FC6941" w:rsidRDefault="00460680" w:rsidP="00460680">
            <w:pPr>
              <w:spacing w:before="100" w:after="100"/>
              <w:rPr>
                <w:rFonts w:eastAsia="MS Mincho" w:cs="Arial"/>
                <w:lang w:val="en-GB"/>
              </w:rPr>
            </w:pPr>
            <w:r w:rsidRPr="00FC6941">
              <w:rPr>
                <w:rFonts w:eastAsia="MS Mincho" w:cs="Arial"/>
                <w:lang w:val="en-GB"/>
              </w:rPr>
              <w:t xml:space="preserve">Table </w:t>
            </w:r>
            <w:r>
              <w:rPr>
                <w:rFonts w:eastAsia="MS Mincho" w:cs="Arial"/>
                <w:lang w:val="en-GB"/>
              </w:rPr>
              <w:t>13</w:t>
            </w:r>
          </w:p>
        </w:tc>
        <w:tc>
          <w:tcPr>
            <w:tcW w:w="6379" w:type="dxa"/>
          </w:tcPr>
          <w:p w14:paraId="72BF7F46" w14:textId="77777777" w:rsidR="00460680" w:rsidRPr="00FC6941" w:rsidRDefault="00460680" w:rsidP="00460680">
            <w:pPr>
              <w:spacing w:before="100" w:after="100"/>
              <w:rPr>
                <w:rFonts w:eastAsia="MS Mincho" w:cs="Arial"/>
                <w:lang w:val="en-GB"/>
              </w:rPr>
            </w:pPr>
            <w:r w:rsidRPr="00FC6941">
              <w:rPr>
                <w:rFonts w:eastAsia="MS Mincho" w:cs="Arial"/>
                <w:lang w:val="en-GB"/>
              </w:rPr>
              <w:t>Information about remuneration for other highly paid staff</w:t>
            </w:r>
          </w:p>
        </w:tc>
        <w:tc>
          <w:tcPr>
            <w:tcW w:w="1036" w:type="dxa"/>
          </w:tcPr>
          <w:p w14:paraId="37829385" w14:textId="4116AC01" w:rsidR="00460680" w:rsidRPr="00460680" w:rsidRDefault="00460680" w:rsidP="00460680">
            <w:pPr>
              <w:spacing w:before="100" w:after="100"/>
              <w:rPr>
                <w:rFonts w:eastAsia="MS Mincho" w:cs="Arial"/>
                <w:lang w:val="en-GB"/>
              </w:rPr>
            </w:pPr>
            <w:r w:rsidRPr="00CE19E4">
              <w:rPr>
                <w:rFonts w:eastAsia="MS Mincho" w:cs="Arial"/>
                <w:lang w:val="en-GB"/>
              </w:rPr>
              <w:t>12</w:t>
            </w:r>
            <w:r w:rsidRPr="00460680">
              <w:rPr>
                <w:rFonts w:eastAsia="MS Mincho" w:cs="Arial"/>
                <w:lang w:val="en-GB"/>
              </w:rPr>
              <w:t>4</w:t>
            </w:r>
          </w:p>
        </w:tc>
      </w:tr>
      <w:tr w:rsidR="00460680" w:rsidRPr="00FC6941" w14:paraId="0178C63B" w14:textId="77777777">
        <w:trPr>
          <w:cantSplit/>
        </w:trPr>
        <w:tc>
          <w:tcPr>
            <w:tcW w:w="1838" w:type="dxa"/>
          </w:tcPr>
          <w:p w14:paraId="7CB7E333" w14:textId="60497FD2" w:rsidR="00460680" w:rsidRPr="00FC6941" w:rsidRDefault="00460680" w:rsidP="00460680">
            <w:pPr>
              <w:spacing w:before="100" w:after="100"/>
              <w:rPr>
                <w:rFonts w:eastAsia="MS Mincho" w:cs="Arial"/>
                <w:lang w:val="en-GB"/>
              </w:rPr>
            </w:pPr>
            <w:r w:rsidRPr="00FC6941">
              <w:rPr>
                <w:rFonts w:eastAsia="MS Mincho" w:cs="Arial"/>
                <w:lang w:val="en-GB"/>
              </w:rPr>
              <w:lastRenderedPageBreak/>
              <w:t xml:space="preserve">Table </w:t>
            </w:r>
            <w:r>
              <w:rPr>
                <w:rFonts w:eastAsia="MS Mincho" w:cs="Arial"/>
                <w:lang w:val="en-GB"/>
              </w:rPr>
              <w:t>14</w:t>
            </w:r>
          </w:p>
        </w:tc>
        <w:tc>
          <w:tcPr>
            <w:tcW w:w="6379" w:type="dxa"/>
          </w:tcPr>
          <w:p w14:paraId="35941B48" w14:textId="77777777" w:rsidR="00460680" w:rsidRPr="00FC6941" w:rsidRDefault="00460680" w:rsidP="00460680">
            <w:pPr>
              <w:spacing w:before="100" w:after="100"/>
              <w:rPr>
                <w:rFonts w:eastAsia="MS Mincho" w:cs="Arial"/>
                <w:lang w:val="en-GB"/>
              </w:rPr>
            </w:pPr>
            <w:r w:rsidRPr="00FC6941">
              <w:rPr>
                <w:rFonts w:eastAsia="MS Mincho" w:cs="Arial"/>
                <w:lang w:val="en-GB"/>
              </w:rPr>
              <w:t>Payments to advertising organisations in 2023–24</w:t>
            </w:r>
          </w:p>
        </w:tc>
        <w:tc>
          <w:tcPr>
            <w:tcW w:w="1036" w:type="dxa"/>
          </w:tcPr>
          <w:p w14:paraId="0DE76776" w14:textId="0751D72E" w:rsidR="00460680" w:rsidRPr="00460680" w:rsidRDefault="00460680" w:rsidP="00460680">
            <w:pPr>
              <w:spacing w:before="100" w:after="100"/>
              <w:rPr>
                <w:rFonts w:eastAsia="MS Mincho" w:cs="Arial"/>
                <w:lang w:val="en-GB"/>
              </w:rPr>
            </w:pPr>
            <w:r w:rsidRPr="00CE19E4">
              <w:rPr>
                <w:rFonts w:eastAsia="MS Mincho" w:cs="Arial"/>
                <w:lang w:val="en-GB"/>
              </w:rPr>
              <w:t>13</w:t>
            </w:r>
            <w:r w:rsidRPr="00460680">
              <w:rPr>
                <w:rFonts w:eastAsia="MS Mincho" w:cs="Arial"/>
                <w:lang w:val="en-GB"/>
              </w:rPr>
              <w:t>2</w:t>
            </w:r>
          </w:p>
        </w:tc>
      </w:tr>
      <w:tr w:rsidR="00460680" w:rsidRPr="00FC6941" w14:paraId="119BABA3" w14:textId="77777777">
        <w:trPr>
          <w:cnfStyle w:val="000000100000" w:firstRow="0" w:lastRow="0" w:firstColumn="0" w:lastColumn="0" w:oddVBand="0" w:evenVBand="0" w:oddHBand="1" w:evenHBand="0" w:firstRowFirstColumn="0" w:firstRowLastColumn="0" w:lastRowFirstColumn="0" w:lastRowLastColumn="0"/>
          <w:cantSplit/>
        </w:trPr>
        <w:tc>
          <w:tcPr>
            <w:tcW w:w="1838" w:type="dxa"/>
          </w:tcPr>
          <w:p w14:paraId="115966EE" w14:textId="7EB98815" w:rsidR="00460680" w:rsidRPr="00FC6941" w:rsidRDefault="00460680" w:rsidP="00460680">
            <w:pPr>
              <w:spacing w:before="100" w:after="100"/>
              <w:rPr>
                <w:rFonts w:eastAsia="MS Mincho" w:cs="Arial"/>
                <w:lang w:val="en-GB"/>
              </w:rPr>
            </w:pPr>
            <w:r w:rsidRPr="00FC6941">
              <w:rPr>
                <w:rFonts w:eastAsia="MS Mincho" w:cs="Arial"/>
                <w:lang w:val="en-GB"/>
              </w:rPr>
              <w:t xml:space="preserve">Table </w:t>
            </w:r>
            <w:r>
              <w:rPr>
                <w:rFonts w:eastAsia="MS Mincho" w:cs="Arial"/>
                <w:lang w:val="en-GB"/>
              </w:rPr>
              <w:t>15</w:t>
            </w:r>
          </w:p>
        </w:tc>
        <w:tc>
          <w:tcPr>
            <w:tcW w:w="6379" w:type="dxa"/>
          </w:tcPr>
          <w:p w14:paraId="2DCE735B" w14:textId="77777777" w:rsidR="00460680" w:rsidRPr="00FC6941" w:rsidRDefault="00460680" w:rsidP="00460680">
            <w:pPr>
              <w:spacing w:before="100" w:after="100"/>
              <w:rPr>
                <w:rFonts w:eastAsia="MS Mincho" w:cs="Arial"/>
                <w:lang w:val="en-GB"/>
              </w:rPr>
            </w:pPr>
            <w:r w:rsidRPr="00FC6941">
              <w:rPr>
                <w:rFonts w:eastAsia="MS Mincho" w:cs="Arial"/>
                <w:lang w:val="en-GB"/>
              </w:rPr>
              <w:t>Payments to market research organisations in 2023–24</w:t>
            </w:r>
          </w:p>
        </w:tc>
        <w:tc>
          <w:tcPr>
            <w:tcW w:w="1036" w:type="dxa"/>
          </w:tcPr>
          <w:p w14:paraId="642C468E" w14:textId="6E79E1B3" w:rsidR="00460680" w:rsidRPr="00460680" w:rsidRDefault="00460680" w:rsidP="00460680">
            <w:pPr>
              <w:spacing w:before="100" w:after="100"/>
              <w:rPr>
                <w:rFonts w:eastAsia="MS Mincho" w:cs="Arial"/>
                <w:lang w:val="en-GB"/>
              </w:rPr>
            </w:pPr>
            <w:r w:rsidRPr="00CE19E4">
              <w:rPr>
                <w:rFonts w:eastAsia="MS Mincho" w:cs="Arial"/>
                <w:lang w:val="en-GB"/>
              </w:rPr>
              <w:t>13</w:t>
            </w:r>
            <w:r w:rsidRPr="00460680">
              <w:rPr>
                <w:rFonts w:eastAsia="MS Mincho" w:cs="Arial"/>
                <w:lang w:val="en-GB"/>
              </w:rPr>
              <w:t>2</w:t>
            </w:r>
          </w:p>
        </w:tc>
      </w:tr>
      <w:tr w:rsidR="00460680" w:rsidRPr="00FC6941" w14:paraId="710FD802" w14:textId="77777777">
        <w:trPr>
          <w:cantSplit/>
        </w:trPr>
        <w:tc>
          <w:tcPr>
            <w:tcW w:w="1838" w:type="dxa"/>
          </w:tcPr>
          <w:p w14:paraId="1C14598B" w14:textId="2EA683F1" w:rsidR="00460680" w:rsidRPr="00FC6941" w:rsidRDefault="00460680" w:rsidP="00460680">
            <w:pPr>
              <w:spacing w:before="100" w:after="100"/>
              <w:rPr>
                <w:rFonts w:eastAsia="MS Mincho" w:cs="Arial"/>
                <w:lang w:val="en-GB"/>
              </w:rPr>
            </w:pPr>
            <w:r w:rsidRPr="00FC6941">
              <w:rPr>
                <w:rFonts w:eastAsia="MS Mincho" w:cs="Arial"/>
                <w:lang w:val="en-GB"/>
              </w:rPr>
              <w:t xml:space="preserve">Table </w:t>
            </w:r>
            <w:r>
              <w:rPr>
                <w:rFonts w:eastAsia="MS Mincho" w:cs="Arial"/>
                <w:lang w:val="en-GB"/>
              </w:rPr>
              <w:t>16</w:t>
            </w:r>
          </w:p>
        </w:tc>
        <w:tc>
          <w:tcPr>
            <w:tcW w:w="6379" w:type="dxa"/>
          </w:tcPr>
          <w:p w14:paraId="53BBEE5B" w14:textId="77777777" w:rsidR="00460680" w:rsidRPr="00FC6941" w:rsidRDefault="00460680" w:rsidP="00460680">
            <w:pPr>
              <w:spacing w:before="100" w:after="100"/>
              <w:rPr>
                <w:rFonts w:eastAsia="MS Mincho" w:cs="Arial"/>
                <w:lang w:val="en-GB"/>
              </w:rPr>
            </w:pPr>
            <w:r w:rsidRPr="00FC6941">
              <w:rPr>
                <w:rFonts w:eastAsia="MS Mincho" w:cs="Arial"/>
                <w:lang w:val="en-GB"/>
              </w:rPr>
              <w:t>Payments to polling organisations in 2023–24</w:t>
            </w:r>
          </w:p>
        </w:tc>
        <w:tc>
          <w:tcPr>
            <w:tcW w:w="1036" w:type="dxa"/>
          </w:tcPr>
          <w:p w14:paraId="6BB3F01F" w14:textId="79B698DD" w:rsidR="00460680" w:rsidRPr="00460680" w:rsidRDefault="00460680" w:rsidP="00460680">
            <w:pPr>
              <w:spacing w:before="100" w:after="100"/>
              <w:rPr>
                <w:rFonts w:eastAsia="MS Mincho" w:cs="Arial"/>
                <w:lang w:val="en-GB"/>
              </w:rPr>
            </w:pPr>
            <w:r w:rsidRPr="00CE19E4">
              <w:rPr>
                <w:rFonts w:eastAsia="MS Mincho" w:cs="Arial"/>
                <w:lang w:val="en-GB"/>
              </w:rPr>
              <w:t>13</w:t>
            </w:r>
            <w:r w:rsidRPr="00460680">
              <w:rPr>
                <w:rFonts w:eastAsia="MS Mincho" w:cs="Arial"/>
                <w:lang w:val="en-GB"/>
              </w:rPr>
              <w:t>2</w:t>
            </w:r>
          </w:p>
        </w:tc>
      </w:tr>
      <w:tr w:rsidR="00460680" w:rsidRPr="00FC6941" w14:paraId="3273CA7E" w14:textId="77777777">
        <w:trPr>
          <w:cnfStyle w:val="000000100000" w:firstRow="0" w:lastRow="0" w:firstColumn="0" w:lastColumn="0" w:oddVBand="0" w:evenVBand="0" w:oddHBand="1" w:evenHBand="0" w:firstRowFirstColumn="0" w:firstRowLastColumn="0" w:lastRowFirstColumn="0" w:lastRowLastColumn="0"/>
          <w:cantSplit/>
        </w:trPr>
        <w:tc>
          <w:tcPr>
            <w:tcW w:w="1838" w:type="dxa"/>
          </w:tcPr>
          <w:p w14:paraId="07DEC395" w14:textId="45208732" w:rsidR="00460680" w:rsidRPr="00FC6941" w:rsidRDefault="00460680" w:rsidP="00460680">
            <w:pPr>
              <w:spacing w:before="100" w:after="100"/>
              <w:rPr>
                <w:rFonts w:eastAsia="MS Mincho" w:cs="Arial"/>
                <w:lang w:val="en-GB"/>
              </w:rPr>
            </w:pPr>
            <w:r w:rsidRPr="00FC6941">
              <w:rPr>
                <w:rFonts w:eastAsia="MS Mincho" w:cs="Arial"/>
                <w:lang w:val="en-GB"/>
              </w:rPr>
              <w:t xml:space="preserve">Table </w:t>
            </w:r>
            <w:r>
              <w:rPr>
                <w:rFonts w:eastAsia="MS Mincho" w:cs="Arial"/>
                <w:lang w:val="en-GB"/>
              </w:rPr>
              <w:t>17</w:t>
            </w:r>
          </w:p>
        </w:tc>
        <w:tc>
          <w:tcPr>
            <w:tcW w:w="6379" w:type="dxa"/>
          </w:tcPr>
          <w:p w14:paraId="0801F28A" w14:textId="77777777" w:rsidR="00460680" w:rsidRPr="00FC6941" w:rsidRDefault="00460680" w:rsidP="00460680">
            <w:pPr>
              <w:spacing w:before="100" w:after="100"/>
              <w:rPr>
                <w:rFonts w:eastAsia="MS Mincho" w:cs="Arial"/>
                <w:lang w:val="en-GB"/>
              </w:rPr>
            </w:pPr>
            <w:r w:rsidRPr="00FC6941">
              <w:rPr>
                <w:rFonts w:eastAsia="MS Mincho" w:cs="Arial"/>
                <w:lang w:val="en-GB"/>
              </w:rPr>
              <w:t>Payments to direct mail organisations in 2023–24</w:t>
            </w:r>
          </w:p>
        </w:tc>
        <w:tc>
          <w:tcPr>
            <w:tcW w:w="1036" w:type="dxa"/>
          </w:tcPr>
          <w:p w14:paraId="4DC24F94" w14:textId="1A14E94B" w:rsidR="00460680" w:rsidRPr="00460680" w:rsidRDefault="00460680" w:rsidP="00460680">
            <w:pPr>
              <w:spacing w:before="100" w:after="100"/>
              <w:rPr>
                <w:rFonts w:eastAsia="MS Mincho" w:cs="Arial"/>
                <w:lang w:val="en-GB"/>
              </w:rPr>
            </w:pPr>
            <w:r w:rsidRPr="00CE19E4">
              <w:rPr>
                <w:rFonts w:eastAsia="MS Mincho" w:cs="Arial"/>
                <w:lang w:val="en-GB"/>
              </w:rPr>
              <w:t>13</w:t>
            </w:r>
            <w:r w:rsidRPr="00460680">
              <w:rPr>
                <w:rFonts w:eastAsia="MS Mincho" w:cs="Arial"/>
                <w:lang w:val="en-GB"/>
              </w:rPr>
              <w:t>2</w:t>
            </w:r>
          </w:p>
        </w:tc>
      </w:tr>
      <w:tr w:rsidR="00460680" w:rsidRPr="00FC6941" w14:paraId="06F65E79" w14:textId="77777777">
        <w:trPr>
          <w:cantSplit/>
        </w:trPr>
        <w:tc>
          <w:tcPr>
            <w:tcW w:w="1838" w:type="dxa"/>
          </w:tcPr>
          <w:p w14:paraId="1F2C0291" w14:textId="0BEF706B" w:rsidR="00460680" w:rsidRPr="00FC6941" w:rsidRDefault="00460680" w:rsidP="00460680">
            <w:pPr>
              <w:spacing w:before="100" w:after="100"/>
              <w:rPr>
                <w:rFonts w:eastAsia="MS Mincho" w:cs="Arial"/>
                <w:lang w:val="en-GB"/>
              </w:rPr>
            </w:pPr>
            <w:r w:rsidRPr="00FC6941">
              <w:rPr>
                <w:rFonts w:eastAsia="MS Mincho" w:cs="Arial"/>
                <w:lang w:val="en-GB"/>
              </w:rPr>
              <w:t xml:space="preserve">Table </w:t>
            </w:r>
            <w:r>
              <w:rPr>
                <w:rFonts w:eastAsia="MS Mincho" w:cs="Arial"/>
                <w:lang w:val="en-GB"/>
              </w:rPr>
              <w:t>18</w:t>
            </w:r>
          </w:p>
        </w:tc>
        <w:tc>
          <w:tcPr>
            <w:tcW w:w="6379" w:type="dxa"/>
          </w:tcPr>
          <w:p w14:paraId="766B3064" w14:textId="77777777" w:rsidR="00460680" w:rsidRPr="00FC6941" w:rsidRDefault="00460680" w:rsidP="00460680">
            <w:pPr>
              <w:spacing w:before="100" w:after="100"/>
              <w:rPr>
                <w:rFonts w:eastAsia="MS Mincho" w:cs="Arial"/>
                <w:lang w:val="en-GB"/>
              </w:rPr>
            </w:pPr>
            <w:r w:rsidRPr="00FC6941">
              <w:rPr>
                <w:rFonts w:eastAsia="MS Mincho" w:cs="Arial"/>
                <w:lang w:val="en-GB"/>
              </w:rPr>
              <w:t>Payments to media advertising organisations in 2023–24</w:t>
            </w:r>
          </w:p>
        </w:tc>
        <w:tc>
          <w:tcPr>
            <w:tcW w:w="1036" w:type="dxa"/>
          </w:tcPr>
          <w:p w14:paraId="092C639E" w14:textId="462EFABC" w:rsidR="00460680" w:rsidRPr="00460680" w:rsidRDefault="00460680" w:rsidP="00460680">
            <w:pPr>
              <w:spacing w:before="100" w:after="100"/>
              <w:rPr>
                <w:rFonts w:eastAsia="MS Mincho" w:cs="Arial"/>
                <w:lang w:val="en-GB"/>
              </w:rPr>
            </w:pPr>
            <w:r w:rsidRPr="00CE19E4">
              <w:rPr>
                <w:rFonts w:eastAsia="MS Mincho" w:cs="Arial"/>
                <w:lang w:val="en-GB"/>
              </w:rPr>
              <w:t>13</w:t>
            </w:r>
            <w:r w:rsidRPr="00460680">
              <w:rPr>
                <w:rFonts w:eastAsia="MS Mincho" w:cs="Arial"/>
                <w:lang w:val="en-GB"/>
              </w:rPr>
              <w:t>3</w:t>
            </w:r>
          </w:p>
        </w:tc>
      </w:tr>
      <w:tr w:rsidR="00460680" w:rsidRPr="00FC6941" w14:paraId="2017350C" w14:textId="77777777">
        <w:trPr>
          <w:cnfStyle w:val="000000100000" w:firstRow="0" w:lastRow="0" w:firstColumn="0" w:lastColumn="0" w:oddVBand="0" w:evenVBand="0" w:oddHBand="1" w:evenHBand="0" w:firstRowFirstColumn="0" w:firstRowLastColumn="0" w:lastRowFirstColumn="0" w:lastRowLastColumn="0"/>
          <w:cantSplit/>
        </w:trPr>
        <w:tc>
          <w:tcPr>
            <w:tcW w:w="1838" w:type="dxa"/>
          </w:tcPr>
          <w:p w14:paraId="3492F2AB" w14:textId="7BB877E2" w:rsidR="00460680" w:rsidRPr="00FC6941" w:rsidRDefault="00460680" w:rsidP="00460680">
            <w:pPr>
              <w:spacing w:before="100" w:after="100"/>
              <w:rPr>
                <w:rFonts w:eastAsia="MS Mincho" w:cs="Arial"/>
                <w:lang w:val="en-GB"/>
              </w:rPr>
            </w:pPr>
            <w:r w:rsidRPr="00FC6941">
              <w:rPr>
                <w:rFonts w:eastAsia="MS Mincho" w:cs="Arial"/>
                <w:lang w:val="en-GB"/>
              </w:rPr>
              <w:t xml:space="preserve">Table </w:t>
            </w:r>
            <w:r>
              <w:rPr>
                <w:rFonts w:eastAsia="MS Mincho" w:cs="Arial"/>
                <w:lang w:val="en-GB"/>
              </w:rPr>
              <w:t>19</w:t>
            </w:r>
          </w:p>
        </w:tc>
        <w:tc>
          <w:tcPr>
            <w:tcW w:w="6379" w:type="dxa"/>
          </w:tcPr>
          <w:p w14:paraId="04745222" w14:textId="77777777" w:rsidR="00460680" w:rsidRPr="00FC6941" w:rsidRDefault="00460680" w:rsidP="00460680">
            <w:pPr>
              <w:spacing w:before="100" w:after="100"/>
              <w:rPr>
                <w:rFonts w:eastAsia="MS Mincho" w:cs="Arial"/>
                <w:lang w:val="en-GB"/>
              </w:rPr>
            </w:pPr>
            <w:r w:rsidRPr="00FC6941">
              <w:rPr>
                <w:rFonts w:eastAsia="MS Mincho" w:cs="Arial"/>
                <w:lang w:val="en-GB"/>
              </w:rPr>
              <w:t>Greenhouse gas emissions inventory – location-based method</w:t>
            </w:r>
          </w:p>
        </w:tc>
        <w:tc>
          <w:tcPr>
            <w:tcW w:w="1036" w:type="dxa"/>
          </w:tcPr>
          <w:p w14:paraId="7D7F84D1" w14:textId="6048BD43" w:rsidR="00460680" w:rsidRPr="00460680" w:rsidRDefault="00460680" w:rsidP="00460680">
            <w:pPr>
              <w:spacing w:before="100" w:after="100"/>
              <w:rPr>
                <w:rFonts w:eastAsia="MS Mincho" w:cs="Arial"/>
                <w:lang w:val="en-GB"/>
              </w:rPr>
            </w:pPr>
            <w:r w:rsidRPr="00CE19E4">
              <w:rPr>
                <w:rFonts w:eastAsia="MS Mincho" w:cs="Arial"/>
                <w:lang w:val="en-GB"/>
              </w:rPr>
              <w:t>13</w:t>
            </w:r>
            <w:r w:rsidRPr="00460680">
              <w:rPr>
                <w:rFonts w:eastAsia="MS Mincho" w:cs="Arial"/>
                <w:lang w:val="en-GB"/>
              </w:rPr>
              <w:t>4</w:t>
            </w:r>
          </w:p>
        </w:tc>
      </w:tr>
      <w:tr w:rsidR="00460680" w:rsidRPr="00FC6941" w14:paraId="393856C9" w14:textId="77777777">
        <w:trPr>
          <w:cantSplit/>
        </w:trPr>
        <w:tc>
          <w:tcPr>
            <w:tcW w:w="1838" w:type="dxa"/>
          </w:tcPr>
          <w:p w14:paraId="355ACF39" w14:textId="6EDC1016" w:rsidR="00460680" w:rsidRPr="00FC6941" w:rsidRDefault="00460680" w:rsidP="00460680">
            <w:pPr>
              <w:spacing w:before="100" w:after="100"/>
              <w:rPr>
                <w:rFonts w:eastAsia="MS Mincho" w:cs="Arial"/>
                <w:lang w:val="en-GB"/>
              </w:rPr>
            </w:pPr>
            <w:r w:rsidRPr="00FC6941">
              <w:rPr>
                <w:rFonts w:eastAsia="MS Mincho" w:cs="Arial"/>
                <w:lang w:val="en-GB"/>
              </w:rPr>
              <w:t xml:space="preserve">Table </w:t>
            </w:r>
            <w:r>
              <w:rPr>
                <w:rFonts w:eastAsia="MS Mincho" w:cs="Arial"/>
                <w:lang w:val="en-GB"/>
              </w:rPr>
              <w:t>20</w:t>
            </w:r>
          </w:p>
        </w:tc>
        <w:tc>
          <w:tcPr>
            <w:tcW w:w="6379" w:type="dxa"/>
          </w:tcPr>
          <w:p w14:paraId="77CC8A95" w14:textId="45D8FBCF" w:rsidR="00460680" w:rsidRPr="00FC6941" w:rsidRDefault="00460680" w:rsidP="00460680">
            <w:pPr>
              <w:spacing w:before="100" w:after="100"/>
              <w:rPr>
                <w:rFonts w:eastAsia="MS Mincho" w:cs="Arial"/>
                <w:lang w:val="en-GB"/>
              </w:rPr>
            </w:pPr>
            <w:r w:rsidRPr="00FC6941">
              <w:rPr>
                <w:rFonts w:eastAsia="MS Mincho" w:cs="Arial"/>
                <w:lang w:val="en-GB"/>
              </w:rPr>
              <w:t>Greenhouse gas emissions inventory – market</w:t>
            </w:r>
            <w:r>
              <w:rPr>
                <w:rFonts w:eastAsia="MS Mincho" w:cs="Arial"/>
                <w:lang w:val="en-GB"/>
              </w:rPr>
              <w:t>-</w:t>
            </w:r>
            <w:r w:rsidRPr="00FC6941">
              <w:rPr>
                <w:rFonts w:eastAsia="MS Mincho" w:cs="Arial"/>
                <w:lang w:val="en-GB"/>
              </w:rPr>
              <w:t>based method</w:t>
            </w:r>
          </w:p>
        </w:tc>
        <w:tc>
          <w:tcPr>
            <w:tcW w:w="1036" w:type="dxa"/>
          </w:tcPr>
          <w:p w14:paraId="7CED5DE7" w14:textId="2C31BDB9" w:rsidR="00460680" w:rsidRPr="00460680" w:rsidRDefault="00460680" w:rsidP="00460680">
            <w:pPr>
              <w:spacing w:before="100" w:after="100"/>
              <w:rPr>
                <w:rFonts w:eastAsia="MS Mincho" w:cs="Arial"/>
                <w:lang w:val="en-GB"/>
              </w:rPr>
            </w:pPr>
            <w:r w:rsidRPr="00CE19E4">
              <w:rPr>
                <w:rFonts w:eastAsia="MS Mincho" w:cs="Arial"/>
                <w:lang w:val="en-GB"/>
              </w:rPr>
              <w:t>13</w:t>
            </w:r>
            <w:r w:rsidRPr="00460680">
              <w:rPr>
                <w:rFonts w:eastAsia="MS Mincho" w:cs="Arial"/>
                <w:lang w:val="en-GB"/>
              </w:rPr>
              <w:t>5</w:t>
            </w:r>
          </w:p>
        </w:tc>
      </w:tr>
    </w:tbl>
    <w:p w14:paraId="6F8FD43F" w14:textId="2FE961F2" w:rsidR="00B86427" w:rsidRPr="006A1ECD" w:rsidRDefault="00255A26" w:rsidP="00B86427">
      <w:pPr>
        <w:pStyle w:val="Heading3"/>
        <w:rPr>
          <w:lang w:val="en-GB"/>
        </w:rPr>
      </w:pPr>
      <w:bookmarkStart w:id="473" w:name="_Toc176786419"/>
      <w:bookmarkStart w:id="474" w:name="_Toc180505701"/>
      <w:r w:rsidRPr="00A33264">
        <w:rPr>
          <w:lang w:val="en-GB"/>
        </w:rPr>
        <w:t>Figures index</w:t>
      </w:r>
      <w:bookmarkEnd w:id="470"/>
      <w:bookmarkEnd w:id="471"/>
      <w:bookmarkEnd w:id="472"/>
      <w:bookmarkEnd w:id="473"/>
      <w:bookmarkEnd w:id="474"/>
    </w:p>
    <w:tbl>
      <w:tblPr>
        <w:tblStyle w:val="GridTable41"/>
        <w:tblW w:w="9253" w:type="dxa"/>
        <w:tblCellMar>
          <w:top w:w="28" w:type="dxa"/>
          <w:left w:w="28" w:type="dxa"/>
          <w:bottom w:w="28" w:type="dxa"/>
          <w:right w:w="28" w:type="dxa"/>
        </w:tblCellMar>
        <w:tblLook w:val="0420" w:firstRow="1" w:lastRow="0" w:firstColumn="0" w:lastColumn="0" w:noHBand="0" w:noVBand="1"/>
      </w:tblPr>
      <w:tblGrid>
        <w:gridCol w:w="1838"/>
        <w:gridCol w:w="6379"/>
        <w:gridCol w:w="1036"/>
      </w:tblGrid>
      <w:tr w:rsidR="00FC6941" w:rsidRPr="00FC6941" w14:paraId="3FDC4DAF" w14:textId="77777777">
        <w:trPr>
          <w:cnfStyle w:val="100000000000" w:firstRow="1" w:lastRow="0" w:firstColumn="0" w:lastColumn="0" w:oddVBand="0" w:evenVBand="0" w:oddHBand="0" w:evenHBand="0" w:firstRowFirstColumn="0" w:firstRowLastColumn="0" w:lastRowFirstColumn="0" w:lastRowLastColumn="0"/>
          <w:cantSplit/>
        </w:trPr>
        <w:tc>
          <w:tcPr>
            <w:tcW w:w="1838" w:type="dxa"/>
            <w:tcBorders>
              <w:top w:val="single" w:sz="4" w:space="0" w:color="6B2876"/>
              <w:bottom w:val="single" w:sz="4" w:space="0" w:color="6B2876"/>
            </w:tcBorders>
          </w:tcPr>
          <w:p w14:paraId="59259BAA" w14:textId="77777777" w:rsidR="00FC6941" w:rsidRPr="00FC6941" w:rsidRDefault="00FC6941" w:rsidP="00FC6941">
            <w:pPr>
              <w:spacing w:before="100" w:after="100"/>
              <w:rPr>
                <w:rFonts w:eastAsia="MS Mincho" w:cs="Arial"/>
                <w:lang w:val="en-GB"/>
              </w:rPr>
            </w:pPr>
            <w:bookmarkStart w:id="475" w:name="ColumnTitle_FiguresIndex"/>
            <w:bookmarkStart w:id="476" w:name="_Toc169593036"/>
            <w:bookmarkStart w:id="477" w:name="_Toc174354225"/>
            <w:bookmarkStart w:id="478" w:name="_Toc175316929"/>
            <w:bookmarkEnd w:id="475"/>
            <w:r w:rsidRPr="00FC6941">
              <w:rPr>
                <w:rFonts w:eastAsia="MS Mincho" w:cs="Arial"/>
                <w:lang w:val="en-GB"/>
              </w:rPr>
              <w:t>Figure</w:t>
            </w:r>
          </w:p>
        </w:tc>
        <w:tc>
          <w:tcPr>
            <w:tcW w:w="6379" w:type="dxa"/>
            <w:tcBorders>
              <w:top w:val="single" w:sz="4" w:space="0" w:color="6B2876"/>
              <w:bottom w:val="single" w:sz="4" w:space="0" w:color="6B2876"/>
            </w:tcBorders>
          </w:tcPr>
          <w:p w14:paraId="12D1B602" w14:textId="77777777" w:rsidR="00FC6941" w:rsidRPr="00FC6941" w:rsidRDefault="00FC6941" w:rsidP="00FC6941">
            <w:pPr>
              <w:spacing w:before="100" w:after="100"/>
              <w:rPr>
                <w:rFonts w:eastAsia="MS Mincho" w:cs="Arial"/>
                <w:lang w:val="en-GB"/>
              </w:rPr>
            </w:pPr>
            <w:r w:rsidRPr="00FC6941">
              <w:rPr>
                <w:rFonts w:eastAsia="MS Mincho" w:cs="Arial"/>
                <w:lang w:val="en-GB"/>
              </w:rPr>
              <w:t>Title</w:t>
            </w:r>
          </w:p>
        </w:tc>
        <w:tc>
          <w:tcPr>
            <w:tcW w:w="1036" w:type="dxa"/>
            <w:tcBorders>
              <w:top w:val="single" w:sz="4" w:space="0" w:color="6B2876"/>
              <w:bottom w:val="single" w:sz="4" w:space="0" w:color="6B2876"/>
            </w:tcBorders>
          </w:tcPr>
          <w:p w14:paraId="124017C3" w14:textId="77777777" w:rsidR="00FC6941" w:rsidRPr="00FC6941" w:rsidRDefault="00FC6941" w:rsidP="00FC6941">
            <w:pPr>
              <w:spacing w:before="100" w:after="100"/>
              <w:rPr>
                <w:rFonts w:eastAsia="MS Mincho" w:cs="Arial"/>
                <w:lang w:val="en-GB"/>
              </w:rPr>
            </w:pPr>
            <w:r w:rsidRPr="00FC6941">
              <w:rPr>
                <w:rFonts w:eastAsia="MS Mincho" w:cs="Arial"/>
                <w:lang w:val="en-GB"/>
              </w:rPr>
              <w:t>Page</w:t>
            </w:r>
          </w:p>
        </w:tc>
      </w:tr>
      <w:tr w:rsidR="00C74028" w:rsidRPr="00FC6941" w14:paraId="41E3ACB1" w14:textId="77777777">
        <w:trPr>
          <w:cnfStyle w:val="000000100000" w:firstRow="0" w:lastRow="0" w:firstColumn="0" w:lastColumn="0" w:oddVBand="0" w:evenVBand="0" w:oddHBand="1" w:evenHBand="0" w:firstRowFirstColumn="0" w:firstRowLastColumn="0" w:lastRowFirstColumn="0" w:lastRowLastColumn="0"/>
          <w:cantSplit/>
        </w:trPr>
        <w:tc>
          <w:tcPr>
            <w:tcW w:w="1838" w:type="dxa"/>
          </w:tcPr>
          <w:p w14:paraId="019D151C" w14:textId="6D81D8A6" w:rsidR="00C74028" w:rsidRPr="009E1CB5" w:rsidRDefault="00C74028" w:rsidP="00C74028">
            <w:pPr>
              <w:spacing w:before="100" w:after="100"/>
              <w:rPr>
                <w:rFonts w:eastAsia="MS Mincho" w:cs="Arial"/>
                <w:highlight w:val="yellow"/>
                <w:lang w:val="en-GB"/>
              </w:rPr>
            </w:pPr>
            <w:r w:rsidRPr="00FC6941">
              <w:rPr>
                <w:rFonts w:eastAsia="MS Mincho" w:cs="Arial"/>
                <w:lang w:val="en-GB"/>
              </w:rPr>
              <w:t xml:space="preserve">Figure </w:t>
            </w:r>
            <w:r>
              <w:rPr>
                <w:rFonts w:eastAsia="MS Mincho" w:cs="Arial"/>
                <w:lang w:val="en-GB"/>
              </w:rPr>
              <w:t>1</w:t>
            </w:r>
          </w:p>
        </w:tc>
        <w:tc>
          <w:tcPr>
            <w:tcW w:w="6379" w:type="dxa"/>
          </w:tcPr>
          <w:p w14:paraId="023F812F" w14:textId="29613E95" w:rsidR="00C74028" w:rsidRPr="009E1CB5" w:rsidRDefault="00C74028" w:rsidP="00C74028">
            <w:pPr>
              <w:spacing w:before="100" w:after="100"/>
              <w:rPr>
                <w:rFonts w:eastAsia="MS Mincho" w:cs="Arial"/>
                <w:highlight w:val="yellow"/>
                <w:lang w:val="en-GB"/>
              </w:rPr>
            </w:pPr>
            <w:r w:rsidRPr="00FC6941">
              <w:rPr>
                <w:rFonts w:eastAsia="MS Mincho" w:cs="Arial"/>
                <w:lang w:val="en-GB"/>
              </w:rPr>
              <w:t>NDIA performance framework</w:t>
            </w:r>
          </w:p>
        </w:tc>
        <w:tc>
          <w:tcPr>
            <w:tcW w:w="1036" w:type="dxa"/>
          </w:tcPr>
          <w:p w14:paraId="594B896B" w14:textId="66B93F84" w:rsidR="00C74028" w:rsidRPr="009E1CB5" w:rsidRDefault="00C74028" w:rsidP="00C74028">
            <w:pPr>
              <w:spacing w:before="100" w:after="100"/>
              <w:rPr>
                <w:rFonts w:eastAsia="MS Mincho" w:cs="Arial"/>
                <w:highlight w:val="yellow"/>
                <w:lang w:val="en-GB"/>
              </w:rPr>
            </w:pPr>
            <w:r>
              <w:rPr>
                <w:rFonts w:eastAsia="MS Mincho" w:cs="Arial"/>
                <w:lang w:val="en-GB"/>
              </w:rPr>
              <w:t>13</w:t>
            </w:r>
          </w:p>
        </w:tc>
      </w:tr>
      <w:tr w:rsidR="00C74028" w:rsidRPr="00FC6941" w14:paraId="6B546052" w14:textId="77777777">
        <w:trPr>
          <w:cantSplit/>
        </w:trPr>
        <w:tc>
          <w:tcPr>
            <w:tcW w:w="1838" w:type="dxa"/>
          </w:tcPr>
          <w:p w14:paraId="5664D339" w14:textId="3970C6A5" w:rsidR="00C74028" w:rsidRPr="00FC6941" w:rsidRDefault="00C74028" w:rsidP="00C74028">
            <w:pPr>
              <w:spacing w:before="100" w:after="100"/>
              <w:rPr>
                <w:rFonts w:eastAsia="MS Mincho" w:cs="Arial"/>
                <w:lang w:val="en-GB"/>
              </w:rPr>
            </w:pPr>
            <w:r w:rsidRPr="00FC6941">
              <w:rPr>
                <w:rFonts w:eastAsia="MS Mincho" w:cs="Arial"/>
                <w:lang w:val="en-GB"/>
              </w:rPr>
              <w:t xml:space="preserve">Figure </w:t>
            </w:r>
            <w:r>
              <w:rPr>
                <w:rFonts w:eastAsia="MS Mincho" w:cs="Arial"/>
                <w:lang w:val="en-GB"/>
              </w:rPr>
              <w:t>2</w:t>
            </w:r>
          </w:p>
        </w:tc>
        <w:tc>
          <w:tcPr>
            <w:tcW w:w="6379" w:type="dxa"/>
          </w:tcPr>
          <w:p w14:paraId="75081223" w14:textId="368189E0" w:rsidR="00C74028" w:rsidRPr="00FC6941" w:rsidRDefault="00C74028" w:rsidP="00C74028">
            <w:pPr>
              <w:spacing w:before="100" w:after="100"/>
              <w:rPr>
                <w:rFonts w:eastAsia="MS Mincho" w:cs="Arial"/>
                <w:lang w:val="en-GB"/>
              </w:rPr>
            </w:pPr>
            <w:r w:rsidRPr="00FC6941">
              <w:rPr>
                <w:rFonts w:eastAsia="MS Mincho" w:cs="Arial"/>
                <w:lang w:val="en-GB"/>
              </w:rPr>
              <w:t>NDIA governance</w:t>
            </w:r>
          </w:p>
        </w:tc>
        <w:tc>
          <w:tcPr>
            <w:tcW w:w="1036" w:type="dxa"/>
          </w:tcPr>
          <w:p w14:paraId="51ACC026" w14:textId="3C53D53A" w:rsidR="00C74028" w:rsidRPr="00FC6941" w:rsidRDefault="00C74028" w:rsidP="00C74028">
            <w:pPr>
              <w:spacing w:before="100" w:after="100"/>
              <w:rPr>
                <w:rFonts w:eastAsia="MS Mincho" w:cs="Arial"/>
                <w:lang w:val="en-GB"/>
              </w:rPr>
            </w:pPr>
            <w:r>
              <w:rPr>
                <w:rFonts w:eastAsia="MS Mincho" w:cs="Arial"/>
                <w:lang w:val="en-GB"/>
              </w:rPr>
              <w:t>77</w:t>
            </w:r>
          </w:p>
        </w:tc>
      </w:tr>
    </w:tbl>
    <w:p w14:paraId="0E1B6C0D" w14:textId="272402DA" w:rsidR="009C42B2" w:rsidRPr="00A33264" w:rsidRDefault="009C42B2" w:rsidP="004466FC">
      <w:pPr>
        <w:pStyle w:val="Introparagraph"/>
        <w:spacing w:before="240"/>
        <w:rPr>
          <w:lang w:val="en-GB"/>
        </w:rPr>
      </w:pPr>
      <w:bookmarkStart w:id="479" w:name="_Toc180488081"/>
      <w:bookmarkStart w:id="480" w:name="_Toc180505702"/>
      <w:bookmarkEnd w:id="476"/>
      <w:bookmarkEnd w:id="477"/>
      <w:bookmarkEnd w:id="478"/>
      <w:bookmarkEnd w:id="468"/>
      <w:r w:rsidRPr="00A33264">
        <w:rPr>
          <w:lang w:val="en-GB"/>
        </w:rPr>
        <w:t>Disclaimer</w:t>
      </w:r>
      <w:bookmarkEnd w:id="479"/>
      <w:bookmarkEnd w:id="480"/>
    </w:p>
    <w:p w14:paraId="6F99CCEF" w14:textId="77777777" w:rsidR="006520F1" w:rsidRPr="00A33264" w:rsidRDefault="006520F1" w:rsidP="006520F1">
      <w:pPr>
        <w:rPr>
          <w:lang w:val="en-GB"/>
        </w:rPr>
      </w:pPr>
      <w:r w:rsidRPr="00A33264">
        <w:rPr>
          <w:lang w:val="en-GB"/>
        </w:rPr>
        <w:t>The material in this document, with the exception of logos, trademarks, third party materials and other content as specified is licensed under Creative Commons CC-BY-NC-ND licence, version 4.0 International. You may share, copy and redistribute the document in any format. You must acknowledge the National Disability Insurance Agency as the owner of all intellectual property rights in the reproduced material by using ‘© National Disability Insurance Agency’ and you must not use the material for commercial purposes.</w:t>
      </w:r>
    </w:p>
    <w:p w14:paraId="7E1F4DB9" w14:textId="7A57DFE9" w:rsidR="009C42B2" w:rsidRPr="00A33264" w:rsidRDefault="006520F1" w:rsidP="006520F1">
      <w:pPr>
        <w:rPr>
          <w:lang w:val="en-GB"/>
        </w:rPr>
      </w:pPr>
      <w:r w:rsidRPr="00A33264">
        <w:rPr>
          <w:lang w:val="en-GB"/>
        </w:rPr>
        <w:t>If you remix, transform or build upon the material contained in this document, you must not distribute the modified material.</w:t>
      </w:r>
    </w:p>
    <w:p w14:paraId="5986FFB1" w14:textId="514AC1D8" w:rsidR="003F30FC" w:rsidRPr="00A33264" w:rsidRDefault="006520F1" w:rsidP="00A13783">
      <w:pPr>
        <w:rPr>
          <w:lang w:val="en-GB"/>
        </w:rPr>
      </w:pPr>
      <w:r w:rsidRPr="00A33264">
        <w:rPr>
          <w:noProof/>
          <w:lang w:val="en-GB"/>
        </w:rPr>
        <w:drawing>
          <wp:inline distT="0" distB="0" distL="0" distR="0" wp14:anchorId="6B251ED1" wp14:editId="4DC8991D">
            <wp:extent cx="1394460" cy="480060"/>
            <wp:effectExtent l="0" t="0" r="0" b="0"/>
            <wp:docPr id="1033969000" name="Picture 1" descr="Image for the Creative Commons license with the symbols for CC: Creative Commons, BY: credit must be given to the creator, NC: only non-commercial uses of the work are permitted; ND: No derivatives or adaptations of the work are per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69000" name="Picture 1" descr="Image for the Creative Commons license with the symbols for CC: Creative Commons, BY: credit must be given to the creator, NC: only non-commercial uses of the work are permitted; ND: No derivatives or adaptations of the work are permit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94460" cy="480060"/>
                    </a:xfrm>
                    <a:prstGeom prst="rect">
                      <a:avLst/>
                    </a:prstGeom>
                    <a:noFill/>
                    <a:ln>
                      <a:noFill/>
                    </a:ln>
                  </pic:spPr>
                </pic:pic>
              </a:graphicData>
            </a:graphic>
          </wp:inline>
        </w:drawing>
      </w:r>
    </w:p>
    <w:sectPr w:rsidR="003F30FC" w:rsidRPr="00A33264" w:rsidSect="00F23525">
      <w:footerReference w:type="default" r:id="rId99"/>
      <w:footerReference w:type="first" r:id="rId100"/>
      <w:pgSz w:w="11906" w:h="16838" w:code="9"/>
      <w:pgMar w:top="1361" w:right="1361" w:bottom="1361" w:left="1361" w:header="561" w:footer="3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A0454D" w14:textId="77777777" w:rsidR="00EA133B" w:rsidRDefault="00EA133B" w:rsidP="00042A45">
      <w:r>
        <w:separator/>
      </w:r>
    </w:p>
    <w:p w14:paraId="1A8F7E41" w14:textId="77777777" w:rsidR="00EA133B" w:rsidRDefault="00EA133B" w:rsidP="00042A45"/>
    <w:p w14:paraId="0DEB50F1" w14:textId="77777777" w:rsidR="00EA133B" w:rsidRDefault="00EA133B" w:rsidP="00042A45"/>
    <w:p w14:paraId="178CF26A" w14:textId="77777777" w:rsidR="00EA133B" w:rsidRDefault="00EA133B" w:rsidP="00042A45"/>
    <w:p w14:paraId="153C7D37" w14:textId="77777777" w:rsidR="00EA133B" w:rsidRDefault="00EA133B" w:rsidP="00042A45"/>
    <w:p w14:paraId="4C9C5D01" w14:textId="77777777" w:rsidR="00EA133B" w:rsidRDefault="00EA133B" w:rsidP="00042A45"/>
    <w:p w14:paraId="25A8C7C8" w14:textId="77777777" w:rsidR="00EA133B" w:rsidRDefault="00EA133B" w:rsidP="00042A45"/>
    <w:p w14:paraId="57050405" w14:textId="77777777" w:rsidR="00EA133B" w:rsidRDefault="00EA133B" w:rsidP="00042A45"/>
    <w:p w14:paraId="76780EC7" w14:textId="77777777" w:rsidR="00EA133B" w:rsidRDefault="00EA133B" w:rsidP="00042A45"/>
    <w:p w14:paraId="76DBD5C3" w14:textId="77777777" w:rsidR="00EA133B" w:rsidRDefault="00EA133B" w:rsidP="00042A45"/>
    <w:p w14:paraId="6AA48236" w14:textId="77777777" w:rsidR="00EA133B" w:rsidRDefault="00EA133B" w:rsidP="00042A45"/>
  </w:endnote>
  <w:endnote w:type="continuationSeparator" w:id="0">
    <w:p w14:paraId="408BF527" w14:textId="77777777" w:rsidR="00EA133B" w:rsidRDefault="00EA133B" w:rsidP="00042A45">
      <w:r>
        <w:continuationSeparator/>
      </w:r>
    </w:p>
    <w:p w14:paraId="54489F3A" w14:textId="77777777" w:rsidR="00EA133B" w:rsidRDefault="00EA133B" w:rsidP="00042A45"/>
    <w:p w14:paraId="0111478B" w14:textId="77777777" w:rsidR="00EA133B" w:rsidRDefault="00EA133B" w:rsidP="00042A45"/>
    <w:p w14:paraId="0EF26050" w14:textId="77777777" w:rsidR="00EA133B" w:rsidRDefault="00EA133B" w:rsidP="00042A45"/>
    <w:p w14:paraId="0365951D" w14:textId="77777777" w:rsidR="00EA133B" w:rsidRDefault="00EA133B" w:rsidP="00042A45"/>
    <w:p w14:paraId="6B16336A" w14:textId="77777777" w:rsidR="00EA133B" w:rsidRDefault="00EA133B" w:rsidP="00042A45"/>
    <w:p w14:paraId="4DBF62B4" w14:textId="77777777" w:rsidR="00EA133B" w:rsidRDefault="00EA133B" w:rsidP="00042A45"/>
    <w:p w14:paraId="423A78EB" w14:textId="77777777" w:rsidR="00EA133B" w:rsidRDefault="00EA133B" w:rsidP="00042A45"/>
    <w:p w14:paraId="583DADEE" w14:textId="77777777" w:rsidR="00EA133B" w:rsidRDefault="00EA133B" w:rsidP="00042A45"/>
    <w:p w14:paraId="51466624" w14:textId="77777777" w:rsidR="00EA133B" w:rsidRDefault="00EA133B" w:rsidP="00042A45"/>
    <w:p w14:paraId="14C95563" w14:textId="77777777" w:rsidR="00EA133B" w:rsidRDefault="00EA133B" w:rsidP="00042A45"/>
  </w:endnote>
  <w:endnote w:type="continuationNotice" w:id="1">
    <w:p w14:paraId="6D152E07" w14:textId="77777777" w:rsidR="00EA133B" w:rsidRDefault="00EA13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font>
  <w:font w:name="FSMePro">
    <w:altName w:val="Calibri"/>
    <w:charset w:val="00"/>
    <w:family w:val="auto"/>
    <w:pitch w:val="variable"/>
    <w:sig w:usb0="A00002EF" w:usb1="4000606A"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variable"/>
    <w:sig w:usb0="800000AF" w:usb1="4000204A" w:usb2="00000000" w:usb3="00000000" w:csb0="0000009B" w:csb1="00000000"/>
  </w:font>
  <w:font w:name="FS Me Pro">
    <w:altName w:val="Calibri"/>
    <w:charset w:val="00"/>
    <w:family w:val="auto"/>
    <w:pitch w:val="variable"/>
    <w:sig w:usb0="A00002EF" w:usb1="4000606A"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FS Me Pro Light">
    <w:altName w:val="Calibri"/>
    <w:charset w:val="00"/>
    <w:family w:val="auto"/>
    <w:pitch w:val="variable"/>
    <w:sig w:usb0="A00002EF" w:usb1="4000606A" w:usb2="00000000" w:usb3="00000000" w:csb0="0000009F" w:csb1="00000000"/>
  </w:font>
  <w:font w:name="Aptos">
    <w:charset w:val="00"/>
    <w:family w:val="swiss"/>
    <w:pitch w:val="variable"/>
    <w:sig w:usb0="20000287" w:usb1="00000003" w:usb2="00000000" w:usb3="00000000" w:csb0="0000019F" w:csb1="00000000"/>
  </w:font>
  <w:font w:name="Calisto MT">
    <w:panose1 w:val="0204060305050503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Yu Mincho">
    <w:altName w:val="游明朝"/>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F6830" w14:textId="77777777" w:rsidR="00AA4A8E" w:rsidRPr="00285DEE" w:rsidRDefault="00AA4A8E" w:rsidP="00AA4A8E">
    <w:pPr>
      <w:pStyle w:val="Header"/>
      <w:spacing w:before="0" w:after="200"/>
    </w:pPr>
    <w:r w:rsidRPr="003F2DA2">
      <w:t xml:space="preserve">OFFICIAL: </w:t>
    </w:r>
    <w:r w:rsidRPr="00664E61">
      <w:t>SENSITIVE</w:t>
    </w:r>
  </w:p>
  <w:sdt>
    <w:sdtPr>
      <w:id w:val="-37055305"/>
      <w:docPartObj>
        <w:docPartGallery w:val="Page Numbers (Bottom of Page)"/>
        <w:docPartUnique/>
      </w:docPartObj>
    </w:sdtPr>
    <w:sdtEndPr/>
    <w:sdtContent>
      <w:p w14:paraId="774FBC45" w14:textId="5879577E" w:rsidR="00EE1BC9" w:rsidRPr="00AA4A8E" w:rsidRDefault="00AA4A8E" w:rsidP="00967957">
        <w:pPr>
          <w:pStyle w:val="Footer"/>
          <w:tabs>
            <w:tab w:val="clear" w:pos="4513"/>
            <w:tab w:val="clear" w:pos="9026"/>
            <w:tab w:val="center" w:pos="4536"/>
            <w:tab w:val="right" w:pos="9072"/>
          </w:tabs>
        </w:pPr>
        <w:r w:rsidRPr="009B2942">
          <w:t>ndis.gov.au</w:t>
        </w:r>
        <w:r>
          <w:t xml:space="preserve"> </w:t>
        </w:r>
        <w:r>
          <w:tab/>
        </w:r>
        <w:r>
          <w:rPr>
            <w:b w:val="0"/>
            <w:bCs w:val="0"/>
          </w:rPr>
          <w:t>19 August 2024</w:t>
        </w:r>
        <w:r w:rsidRPr="009B2942">
          <w:rPr>
            <w:b w:val="0"/>
            <w:bCs w:val="0"/>
          </w:rPr>
          <w:t xml:space="preserve"> | </w:t>
        </w:r>
        <w:r>
          <w:rPr>
            <w:b w:val="0"/>
            <w:bCs w:val="0"/>
          </w:rPr>
          <w:t>Draft Annual Report 2023-24</w:t>
        </w:r>
        <w:r w:rsidRPr="009B2942">
          <w:tab/>
        </w:r>
        <w:r w:rsidRPr="009B2942">
          <w:fldChar w:fldCharType="begin"/>
        </w:r>
        <w:r w:rsidRPr="009B2942">
          <w:instrText xml:space="preserve"> PAGE </w:instrText>
        </w:r>
        <w:r w:rsidRPr="009B2942">
          <w:fldChar w:fldCharType="separate"/>
        </w:r>
        <w:r>
          <w:t>2</w:t>
        </w:r>
        <w:r w:rsidRPr="009B2942">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Cs/>
        <w:color w:val="6B2976"/>
      </w:rPr>
      <w:id w:val="-900979655"/>
      <w:docPartObj>
        <w:docPartGallery w:val="Page Numbers (Bottom of Page)"/>
        <w:docPartUnique/>
      </w:docPartObj>
    </w:sdtPr>
    <w:sdtEndPr>
      <w:rPr>
        <w:rFonts w:cs="Arial"/>
        <w:noProof/>
        <w:sz w:val="18"/>
        <w:szCs w:val="18"/>
      </w:rPr>
    </w:sdtEndPr>
    <w:sdtContent>
      <w:p w14:paraId="3E4E943F" w14:textId="0A2E3BDD" w:rsidR="00A826D3" w:rsidRPr="00285DEE" w:rsidRDefault="00A826D3" w:rsidP="00A826D3">
        <w:pPr>
          <w:pStyle w:val="Header"/>
          <w:spacing w:before="0" w:after="200"/>
        </w:pPr>
      </w:p>
      <w:p w14:paraId="1FB65B5F" w14:textId="21F7B12C" w:rsidR="00520333" w:rsidRPr="0098183D" w:rsidRDefault="008D64B9" w:rsidP="00A03B19">
        <w:pPr>
          <w:pStyle w:val="Footer"/>
          <w:tabs>
            <w:tab w:val="clear" w:pos="4513"/>
            <w:tab w:val="clear" w:pos="9026"/>
            <w:tab w:val="center" w:pos="7088"/>
            <w:tab w:val="right" w:pos="14459"/>
          </w:tabs>
          <w:rPr>
            <w:rFonts w:cs="Arial"/>
            <w:sz w:val="18"/>
            <w:szCs w:val="18"/>
          </w:rPr>
        </w:pPr>
        <w:sdt>
          <w:sdtPr>
            <w:id w:val="-1675495084"/>
            <w:docPartObj>
              <w:docPartGallery w:val="Page Numbers (Bottom of Page)"/>
              <w:docPartUnique/>
            </w:docPartObj>
          </w:sdtPr>
          <w:sdtEndPr/>
          <w:sdtContent>
            <w:r w:rsidR="00A826D3" w:rsidRPr="009B2942">
              <w:t>ndis.gov.au</w:t>
            </w:r>
            <w:r w:rsidR="00A826D3">
              <w:t xml:space="preserve"> </w:t>
            </w:r>
            <w:r w:rsidR="00A826D3">
              <w:tab/>
            </w:r>
            <w:r w:rsidR="00A826D3" w:rsidRPr="009B2942">
              <w:tab/>
            </w:r>
            <w:r w:rsidR="00A826D3" w:rsidRPr="009B2942">
              <w:fldChar w:fldCharType="begin"/>
            </w:r>
            <w:r w:rsidR="00A826D3" w:rsidRPr="009B2942">
              <w:instrText xml:space="preserve"> PAGE </w:instrText>
            </w:r>
            <w:r w:rsidR="00A826D3" w:rsidRPr="009B2942">
              <w:fldChar w:fldCharType="separate"/>
            </w:r>
            <w:r w:rsidR="00A826D3">
              <w:t>35</w:t>
            </w:r>
            <w:r w:rsidR="00A826D3" w:rsidRPr="009B2942">
              <w:fldChar w:fldCharType="end"/>
            </w:r>
          </w:sdtContent>
        </w:sdt>
        <w:r w:rsidR="00A826D3" w:rsidRPr="0098183D" w:rsidDel="00A826D3">
          <w:rPr>
            <w:rFonts w:cs="Arial"/>
            <w:sz w:val="18"/>
            <w:szCs w:val="18"/>
          </w:rPr>
          <w:t xml:space="preserve"> </w:t>
        </w:r>
      </w:p>
    </w:sdtContent>
  </w:sdt>
  <w:p w14:paraId="31DC09A1" w14:textId="77777777" w:rsidR="00520333" w:rsidRPr="00D609CD" w:rsidRDefault="00520333" w:rsidP="00D609CD">
    <w:pPr>
      <w:pStyle w:val="Footer"/>
      <w:jc w:val="right"/>
      <w:rPr>
        <w:rFonts w:cs="Arial"/>
        <w:sz w:val="18"/>
        <w:szCs w:val="18"/>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FD8F6" w14:textId="1108EB7E" w:rsidR="00BA537E" w:rsidRPr="00D609CD" w:rsidRDefault="008D64B9" w:rsidP="0047225D">
    <w:pPr>
      <w:pStyle w:val="Footer"/>
      <w:rPr>
        <w:rFonts w:cs="Arial"/>
        <w:sz w:val="18"/>
        <w:szCs w:val="18"/>
      </w:rPr>
    </w:pPr>
    <w:sdt>
      <w:sdtPr>
        <w:id w:val="-1465586097"/>
        <w:docPartObj>
          <w:docPartGallery w:val="Page Numbers (Bottom of Page)"/>
          <w:docPartUnique/>
        </w:docPartObj>
      </w:sdtPr>
      <w:sdtEndPr/>
      <w:sdtContent>
        <w:r w:rsidR="00DA5717" w:rsidRPr="009B2942">
          <w:t>ndis.gov.au</w:t>
        </w:r>
        <w:r w:rsidR="00DA5717">
          <w:t xml:space="preserve"> </w:t>
        </w:r>
        <w:r w:rsidR="00DA5717">
          <w:tab/>
        </w:r>
        <w:r w:rsidR="00DA5717" w:rsidRPr="009B2942">
          <w:tab/>
        </w:r>
        <w:r w:rsidR="00DA5717" w:rsidRPr="009B2942">
          <w:fldChar w:fldCharType="begin"/>
        </w:r>
        <w:r w:rsidR="00DA5717" w:rsidRPr="009B2942">
          <w:instrText xml:space="preserve"> PAGE </w:instrText>
        </w:r>
        <w:r w:rsidR="00DA5717" w:rsidRPr="009B2942">
          <w:fldChar w:fldCharType="separate"/>
        </w:r>
        <w:r w:rsidR="00DA5717">
          <w:t>35</w:t>
        </w:r>
        <w:r w:rsidR="00DA5717" w:rsidRPr="009B2942">
          <w:fldChar w:fldCharType="end"/>
        </w:r>
      </w:sdtContent>
    </w:sdt>
    <w:r w:rsidR="00DA5717" w:rsidDel="00325F0C">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6544219"/>
      <w:docPartObj>
        <w:docPartGallery w:val="Page Numbers (Bottom of Page)"/>
        <w:docPartUnique/>
      </w:docPartObj>
    </w:sdtPr>
    <w:sdtEndPr/>
    <w:sdtContent>
      <w:p w14:paraId="351080F2" w14:textId="173F96D2" w:rsidR="00520333" w:rsidRPr="00D609CD" w:rsidRDefault="00DA5717" w:rsidP="0047225D">
        <w:pPr>
          <w:pStyle w:val="Footer"/>
          <w:jc w:val="center"/>
          <w:rPr>
            <w:rFonts w:cs="Arial"/>
            <w:sz w:val="18"/>
            <w:szCs w:val="18"/>
          </w:rPr>
        </w:pPr>
        <w:r w:rsidRPr="009B2942">
          <w:t>ndis.gov.au</w:t>
        </w:r>
        <w:r>
          <w:t xml:space="preserve"> </w:t>
        </w:r>
        <w:r>
          <w:tab/>
        </w:r>
        <w:r w:rsidRPr="009B2942">
          <w:tab/>
        </w:r>
        <w:r w:rsidRPr="009B2942">
          <w:fldChar w:fldCharType="begin"/>
        </w:r>
        <w:r w:rsidRPr="009B2942">
          <w:instrText xml:space="preserve"> PAGE </w:instrText>
        </w:r>
        <w:r w:rsidRPr="009B2942">
          <w:fldChar w:fldCharType="separate"/>
        </w:r>
        <w:r>
          <w:t>35</w:t>
        </w:r>
        <w:r w:rsidRPr="009B2942">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5804088"/>
      <w:docPartObj>
        <w:docPartGallery w:val="Page Numbers (Bottom of Page)"/>
        <w:docPartUnique/>
      </w:docPartObj>
    </w:sdtPr>
    <w:sdtEndPr/>
    <w:sdtContent>
      <w:p w14:paraId="1E044553" w14:textId="68E002F3" w:rsidR="009B5EFC" w:rsidRPr="00821A87" w:rsidRDefault="009B5EFC" w:rsidP="00AA4A8E">
        <w:pPr>
          <w:pStyle w:val="Footer"/>
          <w:tabs>
            <w:tab w:val="clear" w:pos="4513"/>
            <w:tab w:val="clear" w:pos="9026"/>
            <w:tab w:val="center" w:pos="4536"/>
            <w:tab w:val="right" w:pos="9072"/>
          </w:tabs>
        </w:pPr>
        <w:r w:rsidRPr="009B2942">
          <w:t>ndis.gov.au</w:t>
        </w:r>
        <w:r>
          <w:t xml:space="preserve"> </w:t>
        </w:r>
        <w:r>
          <w:tab/>
        </w:r>
        <w:r w:rsidRPr="009B2942">
          <w:tab/>
        </w:r>
        <w:r w:rsidRPr="009B2942">
          <w:fldChar w:fldCharType="begin"/>
        </w:r>
        <w:r w:rsidRPr="009B2942">
          <w:instrText xml:space="preserve"> PAGE </w:instrText>
        </w:r>
        <w:r w:rsidRPr="009B2942">
          <w:fldChar w:fldCharType="separate"/>
        </w:r>
        <w:r>
          <w:t>2</w:t>
        </w:r>
        <w:r w:rsidRPr="009B2942">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81900478"/>
      <w:docPartObj>
        <w:docPartGallery w:val="Page Numbers (Bottom of Page)"/>
        <w:docPartUnique/>
      </w:docPartObj>
    </w:sdtPr>
    <w:sdtEndPr/>
    <w:sdtContent>
      <w:p w14:paraId="55819DAF" w14:textId="30BA595D" w:rsidR="00967957" w:rsidRPr="00AA4A8E" w:rsidRDefault="00967957" w:rsidP="00967957">
        <w:pPr>
          <w:pStyle w:val="Footer"/>
          <w:tabs>
            <w:tab w:val="clear" w:pos="4513"/>
            <w:tab w:val="clear" w:pos="9026"/>
            <w:tab w:val="center" w:pos="6804"/>
            <w:tab w:val="right" w:pos="13608"/>
          </w:tabs>
        </w:pPr>
        <w:r w:rsidRPr="009B2942">
          <w:t>ndis.gov.au</w:t>
        </w:r>
        <w:r>
          <w:t xml:space="preserve"> </w:t>
        </w:r>
        <w:r>
          <w:tab/>
        </w:r>
        <w:r w:rsidRPr="009B2942">
          <w:tab/>
        </w:r>
        <w:r w:rsidRPr="009B2942">
          <w:fldChar w:fldCharType="begin"/>
        </w:r>
        <w:r w:rsidRPr="009B2942">
          <w:instrText xml:space="preserve"> PAGE </w:instrText>
        </w:r>
        <w:r w:rsidRPr="009B2942">
          <w:fldChar w:fldCharType="separate"/>
        </w:r>
        <w:r>
          <w:t>2</w:t>
        </w:r>
        <w:r w:rsidRPr="009B2942">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79884552"/>
      <w:docPartObj>
        <w:docPartGallery w:val="Page Numbers (Bottom of Page)"/>
        <w:docPartUnique/>
      </w:docPartObj>
    </w:sdtPr>
    <w:sdtEndPr/>
    <w:sdtContent>
      <w:p w14:paraId="01A9D01D" w14:textId="3D04CF5F" w:rsidR="00AA4A8E" w:rsidRPr="00821A87" w:rsidRDefault="00AA4A8E" w:rsidP="00AA4A8E">
        <w:pPr>
          <w:pStyle w:val="Footer"/>
          <w:tabs>
            <w:tab w:val="clear" w:pos="4513"/>
            <w:tab w:val="clear" w:pos="9026"/>
            <w:tab w:val="center" w:pos="6804"/>
            <w:tab w:val="right" w:pos="13608"/>
          </w:tabs>
        </w:pPr>
        <w:r w:rsidRPr="009B2942">
          <w:t>ndis.gov.au</w:t>
        </w:r>
        <w:r>
          <w:t xml:space="preserve"> </w:t>
        </w:r>
        <w:r>
          <w:tab/>
        </w:r>
        <w:r w:rsidRPr="009B2942">
          <w:tab/>
        </w:r>
        <w:r w:rsidRPr="009B2942">
          <w:fldChar w:fldCharType="begin"/>
        </w:r>
        <w:r w:rsidRPr="009B2942">
          <w:instrText xml:space="preserve"> PAGE </w:instrText>
        </w:r>
        <w:r w:rsidRPr="009B2942">
          <w:fldChar w:fldCharType="separate"/>
        </w:r>
        <w:r>
          <w:t>2</w:t>
        </w:r>
        <w:r w:rsidRPr="009B2942">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0730236"/>
      <w:docPartObj>
        <w:docPartGallery w:val="Page Numbers (Bottom of Page)"/>
        <w:docPartUnique/>
      </w:docPartObj>
    </w:sdtPr>
    <w:sdtEndPr/>
    <w:sdtContent>
      <w:p w14:paraId="64C98A99" w14:textId="20815882" w:rsidR="00967957" w:rsidRPr="00AA4A8E" w:rsidRDefault="00967957" w:rsidP="00967957">
        <w:pPr>
          <w:pStyle w:val="Footer"/>
          <w:tabs>
            <w:tab w:val="clear" w:pos="4513"/>
            <w:tab w:val="clear" w:pos="9026"/>
            <w:tab w:val="center" w:pos="4536"/>
            <w:tab w:val="right" w:pos="9072"/>
          </w:tabs>
        </w:pPr>
        <w:r w:rsidRPr="009B2942">
          <w:t>ndis.gov.au</w:t>
        </w:r>
        <w:r>
          <w:t xml:space="preserve"> </w:t>
        </w:r>
        <w:r>
          <w:tab/>
        </w:r>
        <w:r w:rsidRPr="009B2942">
          <w:tab/>
        </w:r>
        <w:r w:rsidRPr="009B2942">
          <w:fldChar w:fldCharType="begin"/>
        </w:r>
        <w:r w:rsidRPr="009B2942">
          <w:instrText xml:space="preserve"> PAGE </w:instrText>
        </w:r>
        <w:r w:rsidRPr="009B2942">
          <w:fldChar w:fldCharType="separate"/>
        </w:r>
        <w:r>
          <w:t>2</w:t>
        </w:r>
        <w:r w:rsidRPr="009B2942">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4982043"/>
      <w:docPartObj>
        <w:docPartGallery w:val="Page Numbers (Bottom of Page)"/>
        <w:docPartUnique/>
      </w:docPartObj>
    </w:sdtPr>
    <w:sdtEndPr/>
    <w:sdtContent>
      <w:p w14:paraId="5B717C85" w14:textId="7E9D9ED2" w:rsidR="00967957" w:rsidRPr="00821A87" w:rsidRDefault="00967957" w:rsidP="00967957">
        <w:pPr>
          <w:pStyle w:val="Footer"/>
          <w:tabs>
            <w:tab w:val="clear" w:pos="4513"/>
            <w:tab w:val="clear" w:pos="9026"/>
            <w:tab w:val="center" w:pos="4536"/>
            <w:tab w:val="right" w:pos="9072"/>
          </w:tabs>
        </w:pPr>
        <w:r w:rsidRPr="009B2942">
          <w:t>ndis.gov.au</w:t>
        </w:r>
        <w:r>
          <w:t xml:space="preserve"> </w:t>
        </w:r>
        <w:r>
          <w:tab/>
        </w:r>
        <w:r w:rsidRPr="009B2942">
          <w:tab/>
        </w:r>
        <w:r w:rsidRPr="009B2942">
          <w:fldChar w:fldCharType="begin"/>
        </w:r>
        <w:r w:rsidRPr="009B2942">
          <w:instrText xml:space="preserve"> PAGE </w:instrText>
        </w:r>
        <w:r w:rsidRPr="009B2942">
          <w:fldChar w:fldCharType="separate"/>
        </w:r>
        <w:r>
          <w:t>2</w:t>
        </w:r>
        <w:r w:rsidRPr="009B2942">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831491"/>
      <w:docPartObj>
        <w:docPartGallery w:val="Page Numbers (Bottom of Page)"/>
        <w:docPartUnique/>
      </w:docPartObj>
    </w:sdtPr>
    <w:sdtEndPr/>
    <w:sdtContent>
      <w:p w14:paraId="2ABEB0C2" w14:textId="5725CD69" w:rsidR="00967957" w:rsidRPr="00AA4A8E" w:rsidRDefault="00967957" w:rsidP="00EE17BD">
        <w:pPr>
          <w:pStyle w:val="Footer"/>
          <w:tabs>
            <w:tab w:val="clear" w:pos="4513"/>
            <w:tab w:val="clear" w:pos="9026"/>
            <w:tab w:val="center" w:pos="6804"/>
            <w:tab w:val="right" w:pos="14570"/>
          </w:tabs>
        </w:pPr>
        <w:r w:rsidRPr="009B2942">
          <w:t>ndis.gov.au</w:t>
        </w:r>
        <w:r>
          <w:t xml:space="preserve"> </w:t>
        </w:r>
        <w:r>
          <w:tab/>
        </w:r>
        <w:r w:rsidRPr="009B2942">
          <w:tab/>
        </w:r>
        <w:r w:rsidRPr="009B2942">
          <w:fldChar w:fldCharType="begin"/>
        </w:r>
        <w:r w:rsidRPr="009B2942">
          <w:instrText xml:space="preserve"> PAGE </w:instrText>
        </w:r>
        <w:r w:rsidRPr="009B2942">
          <w:fldChar w:fldCharType="separate"/>
        </w:r>
        <w:r>
          <w:t>2</w:t>
        </w:r>
        <w:r w:rsidRPr="009B2942">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1640419"/>
      <w:docPartObj>
        <w:docPartGallery w:val="Page Numbers (Bottom of Page)"/>
        <w:docPartUnique/>
      </w:docPartObj>
    </w:sdtPr>
    <w:sdtEndPr/>
    <w:sdtContent>
      <w:p w14:paraId="2DBBC12E" w14:textId="3E62E726" w:rsidR="00967957" w:rsidRPr="00821A87" w:rsidRDefault="00967957" w:rsidP="00EE17BD">
        <w:pPr>
          <w:pStyle w:val="Footer"/>
          <w:tabs>
            <w:tab w:val="clear" w:pos="4513"/>
            <w:tab w:val="clear" w:pos="9026"/>
            <w:tab w:val="center" w:pos="6804"/>
            <w:tab w:val="right" w:pos="14570"/>
          </w:tabs>
        </w:pPr>
        <w:r w:rsidRPr="009B2942">
          <w:t>ndis.gov.au</w:t>
        </w:r>
        <w:r>
          <w:t xml:space="preserve"> </w:t>
        </w:r>
        <w:r>
          <w:tab/>
        </w:r>
        <w:r w:rsidRPr="009B2942">
          <w:tab/>
        </w:r>
        <w:r w:rsidRPr="009B2942">
          <w:fldChar w:fldCharType="begin"/>
        </w:r>
        <w:r w:rsidRPr="009B2942">
          <w:instrText xml:space="preserve"> PAGE </w:instrText>
        </w:r>
        <w:r w:rsidRPr="009B2942">
          <w:fldChar w:fldCharType="separate"/>
        </w:r>
        <w:r>
          <w:t>2</w:t>
        </w:r>
        <w:r w:rsidRPr="009B2942">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B207DA" w14:textId="5768352D" w:rsidR="00834863" w:rsidRPr="009B2942" w:rsidRDefault="008D64B9" w:rsidP="009B2942">
    <w:pPr>
      <w:pStyle w:val="Footer"/>
    </w:pPr>
    <w:sdt>
      <w:sdtPr>
        <w:id w:val="1726405002"/>
        <w:docPartObj>
          <w:docPartGallery w:val="Page Numbers (Bottom of Page)"/>
          <w:docPartUnique/>
        </w:docPartObj>
      </w:sdtPr>
      <w:sdtEndPr/>
      <w:sdtContent>
        <w:r w:rsidR="009B2942" w:rsidRPr="009B2942">
          <w:t>ndis.gov.au</w:t>
        </w:r>
        <w:r w:rsidR="009B2942">
          <w:t xml:space="preserve"> </w:t>
        </w:r>
      </w:sdtContent>
    </w:sdt>
    <w:r w:rsidR="00BE3421">
      <w:tab/>
    </w:r>
    <w:r w:rsidR="00BE3421">
      <w:tab/>
    </w:r>
    <w:r w:rsidR="00BE3421" w:rsidRPr="009B2942">
      <w:fldChar w:fldCharType="begin"/>
    </w:r>
    <w:r w:rsidR="00BE3421" w:rsidRPr="009B2942">
      <w:instrText xml:space="preserve"> PAGE </w:instrText>
    </w:r>
    <w:r w:rsidR="00BE3421" w:rsidRPr="009B2942">
      <w:fldChar w:fldCharType="separate"/>
    </w:r>
    <w:r w:rsidR="00BE3421">
      <w:t>3</w:t>
    </w:r>
    <w:r w:rsidR="00BE3421" w:rsidRPr="009B2942">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1D749" w14:textId="77777777" w:rsidR="00967957" w:rsidRPr="00285DEE" w:rsidRDefault="00967957" w:rsidP="00967957">
    <w:pPr>
      <w:pStyle w:val="Header"/>
      <w:spacing w:before="0" w:after="200"/>
    </w:pPr>
    <w:r w:rsidRPr="003F2DA2">
      <w:t xml:space="preserve">OFFICIAL: </w:t>
    </w:r>
    <w:r w:rsidRPr="00664E61">
      <w:t>SENSITIVE</w:t>
    </w:r>
  </w:p>
  <w:sdt>
    <w:sdtPr>
      <w:id w:val="-1264760442"/>
      <w:docPartObj>
        <w:docPartGallery w:val="Page Numbers (Bottom of Page)"/>
        <w:docPartUnique/>
      </w:docPartObj>
    </w:sdtPr>
    <w:sdtEndPr/>
    <w:sdtContent>
      <w:p w14:paraId="76BCF9E3" w14:textId="22237F93" w:rsidR="00967957" w:rsidRPr="00AA4A8E" w:rsidRDefault="00967957" w:rsidP="004C5085">
        <w:pPr>
          <w:pStyle w:val="Footer"/>
          <w:tabs>
            <w:tab w:val="clear" w:pos="4513"/>
            <w:tab w:val="clear" w:pos="9026"/>
            <w:tab w:val="center" w:pos="4536"/>
            <w:tab w:val="right" w:pos="9072"/>
          </w:tabs>
        </w:pPr>
        <w:r w:rsidRPr="009B2942">
          <w:t>ndis.gov.au</w:t>
        </w:r>
        <w:r>
          <w:t xml:space="preserve"> </w:t>
        </w:r>
        <w:r>
          <w:tab/>
        </w:r>
        <w:r w:rsidR="003B0281">
          <w:rPr>
            <w:b w:val="0"/>
            <w:bCs w:val="0"/>
          </w:rPr>
          <w:t>17</w:t>
        </w:r>
        <w:r w:rsidR="007226E7">
          <w:rPr>
            <w:b w:val="0"/>
            <w:bCs w:val="0"/>
          </w:rPr>
          <w:t xml:space="preserve"> October</w:t>
        </w:r>
        <w:r w:rsidR="002B23E4">
          <w:rPr>
            <w:b w:val="0"/>
            <w:bCs w:val="0"/>
          </w:rPr>
          <w:t xml:space="preserve"> 2024 | Draft Annual Report 2023–24 v0.</w:t>
        </w:r>
        <w:r w:rsidR="00A06B1B">
          <w:rPr>
            <w:b w:val="0"/>
            <w:bCs w:val="0"/>
          </w:rPr>
          <w:t>1</w:t>
        </w:r>
        <w:r w:rsidR="007226E7">
          <w:rPr>
            <w:b w:val="0"/>
            <w:bCs w:val="0"/>
          </w:rPr>
          <w:t>3</w:t>
        </w:r>
        <w:r w:rsidRPr="009B2942">
          <w:tab/>
        </w:r>
        <w:r w:rsidRPr="009B2942">
          <w:fldChar w:fldCharType="begin"/>
        </w:r>
        <w:r w:rsidRPr="009B2942">
          <w:instrText xml:space="preserve"> PAGE </w:instrText>
        </w:r>
        <w:r w:rsidRPr="009B2942">
          <w:fldChar w:fldCharType="separate"/>
        </w:r>
        <w:r>
          <w:t>2</w:t>
        </w:r>
        <w:r w:rsidRPr="009B2942">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02606984"/>
      <w:docPartObj>
        <w:docPartGallery w:val="Page Numbers (Bottom of Page)"/>
        <w:docPartUnique/>
      </w:docPartObj>
    </w:sdtPr>
    <w:sdtEndPr/>
    <w:sdtContent>
      <w:p w14:paraId="04918D78" w14:textId="356D4B65" w:rsidR="00967957" w:rsidRPr="00821A87" w:rsidRDefault="00967957" w:rsidP="00967957">
        <w:pPr>
          <w:pStyle w:val="Footer"/>
          <w:tabs>
            <w:tab w:val="clear" w:pos="4513"/>
            <w:tab w:val="clear" w:pos="9026"/>
            <w:tab w:val="center" w:pos="4536"/>
            <w:tab w:val="right" w:pos="9072"/>
          </w:tabs>
        </w:pPr>
        <w:r w:rsidRPr="009B2942">
          <w:t>ndis.gov.au</w:t>
        </w:r>
        <w:r>
          <w:t xml:space="preserve"> </w:t>
        </w:r>
        <w:r>
          <w:tab/>
        </w:r>
        <w:r w:rsidRPr="009B2942">
          <w:tab/>
        </w:r>
        <w:r w:rsidRPr="009B2942">
          <w:fldChar w:fldCharType="begin"/>
        </w:r>
        <w:r w:rsidRPr="009B2942">
          <w:instrText xml:space="preserve"> PAGE </w:instrText>
        </w:r>
        <w:r w:rsidRPr="009B2942">
          <w:fldChar w:fldCharType="separate"/>
        </w:r>
        <w:r>
          <w:t>2</w:t>
        </w:r>
        <w:r w:rsidRPr="009B2942">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3409821"/>
      <w:docPartObj>
        <w:docPartGallery w:val="Page Numbers (Bottom of Page)"/>
        <w:docPartUnique/>
      </w:docPartObj>
    </w:sdtPr>
    <w:sdtEndPr/>
    <w:sdtContent>
      <w:p w14:paraId="4AFBFFBD" w14:textId="0BCDDB7D" w:rsidR="003A2FA9" w:rsidRPr="00AA4A8E" w:rsidRDefault="003A2FA9" w:rsidP="004C5085">
        <w:pPr>
          <w:pStyle w:val="Footer"/>
          <w:tabs>
            <w:tab w:val="clear" w:pos="4513"/>
            <w:tab w:val="clear" w:pos="9026"/>
            <w:tab w:val="center" w:pos="4536"/>
            <w:tab w:val="right" w:pos="9072"/>
          </w:tabs>
        </w:pPr>
        <w:r w:rsidRPr="009B2942">
          <w:t>ndis.gov.au</w:t>
        </w:r>
        <w:r>
          <w:t xml:space="preserve"> </w:t>
        </w:r>
        <w:r>
          <w:tab/>
        </w:r>
        <w:r w:rsidRPr="009B2942">
          <w:tab/>
        </w:r>
        <w:r w:rsidRPr="009B2942">
          <w:fldChar w:fldCharType="begin"/>
        </w:r>
        <w:r w:rsidRPr="009B2942">
          <w:instrText xml:space="preserve"> PAGE </w:instrText>
        </w:r>
        <w:r w:rsidRPr="009B2942">
          <w:fldChar w:fldCharType="separate"/>
        </w:r>
        <w:r>
          <w:t>2</w:t>
        </w:r>
        <w:r w:rsidRPr="009B2942">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0902593"/>
      <w:docPartObj>
        <w:docPartGallery w:val="Page Numbers (Bottom of Page)"/>
        <w:docPartUnique/>
      </w:docPartObj>
    </w:sdtPr>
    <w:sdtEndPr/>
    <w:sdtContent>
      <w:p w14:paraId="42A0F774" w14:textId="061E874A" w:rsidR="00E70ACE" w:rsidRPr="00821A87" w:rsidRDefault="00E70ACE" w:rsidP="00967957">
        <w:pPr>
          <w:pStyle w:val="Footer"/>
          <w:tabs>
            <w:tab w:val="clear" w:pos="4513"/>
            <w:tab w:val="clear" w:pos="9026"/>
            <w:tab w:val="center" w:pos="4536"/>
            <w:tab w:val="right" w:pos="9072"/>
          </w:tabs>
        </w:pPr>
        <w:r w:rsidRPr="009B2942">
          <w:t>ndis.gov.au</w:t>
        </w:r>
        <w:r>
          <w:t xml:space="preserve"> </w:t>
        </w:r>
        <w:r>
          <w:tab/>
        </w:r>
        <w:r w:rsidRPr="009B2942">
          <w:tab/>
        </w:r>
        <w:r w:rsidRPr="009B2942">
          <w:fldChar w:fldCharType="begin"/>
        </w:r>
        <w:r w:rsidRPr="009B2942">
          <w:instrText xml:space="preserve"> PAGE </w:instrText>
        </w:r>
        <w:r w:rsidRPr="009B2942">
          <w:fldChar w:fldCharType="separate"/>
        </w:r>
        <w:r>
          <w:t>2</w:t>
        </w:r>
        <w:r w:rsidRPr="009B2942">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6841977"/>
      <w:docPartObj>
        <w:docPartGallery w:val="Page Numbers (Bottom of Page)"/>
        <w:docPartUnique/>
      </w:docPartObj>
    </w:sdtPr>
    <w:sdtEndPr/>
    <w:sdtContent>
      <w:p w14:paraId="126A4CD0" w14:textId="58F6F799" w:rsidR="004C5085" w:rsidRPr="00AA4A8E" w:rsidRDefault="004C5085" w:rsidP="004C5085">
        <w:pPr>
          <w:pStyle w:val="Footer"/>
          <w:tabs>
            <w:tab w:val="clear" w:pos="4513"/>
            <w:tab w:val="clear" w:pos="9026"/>
            <w:tab w:val="center" w:pos="6804"/>
            <w:tab w:val="right" w:pos="13608"/>
          </w:tabs>
        </w:pPr>
        <w:r w:rsidRPr="009B2942">
          <w:t>ndis.gov.au</w:t>
        </w:r>
        <w:r>
          <w:t xml:space="preserve"> </w:t>
        </w:r>
        <w:r>
          <w:tab/>
        </w:r>
        <w:r w:rsidRPr="009B2942">
          <w:tab/>
        </w:r>
        <w:r w:rsidRPr="009B2942">
          <w:fldChar w:fldCharType="begin"/>
        </w:r>
        <w:r w:rsidRPr="009B2942">
          <w:instrText xml:space="preserve"> PAGE </w:instrText>
        </w:r>
        <w:r w:rsidRPr="009B2942">
          <w:fldChar w:fldCharType="separate"/>
        </w:r>
        <w:r>
          <w:t>2</w:t>
        </w:r>
        <w:r w:rsidRPr="009B2942">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5389452"/>
      <w:docPartObj>
        <w:docPartGallery w:val="Page Numbers (Bottom of Page)"/>
        <w:docPartUnique/>
      </w:docPartObj>
    </w:sdtPr>
    <w:sdtEndPr/>
    <w:sdtContent>
      <w:p w14:paraId="781B84DF" w14:textId="0A160C5B" w:rsidR="0080564E" w:rsidRPr="00821A87" w:rsidRDefault="004C7539" w:rsidP="00EE17BD">
        <w:pPr>
          <w:pStyle w:val="Footer"/>
          <w:tabs>
            <w:tab w:val="clear" w:pos="4513"/>
            <w:tab w:val="clear" w:pos="9026"/>
            <w:tab w:val="center" w:pos="6946"/>
            <w:tab w:val="right" w:pos="13608"/>
          </w:tabs>
        </w:pPr>
        <w:r w:rsidRPr="009B2942">
          <w:t>ndis.gov.au</w:t>
        </w:r>
        <w:r>
          <w:t xml:space="preserve"> </w:t>
        </w:r>
        <w:r>
          <w:tab/>
        </w:r>
        <w:r w:rsidRPr="009B2942">
          <w:tab/>
        </w:r>
        <w:r w:rsidRPr="009B2942">
          <w:fldChar w:fldCharType="begin"/>
        </w:r>
        <w:r w:rsidRPr="009B2942">
          <w:instrText xml:space="preserve"> PAGE </w:instrText>
        </w:r>
        <w:r w:rsidRPr="009B2942">
          <w:fldChar w:fldCharType="separate"/>
        </w:r>
        <w:r>
          <w:t>135</w:t>
        </w:r>
        <w:r w:rsidRPr="009B2942">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4608777"/>
      <w:docPartObj>
        <w:docPartGallery w:val="Page Numbers (Bottom of Page)"/>
        <w:docPartUnique/>
      </w:docPartObj>
    </w:sdtPr>
    <w:sdtEndPr/>
    <w:sdtContent>
      <w:p w14:paraId="24C7B05F" w14:textId="31B25F1A" w:rsidR="004D0E40" w:rsidRPr="00AA4A8E" w:rsidRDefault="004D0E40" w:rsidP="00DD3E52">
        <w:pPr>
          <w:pStyle w:val="Footer"/>
          <w:tabs>
            <w:tab w:val="clear" w:pos="4513"/>
            <w:tab w:val="clear" w:pos="9026"/>
            <w:tab w:val="center" w:pos="4536"/>
            <w:tab w:val="right" w:pos="9072"/>
          </w:tabs>
        </w:pPr>
        <w:r w:rsidRPr="009B2942">
          <w:t>ndis.gov.au</w:t>
        </w:r>
        <w:r>
          <w:t xml:space="preserve"> </w:t>
        </w:r>
        <w:r>
          <w:tab/>
        </w:r>
        <w:r w:rsidRPr="009B2942">
          <w:tab/>
        </w:r>
        <w:r w:rsidRPr="009B2942">
          <w:fldChar w:fldCharType="begin"/>
        </w:r>
        <w:r w:rsidRPr="009B2942">
          <w:instrText xml:space="preserve"> PAGE </w:instrText>
        </w:r>
        <w:r w:rsidRPr="009B2942">
          <w:fldChar w:fldCharType="separate"/>
        </w:r>
        <w:r>
          <w:t>2</w:t>
        </w:r>
        <w:r w:rsidRPr="009B2942">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9451180"/>
      <w:docPartObj>
        <w:docPartGallery w:val="Page Numbers (Bottom of Page)"/>
        <w:docPartUnique/>
      </w:docPartObj>
    </w:sdtPr>
    <w:sdtEndPr/>
    <w:sdtContent>
      <w:p w14:paraId="6ECF5CBC" w14:textId="21511876" w:rsidR="003C3460" w:rsidRPr="00821A87" w:rsidRDefault="006A3991" w:rsidP="00FF38DC">
        <w:pPr>
          <w:pStyle w:val="Footer"/>
          <w:tabs>
            <w:tab w:val="clear" w:pos="4513"/>
            <w:tab w:val="center" w:pos="4536"/>
          </w:tabs>
        </w:pPr>
        <w:r w:rsidRPr="009B2942">
          <w:t>ndis.gov.au</w:t>
        </w:r>
        <w:r>
          <w:t xml:space="preserve"> </w:t>
        </w:r>
        <w:r>
          <w:tab/>
        </w:r>
        <w:r w:rsidRPr="009B2942">
          <w:tab/>
        </w:r>
        <w:r w:rsidRPr="009B2942">
          <w:fldChar w:fldCharType="begin"/>
        </w:r>
        <w:r w:rsidRPr="009B2942">
          <w:instrText xml:space="preserve"> PAGE </w:instrText>
        </w:r>
        <w:r w:rsidRPr="009B2942">
          <w:fldChar w:fldCharType="separate"/>
        </w:r>
        <w:r>
          <w:t>131</w:t>
        </w:r>
        <w:r w:rsidRPr="009B2942">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9229795"/>
      <w:docPartObj>
        <w:docPartGallery w:val="Page Numbers (Bottom of Page)"/>
        <w:docPartUnique/>
      </w:docPartObj>
    </w:sdtPr>
    <w:sdtEndPr/>
    <w:sdtContent>
      <w:p w14:paraId="0CD3A948" w14:textId="66BADEFE" w:rsidR="00F67217" w:rsidRPr="009B2942" w:rsidRDefault="00F67217" w:rsidP="009B2942">
        <w:pPr>
          <w:pStyle w:val="Footer"/>
        </w:pPr>
        <w:r w:rsidRPr="009B2942">
          <w:t>ndis.gov.au</w:t>
        </w:r>
        <w:r>
          <w:t xml:space="preserve"> </w:t>
        </w:r>
        <w:r w:rsidR="00BE3421">
          <w:tab/>
        </w:r>
        <w:r w:rsidR="00BE3421">
          <w:tab/>
        </w:r>
        <w:r w:rsidR="00BE3421" w:rsidRPr="009B2942">
          <w:fldChar w:fldCharType="begin"/>
        </w:r>
        <w:r w:rsidR="00BE3421" w:rsidRPr="009B2942">
          <w:instrText xml:space="preserve"> PAGE </w:instrText>
        </w:r>
        <w:r w:rsidR="00BE3421" w:rsidRPr="009B2942">
          <w:fldChar w:fldCharType="separate"/>
        </w:r>
        <w:r w:rsidR="00BE3421">
          <w:t>3</w:t>
        </w:r>
        <w:r w:rsidR="00BE3421" w:rsidRPr="009B2942">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0821485"/>
      <w:docPartObj>
        <w:docPartGallery w:val="Page Numbers (Bottom of Page)"/>
        <w:docPartUnique/>
      </w:docPartObj>
    </w:sdtPr>
    <w:sdtEndPr/>
    <w:sdtContent>
      <w:p w14:paraId="57F4AA18" w14:textId="770E54C3" w:rsidR="001C74C2" w:rsidRPr="00AA4A8E" w:rsidRDefault="001C74C2" w:rsidP="00967957">
        <w:pPr>
          <w:pStyle w:val="Footer"/>
          <w:tabs>
            <w:tab w:val="clear" w:pos="4513"/>
            <w:tab w:val="clear" w:pos="9026"/>
            <w:tab w:val="center" w:pos="4536"/>
            <w:tab w:val="right" w:pos="9072"/>
          </w:tabs>
        </w:pPr>
        <w:r w:rsidRPr="009B2942">
          <w:t>ndis.gov.au</w:t>
        </w:r>
        <w:r>
          <w:tab/>
        </w:r>
        <w:r w:rsidRPr="009B2942">
          <w:tab/>
        </w:r>
        <w:r w:rsidRPr="009B2942">
          <w:fldChar w:fldCharType="begin"/>
        </w:r>
        <w:r w:rsidRPr="009B2942">
          <w:instrText xml:space="preserve"> PAGE </w:instrText>
        </w:r>
        <w:r w:rsidRPr="009B2942">
          <w:fldChar w:fldCharType="separate"/>
        </w:r>
        <w:r>
          <w:t>2</w:t>
        </w:r>
        <w:r w:rsidRPr="009B2942">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5078"/>
      <w:docPartObj>
        <w:docPartGallery w:val="Page Numbers (Bottom of Page)"/>
        <w:docPartUnique/>
      </w:docPartObj>
    </w:sdtPr>
    <w:sdtEndPr/>
    <w:sdtContent>
      <w:p w14:paraId="2F530E20" w14:textId="159243ED" w:rsidR="009B5EFC" w:rsidRPr="00821A87" w:rsidRDefault="009B5EFC" w:rsidP="00AA4A8E">
        <w:pPr>
          <w:pStyle w:val="Footer"/>
          <w:tabs>
            <w:tab w:val="clear" w:pos="4513"/>
            <w:tab w:val="clear" w:pos="9026"/>
            <w:tab w:val="center" w:pos="4536"/>
            <w:tab w:val="right" w:pos="9072"/>
          </w:tabs>
        </w:pPr>
        <w:r w:rsidRPr="009B2942">
          <w:t>ndis.gov.au</w:t>
        </w:r>
        <w:r>
          <w:t xml:space="preserve"> </w:t>
        </w:r>
        <w:r>
          <w:tab/>
        </w:r>
        <w:r w:rsidRPr="009B2942">
          <w:tab/>
        </w:r>
        <w:r w:rsidRPr="009B2942">
          <w:fldChar w:fldCharType="begin"/>
        </w:r>
        <w:r w:rsidRPr="009B2942">
          <w:instrText xml:space="preserve"> PAGE </w:instrText>
        </w:r>
        <w:r w:rsidRPr="009B2942">
          <w:fldChar w:fldCharType="separate"/>
        </w:r>
        <w:r>
          <w:t>2</w:t>
        </w:r>
        <w:r w:rsidRPr="009B2942">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6493696"/>
      <w:docPartObj>
        <w:docPartGallery w:val="Page Numbers (Bottom of Page)"/>
        <w:docPartUnique/>
      </w:docPartObj>
    </w:sdtPr>
    <w:sdtEndPr/>
    <w:sdtContent>
      <w:p w14:paraId="4B7996DB" w14:textId="1FA2E6E5" w:rsidR="000E49AD" w:rsidRPr="00AA4A8E" w:rsidRDefault="000E49AD" w:rsidP="00967957">
        <w:pPr>
          <w:pStyle w:val="Footer"/>
          <w:tabs>
            <w:tab w:val="clear" w:pos="4513"/>
            <w:tab w:val="clear" w:pos="9026"/>
            <w:tab w:val="center" w:pos="4536"/>
            <w:tab w:val="right" w:pos="9072"/>
          </w:tabs>
        </w:pPr>
        <w:r w:rsidRPr="009B2942">
          <w:t>ndis.gov.au</w:t>
        </w:r>
        <w:r>
          <w:t xml:space="preserve"> </w:t>
        </w:r>
        <w:r>
          <w:tab/>
        </w:r>
        <w:r w:rsidRPr="009B2942">
          <w:tab/>
        </w:r>
        <w:r w:rsidRPr="009B2942">
          <w:fldChar w:fldCharType="begin"/>
        </w:r>
        <w:r w:rsidRPr="009B2942">
          <w:instrText xml:space="preserve"> PAGE </w:instrText>
        </w:r>
        <w:r w:rsidRPr="009B2942">
          <w:fldChar w:fldCharType="separate"/>
        </w:r>
        <w:r>
          <w:t>2</w:t>
        </w:r>
        <w:r w:rsidRPr="009B2942">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2282403"/>
      <w:docPartObj>
        <w:docPartGallery w:val="Page Numbers (Bottom of Page)"/>
        <w:docPartUnique/>
      </w:docPartObj>
    </w:sdtPr>
    <w:sdtEndPr/>
    <w:sdtContent>
      <w:p w14:paraId="73DDBDA8" w14:textId="742CFE71" w:rsidR="00CD66A8" w:rsidRPr="00821A87" w:rsidRDefault="00CD66A8" w:rsidP="00AA4A8E">
        <w:pPr>
          <w:pStyle w:val="Footer"/>
          <w:tabs>
            <w:tab w:val="clear" w:pos="4513"/>
            <w:tab w:val="clear" w:pos="9026"/>
            <w:tab w:val="center" w:pos="4536"/>
            <w:tab w:val="right" w:pos="9072"/>
          </w:tabs>
        </w:pPr>
        <w:r w:rsidRPr="009B2942">
          <w:t>ndis.gov.au</w:t>
        </w:r>
        <w:r>
          <w:t xml:space="preserve"> </w:t>
        </w:r>
        <w:r>
          <w:tab/>
        </w:r>
        <w:r w:rsidRPr="009B2942">
          <w:tab/>
        </w:r>
        <w:r w:rsidRPr="009B2942">
          <w:fldChar w:fldCharType="begin"/>
        </w:r>
        <w:r w:rsidRPr="009B2942">
          <w:instrText xml:space="preserve"> PAGE </w:instrText>
        </w:r>
        <w:r w:rsidRPr="009B2942">
          <w:fldChar w:fldCharType="separate"/>
        </w:r>
        <w:r>
          <w:t>2</w:t>
        </w:r>
        <w:r w:rsidRPr="009B2942">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5066154"/>
      <w:docPartObj>
        <w:docPartGallery w:val="Page Numbers (Bottom of Page)"/>
        <w:docPartUnique/>
      </w:docPartObj>
    </w:sdtPr>
    <w:sdtEndPr/>
    <w:sdtContent>
      <w:p w14:paraId="1240214D" w14:textId="2FDF76DB" w:rsidR="009C694D" w:rsidRPr="00AA4A8E" w:rsidRDefault="009C694D" w:rsidP="00967957">
        <w:pPr>
          <w:pStyle w:val="Footer"/>
          <w:tabs>
            <w:tab w:val="clear" w:pos="4513"/>
            <w:tab w:val="clear" w:pos="9026"/>
            <w:tab w:val="center" w:pos="4536"/>
            <w:tab w:val="right" w:pos="9072"/>
          </w:tabs>
        </w:pPr>
        <w:r w:rsidRPr="009B2942">
          <w:t>ndis.gov.au</w:t>
        </w:r>
        <w:r>
          <w:t xml:space="preserve"> </w:t>
        </w:r>
        <w:r>
          <w:tab/>
        </w:r>
        <w:r w:rsidRPr="009B2942">
          <w:tab/>
        </w:r>
        <w:r w:rsidRPr="009B2942">
          <w:fldChar w:fldCharType="begin"/>
        </w:r>
        <w:r w:rsidRPr="009B2942">
          <w:instrText xml:space="preserve"> PAGE </w:instrText>
        </w:r>
        <w:r w:rsidRPr="009B2942">
          <w:fldChar w:fldCharType="separate"/>
        </w:r>
        <w:r>
          <w:t>2</w:t>
        </w:r>
        <w:r w:rsidRPr="009B2942">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0642550"/>
      <w:docPartObj>
        <w:docPartGallery w:val="Page Numbers (Bottom of Page)"/>
        <w:docPartUnique/>
      </w:docPartObj>
    </w:sdtPr>
    <w:sdtEndPr/>
    <w:sdtContent>
      <w:p w14:paraId="1FA82069" w14:textId="1AB13768" w:rsidR="00A554D1" w:rsidRPr="00AA4A8E" w:rsidRDefault="00A554D1" w:rsidP="00967957">
        <w:pPr>
          <w:pStyle w:val="Footer"/>
          <w:tabs>
            <w:tab w:val="clear" w:pos="4513"/>
            <w:tab w:val="clear" w:pos="9026"/>
            <w:tab w:val="center" w:pos="4536"/>
            <w:tab w:val="right" w:pos="9072"/>
          </w:tabs>
        </w:pPr>
        <w:r w:rsidRPr="009B2942">
          <w:t>ndis.gov.au</w:t>
        </w:r>
        <w:r>
          <w:t xml:space="preserve"> </w:t>
        </w:r>
        <w:r>
          <w:tab/>
        </w:r>
        <w:r w:rsidRPr="009B2942">
          <w:tab/>
        </w:r>
        <w:r w:rsidRPr="009B2942">
          <w:fldChar w:fldCharType="begin"/>
        </w:r>
        <w:r w:rsidRPr="009B2942">
          <w:instrText xml:space="preserve"> PAGE </w:instrText>
        </w:r>
        <w:r w:rsidRPr="009B2942">
          <w:fldChar w:fldCharType="separate"/>
        </w:r>
        <w:r>
          <w:t>2</w:t>
        </w:r>
        <w:r w:rsidRPr="009B2942">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53541A" w14:textId="77777777" w:rsidR="00EA133B" w:rsidRDefault="00EA133B" w:rsidP="00767166">
      <w:pPr>
        <w:spacing w:after="0"/>
      </w:pPr>
      <w:r>
        <w:separator/>
      </w:r>
    </w:p>
  </w:footnote>
  <w:footnote w:type="continuationSeparator" w:id="0">
    <w:p w14:paraId="1A00B8CE" w14:textId="77777777" w:rsidR="00EA133B" w:rsidRDefault="00EA133B" w:rsidP="00042A45">
      <w:r>
        <w:continuationSeparator/>
      </w:r>
    </w:p>
    <w:p w14:paraId="28BE83DD" w14:textId="77777777" w:rsidR="00EA133B" w:rsidRDefault="00EA133B" w:rsidP="00042A45"/>
    <w:p w14:paraId="2FD584A3" w14:textId="77777777" w:rsidR="00EA133B" w:rsidRDefault="00EA133B" w:rsidP="00042A45"/>
    <w:p w14:paraId="2D4E2267" w14:textId="77777777" w:rsidR="00EA133B" w:rsidRDefault="00EA133B" w:rsidP="00042A45"/>
    <w:p w14:paraId="298AA44F" w14:textId="77777777" w:rsidR="00EA133B" w:rsidRDefault="00EA133B" w:rsidP="00042A45"/>
    <w:p w14:paraId="46CE2AD6" w14:textId="77777777" w:rsidR="00EA133B" w:rsidRDefault="00EA133B" w:rsidP="00042A45"/>
    <w:p w14:paraId="6E4E4029" w14:textId="77777777" w:rsidR="00EA133B" w:rsidRDefault="00EA133B" w:rsidP="00042A45"/>
    <w:p w14:paraId="4B005EBA" w14:textId="77777777" w:rsidR="00EA133B" w:rsidRDefault="00EA133B" w:rsidP="00042A45"/>
    <w:p w14:paraId="683EECE5" w14:textId="77777777" w:rsidR="00EA133B" w:rsidRDefault="00EA133B" w:rsidP="00042A45"/>
    <w:p w14:paraId="5112F989" w14:textId="77777777" w:rsidR="00EA133B" w:rsidRDefault="00EA133B" w:rsidP="00042A45"/>
    <w:p w14:paraId="5FFBEFA2" w14:textId="77777777" w:rsidR="00EA133B" w:rsidRDefault="00EA133B" w:rsidP="00042A45"/>
  </w:footnote>
  <w:footnote w:type="continuationNotice" w:id="1">
    <w:p w14:paraId="2A4360D7" w14:textId="77777777" w:rsidR="00EA133B" w:rsidRDefault="00EA133B">
      <w:pPr>
        <w:spacing w:after="0" w:line="240" w:lineRule="auto"/>
      </w:pPr>
    </w:p>
  </w:footnote>
  <w:footnote w:id="2">
    <w:p w14:paraId="4483DC2D" w14:textId="0BA6DE4B" w:rsidR="00EE4A81" w:rsidRPr="002E4564" w:rsidRDefault="00EE4A81" w:rsidP="00EE4A81">
      <w:pPr>
        <w:rPr>
          <w:sz w:val="18"/>
          <w:szCs w:val="18"/>
          <w:lang w:val="en-GB"/>
        </w:rPr>
      </w:pPr>
      <w:r w:rsidRPr="002E4564">
        <w:rPr>
          <w:rStyle w:val="FootnoteReference"/>
          <w:sz w:val="18"/>
          <w:szCs w:val="18"/>
        </w:rPr>
        <w:footnoteRef/>
      </w:r>
      <w:r w:rsidRPr="002E4564">
        <w:rPr>
          <w:sz w:val="18"/>
          <w:szCs w:val="18"/>
        </w:rPr>
        <w:t xml:space="preserve"> </w:t>
      </w:r>
      <w:hyperlink r:id="rId1" w:history="1">
        <w:r w:rsidR="00BE0BD5">
          <w:rPr>
            <w:rStyle w:val="Hyperlink"/>
            <w:sz w:val="18"/>
            <w:szCs w:val="18"/>
          </w:rPr>
          <w:t>Department of Social Services Corporate Plan 2023–24.</w:t>
        </w:r>
      </w:hyperlink>
    </w:p>
  </w:footnote>
  <w:footnote w:id="3">
    <w:p w14:paraId="2BEB070E" w14:textId="52FE4008" w:rsidR="000D3DCF" w:rsidRDefault="000D3DCF" w:rsidP="00AB231D">
      <w:pPr>
        <w:pStyle w:val="FootnoteText"/>
      </w:pPr>
      <w:r>
        <w:rPr>
          <w:rStyle w:val="FootnoteReference"/>
        </w:rPr>
        <w:footnoteRef/>
      </w:r>
      <w:r>
        <w:t xml:space="preserve"> </w:t>
      </w:r>
      <w:r w:rsidRPr="009B5C0D">
        <w:rPr>
          <w:sz w:val="18"/>
          <w:szCs w:val="18"/>
        </w:rPr>
        <w:t xml:space="preserve">The method for jurisdictional reporting to accommodate the </w:t>
      </w:r>
      <w:r w:rsidRPr="009B5C0D">
        <w:rPr>
          <w:rStyle w:val="ui-provider"/>
          <w:sz w:val="18"/>
          <w:szCs w:val="18"/>
        </w:rPr>
        <w:t xml:space="preserve">smaller sample sizes within the Australian Capital Territory uses the top </w:t>
      </w:r>
      <w:r>
        <w:rPr>
          <w:rStyle w:val="ui-provider"/>
          <w:sz w:val="18"/>
          <w:szCs w:val="18"/>
        </w:rPr>
        <w:t>4</w:t>
      </w:r>
      <w:r w:rsidRPr="009B5C0D">
        <w:rPr>
          <w:rStyle w:val="ui-provider"/>
          <w:sz w:val="18"/>
          <w:szCs w:val="18"/>
        </w:rPr>
        <w:t xml:space="preserve"> deciles and bottom </w:t>
      </w:r>
      <w:r w:rsidR="0030168A">
        <w:rPr>
          <w:rStyle w:val="ui-provider"/>
          <w:sz w:val="18"/>
          <w:szCs w:val="18"/>
        </w:rPr>
        <w:t>4</w:t>
      </w:r>
      <w:r w:rsidRPr="009B5C0D">
        <w:rPr>
          <w:rStyle w:val="ui-provider"/>
          <w:sz w:val="18"/>
          <w:szCs w:val="18"/>
        </w:rPr>
        <w:t xml:space="preserve"> deciles.</w:t>
      </w:r>
    </w:p>
  </w:footnote>
  <w:footnote w:id="4">
    <w:p w14:paraId="727A759B" w14:textId="052AECAD" w:rsidR="000D3DCF" w:rsidRDefault="000D3DCF" w:rsidP="007145B8">
      <w:pPr>
        <w:pStyle w:val="FootnoteText"/>
      </w:pPr>
      <w:r>
        <w:rPr>
          <w:rStyle w:val="FootnoteReference"/>
        </w:rPr>
        <w:footnoteRef/>
      </w:r>
      <w:r>
        <w:t xml:space="preserve"> 17 of 20 PSG timeframes available for the 2022-23 financial year</w:t>
      </w:r>
      <w:r w:rsidR="00A10EFC">
        <w:t>.</w:t>
      </w:r>
    </w:p>
  </w:footnote>
  <w:footnote w:id="5">
    <w:p w14:paraId="57A53FD1" w14:textId="17440696" w:rsidR="00E85C37" w:rsidRPr="00C27C63" w:rsidRDefault="00E85C37" w:rsidP="00E85C37">
      <w:pPr>
        <w:pStyle w:val="FootnoteText"/>
      </w:pPr>
      <w:r w:rsidRPr="00C27C63">
        <w:rPr>
          <w:rStyle w:val="FootnoteReference"/>
          <w:sz w:val="20"/>
          <w:szCs w:val="20"/>
        </w:rPr>
        <w:footnoteRef/>
      </w:r>
      <w:r w:rsidRPr="00C27C63">
        <w:t xml:space="preserve"> </w:t>
      </w:r>
      <w:r w:rsidR="00AF2B54" w:rsidRPr="00223777">
        <w:t>Minister for the Department of Social Services</w:t>
      </w:r>
      <w:r w:rsidR="00AF2B54">
        <w:t xml:space="preserve"> (28 April 2023)</w:t>
      </w:r>
      <w:r w:rsidR="00AF2B54" w:rsidRPr="00223777">
        <w:t xml:space="preserve"> </w:t>
      </w:r>
      <w:hyperlink r:id="rId2" w:history="1">
        <w:r w:rsidR="00AF2B54" w:rsidRPr="00650775">
          <w:rPr>
            <w:rStyle w:val="Hyperlink"/>
            <w:i/>
            <w:iCs/>
          </w:rPr>
          <w:t>National Cabinet commits to a sustainable NDIS</w:t>
        </w:r>
      </w:hyperlink>
      <w:r w:rsidR="00AF2B54" w:rsidRPr="00650775">
        <w:rPr>
          <w:rStyle w:val="Hyperlink"/>
          <w:color w:val="auto"/>
          <w:u w:val="none"/>
        </w:rPr>
        <w:t xml:space="preserve"> </w:t>
      </w:r>
      <w:r w:rsidR="00AF2B54">
        <w:rPr>
          <w:rStyle w:val="Hyperlink"/>
          <w:color w:val="auto"/>
          <w:u w:val="none"/>
        </w:rPr>
        <w:t>[</w:t>
      </w:r>
      <w:r w:rsidR="00AF2B54" w:rsidRPr="00650775">
        <w:rPr>
          <w:rStyle w:val="Hyperlink"/>
          <w:color w:val="auto"/>
          <w:u w:val="none"/>
        </w:rPr>
        <w:t>media release</w:t>
      </w:r>
      <w:r w:rsidR="00AF2B54">
        <w:rPr>
          <w:rStyle w:val="Hyperlink"/>
          <w:color w:val="auto"/>
          <w:u w:val="none"/>
        </w:rPr>
        <w:t>]</w:t>
      </w:r>
      <w:r w:rsidR="00AF2B54" w:rsidRPr="00650775">
        <w:rPr>
          <w:rStyle w:val="Hyperlink"/>
          <w:color w:val="auto"/>
          <w:u w:val="none"/>
        </w:rPr>
        <w:t xml:space="preserve">, </w:t>
      </w:r>
      <w:r w:rsidR="00AF2B54">
        <w:rPr>
          <w:rStyle w:val="Hyperlink"/>
          <w:color w:val="auto"/>
          <w:u w:val="none"/>
        </w:rPr>
        <w:t>Australian Government</w:t>
      </w:r>
      <w:r w:rsidR="00AF2B54" w:rsidRPr="00650775">
        <w:rPr>
          <w:rStyle w:val="Hyperlink"/>
          <w:color w:val="auto"/>
          <w:u w:val="none"/>
        </w:rPr>
        <w:t>.</w:t>
      </w:r>
    </w:p>
  </w:footnote>
  <w:footnote w:id="6">
    <w:p w14:paraId="1B9283C9" w14:textId="035249A9" w:rsidR="00850FCB" w:rsidRPr="00C27C63" w:rsidRDefault="00850FCB" w:rsidP="00850FCB">
      <w:pPr>
        <w:pStyle w:val="FootnoteText"/>
        <w:rPr>
          <w:rFonts w:asciiTheme="minorHAnsi" w:hAnsiTheme="minorHAnsi"/>
          <w:kern w:val="2"/>
          <w:lang w:eastAsia="en-US" w:bidi="th-TH"/>
          <w14:ligatures w14:val="standardContextual"/>
        </w:rPr>
      </w:pPr>
      <w:r w:rsidRPr="00C27C63">
        <w:rPr>
          <w:rStyle w:val="FootnoteReference"/>
          <w:sz w:val="20"/>
          <w:szCs w:val="20"/>
        </w:rPr>
        <w:footnoteRef/>
      </w:r>
      <w:r w:rsidRPr="00C27C63">
        <w:t xml:space="preserve"> </w:t>
      </w:r>
      <w:r w:rsidR="00AF2B54">
        <w:t xml:space="preserve">Australian Government (14 May 2024) </w:t>
      </w:r>
      <w:hyperlink r:id="rId3" w:history="1">
        <w:r w:rsidR="00AF2B54" w:rsidRPr="00650775">
          <w:rPr>
            <w:rStyle w:val="Hyperlink"/>
            <w:i/>
            <w:iCs/>
          </w:rPr>
          <w:t>Budget Paper No. 2</w:t>
        </w:r>
      </w:hyperlink>
      <w:r w:rsidR="00AF2B54">
        <w:rPr>
          <w:rStyle w:val="Hyperlink"/>
          <w:color w:val="auto"/>
          <w:u w:val="none"/>
        </w:rPr>
        <w:t xml:space="preserve">, Commonwealth of Australia, </w:t>
      </w:r>
      <w:r w:rsidR="00AF2B54" w:rsidRPr="00650775">
        <w:rPr>
          <w:rStyle w:val="Hyperlink"/>
          <w:color w:val="auto"/>
          <w:u w:val="none"/>
        </w:rPr>
        <w:t>p</w:t>
      </w:r>
      <w:r w:rsidR="00AF2B54">
        <w:rPr>
          <w:rStyle w:val="Hyperlink"/>
          <w:color w:val="auto"/>
          <w:u w:val="none"/>
        </w:rPr>
        <w:t xml:space="preserve">. </w:t>
      </w:r>
      <w:r w:rsidR="00AF2B54" w:rsidRPr="00650775">
        <w:rPr>
          <w:rStyle w:val="Hyperlink"/>
          <w:color w:val="auto"/>
          <w:u w:val="none"/>
        </w:rPr>
        <w:t>172</w:t>
      </w:r>
      <w:r w:rsidR="00AF2B54">
        <w:rPr>
          <w:rStyle w:val="Hyperlink"/>
          <w:color w:val="auto"/>
          <w:u w:val="none"/>
        </w:rPr>
        <w:t>.</w:t>
      </w:r>
    </w:p>
  </w:footnote>
  <w:footnote w:id="7">
    <w:p w14:paraId="466B5DA8" w14:textId="71541C4E" w:rsidR="00850FCB" w:rsidRPr="00C27C63" w:rsidRDefault="00850FCB" w:rsidP="00850FCB">
      <w:pPr>
        <w:pStyle w:val="FootnoteText"/>
      </w:pPr>
      <w:r w:rsidRPr="00C27C63">
        <w:rPr>
          <w:rStyle w:val="FootnoteReference"/>
          <w:sz w:val="20"/>
          <w:szCs w:val="20"/>
        </w:rPr>
        <w:footnoteRef/>
      </w:r>
      <w:r w:rsidRPr="00C27C63">
        <w:t xml:space="preserve"> </w:t>
      </w:r>
      <w:r w:rsidR="00AF2B54">
        <w:t xml:space="preserve">Parliament of Australia (2024) </w:t>
      </w:r>
      <w:hyperlink r:id="rId4" w:history="1">
        <w:r w:rsidR="00AF2B54" w:rsidRPr="00C27C63">
          <w:rPr>
            <w:rStyle w:val="Hyperlink"/>
            <w:color w:val="0000FF"/>
          </w:rPr>
          <w:t>National Disability Insurance Scheme Amendment (Getting the NDIS Back on Track No. 1) Bill 2024</w:t>
        </w:r>
      </w:hyperlink>
      <w:r w:rsidR="00AF2B54">
        <w:t>, APH website.</w:t>
      </w:r>
    </w:p>
  </w:footnote>
  <w:footnote w:id="8">
    <w:p w14:paraId="65CE15C9" w14:textId="42CEDB5C" w:rsidR="00E85C37" w:rsidRPr="00C27C63" w:rsidRDefault="00E85C37" w:rsidP="00E85C37">
      <w:pPr>
        <w:pStyle w:val="FootnoteText"/>
      </w:pPr>
      <w:r w:rsidRPr="00C27C63">
        <w:rPr>
          <w:rStyle w:val="FootnoteReference"/>
          <w:sz w:val="20"/>
          <w:szCs w:val="20"/>
        </w:rPr>
        <w:footnoteRef/>
      </w:r>
      <w:r w:rsidRPr="00C27C63">
        <w:t xml:space="preserve"> </w:t>
      </w:r>
      <w:r w:rsidR="00AF2B54">
        <w:t>National Disability Insurance Scheme (18 February 2024)</w:t>
      </w:r>
      <w:r w:rsidR="00AF2B54" w:rsidRPr="00C27C63">
        <w:t xml:space="preserve"> </w:t>
      </w:r>
      <w:hyperlink r:id="rId5" w:tgtFrame="_blank" w:history="1">
        <w:r w:rsidR="00AF2B54" w:rsidRPr="00650775">
          <w:rPr>
            <w:rStyle w:val="Hyperlink"/>
            <w:i/>
            <w:iCs/>
          </w:rPr>
          <w:t>Reinforcing</w:t>
        </w:r>
      </w:hyperlink>
      <w:r w:rsidR="00AF2B54" w:rsidRPr="00650775">
        <w:rPr>
          <w:rStyle w:val="Hyperlink"/>
          <w:i/>
          <w:iCs/>
        </w:rPr>
        <w:t xml:space="preserve"> a sustainable, honest, and trustworthy NDIS</w:t>
      </w:r>
      <w:r w:rsidR="00AF2B54" w:rsidRPr="00650775">
        <w:rPr>
          <w:rStyle w:val="Hyperlink"/>
          <w:color w:val="auto"/>
          <w:u w:val="none"/>
        </w:rPr>
        <w:t xml:space="preserve">, </w:t>
      </w:r>
      <w:r w:rsidR="00AF2B54">
        <w:rPr>
          <w:rStyle w:val="Hyperlink"/>
          <w:color w:val="auto"/>
          <w:u w:val="none"/>
        </w:rPr>
        <w:t>NDIS website.</w:t>
      </w:r>
    </w:p>
  </w:footnote>
  <w:footnote w:id="9">
    <w:p w14:paraId="6F195E87" w14:textId="14C225FA" w:rsidR="00850FCB" w:rsidRDefault="00850FCB" w:rsidP="00850FCB">
      <w:pPr>
        <w:pStyle w:val="FootnoteText"/>
      </w:pPr>
      <w:r>
        <w:rPr>
          <w:rStyle w:val="FootnoteReference"/>
        </w:rPr>
        <w:footnoteRef/>
      </w:r>
      <w:r>
        <w:t xml:space="preserve"> </w:t>
      </w:r>
      <w:r w:rsidR="001708A8">
        <w:t xml:space="preserve">NDIS </w:t>
      </w:r>
      <w:r>
        <w:t>expenses relate to the payments made for participant supports and do not include operating expenses. Expenses on an accrual basis are</w:t>
      </w:r>
      <w:r w:rsidRPr="00921CFB">
        <w:t xml:space="preserve"> based on when the service was provided to the participant</w:t>
      </w:r>
      <w:r w:rsidR="003F6313">
        <w:t>,</w:t>
      </w:r>
      <w:r w:rsidRPr="00921CFB">
        <w:t xml:space="preserve"> recognising some services are paid f</w:t>
      </w:r>
      <w:r>
        <w:t>or after the end of the period.</w:t>
      </w:r>
    </w:p>
  </w:footnote>
  <w:footnote w:id="10">
    <w:p w14:paraId="7A856809" w14:textId="29B56E48" w:rsidR="00850FCB" w:rsidRDefault="00850FCB" w:rsidP="00850FCB">
      <w:pPr>
        <w:pStyle w:val="FootnoteText"/>
      </w:pPr>
      <w:r>
        <w:rPr>
          <w:rStyle w:val="FootnoteReference"/>
        </w:rPr>
        <w:footnoteRef/>
      </w:r>
      <w:r>
        <w:t xml:space="preserve"> Changes in circumstances include a deterioration in functioning, change in family/carer circumstances, </w:t>
      </w:r>
      <w:r w:rsidR="009622C1">
        <w:t xml:space="preserve">and </w:t>
      </w:r>
      <w:r>
        <w:t xml:space="preserve">need for </w:t>
      </w:r>
      <w:r w:rsidR="00AF2B54">
        <w:t>s</w:t>
      </w:r>
      <w:r>
        <w:t xml:space="preserve">upported </w:t>
      </w:r>
      <w:r w:rsidR="00AF2B54">
        <w:t>i</w:t>
      </w:r>
      <w:r>
        <w:t xml:space="preserve">ndependent </w:t>
      </w:r>
      <w:r w:rsidR="00AF2B54">
        <w:t>l</w:t>
      </w:r>
      <w:r>
        <w:t xml:space="preserve">iving supports.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44132" w14:textId="3319AF2A" w:rsidR="00925EAF" w:rsidRDefault="00AA4A8E" w:rsidP="009B2942">
    <w:pPr>
      <w:pStyle w:val="Header"/>
      <w:spacing w:before="0" w:after="200"/>
    </w:pPr>
    <w:r>
      <w:rPr>
        <w:noProof/>
      </w:rPr>
      <mc:AlternateContent>
        <mc:Choice Requires="wps">
          <w:drawing>
            <wp:anchor distT="0" distB="0" distL="114300" distR="114300" simplePos="0" relativeHeight="251658244" behindDoc="0" locked="0" layoutInCell="1" allowOverlap="1" wp14:anchorId="19D41FC3" wp14:editId="79D33BFA">
              <wp:simplePos x="0" y="0"/>
              <wp:positionH relativeFrom="column">
                <wp:posOffset>0</wp:posOffset>
              </wp:positionH>
              <wp:positionV relativeFrom="paragraph">
                <wp:posOffset>1123950</wp:posOffset>
              </wp:positionV>
              <wp:extent cx="1828800" cy="1828800"/>
              <wp:effectExtent l="800100" t="1123950" r="783590" b="1132205"/>
              <wp:wrapNone/>
              <wp:docPr id="1181219577" name="Text Box 1"/>
              <wp:cNvGraphicFramePr/>
              <a:graphic xmlns:a="http://schemas.openxmlformats.org/drawingml/2006/main">
                <a:graphicData uri="http://schemas.microsoft.com/office/word/2010/wordprocessingShape">
                  <wps:wsp>
                    <wps:cNvSpPr txBox="1"/>
                    <wps:spPr>
                      <a:xfrm rot="19622604">
                        <a:off x="0" y="0"/>
                        <a:ext cx="1828800" cy="1828800"/>
                      </a:xfrm>
                      <a:prstGeom prst="rect">
                        <a:avLst/>
                      </a:prstGeom>
                      <a:noFill/>
                      <a:ln>
                        <a:noFill/>
                      </a:ln>
                    </wps:spPr>
                    <wps:txbx>
                      <w:txbxContent>
                        <w:p w14:paraId="5E8F2FC0" w14:textId="77777777" w:rsidR="00AA4A8E" w:rsidRPr="00AA4A8E" w:rsidRDefault="00AA4A8E" w:rsidP="00AA4A8E">
                          <w:pPr>
                            <w:pStyle w:val="Datatable"/>
                            <w:spacing w:before="800" w:after="200"/>
                            <w:rPr>
                              <w:rFonts w:eastAsia="Times New Roman" w:cs="Times New Roman"/>
                              <w:b/>
                              <w:outline/>
                              <w:color w:val="6B2876" w:themeColor="accent5"/>
                              <w:spacing w:val="0"/>
                              <w:sz w:val="72"/>
                              <w:szCs w:val="72"/>
                              <w:lang w:val="en-US"/>
                              <w14:shadow w14:blurRad="38100" w14:dist="22860" w14:dir="5400000" w14:sx="100000" w14:sy="100000" w14:kx="0" w14:ky="0" w14:algn="tl">
                                <w14:srgbClr w14:val="000000">
                                  <w14:alpha w14:val="70000"/>
                                </w14:srgbClr>
                              </w14:shadow>
                              <w14:textOutline w14:w="10160" w14:cap="flat" w14:cmpd="sng" w14:algn="ctr">
                                <w14:solidFill>
                                  <w14:schemeClr w14:val="accent5">
                                    <w14:lumMod w14:val="40000"/>
                                    <w14:lumOff w14:val="60000"/>
                                  </w14:schemeClr>
                                </w14:solidFill>
                                <w14:prstDash w14:val="solid"/>
                                <w14:round/>
                              </w14:textOutline>
                              <w14:textFill>
                                <w14:noFill/>
                              </w14:textFill>
                            </w:rPr>
                          </w:pPr>
                          <w:r w:rsidRPr="00AA4A8E">
                            <w:rPr>
                              <w:rFonts w:eastAsia="Times New Roman" w:cs="Times New Roman"/>
                              <w:b/>
                              <w:outline/>
                              <w:color w:val="6B2876" w:themeColor="accent5"/>
                              <w:spacing w:val="0"/>
                              <w:sz w:val="72"/>
                              <w:szCs w:val="72"/>
                              <w:lang w:val="en-US"/>
                              <w14:shadow w14:blurRad="38100" w14:dist="22860" w14:dir="5400000" w14:sx="100000" w14:sy="100000" w14:kx="0" w14:ky="0" w14:algn="tl">
                                <w14:srgbClr w14:val="000000">
                                  <w14:alpha w14:val="70000"/>
                                </w14:srgbClr>
                              </w14:shadow>
                              <w14:textOutline w14:w="10160" w14:cap="flat" w14:cmpd="sng" w14:algn="ctr">
                                <w14:solidFill>
                                  <w14:schemeClr w14:val="accent5">
                                    <w14:lumMod w14:val="40000"/>
                                    <w14:lumOff w14:val="60000"/>
                                  </w14:schemeClr>
                                </w14:solidFill>
                                <w14:prstDash w14:val="solid"/>
                                <w14:round/>
                              </w14:textOutline>
                              <w14:textFill>
                                <w14:noFill/>
                              </w14:textFill>
                            </w:rPr>
                            <w:t>Contents of this report are confidential until all governance approvals are obtained and the document is tabled in Parliament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9D41FC3" id="_x0000_t202" coordsize="21600,21600" o:spt="202" path="m,l,21600r21600,l21600,xe">
              <v:stroke joinstyle="miter"/>
              <v:path gradientshapeok="t" o:connecttype="rect"/>
            </v:shapetype>
            <v:shape id="Text Box 1" o:spid="_x0000_s1026" type="#_x0000_t202" style="position:absolute;left:0;text-align:left;margin-left:0;margin-top:88.5pt;width:2in;height:2in;rotation:-2159844fd;z-index:2516582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" filled="f" stroked="f">
              <v:textbox style="mso-fit-shape-to-text:t">
                <w:txbxContent>
                  <w:p w14:paraId="5E8F2FC0" w14:textId="77777777" w:rsidR="00AA4A8E" w:rsidRPr="00AA4A8E" w:rsidRDefault="00AA4A8E" w:rsidP="00AA4A8E">
                    <w:pPr>
                      <w:pStyle w:val="Datatable"/>
                      <w:spacing w:before="800" w:after="200"/>
                      <w:rPr>
                        <w:rFonts w:eastAsia="Times New Roman" w:cs="Times New Roman"/>
                        <w:b/>
                        <w:outline/>
                        <w:color w:val="6B2876" w:themeColor="accent5"/>
                        <w:spacing w:val="0"/>
                        <w:sz w:val="72"/>
                        <w:szCs w:val="72"/>
                        <w:lang w:val="en-US"/>
                        <w14:shadow w14:blurRad="38100" w14:dist="22860" w14:dir="5400000" w14:sx="100000" w14:sy="100000" w14:kx="0" w14:ky="0" w14:algn="tl">
                          <w14:srgbClr w14:val="000000">
                            <w14:alpha w14:val="70000"/>
                          </w14:srgbClr>
                        </w14:shadow>
                        <w14:textOutline w14:w="10160" w14:cap="flat" w14:cmpd="sng" w14:algn="ctr">
                          <w14:solidFill>
                            <w14:schemeClr w14:val="accent5">
                              <w14:lumMod w14:val="40000"/>
                              <w14:lumOff w14:val="60000"/>
                            </w14:schemeClr>
                          </w14:solidFill>
                          <w14:prstDash w14:val="solid"/>
                          <w14:round/>
                        </w14:textOutline>
                        <w14:textFill>
                          <w14:noFill/>
                        </w14:textFill>
                      </w:rPr>
                    </w:pPr>
                    <w:r w:rsidRPr="00AA4A8E">
                      <w:rPr>
                        <w:rFonts w:eastAsia="Times New Roman" w:cs="Times New Roman"/>
                        <w:b/>
                        <w:outline/>
                        <w:color w:val="6B2876" w:themeColor="accent5"/>
                        <w:spacing w:val="0"/>
                        <w:sz w:val="72"/>
                        <w:szCs w:val="72"/>
                        <w:lang w:val="en-US"/>
                        <w14:shadow w14:blurRad="38100" w14:dist="22860" w14:dir="5400000" w14:sx="100000" w14:sy="100000" w14:kx="0" w14:ky="0" w14:algn="tl">
                          <w14:srgbClr w14:val="000000">
                            <w14:alpha w14:val="70000"/>
                          </w14:srgbClr>
                        </w14:shadow>
                        <w14:textOutline w14:w="10160" w14:cap="flat" w14:cmpd="sng" w14:algn="ctr">
                          <w14:solidFill>
                            <w14:schemeClr w14:val="accent5">
                              <w14:lumMod w14:val="40000"/>
                              <w14:lumOff w14:val="60000"/>
                            </w14:schemeClr>
                          </w14:solidFill>
                          <w14:prstDash w14:val="solid"/>
                          <w14:round/>
                        </w14:textOutline>
                        <w14:textFill>
                          <w14:noFill/>
                        </w14:textFill>
                      </w:rPr>
                      <w:t>Contents of this report are confidential until all governance approvals are obtained and the document is tabled in Parliament</w:t>
                    </w:r>
                  </w:p>
                </w:txbxContent>
              </v:textbox>
            </v:shape>
          </w:pict>
        </mc:Fallback>
      </mc:AlternateContent>
    </w:r>
    <w:r w:rsidR="00925EAF">
      <w:rPr>
        <w:noProof/>
      </w:rPr>
      <mc:AlternateContent>
        <mc:Choice Requires="wps">
          <w:drawing>
            <wp:anchor distT="0" distB="0" distL="114300" distR="114300" simplePos="0" relativeHeight="251658240" behindDoc="0" locked="0" layoutInCell="1" allowOverlap="1" wp14:anchorId="4DA35CBA" wp14:editId="426552F4">
              <wp:simplePos x="0" y="0"/>
              <wp:positionH relativeFrom="column">
                <wp:posOffset>-1083945</wp:posOffset>
              </wp:positionH>
              <wp:positionV relativeFrom="paragraph">
                <wp:posOffset>-354965</wp:posOffset>
              </wp:positionV>
              <wp:extent cx="12600000" cy="180000"/>
              <wp:effectExtent l="0" t="0" r="0" b="0"/>
              <wp:wrapNone/>
              <wp:docPr id="815973906" name="Rectangle 8159739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600000" cy="18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F20D9" id="Rectangle 815973906" o:spid="_x0000_s1026" alt="&quot;&quot;" style="position:absolute;margin-left:-85.35pt;margin-top:-27.95pt;width:992.15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" fillcolor="#6b2876 [3215]" stroked="f" strokeweight="1pt"/>
          </w:pict>
        </mc:Fallback>
      </mc:AlternateContent>
    </w:r>
    <w:r w:rsidR="00925EAF" w:rsidRPr="003F2DA2">
      <w:t xml:space="preserve">OFFICIAL: </w:t>
    </w:r>
    <w:r w:rsidR="00925EAF" w:rsidRPr="00664E61">
      <w:t>SENSITIVE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50333" w14:textId="7322C00E" w:rsidR="003F2634" w:rsidRPr="00AA02E5" w:rsidRDefault="00AA02E5" w:rsidP="00AA02E5">
    <w:pPr>
      <w:rPr>
        <w:rFonts w:cs="Arial"/>
      </w:rPr>
    </w:pPr>
    <w:r w:rsidRPr="00AA02E5">
      <w:rPr>
        <w:noProof/>
      </w:rPr>
      <mc:AlternateContent>
        <mc:Choice Requires="wps">
          <w:drawing>
            <wp:anchor distT="0" distB="0" distL="114300" distR="114300" simplePos="0" relativeHeight="251670543" behindDoc="0" locked="0" layoutInCell="1" allowOverlap="1" wp14:anchorId="172ED851" wp14:editId="6EE92BF9">
              <wp:simplePos x="0" y="0"/>
              <wp:positionH relativeFrom="column">
                <wp:posOffset>-856557</wp:posOffset>
              </wp:positionH>
              <wp:positionV relativeFrom="paragraph">
                <wp:posOffset>-342900</wp:posOffset>
              </wp:positionV>
              <wp:extent cx="7920000" cy="180000"/>
              <wp:effectExtent l="0" t="0" r="5080" b="0"/>
              <wp:wrapNone/>
              <wp:docPr id="2003453781" name="Rectangle 20034537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20000" cy="18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B8671" id="Rectangle 2003453781" o:spid="_x0000_s1026" alt="&quot;&quot;" style="position:absolute;margin-left:-67.45pt;margin-top:-27pt;width:623.6pt;height:14.15pt;z-index:251670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" fillcolor="#6b2876 [3215]" stroked="f" strokeweight="1p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07A08" w14:textId="77777777" w:rsidR="00520333" w:rsidRDefault="0052033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1DFBA" w14:textId="5A0456CC" w:rsidR="00520333" w:rsidRPr="004454A5" w:rsidRDefault="006D688A" w:rsidP="006D688A">
    <w:pPr>
      <w:pStyle w:val="StatementDateHeader"/>
      <w:pBdr>
        <w:bottom w:val="none" w:sz="0" w:space="0" w:color="auto"/>
      </w:pBdr>
    </w:pPr>
    <w:r>
      <w:rPr>
        <w:noProof/>
      </w:rPr>
      <mc:AlternateContent>
        <mc:Choice Requires="wps">
          <w:drawing>
            <wp:anchor distT="0" distB="0" distL="114300" distR="114300" simplePos="0" relativeHeight="251672591" behindDoc="0" locked="0" layoutInCell="1" allowOverlap="1" wp14:anchorId="7382A4B3" wp14:editId="36F5DF6C">
              <wp:simplePos x="0" y="0"/>
              <wp:positionH relativeFrom="column">
                <wp:posOffset>-912899</wp:posOffset>
              </wp:positionH>
              <wp:positionV relativeFrom="paragraph">
                <wp:posOffset>-358140</wp:posOffset>
              </wp:positionV>
              <wp:extent cx="10800000" cy="180000"/>
              <wp:effectExtent l="0" t="0" r="1905" b="0"/>
              <wp:wrapNone/>
              <wp:docPr id="669878187" name="Rectangle 6698781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00000" cy="18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8EDA1" id="Rectangle 669878187" o:spid="_x0000_s1026" alt="&quot;&quot;" style="position:absolute;margin-left:-71.9pt;margin-top:-28.2pt;width:850.4pt;height:14.15pt;z-index:251672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" fillcolor="#6b2876 [3215]" stroked="f" strokeweight="1p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246FE" w14:textId="77777777" w:rsidR="00520333" w:rsidRDefault="0052033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EBCA6" w14:textId="77777777" w:rsidR="00520333" w:rsidRDefault="0052033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A79CC" w14:textId="407C05A0" w:rsidR="00520333" w:rsidRPr="006D688A" w:rsidRDefault="006D688A" w:rsidP="006D688A">
    <w:pPr>
      <w:pStyle w:val="StatementDateHeader"/>
      <w:pBdr>
        <w:bottom w:val="none" w:sz="0" w:space="0" w:color="auto"/>
      </w:pBdr>
      <w:rPr>
        <w:rFonts w:cs="Arial"/>
        <w:bCs/>
        <w:i w:val="0"/>
        <w:iCs/>
        <w:szCs w:val="24"/>
      </w:rPr>
    </w:pPr>
    <w:r>
      <w:rPr>
        <w:noProof/>
      </w:rPr>
      <mc:AlternateContent>
        <mc:Choice Requires="wps">
          <w:drawing>
            <wp:anchor distT="0" distB="0" distL="114300" distR="114300" simplePos="0" relativeHeight="251674639" behindDoc="0" locked="0" layoutInCell="1" allowOverlap="1" wp14:anchorId="69605438" wp14:editId="47C9684C">
              <wp:simplePos x="0" y="0"/>
              <wp:positionH relativeFrom="column">
                <wp:posOffset>-885594</wp:posOffset>
              </wp:positionH>
              <wp:positionV relativeFrom="paragraph">
                <wp:posOffset>-358140</wp:posOffset>
              </wp:positionV>
              <wp:extent cx="7920000" cy="180000"/>
              <wp:effectExtent l="0" t="0" r="5080" b="0"/>
              <wp:wrapNone/>
              <wp:docPr id="1889362874" name="Rectangle 18893628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20000" cy="18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41568" id="Rectangle 1889362874" o:spid="_x0000_s1026" alt="&quot;&quot;" style="position:absolute;margin-left:-69.75pt;margin-top:-28.2pt;width:623.6pt;height:14.15pt;z-index:251674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" fillcolor="#6b2876 [3215]" stroked="f" strokeweight="1p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5AA9DC" w14:textId="77777777" w:rsidR="00520333" w:rsidRDefault="0052033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7DC05D" w14:textId="77777777" w:rsidR="00520333" w:rsidRDefault="0052033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152A4" w14:textId="3D3FD0AE" w:rsidR="00520333" w:rsidRPr="006D688A" w:rsidRDefault="006D688A" w:rsidP="000D1B3E">
    <w:pPr>
      <w:spacing w:after="0"/>
      <w:rPr>
        <w:rFonts w:cs="Arial"/>
      </w:rPr>
    </w:pPr>
    <w:r w:rsidRPr="006D688A">
      <w:rPr>
        <w:noProof/>
      </w:rPr>
      <mc:AlternateContent>
        <mc:Choice Requires="wps">
          <w:drawing>
            <wp:anchor distT="0" distB="0" distL="114300" distR="114300" simplePos="0" relativeHeight="251676687" behindDoc="0" locked="0" layoutInCell="1" allowOverlap="1" wp14:anchorId="543568D2" wp14:editId="46986A64">
              <wp:simplePos x="0" y="0"/>
              <wp:positionH relativeFrom="column">
                <wp:posOffset>-982980</wp:posOffset>
              </wp:positionH>
              <wp:positionV relativeFrom="paragraph">
                <wp:posOffset>-342900</wp:posOffset>
              </wp:positionV>
              <wp:extent cx="7920000" cy="180000"/>
              <wp:effectExtent l="0" t="0" r="5080" b="0"/>
              <wp:wrapNone/>
              <wp:docPr id="783188007" name="Rectangle 7831880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20000" cy="18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54A39" id="Rectangle 783188007" o:spid="_x0000_s1026" alt="&quot;&quot;" style="position:absolute;margin-left:-77.4pt;margin-top:-27pt;width:623.6pt;height:14.15pt;z-index:251676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" fillcolor="#6b2876 [3215]" stroked="f" strokeweight="1pt"/>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65668E" w14:textId="77777777" w:rsidR="00520333" w:rsidRDefault="005203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EBD06" w14:textId="7FCA81E2" w:rsidR="00834863" w:rsidRPr="00821A87" w:rsidRDefault="00E723C3" w:rsidP="00821A87">
    <w:pPr>
      <w:pStyle w:val="Header"/>
      <w:spacing w:before="5300" w:after="1400"/>
    </w:pPr>
    <w:r>
      <w:rPr>
        <w:noProof/>
      </w:rPr>
      <w:drawing>
        <wp:anchor distT="0" distB="0" distL="114300" distR="114300" simplePos="0" relativeHeight="251658254" behindDoc="1" locked="0" layoutInCell="1" allowOverlap="1" wp14:anchorId="6891A503" wp14:editId="4E4485C7">
          <wp:simplePos x="0" y="0"/>
          <wp:positionH relativeFrom="column">
            <wp:posOffset>-911225</wp:posOffset>
          </wp:positionH>
          <wp:positionV relativeFrom="paragraph">
            <wp:posOffset>-467995</wp:posOffset>
          </wp:positionV>
          <wp:extent cx="7560000" cy="10688400"/>
          <wp:effectExtent l="0" t="0" r="3175" b="0"/>
          <wp:wrapNone/>
          <wp:docPr id="1086895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953"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A0FB0" w14:textId="7EF19883" w:rsidR="009B5EFC" w:rsidRPr="00821A87" w:rsidRDefault="009B5EFC" w:rsidP="00821A87">
    <w:pPr>
      <w:pStyle w:val="Header"/>
      <w:spacing w:before="0" w:after="200"/>
    </w:pPr>
    <w:r>
      <w:rPr>
        <w:noProof/>
      </w:rPr>
      <mc:AlternateContent>
        <mc:Choice Requires="wps">
          <w:drawing>
            <wp:anchor distT="0" distB="0" distL="114300" distR="114300" simplePos="0" relativeHeight="251658246" behindDoc="0" locked="0" layoutInCell="1" allowOverlap="1" wp14:anchorId="013BBF7E" wp14:editId="1574E0EA">
              <wp:simplePos x="0" y="0"/>
              <wp:positionH relativeFrom="column">
                <wp:posOffset>-1083945</wp:posOffset>
              </wp:positionH>
              <wp:positionV relativeFrom="paragraph">
                <wp:posOffset>-354965</wp:posOffset>
              </wp:positionV>
              <wp:extent cx="12600000" cy="180000"/>
              <wp:effectExtent l="0" t="0" r="0" b="0"/>
              <wp:wrapNone/>
              <wp:docPr id="963787074" name="Rectangle 9637870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600000" cy="18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EF20A" id="Rectangle 963787074" o:spid="_x0000_s1026" alt="&quot;&quot;" style="position:absolute;margin-left:-85.35pt;margin-top:-27.95pt;width:992.15pt;height:14.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" fillcolor="#6b2876 [3215]" stroked="f" strokeweight="1pt"/>
          </w:pict>
        </mc:Fallback>
      </mc:AlternateContent>
    </w:r>
    <w:r w:rsidRPr="003F2DA2">
      <w:t xml:space="preserve">OFFICIAL: </w:t>
    </w:r>
    <w:r w:rsidRPr="00664E61">
      <w:t>SENSITIVE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3614D" w14:textId="3D04E42F" w:rsidR="00846910" w:rsidRPr="00846910" w:rsidRDefault="00846910" w:rsidP="00133885">
    <w:r>
      <w:rPr>
        <w:noProof/>
      </w:rPr>
      <mc:AlternateContent>
        <mc:Choice Requires="wps">
          <w:drawing>
            <wp:anchor distT="0" distB="0" distL="114300" distR="114300" simplePos="0" relativeHeight="251658255" behindDoc="0" locked="0" layoutInCell="1" allowOverlap="1" wp14:anchorId="61CFD76A" wp14:editId="7D87D7DE">
              <wp:simplePos x="0" y="0"/>
              <wp:positionH relativeFrom="column">
                <wp:posOffset>-1083945</wp:posOffset>
              </wp:positionH>
              <wp:positionV relativeFrom="paragraph">
                <wp:posOffset>-354965</wp:posOffset>
              </wp:positionV>
              <wp:extent cx="12600000" cy="180000"/>
              <wp:effectExtent l="0" t="0" r="0" b="0"/>
              <wp:wrapNone/>
              <wp:docPr id="754324507" name="Rectangle 7543245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600000" cy="18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92C2C" id="Rectangle 754324507" o:spid="_x0000_s1026" alt="&quot;&quot;" style="position:absolute;margin-left:-85.35pt;margin-top:-27.95pt;width:992.15pt;height:14.1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" fillcolor="#6b2876 [3215]" stroked="f" strokeweight="1pt"/>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5A774" w14:textId="2A5BDDDE" w:rsidR="00E70ACE" w:rsidRPr="00821A87" w:rsidRDefault="00E70ACE" w:rsidP="00133885">
    <w:r>
      <w:rPr>
        <w:noProof/>
      </w:rPr>
      <mc:AlternateContent>
        <mc:Choice Requires="wps">
          <w:drawing>
            <wp:anchor distT="0" distB="0" distL="114300" distR="114300" simplePos="0" relativeHeight="251658250" behindDoc="0" locked="0" layoutInCell="1" allowOverlap="1" wp14:anchorId="6A92B368" wp14:editId="724CC075">
              <wp:simplePos x="0" y="0"/>
              <wp:positionH relativeFrom="column">
                <wp:posOffset>-924617</wp:posOffset>
              </wp:positionH>
              <wp:positionV relativeFrom="paragraph">
                <wp:posOffset>-354965</wp:posOffset>
              </wp:positionV>
              <wp:extent cx="7560000" cy="180000"/>
              <wp:effectExtent l="0" t="0" r="3175" b="0"/>
              <wp:wrapNone/>
              <wp:docPr id="1117847514" name="Rectangle 11178475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8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D6A3E" id="Rectangle 1117847514" o:spid="_x0000_s1026" alt="&quot;&quot;" style="position:absolute;margin-left:-72.8pt;margin-top:-27.95pt;width:595.3pt;height:14.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" fillcolor="#6b2876 [3215]" stroked="f" strokeweight="1pt"/>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05D4D" w14:textId="42AE0C0B" w:rsidR="00E70ACE" w:rsidRPr="00821A87" w:rsidRDefault="00E70ACE" w:rsidP="00133885">
    <w:r>
      <w:rPr>
        <w:noProof/>
      </w:rPr>
      <mc:AlternateContent>
        <mc:Choice Requires="wps">
          <w:drawing>
            <wp:anchor distT="0" distB="0" distL="114300" distR="114300" simplePos="0" relativeHeight="251658251" behindDoc="0" locked="0" layoutInCell="1" allowOverlap="1" wp14:anchorId="5FB7BD46" wp14:editId="5D28118E">
              <wp:simplePos x="0" y="0"/>
              <wp:positionH relativeFrom="column">
                <wp:posOffset>-1083945</wp:posOffset>
              </wp:positionH>
              <wp:positionV relativeFrom="paragraph">
                <wp:posOffset>-354965</wp:posOffset>
              </wp:positionV>
              <wp:extent cx="12600000" cy="180000"/>
              <wp:effectExtent l="0" t="0" r="0" b="0"/>
              <wp:wrapNone/>
              <wp:docPr id="1158982307" name="Rectangle 1158982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600000" cy="18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E8B9E" id="Rectangle 1158982307" o:spid="_x0000_s1026" alt="&quot;&quot;" style="position:absolute;margin-left:-85.35pt;margin-top:-27.95pt;width:992.15pt;height:14.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" fillcolor="#6b2876 [3215]" stroked="f" strokeweight="1pt"/>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00237" w14:textId="0A672FF9" w:rsidR="00392276" w:rsidRPr="00392276" w:rsidRDefault="00392276" w:rsidP="00133885">
    <w:r>
      <w:rPr>
        <w:noProof/>
      </w:rPr>
      <mc:AlternateContent>
        <mc:Choice Requires="wps">
          <w:drawing>
            <wp:anchor distT="0" distB="0" distL="114300" distR="114300" simplePos="0" relativeHeight="251658243" behindDoc="0" locked="0" layoutInCell="1" allowOverlap="1" wp14:anchorId="3F08FF45" wp14:editId="7176A5BB">
              <wp:simplePos x="0" y="0"/>
              <wp:positionH relativeFrom="column">
                <wp:posOffset>-1083945</wp:posOffset>
              </wp:positionH>
              <wp:positionV relativeFrom="paragraph">
                <wp:posOffset>-354965</wp:posOffset>
              </wp:positionV>
              <wp:extent cx="12600000" cy="180000"/>
              <wp:effectExtent l="0" t="0" r="0" b="0"/>
              <wp:wrapNone/>
              <wp:docPr id="1378582076" name="Rectangle 13785820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600000" cy="18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7EC88" id="Rectangle 1378582076" o:spid="_x0000_s1026" alt="&quot;&quot;" style="position:absolute;margin-left:-85.35pt;margin-top:-27.95pt;width:992.15pt;height:14.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" fillcolor="#6b2876 [3215]" stroked="f" strokeweight="1pt"/>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B7EE56" w14:textId="184645AC" w:rsidR="006B149D" w:rsidRPr="006B149D" w:rsidRDefault="006B149D" w:rsidP="00133885">
    <w:r>
      <w:rPr>
        <w:noProof/>
      </w:rPr>
      <mc:AlternateContent>
        <mc:Choice Requires="wps">
          <w:drawing>
            <wp:anchor distT="0" distB="0" distL="114300" distR="114300" simplePos="0" relativeHeight="251658241" behindDoc="0" locked="0" layoutInCell="1" allowOverlap="1" wp14:anchorId="52CE865C" wp14:editId="5599F0B5">
              <wp:simplePos x="0" y="0"/>
              <wp:positionH relativeFrom="column">
                <wp:posOffset>-1083945</wp:posOffset>
              </wp:positionH>
              <wp:positionV relativeFrom="paragraph">
                <wp:posOffset>-354965</wp:posOffset>
              </wp:positionV>
              <wp:extent cx="12600000" cy="180000"/>
              <wp:effectExtent l="0" t="0" r="0" b="0"/>
              <wp:wrapNone/>
              <wp:docPr id="1358653612" name="Rectangle 13586536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600000" cy="18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BA744" id="Rectangle 1358653612" o:spid="_x0000_s1026" alt="&quot;&quot;" style="position:absolute;margin-left:-85.35pt;margin-top:-27.95pt;width:992.15pt;height:14.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" fillcolor="#6b2876 [3215]" stroked="f" strokeweight="1pt"/>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4A012" w14:textId="6D31229D" w:rsidR="006B149D" w:rsidRPr="006B149D" w:rsidRDefault="006B149D" w:rsidP="00133885">
    <w:r>
      <w:rPr>
        <w:noProof/>
      </w:rPr>
      <mc:AlternateContent>
        <mc:Choice Requires="wps">
          <w:drawing>
            <wp:anchor distT="0" distB="0" distL="114300" distR="114300" simplePos="0" relativeHeight="251658242" behindDoc="0" locked="0" layoutInCell="1" allowOverlap="1" wp14:anchorId="5EA0A3AE" wp14:editId="544D76A6">
              <wp:simplePos x="0" y="0"/>
              <wp:positionH relativeFrom="column">
                <wp:posOffset>-1083945</wp:posOffset>
              </wp:positionH>
              <wp:positionV relativeFrom="paragraph">
                <wp:posOffset>-354965</wp:posOffset>
              </wp:positionV>
              <wp:extent cx="12600000" cy="180000"/>
              <wp:effectExtent l="0" t="0" r="0" b="0"/>
              <wp:wrapNone/>
              <wp:docPr id="581647501" name="Rectangle 5816475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600000" cy="18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14399" id="Rectangle 581647501" o:spid="_x0000_s1026" alt="&quot;&quot;" style="position:absolute;margin-left:-85.35pt;margin-top:-27.95pt;width:992.15pt;height:14.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" fillcolor="#6b2876 [3215]" stroked="f" strokeweight="1pt"/>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6E4FE" w14:textId="0996B23D" w:rsidR="00E70ACE" w:rsidRPr="006B149D" w:rsidRDefault="00E70ACE" w:rsidP="00133885">
    <w:r>
      <w:rPr>
        <w:noProof/>
      </w:rPr>
      <mc:AlternateContent>
        <mc:Choice Requires="wps">
          <w:drawing>
            <wp:anchor distT="0" distB="0" distL="114300" distR="114300" simplePos="0" relativeHeight="251658252" behindDoc="0" locked="0" layoutInCell="1" allowOverlap="1" wp14:anchorId="498A9432" wp14:editId="7C2A56EC">
              <wp:simplePos x="0" y="0"/>
              <wp:positionH relativeFrom="column">
                <wp:posOffset>-1083945</wp:posOffset>
              </wp:positionH>
              <wp:positionV relativeFrom="paragraph">
                <wp:posOffset>-354965</wp:posOffset>
              </wp:positionV>
              <wp:extent cx="12600000" cy="180000"/>
              <wp:effectExtent l="0" t="0" r="0" b="0"/>
              <wp:wrapNone/>
              <wp:docPr id="284702660" name="Rectangle 2847026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600000" cy="18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01765" id="Rectangle 284702660" o:spid="_x0000_s1026" alt="&quot;&quot;" style="position:absolute;margin-left:-85.35pt;margin-top:-27.95pt;width:992.15pt;height:14.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" fillcolor="#6b2876 [3215]" stroked="f" strokeweight="1pt"/>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57C35F" w14:textId="5CD511B2" w:rsidR="0080564E" w:rsidRPr="006B149D" w:rsidRDefault="0080564E" w:rsidP="00133885">
    <w:r>
      <w:rPr>
        <w:noProof/>
      </w:rPr>
      <mc:AlternateContent>
        <mc:Choice Requires="wps">
          <w:drawing>
            <wp:anchor distT="0" distB="0" distL="114300" distR="114300" simplePos="0" relativeHeight="251658253" behindDoc="0" locked="0" layoutInCell="1" allowOverlap="1" wp14:anchorId="7DA2AF89" wp14:editId="0F60B990">
              <wp:simplePos x="0" y="0"/>
              <wp:positionH relativeFrom="column">
                <wp:posOffset>-1083945</wp:posOffset>
              </wp:positionH>
              <wp:positionV relativeFrom="paragraph">
                <wp:posOffset>-354965</wp:posOffset>
              </wp:positionV>
              <wp:extent cx="12600000" cy="180000"/>
              <wp:effectExtent l="0" t="0" r="0" b="0"/>
              <wp:wrapNone/>
              <wp:docPr id="2084251382" name="Rectangle 20842513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600000" cy="18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6D550" id="Rectangle 2084251382" o:spid="_x0000_s1026" alt="&quot;&quot;" style="position:absolute;margin-left:-85.35pt;margin-top:-27.95pt;width:992.15pt;height:14.1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" fillcolor="#6b2876 [3215]"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2568E7" w14:textId="4D6B1330" w:rsidR="00F67217" w:rsidRPr="00821A87" w:rsidRDefault="007D1B8F" w:rsidP="00BE3421">
    <w:r>
      <w:rPr>
        <w:noProof/>
      </w:rPr>
      <mc:AlternateContent>
        <mc:Choice Requires="wps">
          <w:drawing>
            <wp:anchor distT="0" distB="0" distL="114300" distR="114300" simplePos="0" relativeHeight="251678735" behindDoc="0" locked="0" layoutInCell="1" allowOverlap="1" wp14:anchorId="1FCBE8FD" wp14:editId="2C7EFCF4">
              <wp:simplePos x="0" y="0"/>
              <wp:positionH relativeFrom="column">
                <wp:posOffset>-872836</wp:posOffset>
              </wp:positionH>
              <wp:positionV relativeFrom="paragraph">
                <wp:posOffset>-339436</wp:posOffset>
              </wp:positionV>
              <wp:extent cx="7920000" cy="180000"/>
              <wp:effectExtent l="0" t="0" r="5080" b="0"/>
              <wp:wrapNone/>
              <wp:docPr id="1361034269" name="Rectangle 13610342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20000" cy="18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D1BA7" id="Rectangle 1361034269" o:spid="_x0000_s1026" alt="&quot;&quot;" style="position:absolute;margin-left:-68.75pt;margin-top:-26.75pt;width:623.6pt;height:14.15pt;z-index:251678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" fillcolor="#6b2876 [3215]" stroked="f" strokeweight="1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77581" w14:textId="76D34047" w:rsidR="001C74C2" w:rsidRPr="00F67217" w:rsidRDefault="001C74C2" w:rsidP="00F67217">
    <w:r w:rsidRPr="00F67217">
      <w:rPr>
        <w:noProof/>
      </w:rPr>
      <mc:AlternateContent>
        <mc:Choice Requires="wps">
          <w:drawing>
            <wp:anchor distT="0" distB="0" distL="114300" distR="114300" simplePos="0" relativeHeight="251658247" behindDoc="0" locked="0" layoutInCell="1" allowOverlap="1" wp14:anchorId="4328DBEB" wp14:editId="2F7DC680">
              <wp:simplePos x="0" y="0"/>
              <wp:positionH relativeFrom="column">
                <wp:posOffset>-1083945</wp:posOffset>
              </wp:positionH>
              <wp:positionV relativeFrom="paragraph">
                <wp:posOffset>-354965</wp:posOffset>
              </wp:positionV>
              <wp:extent cx="12600000" cy="180000"/>
              <wp:effectExtent l="0" t="0" r="0" b="0"/>
              <wp:wrapNone/>
              <wp:docPr id="464735160" name="Rectangle 4647351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600000" cy="18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D00ED" id="Rectangle 464735160" o:spid="_x0000_s1026" alt="&quot;&quot;" style="position:absolute;margin-left:-85.35pt;margin-top:-27.95pt;width:992.15pt;height:14.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" fillcolor="#6b2876 [3215]" stroked="f" strokeweight="1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16AF5" w14:textId="5AF9C07D" w:rsidR="009B5EFC" w:rsidRPr="00821A87" w:rsidRDefault="009B5EFC" w:rsidP="00F67217">
    <w:r>
      <w:rPr>
        <w:noProof/>
      </w:rPr>
      <mc:AlternateContent>
        <mc:Choice Requires="wps">
          <w:drawing>
            <wp:anchor distT="0" distB="0" distL="114300" distR="114300" simplePos="0" relativeHeight="251658245" behindDoc="0" locked="0" layoutInCell="1" allowOverlap="1" wp14:anchorId="4D278B1C" wp14:editId="0F51FF4C">
              <wp:simplePos x="0" y="0"/>
              <wp:positionH relativeFrom="column">
                <wp:posOffset>-1083945</wp:posOffset>
              </wp:positionH>
              <wp:positionV relativeFrom="paragraph">
                <wp:posOffset>-354965</wp:posOffset>
              </wp:positionV>
              <wp:extent cx="7920000" cy="180000"/>
              <wp:effectExtent l="0" t="0" r="5080" b="0"/>
              <wp:wrapNone/>
              <wp:docPr id="1963980910" name="Rectangle 19639809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20000" cy="18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3C147" id="Rectangle 1963980910" o:spid="_x0000_s1026" alt="&quot;&quot;" style="position:absolute;margin-left:-85.35pt;margin-top:-27.95pt;width:623.6pt;height:14.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" fillcolor="#6b2876 [3215]" stroked="f"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2B9B68" w14:textId="49D28CA8" w:rsidR="000E49AD" w:rsidRDefault="000E49AD" w:rsidP="00933EF1">
    <w:r>
      <w:rPr>
        <w:noProof/>
      </w:rPr>
      <mc:AlternateContent>
        <mc:Choice Requires="wps">
          <w:drawing>
            <wp:anchor distT="0" distB="0" distL="114300" distR="114300" simplePos="0" relativeHeight="251658249" behindDoc="0" locked="0" layoutInCell="1" allowOverlap="1" wp14:anchorId="60C2FDA2" wp14:editId="5EE3B2FC">
              <wp:simplePos x="0" y="0"/>
              <wp:positionH relativeFrom="column">
                <wp:posOffset>-1083945</wp:posOffset>
              </wp:positionH>
              <wp:positionV relativeFrom="paragraph">
                <wp:posOffset>-354965</wp:posOffset>
              </wp:positionV>
              <wp:extent cx="7920000" cy="180000"/>
              <wp:effectExtent l="0" t="0" r="5080" b="0"/>
              <wp:wrapNone/>
              <wp:docPr id="1955784254" name="Rectangle 19557842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20000" cy="18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496F0" id="Rectangle 1955784254" o:spid="_x0000_s1026" alt="&quot;&quot;" style="position:absolute;margin-left:-85.35pt;margin-top:-27.95pt;width:623.6pt;height:14.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" fillcolor="#6b2876 [3215]" stroked="f" strokeweight="1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463E4" w14:textId="7C5B18CD" w:rsidR="00CD66A8" w:rsidRPr="00821A87" w:rsidRDefault="00CD66A8" w:rsidP="00933EF1">
    <w:r>
      <w:rPr>
        <w:noProof/>
      </w:rPr>
      <mc:AlternateContent>
        <mc:Choice Requires="wps">
          <w:drawing>
            <wp:anchor distT="0" distB="0" distL="114300" distR="114300" simplePos="0" relativeHeight="251658248" behindDoc="0" locked="0" layoutInCell="1" allowOverlap="1" wp14:anchorId="5E631ACD" wp14:editId="56106CEC">
              <wp:simplePos x="0" y="0"/>
              <wp:positionH relativeFrom="column">
                <wp:posOffset>-1083945</wp:posOffset>
              </wp:positionH>
              <wp:positionV relativeFrom="paragraph">
                <wp:posOffset>-354965</wp:posOffset>
              </wp:positionV>
              <wp:extent cx="12600000" cy="180000"/>
              <wp:effectExtent l="0" t="0" r="0" b="0"/>
              <wp:wrapNone/>
              <wp:docPr id="1954292374" name="Rectangle 19542923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600000" cy="18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DDB25" id="Rectangle 1954292374" o:spid="_x0000_s1026" alt="&quot;&quot;" style="position:absolute;margin-left:-85.35pt;margin-top:-27.95pt;width:992.15pt;height:14.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" fillcolor="#6b2876 [3215]" stroked="f" strokeweight="1p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2BC716" w14:textId="77777777" w:rsidR="00520333" w:rsidRDefault="0052033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78578" w14:textId="77777777" w:rsidR="00520333" w:rsidRDefault="005203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04353"/>
    <w:multiLevelType w:val="hybridMultilevel"/>
    <w:tmpl w:val="B6709B3E"/>
    <w:lvl w:ilvl="0" w:tplc="C28E4274">
      <w:start w:val="1"/>
      <w:numFmt w:val="bullet"/>
      <w:lvlText w:val="-"/>
      <w:lvlJc w:val="left"/>
      <w:pPr>
        <w:ind w:left="720" w:hanging="360"/>
      </w:pPr>
      <w:rPr>
        <w:rFonts w:ascii="Arial" w:hAnsi="Arial" w:hint="default"/>
      </w:rPr>
    </w:lvl>
    <w:lvl w:ilvl="1" w:tplc="56DE1598">
      <w:start w:val="1"/>
      <w:numFmt w:val="bullet"/>
      <w:pStyle w:val="FSRsublist"/>
      <w:lvlText w:val="-"/>
      <w:lvlJc w:val="left"/>
      <w:pPr>
        <w:ind w:left="1440" w:hanging="360"/>
      </w:pPr>
      <w:rPr>
        <w:rFonts w:ascii="Courier New" w:hAnsi="Courier New" w:hint="default"/>
      </w:rPr>
    </w:lvl>
    <w:lvl w:ilvl="2" w:tplc="0C09001B">
      <w:start w:val="1"/>
      <w:numFmt w:val="lowerRoman"/>
      <w:lvlText w:val="%3."/>
      <w:lvlJc w:val="right"/>
      <w:pPr>
        <w:ind w:left="2160" w:hanging="180"/>
      </w:pPr>
    </w:lvl>
    <w:lvl w:ilvl="3" w:tplc="7E9A7F8E">
      <w:start w:val="1"/>
      <w:numFmt w:val="decimal"/>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714A5B"/>
    <w:multiLevelType w:val="hybridMultilevel"/>
    <w:tmpl w:val="B2B41D18"/>
    <w:lvl w:ilvl="0" w:tplc="633A033A">
      <w:start w:val="1"/>
      <w:numFmt w:val="lowerLetter"/>
      <w:lvlText w:val="%1)"/>
      <w:lvlJc w:val="left"/>
      <w:pPr>
        <w:ind w:left="1188" w:hanging="360"/>
      </w:pPr>
      <w:rPr>
        <w:rFonts w:ascii="Arial" w:hAnsi="Arial" w:hint="default"/>
        <w:b w:val="0"/>
        <w:i w:val="0"/>
        <w:sz w:val="18"/>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 w15:restartNumberingAfterBreak="0">
    <w:nsid w:val="12A74D3B"/>
    <w:multiLevelType w:val="hybridMultilevel"/>
    <w:tmpl w:val="904C352C"/>
    <w:lvl w:ilvl="0" w:tplc="357A149C">
      <w:start w:val="1"/>
      <w:numFmt w:val="lowerRoman"/>
      <w:pStyle w:val="ListBullet"/>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4026AC"/>
    <w:multiLevelType w:val="hybridMultilevel"/>
    <w:tmpl w:val="F6E2C2FC"/>
    <w:lvl w:ilvl="0" w:tplc="16484604">
      <w:start w:val="1"/>
      <w:numFmt w:val="bullet"/>
      <w:lvlText w:val=""/>
      <w:lvlJc w:val="left"/>
      <w:pPr>
        <w:ind w:left="1390" w:hanging="360"/>
      </w:pPr>
      <w:rPr>
        <w:rFonts w:ascii="Symbol" w:hAnsi="Symbol" w:hint="default"/>
      </w:rPr>
    </w:lvl>
    <w:lvl w:ilvl="1" w:tplc="E4204F6C">
      <w:numFmt w:val="bullet"/>
      <w:lvlText w:val="•"/>
      <w:lvlJc w:val="left"/>
      <w:pPr>
        <w:ind w:left="1775" w:hanging="360"/>
      </w:pPr>
      <w:rPr>
        <w:rFonts w:ascii="Cambria" w:eastAsia="Times New Roman" w:hAnsi="Cambria" w:cs="Cambria" w:hint="default"/>
      </w:rPr>
    </w:lvl>
    <w:lvl w:ilvl="2" w:tplc="0C090005" w:tentative="1">
      <w:start w:val="1"/>
      <w:numFmt w:val="bullet"/>
      <w:lvlText w:val=""/>
      <w:lvlJc w:val="left"/>
      <w:pPr>
        <w:ind w:left="2495" w:hanging="360"/>
      </w:pPr>
      <w:rPr>
        <w:rFonts w:ascii="Wingdings" w:hAnsi="Wingdings" w:hint="default"/>
      </w:rPr>
    </w:lvl>
    <w:lvl w:ilvl="3" w:tplc="0C090001" w:tentative="1">
      <w:start w:val="1"/>
      <w:numFmt w:val="bullet"/>
      <w:lvlText w:val=""/>
      <w:lvlJc w:val="left"/>
      <w:pPr>
        <w:ind w:left="3215" w:hanging="360"/>
      </w:pPr>
      <w:rPr>
        <w:rFonts w:ascii="Symbol" w:hAnsi="Symbol" w:hint="default"/>
      </w:rPr>
    </w:lvl>
    <w:lvl w:ilvl="4" w:tplc="0C090003" w:tentative="1">
      <w:start w:val="1"/>
      <w:numFmt w:val="bullet"/>
      <w:lvlText w:val="o"/>
      <w:lvlJc w:val="left"/>
      <w:pPr>
        <w:ind w:left="3935" w:hanging="360"/>
      </w:pPr>
      <w:rPr>
        <w:rFonts w:ascii="Courier New" w:hAnsi="Courier New" w:cs="Courier New" w:hint="default"/>
      </w:rPr>
    </w:lvl>
    <w:lvl w:ilvl="5" w:tplc="0C090005" w:tentative="1">
      <w:start w:val="1"/>
      <w:numFmt w:val="bullet"/>
      <w:lvlText w:val=""/>
      <w:lvlJc w:val="left"/>
      <w:pPr>
        <w:ind w:left="4655" w:hanging="360"/>
      </w:pPr>
      <w:rPr>
        <w:rFonts w:ascii="Wingdings" w:hAnsi="Wingdings" w:hint="default"/>
      </w:rPr>
    </w:lvl>
    <w:lvl w:ilvl="6" w:tplc="0C090001" w:tentative="1">
      <w:start w:val="1"/>
      <w:numFmt w:val="bullet"/>
      <w:lvlText w:val=""/>
      <w:lvlJc w:val="left"/>
      <w:pPr>
        <w:ind w:left="5375" w:hanging="360"/>
      </w:pPr>
      <w:rPr>
        <w:rFonts w:ascii="Symbol" w:hAnsi="Symbol" w:hint="default"/>
      </w:rPr>
    </w:lvl>
    <w:lvl w:ilvl="7" w:tplc="0C090003" w:tentative="1">
      <w:start w:val="1"/>
      <w:numFmt w:val="bullet"/>
      <w:lvlText w:val="o"/>
      <w:lvlJc w:val="left"/>
      <w:pPr>
        <w:ind w:left="6095" w:hanging="360"/>
      </w:pPr>
      <w:rPr>
        <w:rFonts w:ascii="Courier New" w:hAnsi="Courier New" w:cs="Courier New" w:hint="default"/>
      </w:rPr>
    </w:lvl>
    <w:lvl w:ilvl="8" w:tplc="0C090005" w:tentative="1">
      <w:start w:val="1"/>
      <w:numFmt w:val="bullet"/>
      <w:lvlText w:val=""/>
      <w:lvlJc w:val="left"/>
      <w:pPr>
        <w:ind w:left="6815" w:hanging="360"/>
      </w:pPr>
      <w:rPr>
        <w:rFonts w:ascii="Wingdings" w:hAnsi="Wingdings" w:hint="default"/>
      </w:rPr>
    </w:lvl>
  </w:abstractNum>
  <w:abstractNum w:abstractNumId="4" w15:restartNumberingAfterBreak="0">
    <w:nsid w:val="17426766"/>
    <w:multiLevelType w:val="hybridMultilevel"/>
    <w:tmpl w:val="56E03BDC"/>
    <w:lvl w:ilvl="0" w:tplc="DDD60D9E">
      <w:start w:val="1"/>
      <w:numFmt w:val="bullet"/>
      <w:pStyle w:val="Tabl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A835289"/>
    <w:multiLevelType w:val="hybridMultilevel"/>
    <w:tmpl w:val="2E3ADC8E"/>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7" w15:restartNumberingAfterBreak="0">
    <w:nsid w:val="1AD87B2A"/>
    <w:multiLevelType w:val="multilevel"/>
    <w:tmpl w:val="B72470B6"/>
    <w:lvl w:ilvl="0">
      <w:start w:val="1"/>
      <w:numFmt w:val="decimal"/>
      <w:lvlText w:val="%1."/>
      <w:lvlJc w:val="left"/>
      <w:pPr>
        <w:ind w:left="360" w:hanging="360"/>
      </w:pPr>
      <w:rPr>
        <w:rFonts w:hint="default"/>
        <w:color w:val="auto"/>
      </w:rPr>
    </w:lvl>
    <w:lvl w:ilvl="1">
      <w:start w:val="1"/>
      <w:numFmt w:val="decimal"/>
      <w:pStyle w:val="SubHeading"/>
      <w:lvlText w:val="%1.%2."/>
      <w:lvlJc w:val="left"/>
      <w:rPr>
        <w:bCs w:val="0"/>
        <w:i w:val="0"/>
        <w:iCs w:val="0"/>
        <w:caps w:val="0"/>
        <w:smallCaps w:val="0"/>
        <w:strike w:val="0"/>
        <w:dstrike w:val="0"/>
        <w:noProof w:val="0"/>
        <w:vanish w:val="0"/>
        <w:color w:val="F9F9F9" w:themeColor="background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CD95887"/>
    <w:multiLevelType w:val="multilevel"/>
    <w:tmpl w:val="4A2C09A0"/>
    <w:styleLink w:val="Style2"/>
    <w:lvl w:ilvl="0">
      <w:start w:val="1"/>
      <w:numFmt w:val="decimal"/>
      <w:lvlText w:val="Note %1: "/>
      <w:lvlJc w:val="left"/>
      <w:pPr>
        <w:tabs>
          <w:tab w:val="num" w:pos="992"/>
        </w:tabs>
        <w:ind w:left="99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 w15:restartNumberingAfterBreak="0">
    <w:nsid w:val="213055FF"/>
    <w:multiLevelType w:val="hybridMultilevel"/>
    <w:tmpl w:val="AFD8A756"/>
    <w:lvl w:ilvl="0" w:tplc="310028C8">
      <w:start w:val="1"/>
      <w:numFmt w:val="bullet"/>
      <w:pStyle w:val="Bullet1"/>
      <w:lvlText w:val=""/>
      <w:lvlJc w:val="left"/>
      <w:pPr>
        <w:ind w:left="-1779" w:hanging="360"/>
      </w:pPr>
      <w:rPr>
        <w:rFonts w:ascii="Symbol" w:hAnsi="Symbol" w:hint="default"/>
      </w:rPr>
    </w:lvl>
    <w:lvl w:ilvl="1" w:tplc="08090003">
      <w:start w:val="1"/>
      <w:numFmt w:val="bullet"/>
      <w:lvlText w:val="o"/>
      <w:lvlJc w:val="left"/>
      <w:pPr>
        <w:ind w:left="-1059" w:hanging="360"/>
      </w:pPr>
      <w:rPr>
        <w:rFonts w:ascii="Courier New" w:hAnsi="Courier New" w:cs="Courier New" w:hint="default"/>
      </w:rPr>
    </w:lvl>
    <w:lvl w:ilvl="2" w:tplc="08090005">
      <w:start w:val="1"/>
      <w:numFmt w:val="bullet"/>
      <w:lvlText w:val=""/>
      <w:lvlJc w:val="left"/>
      <w:pPr>
        <w:ind w:left="-339" w:hanging="360"/>
      </w:pPr>
      <w:rPr>
        <w:rFonts w:ascii="Wingdings" w:hAnsi="Wingdings" w:hint="default"/>
      </w:rPr>
    </w:lvl>
    <w:lvl w:ilvl="3" w:tplc="08090001">
      <w:start w:val="1"/>
      <w:numFmt w:val="bullet"/>
      <w:lvlText w:val=""/>
      <w:lvlJc w:val="left"/>
      <w:pPr>
        <w:ind w:left="381" w:hanging="360"/>
      </w:pPr>
      <w:rPr>
        <w:rFonts w:ascii="Symbol" w:hAnsi="Symbol" w:hint="default"/>
      </w:rPr>
    </w:lvl>
    <w:lvl w:ilvl="4" w:tplc="08090003">
      <w:start w:val="1"/>
      <w:numFmt w:val="bullet"/>
      <w:lvlText w:val="o"/>
      <w:lvlJc w:val="left"/>
      <w:pPr>
        <w:ind w:left="1101" w:hanging="360"/>
      </w:pPr>
      <w:rPr>
        <w:rFonts w:ascii="Courier New" w:hAnsi="Courier New" w:cs="Courier New" w:hint="default"/>
      </w:rPr>
    </w:lvl>
    <w:lvl w:ilvl="5" w:tplc="08090005" w:tentative="1">
      <w:start w:val="1"/>
      <w:numFmt w:val="bullet"/>
      <w:lvlText w:val=""/>
      <w:lvlJc w:val="left"/>
      <w:pPr>
        <w:ind w:left="1821" w:hanging="360"/>
      </w:pPr>
      <w:rPr>
        <w:rFonts w:ascii="Wingdings" w:hAnsi="Wingdings" w:hint="default"/>
      </w:rPr>
    </w:lvl>
    <w:lvl w:ilvl="6" w:tplc="08090001" w:tentative="1">
      <w:start w:val="1"/>
      <w:numFmt w:val="bullet"/>
      <w:lvlText w:val=""/>
      <w:lvlJc w:val="left"/>
      <w:pPr>
        <w:ind w:left="2541" w:hanging="360"/>
      </w:pPr>
      <w:rPr>
        <w:rFonts w:ascii="Symbol" w:hAnsi="Symbol" w:hint="default"/>
      </w:rPr>
    </w:lvl>
    <w:lvl w:ilvl="7" w:tplc="08090003" w:tentative="1">
      <w:start w:val="1"/>
      <w:numFmt w:val="bullet"/>
      <w:lvlText w:val="o"/>
      <w:lvlJc w:val="left"/>
      <w:pPr>
        <w:ind w:left="3261" w:hanging="360"/>
      </w:pPr>
      <w:rPr>
        <w:rFonts w:ascii="Courier New" w:hAnsi="Courier New" w:cs="Courier New" w:hint="default"/>
      </w:rPr>
    </w:lvl>
    <w:lvl w:ilvl="8" w:tplc="08090005" w:tentative="1">
      <w:start w:val="1"/>
      <w:numFmt w:val="bullet"/>
      <w:lvlText w:val=""/>
      <w:lvlJc w:val="left"/>
      <w:pPr>
        <w:ind w:left="3981" w:hanging="360"/>
      </w:pPr>
      <w:rPr>
        <w:rFonts w:ascii="Wingdings" w:hAnsi="Wingdings" w:hint="default"/>
      </w:rPr>
    </w:lvl>
  </w:abstractNum>
  <w:abstractNum w:abstractNumId="10" w15:restartNumberingAfterBreak="0">
    <w:nsid w:val="23890403"/>
    <w:multiLevelType w:val="multilevel"/>
    <w:tmpl w:val="2ED64EC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4284E03"/>
    <w:multiLevelType w:val="hybridMultilevel"/>
    <w:tmpl w:val="1220D78E"/>
    <w:lvl w:ilvl="0" w:tplc="DCC4D760">
      <w:start w:val="1"/>
      <w:numFmt w:val="bullet"/>
      <w:lvlText w:val=""/>
      <w:lvlJc w:val="left"/>
      <w:pPr>
        <w:ind w:left="420" w:hanging="4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F46F46"/>
    <w:multiLevelType w:val="multilevel"/>
    <w:tmpl w:val="2F08CB56"/>
    <w:lvl w:ilvl="0">
      <w:start w:val="1"/>
      <w:numFmt w:val="decimal"/>
      <w:lvlText w:val="%1."/>
      <w:lvlJc w:val="left"/>
      <w:pPr>
        <w:ind w:left="360" w:hanging="360"/>
      </w:pPr>
    </w:lvl>
    <w:lvl w:ilvl="1">
      <w:start w:val="1"/>
      <w:numFmt w:val="decimal"/>
      <w:pStyle w:val="11Section-Parapraph"/>
      <w:lvlText w:val="%1.%2."/>
      <w:lvlJc w:val="left"/>
      <w:pPr>
        <w:ind w:left="792" w:hanging="432"/>
      </w:pPr>
    </w:lvl>
    <w:lvl w:ilvl="2">
      <w:start w:val="1"/>
      <w:numFmt w:val="decimal"/>
      <w:pStyle w:val="BoardBrief-Paragraph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5840141"/>
    <w:multiLevelType w:val="hybridMultilevel"/>
    <w:tmpl w:val="A0B4B79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27E668DD"/>
    <w:multiLevelType w:val="hybridMultilevel"/>
    <w:tmpl w:val="A4386AEA"/>
    <w:lvl w:ilvl="0" w:tplc="DCC4D760">
      <w:start w:val="1"/>
      <w:numFmt w:val="bullet"/>
      <w:lvlText w:val=""/>
      <w:lvlJc w:val="left"/>
      <w:pPr>
        <w:ind w:left="420" w:hanging="4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183D1D"/>
    <w:multiLevelType w:val="hybridMultilevel"/>
    <w:tmpl w:val="AFD656E8"/>
    <w:lvl w:ilvl="0" w:tplc="1A90468A">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EB1647"/>
    <w:multiLevelType w:val="hybridMultilevel"/>
    <w:tmpl w:val="C7800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0056B5F"/>
    <w:multiLevelType w:val="multilevel"/>
    <w:tmpl w:val="AFD8A756"/>
    <w:numStyleLink w:val="Bulletlist"/>
  </w:abstractNum>
  <w:abstractNum w:abstractNumId="19" w15:restartNumberingAfterBreak="0">
    <w:nsid w:val="320D4C11"/>
    <w:multiLevelType w:val="hybridMultilevel"/>
    <w:tmpl w:val="0E6E0DEC"/>
    <w:lvl w:ilvl="0" w:tplc="446430D6">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4351860"/>
    <w:multiLevelType w:val="multilevel"/>
    <w:tmpl w:val="BF2A429E"/>
    <w:lvl w:ilvl="0">
      <w:start w:val="2"/>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3449120B"/>
    <w:multiLevelType w:val="hybridMultilevel"/>
    <w:tmpl w:val="EA7E6ADA"/>
    <w:lvl w:ilvl="0" w:tplc="DCC4D760">
      <w:start w:val="1"/>
      <w:numFmt w:val="bullet"/>
      <w:lvlText w:val=""/>
      <w:lvlJc w:val="left"/>
      <w:pPr>
        <w:ind w:left="480" w:hanging="42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2" w15:restartNumberingAfterBreak="0">
    <w:nsid w:val="35844664"/>
    <w:multiLevelType w:val="multilevel"/>
    <w:tmpl w:val="441A1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210B2F"/>
    <w:multiLevelType w:val="multilevel"/>
    <w:tmpl w:val="85F8EB40"/>
    <w:lvl w:ilvl="0">
      <w:start w:val="1"/>
      <w:numFmt w:val="decimal"/>
      <w:pStyle w:val="Heading2"/>
      <w:lvlText w:val="%1."/>
      <w:lvlJc w:val="left"/>
      <w:pPr>
        <w:ind w:left="1080" w:hanging="720"/>
      </w:pPr>
      <w:rPr>
        <w:rFonts w:hint="default"/>
        <w:color w:val="6A2875"/>
      </w:rPr>
    </w:lvl>
    <w:lvl w:ilvl="1">
      <w:start w:val="1"/>
      <w:numFmt w:val="decimal"/>
      <w:pStyle w:val="Heading3"/>
      <w:isLgl/>
      <w:lvlText w:val="%1.%2"/>
      <w:lvlJc w:val="left"/>
      <w:pPr>
        <w:ind w:left="4832" w:hanging="72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 w15:restartNumberingAfterBreak="0">
    <w:nsid w:val="39D15277"/>
    <w:multiLevelType w:val="hybridMultilevel"/>
    <w:tmpl w:val="677A436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3E1D211B"/>
    <w:multiLevelType w:val="multilevel"/>
    <w:tmpl w:val="67B28B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65B6266"/>
    <w:multiLevelType w:val="hybridMultilevel"/>
    <w:tmpl w:val="4D7ABC9A"/>
    <w:lvl w:ilvl="0" w:tplc="0C090001">
      <w:start w:val="1"/>
      <w:numFmt w:val="bullet"/>
      <w:lvlText w:val=""/>
      <w:lvlJc w:val="left"/>
      <w:pPr>
        <w:ind w:left="1713" w:hanging="360"/>
      </w:pPr>
      <w:rPr>
        <w:rFonts w:ascii="Symbol" w:hAnsi="Symbol"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27" w15:restartNumberingAfterBreak="0">
    <w:nsid w:val="4E625E7C"/>
    <w:multiLevelType w:val="hybridMultilevel"/>
    <w:tmpl w:val="5BD2EE62"/>
    <w:lvl w:ilvl="0" w:tplc="0C09000F">
      <w:start w:val="1"/>
      <w:numFmt w:val="decimal"/>
      <w:lvlText w:val="%1."/>
      <w:lvlJc w:val="left"/>
      <w:pPr>
        <w:ind w:left="-1779" w:hanging="360"/>
      </w:pPr>
      <w:rPr>
        <w:rFonts w:hint="default"/>
      </w:rPr>
    </w:lvl>
    <w:lvl w:ilvl="1" w:tplc="FFFFFFFF">
      <w:start w:val="1"/>
      <w:numFmt w:val="bullet"/>
      <w:lvlText w:val="o"/>
      <w:lvlJc w:val="left"/>
      <w:pPr>
        <w:ind w:left="-1059" w:hanging="360"/>
      </w:pPr>
      <w:rPr>
        <w:rFonts w:ascii="Courier New" w:hAnsi="Courier New" w:cs="Courier New" w:hint="default"/>
      </w:rPr>
    </w:lvl>
    <w:lvl w:ilvl="2" w:tplc="FFFFFFFF">
      <w:start w:val="1"/>
      <w:numFmt w:val="bullet"/>
      <w:lvlText w:val=""/>
      <w:lvlJc w:val="left"/>
      <w:pPr>
        <w:ind w:left="-339" w:hanging="360"/>
      </w:pPr>
      <w:rPr>
        <w:rFonts w:ascii="Wingdings" w:hAnsi="Wingdings" w:hint="default"/>
      </w:rPr>
    </w:lvl>
    <w:lvl w:ilvl="3" w:tplc="FFFFFFFF">
      <w:start w:val="1"/>
      <w:numFmt w:val="bullet"/>
      <w:lvlText w:val=""/>
      <w:lvlJc w:val="left"/>
      <w:pPr>
        <w:ind w:left="381" w:hanging="360"/>
      </w:pPr>
      <w:rPr>
        <w:rFonts w:ascii="Symbol" w:hAnsi="Symbol" w:hint="default"/>
      </w:rPr>
    </w:lvl>
    <w:lvl w:ilvl="4" w:tplc="FFFFFFFF">
      <w:start w:val="1"/>
      <w:numFmt w:val="bullet"/>
      <w:lvlText w:val="o"/>
      <w:lvlJc w:val="left"/>
      <w:pPr>
        <w:ind w:left="1101" w:hanging="360"/>
      </w:pPr>
      <w:rPr>
        <w:rFonts w:ascii="Courier New" w:hAnsi="Courier New" w:cs="Courier New" w:hint="default"/>
      </w:rPr>
    </w:lvl>
    <w:lvl w:ilvl="5" w:tplc="FFFFFFFF" w:tentative="1">
      <w:start w:val="1"/>
      <w:numFmt w:val="bullet"/>
      <w:lvlText w:val=""/>
      <w:lvlJc w:val="left"/>
      <w:pPr>
        <w:ind w:left="1821" w:hanging="360"/>
      </w:pPr>
      <w:rPr>
        <w:rFonts w:ascii="Wingdings" w:hAnsi="Wingdings" w:hint="default"/>
      </w:rPr>
    </w:lvl>
    <w:lvl w:ilvl="6" w:tplc="FFFFFFFF" w:tentative="1">
      <w:start w:val="1"/>
      <w:numFmt w:val="bullet"/>
      <w:lvlText w:val=""/>
      <w:lvlJc w:val="left"/>
      <w:pPr>
        <w:ind w:left="2541" w:hanging="360"/>
      </w:pPr>
      <w:rPr>
        <w:rFonts w:ascii="Symbol" w:hAnsi="Symbol" w:hint="default"/>
      </w:rPr>
    </w:lvl>
    <w:lvl w:ilvl="7" w:tplc="FFFFFFFF" w:tentative="1">
      <w:start w:val="1"/>
      <w:numFmt w:val="bullet"/>
      <w:lvlText w:val="o"/>
      <w:lvlJc w:val="left"/>
      <w:pPr>
        <w:ind w:left="3261" w:hanging="360"/>
      </w:pPr>
      <w:rPr>
        <w:rFonts w:ascii="Courier New" w:hAnsi="Courier New" w:cs="Courier New" w:hint="default"/>
      </w:rPr>
    </w:lvl>
    <w:lvl w:ilvl="8" w:tplc="FFFFFFFF" w:tentative="1">
      <w:start w:val="1"/>
      <w:numFmt w:val="bullet"/>
      <w:lvlText w:val=""/>
      <w:lvlJc w:val="left"/>
      <w:pPr>
        <w:ind w:left="3981" w:hanging="360"/>
      </w:pPr>
      <w:rPr>
        <w:rFonts w:ascii="Wingdings" w:hAnsi="Wingdings" w:hint="default"/>
      </w:rPr>
    </w:lvl>
  </w:abstractNum>
  <w:abstractNum w:abstractNumId="28" w15:restartNumberingAfterBreak="0">
    <w:nsid w:val="51E16788"/>
    <w:multiLevelType w:val="multilevel"/>
    <w:tmpl w:val="2AE88A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3134884"/>
    <w:multiLevelType w:val="multilevel"/>
    <w:tmpl w:val="37A8BB22"/>
    <w:lvl w:ilvl="0">
      <w:start w:val="1"/>
      <w:numFmt w:val="decimal"/>
      <w:pStyle w:val="SectionHeading"/>
      <w:suff w:val="space"/>
      <w:lvlText w:val="%1."/>
      <w:lvlJc w:val="left"/>
      <w:pPr>
        <w:ind w:left="360" w:hanging="360"/>
      </w:pPr>
      <w:rPr>
        <w:rFonts w:hint="default"/>
        <w:b w:val="0"/>
        <w:bCs w:val="0"/>
        <w:i w:val="0"/>
        <w:iCs w:val="0"/>
        <w:caps w:val="0"/>
        <w:smallCaps w:val="0"/>
        <w:strike w:val="0"/>
        <w:dstrike w:val="0"/>
        <w:noProof w:val="0"/>
        <w:vanish w:val="0"/>
        <w:color w:val="F9F9F9" w:themeColor="background1"/>
        <w:spacing w:val="0"/>
        <w:kern w:val="0"/>
        <w:position w:val="0"/>
        <w:u w:val="none"/>
        <w:effect w:val="none"/>
        <w:vertAlign w:val="baseline"/>
        <w:em w:val="none"/>
        <w:specVanish w:val="0"/>
      </w:rPr>
    </w:lvl>
    <w:lvl w:ilvl="1">
      <w:start w:val="1"/>
      <w:numFmt w:val="decimal"/>
      <w:lvlText w:val="%1.1."/>
      <w:lvlJc w:val="left"/>
      <w:pPr>
        <w:ind w:left="792" w:hanging="432"/>
      </w:pPr>
      <w:rPr>
        <w:b w:val="0"/>
        <w:bCs w:val="0"/>
        <w:i w:val="0"/>
        <w:iCs w:val="0"/>
        <w:caps w:val="0"/>
        <w:smallCaps w:val="0"/>
        <w:strike w:val="0"/>
        <w:dstrike w:val="0"/>
        <w:noProof w:val="0"/>
        <w:vanish w:val="0"/>
        <w:color w:val="F9F9F9" w:themeColor="background1"/>
        <w:spacing w:val="0"/>
        <w:kern w:val="0"/>
        <w:position w:val="0"/>
        <w:u w:val="none"/>
        <w:effect w:val="none"/>
        <w:vertAlign w:val="baseline"/>
        <w:em w:val="none"/>
        <w:specVanish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3AB1B68"/>
    <w:multiLevelType w:val="hybridMultilevel"/>
    <w:tmpl w:val="392825F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3BC1006"/>
    <w:multiLevelType w:val="multilevel"/>
    <w:tmpl w:val="E2E884EE"/>
    <w:lvl w:ilvl="0">
      <w:start w:val="1"/>
      <w:numFmt w:val="decimal"/>
      <w:pStyle w:val="CEOBrief-Heading1"/>
      <w:lvlText w:val="%1."/>
      <w:lvlJc w:val="left"/>
      <w:pPr>
        <w:ind w:left="360" w:hanging="360"/>
      </w:pPr>
    </w:lvl>
    <w:lvl w:ilvl="1">
      <w:start w:val="1"/>
      <w:numFmt w:val="decimal"/>
      <w:pStyle w:val="CEOBrief-Paragraph1"/>
      <w:lvlText w:val="%1.%2."/>
      <w:lvlJc w:val="left"/>
      <w:pPr>
        <w:ind w:left="432" w:hanging="432"/>
      </w:pPr>
      <w:rPr>
        <w:b w:val="0"/>
        <w:bCs/>
      </w:rPr>
    </w:lvl>
    <w:lvl w:ilvl="2">
      <w:start w:val="1"/>
      <w:numFmt w:val="decimal"/>
      <w:pStyle w:val="CEOBrief-Paragraph2"/>
      <w:lvlText w:val="%1.%2.%3."/>
      <w:lvlJc w:val="left"/>
      <w:pPr>
        <w:ind w:left="646" w:hanging="504"/>
      </w:pPr>
      <w:rPr>
        <w:rFonts w:ascii="Arial" w:hAnsi="Arial" w:cs="Arial" w:hint="default"/>
        <w:b w:val="0"/>
        <w:i w:val="0"/>
        <w:sz w:val="22"/>
        <w:szCs w:val="22"/>
      </w:rPr>
    </w:lvl>
    <w:lvl w:ilvl="3">
      <w:start w:val="1"/>
      <w:numFmt w:val="decimal"/>
      <w:lvlText w:val="%1.%2.%3.%4."/>
      <w:lvlJc w:val="left"/>
      <w:pPr>
        <w:ind w:left="1728" w:hanging="648"/>
      </w:pPr>
      <w:rPr>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AEF3B73"/>
    <w:multiLevelType w:val="multilevel"/>
    <w:tmpl w:val="AFD8A756"/>
    <w:styleLink w:val="Bulletlist"/>
    <w:lvl w:ilvl="0">
      <w:start w:val="1"/>
      <w:numFmt w:val="bullet"/>
      <w:lvlText w:val=""/>
      <w:lvlJc w:val="left"/>
      <w:pPr>
        <w:ind w:left="360" w:hanging="360"/>
      </w:pPr>
      <w:rPr>
        <w:rFonts w:ascii="Symbol" w:hAnsi="Symbol" w:hint="default"/>
      </w:rPr>
    </w:lvl>
    <w:lvl w:ilvl="1">
      <w:start w:val="1"/>
      <w:numFmt w:val="bullet"/>
      <w:pStyle w:val="Bullet2"/>
      <w:lvlText w:val="–"/>
      <w:lvlJc w:val="left"/>
      <w:pPr>
        <w:ind w:left="1080" w:hanging="360"/>
      </w:pPr>
      <w:rPr>
        <w:rFonts w:ascii="Arial" w:hAnsi="Arial" w:hint="default"/>
      </w:rPr>
    </w:lvl>
    <w:lvl w:ilvl="2">
      <w:start w:val="1"/>
      <w:numFmt w:val="bullet"/>
      <w:lvlText w:val=""/>
      <w:lvlJc w:val="left"/>
      <w:pPr>
        <w:ind w:left="-339" w:hanging="360"/>
      </w:pPr>
      <w:rPr>
        <w:rFonts w:ascii="Wingdings" w:hAnsi="Wingdings" w:hint="default"/>
      </w:rPr>
    </w:lvl>
    <w:lvl w:ilvl="3">
      <w:start w:val="1"/>
      <w:numFmt w:val="bullet"/>
      <w:lvlText w:val=""/>
      <w:lvlJc w:val="left"/>
      <w:pPr>
        <w:ind w:left="381" w:hanging="360"/>
      </w:pPr>
      <w:rPr>
        <w:rFonts w:ascii="Symbol" w:hAnsi="Symbol" w:hint="default"/>
      </w:rPr>
    </w:lvl>
    <w:lvl w:ilvl="4">
      <w:start w:val="1"/>
      <w:numFmt w:val="bullet"/>
      <w:lvlText w:val="o"/>
      <w:lvlJc w:val="left"/>
      <w:pPr>
        <w:ind w:left="1101" w:hanging="360"/>
      </w:pPr>
      <w:rPr>
        <w:rFonts w:ascii="Courier New" w:hAnsi="Courier New" w:cs="Courier New" w:hint="default"/>
      </w:rPr>
    </w:lvl>
    <w:lvl w:ilvl="5">
      <w:start w:val="1"/>
      <w:numFmt w:val="bullet"/>
      <w:lvlText w:val=""/>
      <w:lvlJc w:val="left"/>
      <w:pPr>
        <w:ind w:left="1821" w:hanging="360"/>
      </w:pPr>
      <w:rPr>
        <w:rFonts w:ascii="Wingdings" w:hAnsi="Wingdings" w:hint="default"/>
      </w:rPr>
    </w:lvl>
    <w:lvl w:ilvl="6">
      <w:start w:val="1"/>
      <w:numFmt w:val="bullet"/>
      <w:lvlText w:val=""/>
      <w:lvlJc w:val="left"/>
      <w:pPr>
        <w:ind w:left="2541" w:hanging="360"/>
      </w:pPr>
      <w:rPr>
        <w:rFonts w:ascii="Symbol" w:hAnsi="Symbol" w:hint="default"/>
      </w:rPr>
    </w:lvl>
    <w:lvl w:ilvl="7">
      <w:start w:val="1"/>
      <w:numFmt w:val="bullet"/>
      <w:lvlText w:val="o"/>
      <w:lvlJc w:val="left"/>
      <w:pPr>
        <w:ind w:left="3261" w:hanging="360"/>
      </w:pPr>
      <w:rPr>
        <w:rFonts w:ascii="Courier New" w:hAnsi="Courier New" w:cs="Courier New" w:hint="default"/>
      </w:rPr>
    </w:lvl>
    <w:lvl w:ilvl="8">
      <w:start w:val="1"/>
      <w:numFmt w:val="bullet"/>
      <w:lvlText w:val=""/>
      <w:lvlJc w:val="left"/>
      <w:pPr>
        <w:ind w:left="3981" w:hanging="360"/>
      </w:pPr>
      <w:rPr>
        <w:rFonts w:ascii="Wingdings" w:hAnsi="Wingdings" w:hint="default"/>
      </w:rPr>
    </w:lvl>
  </w:abstractNum>
  <w:abstractNum w:abstractNumId="33" w15:restartNumberingAfterBreak="0">
    <w:nsid w:val="5DFB2E66"/>
    <w:multiLevelType w:val="hybridMultilevel"/>
    <w:tmpl w:val="71124E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68A55469"/>
    <w:multiLevelType w:val="hybridMultilevel"/>
    <w:tmpl w:val="1954339A"/>
    <w:lvl w:ilvl="0" w:tplc="14A6A6E8">
      <w:start w:val="1"/>
      <w:numFmt w:val="decimal"/>
      <w:pStyle w:val="Numberedlist"/>
      <w:lvlText w:val="%1."/>
      <w:lvlJc w:val="left"/>
      <w:pPr>
        <w:ind w:left="-1779" w:hanging="360"/>
      </w:pPr>
      <w:rPr>
        <w:rFonts w:hint="default"/>
      </w:rPr>
    </w:lvl>
    <w:lvl w:ilvl="1" w:tplc="FFFFFFFF">
      <w:start w:val="1"/>
      <w:numFmt w:val="bullet"/>
      <w:lvlText w:val="o"/>
      <w:lvlJc w:val="left"/>
      <w:pPr>
        <w:ind w:left="-1059" w:hanging="360"/>
      </w:pPr>
      <w:rPr>
        <w:rFonts w:ascii="Courier New" w:hAnsi="Courier New" w:cs="Courier New" w:hint="default"/>
      </w:rPr>
    </w:lvl>
    <w:lvl w:ilvl="2" w:tplc="FFFFFFFF">
      <w:start w:val="1"/>
      <w:numFmt w:val="bullet"/>
      <w:lvlText w:val=""/>
      <w:lvlJc w:val="left"/>
      <w:pPr>
        <w:ind w:left="-339" w:hanging="360"/>
      </w:pPr>
      <w:rPr>
        <w:rFonts w:ascii="Wingdings" w:hAnsi="Wingdings" w:hint="default"/>
      </w:rPr>
    </w:lvl>
    <w:lvl w:ilvl="3" w:tplc="FFFFFFFF">
      <w:start w:val="1"/>
      <w:numFmt w:val="bullet"/>
      <w:lvlText w:val=""/>
      <w:lvlJc w:val="left"/>
      <w:pPr>
        <w:ind w:left="381" w:hanging="360"/>
      </w:pPr>
      <w:rPr>
        <w:rFonts w:ascii="Symbol" w:hAnsi="Symbol" w:hint="default"/>
      </w:rPr>
    </w:lvl>
    <w:lvl w:ilvl="4" w:tplc="FFFFFFFF">
      <w:start w:val="1"/>
      <w:numFmt w:val="bullet"/>
      <w:lvlText w:val="o"/>
      <w:lvlJc w:val="left"/>
      <w:pPr>
        <w:ind w:left="1101" w:hanging="360"/>
      </w:pPr>
      <w:rPr>
        <w:rFonts w:ascii="Courier New" w:hAnsi="Courier New" w:cs="Courier New" w:hint="default"/>
      </w:rPr>
    </w:lvl>
    <w:lvl w:ilvl="5" w:tplc="FFFFFFFF" w:tentative="1">
      <w:start w:val="1"/>
      <w:numFmt w:val="bullet"/>
      <w:lvlText w:val=""/>
      <w:lvlJc w:val="left"/>
      <w:pPr>
        <w:ind w:left="1821" w:hanging="360"/>
      </w:pPr>
      <w:rPr>
        <w:rFonts w:ascii="Wingdings" w:hAnsi="Wingdings" w:hint="default"/>
      </w:rPr>
    </w:lvl>
    <w:lvl w:ilvl="6" w:tplc="FFFFFFFF" w:tentative="1">
      <w:start w:val="1"/>
      <w:numFmt w:val="bullet"/>
      <w:lvlText w:val=""/>
      <w:lvlJc w:val="left"/>
      <w:pPr>
        <w:ind w:left="2541" w:hanging="360"/>
      </w:pPr>
      <w:rPr>
        <w:rFonts w:ascii="Symbol" w:hAnsi="Symbol" w:hint="default"/>
      </w:rPr>
    </w:lvl>
    <w:lvl w:ilvl="7" w:tplc="FFFFFFFF" w:tentative="1">
      <w:start w:val="1"/>
      <w:numFmt w:val="bullet"/>
      <w:lvlText w:val="o"/>
      <w:lvlJc w:val="left"/>
      <w:pPr>
        <w:ind w:left="3261" w:hanging="360"/>
      </w:pPr>
      <w:rPr>
        <w:rFonts w:ascii="Courier New" w:hAnsi="Courier New" w:cs="Courier New" w:hint="default"/>
      </w:rPr>
    </w:lvl>
    <w:lvl w:ilvl="8" w:tplc="FFFFFFFF" w:tentative="1">
      <w:start w:val="1"/>
      <w:numFmt w:val="bullet"/>
      <w:lvlText w:val=""/>
      <w:lvlJc w:val="left"/>
      <w:pPr>
        <w:ind w:left="3981" w:hanging="360"/>
      </w:pPr>
      <w:rPr>
        <w:rFonts w:ascii="Wingdings" w:hAnsi="Wingdings" w:hint="default"/>
      </w:rPr>
    </w:lvl>
  </w:abstractNum>
  <w:abstractNum w:abstractNumId="35" w15:restartNumberingAfterBreak="0">
    <w:nsid w:val="6A01767D"/>
    <w:multiLevelType w:val="multilevel"/>
    <w:tmpl w:val="74427506"/>
    <w:lvl w:ilvl="0">
      <w:start w:val="1"/>
      <w:numFmt w:val="decimal"/>
      <w:lvlText w:val="%1"/>
      <w:lvlJc w:val="left"/>
      <w:pPr>
        <w:ind w:left="360" w:hanging="360"/>
      </w:pPr>
      <w:rPr>
        <w:rFonts w:hint="default"/>
      </w:rPr>
    </w:lvl>
    <w:lvl w:ilvl="1">
      <w:start w:val="1"/>
      <w:numFmt w:val="decimal"/>
      <w:pStyle w:val="StyleNotesHeaderLeftLeft-008cm"/>
      <w:lvlText w:val="%1.%2"/>
      <w:lvlJc w:val="left"/>
      <w:pPr>
        <w:ind w:left="360" w:hanging="360"/>
      </w:pPr>
      <w:rPr>
        <w:rFonts w:hint="default"/>
        <w:sz w:val="18"/>
        <w:szCs w:val="18"/>
      </w:rPr>
    </w:lvl>
    <w:lvl w:ilvl="2">
      <w:start w:val="1"/>
      <w:numFmt w:val="decimal"/>
      <w:lvlText w:val="%1.%2.%3"/>
      <w:lvlJc w:val="left"/>
      <w:pPr>
        <w:ind w:left="630" w:hanging="720"/>
      </w:pPr>
      <w:rPr>
        <w:rFonts w:hint="default"/>
      </w:rPr>
    </w:lvl>
    <w:lvl w:ilvl="3">
      <w:start w:val="1"/>
      <w:numFmt w:val="decimal"/>
      <w:lvlText w:val="%1.%2.%3.%4"/>
      <w:lvlJc w:val="left"/>
      <w:pPr>
        <w:ind w:left="585" w:hanging="720"/>
      </w:pPr>
      <w:rPr>
        <w:rFonts w:hint="default"/>
      </w:rPr>
    </w:lvl>
    <w:lvl w:ilvl="4">
      <w:start w:val="1"/>
      <w:numFmt w:val="decimal"/>
      <w:lvlText w:val="%1.%2.%3.%4.%5"/>
      <w:lvlJc w:val="left"/>
      <w:pPr>
        <w:ind w:left="540" w:hanging="720"/>
      </w:pPr>
      <w:rPr>
        <w:rFonts w:hint="default"/>
      </w:rPr>
    </w:lvl>
    <w:lvl w:ilvl="5">
      <w:start w:val="1"/>
      <w:numFmt w:val="decimal"/>
      <w:lvlText w:val="%1.%2.%3.%4.%5.%6"/>
      <w:lvlJc w:val="left"/>
      <w:pPr>
        <w:ind w:left="855" w:hanging="1080"/>
      </w:pPr>
      <w:rPr>
        <w:rFonts w:hint="default"/>
      </w:rPr>
    </w:lvl>
    <w:lvl w:ilvl="6">
      <w:start w:val="1"/>
      <w:numFmt w:val="decimal"/>
      <w:lvlText w:val="%1.%2.%3.%4.%5.%6.%7"/>
      <w:lvlJc w:val="left"/>
      <w:pPr>
        <w:ind w:left="810" w:hanging="1080"/>
      </w:pPr>
      <w:rPr>
        <w:rFonts w:hint="default"/>
      </w:rPr>
    </w:lvl>
    <w:lvl w:ilvl="7">
      <w:start w:val="1"/>
      <w:numFmt w:val="decimal"/>
      <w:lvlText w:val="%1.%2.%3.%4.%5.%6.%7.%8"/>
      <w:lvlJc w:val="left"/>
      <w:pPr>
        <w:ind w:left="1125" w:hanging="1440"/>
      </w:pPr>
      <w:rPr>
        <w:rFonts w:hint="default"/>
      </w:rPr>
    </w:lvl>
    <w:lvl w:ilvl="8">
      <w:start w:val="1"/>
      <w:numFmt w:val="decimal"/>
      <w:lvlText w:val="%1.%2.%3.%4.%5.%6.%7.%8.%9"/>
      <w:lvlJc w:val="left"/>
      <w:pPr>
        <w:ind w:left="1080" w:hanging="1440"/>
      </w:pPr>
      <w:rPr>
        <w:rFonts w:hint="default"/>
      </w:rPr>
    </w:lvl>
  </w:abstractNum>
  <w:abstractNum w:abstractNumId="36" w15:restartNumberingAfterBreak="0">
    <w:nsid w:val="6B83469B"/>
    <w:multiLevelType w:val="hybridMultilevel"/>
    <w:tmpl w:val="94EED366"/>
    <w:lvl w:ilvl="0" w:tplc="DCC4D760">
      <w:start w:val="1"/>
      <w:numFmt w:val="bullet"/>
      <w:lvlText w:val=""/>
      <w:lvlJc w:val="left"/>
      <w:pPr>
        <w:ind w:left="420" w:hanging="4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2E921FA"/>
    <w:multiLevelType w:val="multilevel"/>
    <w:tmpl w:val="D7FEEA16"/>
    <w:lvl w:ilvl="0">
      <w:start w:val="1"/>
      <w:numFmt w:val="decimal"/>
      <w:pStyle w:val="NotesHeading-Level1"/>
      <w:lvlText w:val="Note %1: "/>
      <w:lvlJc w:val="left"/>
      <w:pPr>
        <w:tabs>
          <w:tab w:val="num" w:pos="10491"/>
        </w:tabs>
        <w:ind w:left="10774" w:hanging="1134"/>
      </w:pPr>
      <w:rPr>
        <w:rFonts w:ascii="Arial Bold" w:hAnsi="Arial Bold" w:cs="Times New Roman" w:hint="default"/>
        <w:b/>
        <w:bCs w:val="0"/>
        <w:i w:val="0"/>
        <w:iCs w:val="0"/>
        <w:caps w:val="0"/>
        <w:smallCaps w:val="0"/>
        <w:strike w:val="0"/>
        <w:dstrike w:val="0"/>
        <w:noProof w:val="0"/>
        <w:vanish w:val="0"/>
        <w:color w:val="auto"/>
        <w:spacing w:val="0"/>
        <w:kern w:val="0"/>
        <w:position w:val="0"/>
        <w:sz w:val="20"/>
        <w:u w:val="none"/>
        <w:vertAlign w:val="baseline"/>
        <w:em w:val="none"/>
      </w:rPr>
    </w:lvl>
    <w:lvl w:ilvl="1">
      <w:start w:val="1"/>
      <w:numFmt w:val="upperLetter"/>
      <w:pStyle w:val="NotesHeading-Level2"/>
      <w:lvlText w:val="Note %1%2: "/>
      <w:lvlJc w:val="left"/>
      <w:pPr>
        <w:tabs>
          <w:tab w:val="num" w:pos="851"/>
        </w:tabs>
        <w:ind w:left="1532" w:hanging="1532"/>
      </w:pPr>
      <w:rPr>
        <w:rFonts w:ascii="Times New Roman" w:hAnsi="Times New Roman" w:cs="Times New Roman" w:hint="default"/>
        <w:b/>
        <w:i w:val="0"/>
        <w:color w:val="auto"/>
        <w:sz w:val="20"/>
        <w:szCs w:val="20"/>
        <w:u w:val="singl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8" w15:restartNumberingAfterBreak="0">
    <w:nsid w:val="75A63E01"/>
    <w:multiLevelType w:val="hybridMultilevel"/>
    <w:tmpl w:val="BAE2131A"/>
    <w:lvl w:ilvl="0" w:tplc="DCC4D760">
      <w:start w:val="1"/>
      <w:numFmt w:val="bullet"/>
      <w:lvlText w:val=""/>
      <w:lvlJc w:val="left"/>
      <w:pPr>
        <w:ind w:left="420" w:hanging="4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73D36A6"/>
    <w:multiLevelType w:val="hybridMultilevel"/>
    <w:tmpl w:val="5764F086"/>
    <w:lvl w:ilvl="0" w:tplc="30080FC4">
      <w:numFmt w:val="bullet"/>
      <w:lvlText w:val="-"/>
      <w:lvlJc w:val="left"/>
      <w:pPr>
        <w:ind w:left="413" w:hanging="360"/>
      </w:pPr>
      <w:rPr>
        <w:rFonts w:ascii="Times New Roman" w:eastAsia="Times New Roman" w:hAnsi="Times New Roman" w:cs="Times New Roman" w:hint="default"/>
      </w:rPr>
    </w:lvl>
    <w:lvl w:ilvl="1" w:tplc="0C090003" w:tentative="1">
      <w:start w:val="1"/>
      <w:numFmt w:val="bullet"/>
      <w:lvlText w:val="o"/>
      <w:lvlJc w:val="left"/>
      <w:pPr>
        <w:ind w:left="1133" w:hanging="360"/>
      </w:pPr>
      <w:rPr>
        <w:rFonts w:ascii="Courier New" w:hAnsi="Courier New" w:cs="Courier New" w:hint="default"/>
      </w:rPr>
    </w:lvl>
    <w:lvl w:ilvl="2" w:tplc="0C090005" w:tentative="1">
      <w:start w:val="1"/>
      <w:numFmt w:val="bullet"/>
      <w:lvlText w:val=""/>
      <w:lvlJc w:val="left"/>
      <w:pPr>
        <w:ind w:left="1853" w:hanging="360"/>
      </w:pPr>
      <w:rPr>
        <w:rFonts w:ascii="Wingdings" w:hAnsi="Wingdings" w:hint="default"/>
      </w:rPr>
    </w:lvl>
    <w:lvl w:ilvl="3" w:tplc="0C090001" w:tentative="1">
      <w:start w:val="1"/>
      <w:numFmt w:val="bullet"/>
      <w:lvlText w:val=""/>
      <w:lvlJc w:val="left"/>
      <w:pPr>
        <w:ind w:left="2573" w:hanging="360"/>
      </w:pPr>
      <w:rPr>
        <w:rFonts w:ascii="Symbol" w:hAnsi="Symbol" w:hint="default"/>
      </w:rPr>
    </w:lvl>
    <w:lvl w:ilvl="4" w:tplc="0C090003" w:tentative="1">
      <w:start w:val="1"/>
      <w:numFmt w:val="bullet"/>
      <w:lvlText w:val="o"/>
      <w:lvlJc w:val="left"/>
      <w:pPr>
        <w:ind w:left="3293" w:hanging="360"/>
      </w:pPr>
      <w:rPr>
        <w:rFonts w:ascii="Courier New" w:hAnsi="Courier New" w:cs="Courier New" w:hint="default"/>
      </w:rPr>
    </w:lvl>
    <w:lvl w:ilvl="5" w:tplc="0C090005" w:tentative="1">
      <w:start w:val="1"/>
      <w:numFmt w:val="bullet"/>
      <w:lvlText w:val=""/>
      <w:lvlJc w:val="left"/>
      <w:pPr>
        <w:ind w:left="4013" w:hanging="360"/>
      </w:pPr>
      <w:rPr>
        <w:rFonts w:ascii="Wingdings" w:hAnsi="Wingdings" w:hint="default"/>
      </w:rPr>
    </w:lvl>
    <w:lvl w:ilvl="6" w:tplc="0C090001" w:tentative="1">
      <w:start w:val="1"/>
      <w:numFmt w:val="bullet"/>
      <w:lvlText w:val=""/>
      <w:lvlJc w:val="left"/>
      <w:pPr>
        <w:ind w:left="4733" w:hanging="360"/>
      </w:pPr>
      <w:rPr>
        <w:rFonts w:ascii="Symbol" w:hAnsi="Symbol" w:hint="default"/>
      </w:rPr>
    </w:lvl>
    <w:lvl w:ilvl="7" w:tplc="0C090003" w:tentative="1">
      <w:start w:val="1"/>
      <w:numFmt w:val="bullet"/>
      <w:lvlText w:val="o"/>
      <w:lvlJc w:val="left"/>
      <w:pPr>
        <w:ind w:left="5453" w:hanging="360"/>
      </w:pPr>
      <w:rPr>
        <w:rFonts w:ascii="Courier New" w:hAnsi="Courier New" w:cs="Courier New" w:hint="default"/>
      </w:rPr>
    </w:lvl>
    <w:lvl w:ilvl="8" w:tplc="0C090005" w:tentative="1">
      <w:start w:val="1"/>
      <w:numFmt w:val="bullet"/>
      <w:lvlText w:val=""/>
      <w:lvlJc w:val="left"/>
      <w:pPr>
        <w:ind w:left="6173" w:hanging="360"/>
      </w:pPr>
      <w:rPr>
        <w:rFonts w:ascii="Wingdings" w:hAnsi="Wingdings" w:hint="default"/>
      </w:rPr>
    </w:lvl>
  </w:abstractNum>
  <w:abstractNum w:abstractNumId="40" w15:restartNumberingAfterBreak="0">
    <w:nsid w:val="7A9206EC"/>
    <w:multiLevelType w:val="hybridMultilevel"/>
    <w:tmpl w:val="828C9472"/>
    <w:lvl w:ilvl="0" w:tplc="DCC4D760">
      <w:start w:val="1"/>
      <w:numFmt w:val="bullet"/>
      <w:lvlText w:val=""/>
      <w:lvlJc w:val="left"/>
      <w:pPr>
        <w:ind w:left="420" w:hanging="4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C796F77"/>
    <w:multiLevelType w:val="hybridMultilevel"/>
    <w:tmpl w:val="D9F66062"/>
    <w:lvl w:ilvl="0" w:tplc="CE52AAE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F506F29"/>
    <w:multiLevelType w:val="hybridMultilevel"/>
    <w:tmpl w:val="3858FF60"/>
    <w:lvl w:ilvl="0" w:tplc="0C090003">
      <w:start w:val="1"/>
      <w:numFmt w:val="bullet"/>
      <w:lvlText w:val="o"/>
      <w:lvlJc w:val="left"/>
      <w:pPr>
        <w:ind w:left="420" w:hanging="42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07611780">
    <w:abstractNumId w:val="23"/>
  </w:num>
  <w:num w:numId="2" w16cid:durableId="862402279">
    <w:abstractNumId w:val="2"/>
  </w:num>
  <w:num w:numId="3" w16cid:durableId="1991639433">
    <w:abstractNumId w:val="9"/>
  </w:num>
  <w:num w:numId="4" w16cid:durableId="739518056">
    <w:abstractNumId w:val="41"/>
  </w:num>
  <w:num w:numId="5" w16cid:durableId="145901810">
    <w:abstractNumId w:val="17"/>
  </w:num>
  <w:num w:numId="6" w16cid:durableId="2084796931">
    <w:abstractNumId w:val="5"/>
  </w:num>
  <w:num w:numId="7" w16cid:durableId="1617567124">
    <w:abstractNumId w:val="12"/>
  </w:num>
  <w:num w:numId="8" w16cid:durableId="561142459">
    <w:abstractNumId w:val="32"/>
  </w:num>
  <w:num w:numId="9" w16cid:durableId="21519757">
    <w:abstractNumId w:val="18"/>
  </w:num>
  <w:num w:numId="10" w16cid:durableId="163791364">
    <w:abstractNumId w:val="34"/>
  </w:num>
  <w:num w:numId="11" w16cid:durableId="1363048986">
    <w:abstractNumId w:val="42"/>
  </w:num>
  <w:num w:numId="12" w16cid:durableId="649675719">
    <w:abstractNumId w:val="6"/>
  </w:num>
  <w:num w:numId="13" w16cid:durableId="384790932">
    <w:abstractNumId w:val="0"/>
  </w:num>
  <w:num w:numId="14" w16cid:durableId="1928348592">
    <w:abstractNumId w:val="40"/>
  </w:num>
  <w:num w:numId="15" w16cid:durableId="1704674968">
    <w:abstractNumId w:val="36"/>
  </w:num>
  <w:num w:numId="16" w16cid:durableId="1436094397">
    <w:abstractNumId w:val="38"/>
  </w:num>
  <w:num w:numId="17" w16cid:durableId="287855886">
    <w:abstractNumId w:val="21"/>
  </w:num>
  <w:num w:numId="18" w16cid:durableId="754665650">
    <w:abstractNumId w:val="14"/>
  </w:num>
  <w:num w:numId="19" w16cid:durableId="821429745">
    <w:abstractNumId w:val="11"/>
  </w:num>
  <w:num w:numId="20" w16cid:durableId="1929650966">
    <w:abstractNumId w:val="27"/>
  </w:num>
  <w:num w:numId="21" w16cid:durableId="1311250129">
    <w:abstractNumId w:val="4"/>
  </w:num>
  <w:num w:numId="22" w16cid:durableId="676932240">
    <w:abstractNumId w:val="22"/>
  </w:num>
  <w:num w:numId="23" w16cid:durableId="259798663">
    <w:abstractNumId w:val="20"/>
  </w:num>
  <w:num w:numId="24" w16cid:durableId="1113475731">
    <w:abstractNumId w:val="43"/>
  </w:num>
  <w:num w:numId="25" w16cid:durableId="2087072387">
    <w:abstractNumId w:val="37"/>
  </w:num>
  <w:num w:numId="26" w16cid:durableId="1321036747">
    <w:abstractNumId w:val="8"/>
  </w:num>
  <w:num w:numId="27" w16cid:durableId="988482682">
    <w:abstractNumId w:val="35"/>
  </w:num>
  <w:num w:numId="28" w16cid:durableId="16444603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1436028">
    <w:abstractNumId w:val="29"/>
  </w:num>
  <w:num w:numId="30" w16cid:durableId="1883979336">
    <w:abstractNumId w:val="7"/>
  </w:num>
  <w:num w:numId="31" w16cid:durableId="915087237">
    <w:abstractNumId w:val="30"/>
  </w:num>
  <w:num w:numId="32" w16cid:durableId="2001274279">
    <w:abstractNumId w:val="19"/>
  </w:num>
  <w:num w:numId="33" w16cid:durableId="1184319153">
    <w:abstractNumId w:val="13"/>
  </w:num>
  <w:num w:numId="34" w16cid:durableId="1679506494">
    <w:abstractNumId w:val="16"/>
  </w:num>
  <w:num w:numId="35" w16cid:durableId="91972508">
    <w:abstractNumId w:val="28"/>
  </w:num>
  <w:num w:numId="36" w16cid:durableId="102113399">
    <w:abstractNumId w:val="25"/>
  </w:num>
  <w:num w:numId="37" w16cid:durableId="205024636">
    <w:abstractNumId w:val="10"/>
  </w:num>
  <w:num w:numId="38" w16cid:durableId="17614139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16208270">
    <w:abstractNumId w:val="26"/>
  </w:num>
  <w:num w:numId="40" w16cid:durableId="901988754">
    <w:abstractNumId w:val="3"/>
  </w:num>
  <w:num w:numId="41" w16cid:durableId="1726561142">
    <w:abstractNumId w:val="1"/>
  </w:num>
  <w:num w:numId="42" w16cid:durableId="1522204774">
    <w:abstractNumId w:val="33"/>
  </w:num>
  <w:num w:numId="43" w16cid:durableId="318851281">
    <w:abstractNumId w:val="15"/>
  </w:num>
  <w:num w:numId="44" w16cid:durableId="973023275">
    <w:abstractNumId w:val="39"/>
  </w:num>
  <w:num w:numId="45" w16cid:durableId="189387979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1248727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1BC"/>
    <w:rsid w:val="0000128B"/>
    <w:rsid w:val="000050F6"/>
    <w:rsid w:val="000057CD"/>
    <w:rsid w:val="0001224E"/>
    <w:rsid w:val="00012A0D"/>
    <w:rsid w:val="000164C3"/>
    <w:rsid w:val="0001689B"/>
    <w:rsid w:val="000175BD"/>
    <w:rsid w:val="00021FA8"/>
    <w:rsid w:val="0002422C"/>
    <w:rsid w:val="000256ED"/>
    <w:rsid w:val="00026F28"/>
    <w:rsid w:val="000270A5"/>
    <w:rsid w:val="0002789D"/>
    <w:rsid w:val="0003058C"/>
    <w:rsid w:val="00030609"/>
    <w:rsid w:val="00032BF4"/>
    <w:rsid w:val="000337C0"/>
    <w:rsid w:val="0003446B"/>
    <w:rsid w:val="00035ADD"/>
    <w:rsid w:val="000368D3"/>
    <w:rsid w:val="000378BB"/>
    <w:rsid w:val="00040B53"/>
    <w:rsid w:val="00041227"/>
    <w:rsid w:val="00042A45"/>
    <w:rsid w:val="000437D9"/>
    <w:rsid w:val="0004449B"/>
    <w:rsid w:val="000449EB"/>
    <w:rsid w:val="00044E10"/>
    <w:rsid w:val="00046B28"/>
    <w:rsid w:val="000502DE"/>
    <w:rsid w:val="000511FD"/>
    <w:rsid w:val="00053A22"/>
    <w:rsid w:val="00054075"/>
    <w:rsid w:val="00055AB0"/>
    <w:rsid w:val="00056100"/>
    <w:rsid w:val="00057213"/>
    <w:rsid w:val="00057554"/>
    <w:rsid w:val="00060BB5"/>
    <w:rsid w:val="00061B0A"/>
    <w:rsid w:val="000624B2"/>
    <w:rsid w:val="000625E0"/>
    <w:rsid w:val="00062918"/>
    <w:rsid w:val="00063042"/>
    <w:rsid w:val="00063848"/>
    <w:rsid w:val="000645AC"/>
    <w:rsid w:val="000645BC"/>
    <w:rsid w:val="00064614"/>
    <w:rsid w:val="0006487E"/>
    <w:rsid w:val="0006621C"/>
    <w:rsid w:val="00066632"/>
    <w:rsid w:val="00066B61"/>
    <w:rsid w:val="0007012A"/>
    <w:rsid w:val="00071372"/>
    <w:rsid w:val="00072A97"/>
    <w:rsid w:val="00072BE0"/>
    <w:rsid w:val="0007332F"/>
    <w:rsid w:val="000737AD"/>
    <w:rsid w:val="0007496A"/>
    <w:rsid w:val="00074BED"/>
    <w:rsid w:val="00076BCB"/>
    <w:rsid w:val="000777F9"/>
    <w:rsid w:val="0007797B"/>
    <w:rsid w:val="000801C6"/>
    <w:rsid w:val="00080E0F"/>
    <w:rsid w:val="00081F12"/>
    <w:rsid w:val="000832FF"/>
    <w:rsid w:val="00083476"/>
    <w:rsid w:val="00083688"/>
    <w:rsid w:val="00084F52"/>
    <w:rsid w:val="000867E9"/>
    <w:rsid w:val="000872A0"/>
    <w:rsid w:val="000879E8"/>
    <w:rsid w:val="000916FF"/>
    <w:rsid w:val="0009185C"/>
    <w:rsid w:val="00091C66"/>
    <w:rsid w:val="00093B4B"/>
    <w:rsid w:val="00093F5B"/>
    <w:rsid w:val="00094661"/>
    <w:rsid w:val="00094AC7"/>
    <w:rsid w:val="000969D8"/>
    <w:rsid w:val="00096E39"/>
    <w:rsid w:val="0009788A"/>
    <w:rsid w:val="000A0C86"/>
    <w:rsid w:val="000A1021"/>
    <w:rsid w:val="000A21C9"/>
    <w:rsid w:val="000A3CB1"/>
    <w:rsid w:val="000A6EE8"/>
    <w:rsid w:val="000A7258"/>
    <w:rsid w:val="000A7A46"/>
    <w:rsid w:val="000A7B2C"/>
    <w:rsid w:val="000A7DDD"/>
    <w:rsid w:val="000A7E21"/>
    <w:rsid w:val="000B030C"/>
    <w:rsid w:val="000B1796"/>
    <w:rsid w:val="000B1A71"/>
    <w:rsid w:val="000B1FD5"/>
    <w:rsid w:val="000B531E"/>
    <w:rsid w:val="000B5D1C"/>
    <w:rsid w:val="000B7C0E"/>
    <w:rsid w:val="000B7DD0"/>
    <w:rsid w:val="000C1232"/>
    <w:rsid w:val="000C1D69"/>
    <w:rsid w:val="000C3BC5"/>
    <w:rsid w:val="000C4961"/>
    <w:rsid w:val="000C5994"/>
    <w:rsid w:val="000C72ED"/>
    <w:rsid w:val="000C7BBE"/>
    <w:rsid w:val="000C7BD6"/>
    <w:rsid w:val="000D06BC"/>
    <w:rsid w:val="000D0D5D"/>
    <w:rsid w:val="000D1B3E"/>
    <w:rsid w:val="000D3706"/>
    <w:rsid w:val="000D3DCF"/>
    <w:rsid w:val="000D5141"/>
    <w:rsid w:val="000D6A4C"/>
    <w:rsid w:val="000D6CF7"/>
    <w:rsid w:val="000D7D8F"/>
    <w:rsid w:val="000E1437"/>
    <w:rsid w:val="000E2FC5"/>
    <w:rsid w:val="000E49AD"/>
    <w:rsid w:val="000E4D68"/>
    <w:rsid w:val="000E54C5"/>
    <w:rsid w:val="000E6600"/>
    <w:rsid w:val="000E6604"/>
    <w:rsid w:val="000E6EDC"/>
    <w:rsid w:val="000F1C41"/>
    <w:rsid w:val="000F24A9"/>
    <w:rsid w:val="000F3886"/>
    <w:rsid w:val="000F4065"/>
    <w:rsid w:val="000F4106"/>
    <w:rsid w:val="000F4D51"/>
    <w:rsid w:val="000F58FF"/>
    <w:rsid w:val="000F690A"/>
    <w:rsid w:val="000F7354"/>
    <w:rsid w:val="000F7D48"/>
    <w:rsid w:val="00101629"/>
    <w:rsid w:val="001017C5"/>
    <w:rsid w:val="001019B0"/>
    <w:rsid w:val="00102A1D"/>
    <w:rsid w:val="00105BA2"/>
    <w:rsid w:val="00110B07"/>
    <w:rsid w:val="00112693"/>
    <w:rsid w:val="001126DD"/>
    <w:rsid w:val="0011283F"/>
    <w:rsid w:val="00113250"/>
    <w:rsid w:val="001134EB"/>
    <w:rsid w:val="00113B50"/>
    <w:rsid w:val="00114365"/>
    <w:rsid w:val="00115A04"/>
    <w:rsid w:val="00117EA9"/>
    <w:rsid w:val="00117F5F"/>
    <w:rsid w:val="0012094A"/>
    <w:rsid w:val="00121175"/>
    <w:rsid w:val="0012232A"/>
    <w:rsid w:val="001227F3"/>
    <w:rsid w:val="00122E39"/>
    <w:rsid w:val="00123841"/>
    <w:rsid w:val="001243BB"/>
    <w:rsid w:val="00125C8B"/>
    <w:rsid w:val="001264A6"/>
    <w:rsid w:val="00126576"/>
    <w:rsid w:val="00126B30"/>
    <w:rsid w:val="00127458"/>
    <w:rsid w:val="00133885"/>
    <w:rsid w:val="00133B8F"/>
    <w:rsid w:val="00133FFB"/>
    <w:rsid w:val="00136F02"/>
    <w:rsid w:val="001373F0"/>
    <w:rsid w:val="001379E5"/>
    <w:rsid w:val="0014207A"/>
    <w:rsid w:val="00144123"/>
    <w:rsid w:val="0014499A"/>
    <w:rsid w:val="0014642D"/>
    <w:rsid w:val="001464C8"/>
    <w:rsid w:val="00147A65"/>
    <w:rsid w:val="001519B4"/>
    <w:rsid w:val="00153306"/>
    <w:rsid w:val="001543F0"/>
    <w:rsid w:val="00154B0A"/>
    <w:rsid w:val="00154C22"/>
    <w:rsid w:val="00154D09"/>
    <w:rsid w:val="00155751"/>
    <w:rsid w:val="001559F8"/>
    <w:rsid w:val="00156899"/>
    <w:rsid w:val="00157600"/>
    <w:rsid w:val="00157AAC"/>
    <w:rsid w:val="001611E5"/>
    <w:rsid w:val="001614A5"/>
    <w:rsid w:val="001621B6"/>
    <w:rsid w:val="001625B0"/>
    <w:rsid w:val="0016450F"/>
    <w:rsid w:val="001651D3"/>
    <w:rsid w:val="001665A1"/>
    <w:rsid w:val="00166C72"/>
    <w:rsid w:val="001670D4"/>
    <w:rsid w:val="001708A8"/>
    <w:rsid w:val="00172151"/>
    <w:rsid w:val="001725A1"/>
    <w:rsid w:val="00172B8C"/>
    <w:rsid w:val="00173416"/>
    <w:rsid w:val="001751B6"/>
    <w:rsid w:val="0017522D"/>
    <w:rsid w:val="00175E7E"/>
    <w:rsid w:val="001809B3"/>
    <w:rsid w:val="00180D51"/>
    <w:rsid w:val="00182114"/>
    <w:rsid w:val="00182ACA"/>
    <w:rsid w:val="00184F07"/>
    <w:rsid w:val="001854BF"/>
    <w:rsid w:val="00186CE7"/>
    <w:rsid w:val="00187EA6"/>
    <w:rsid w:val="00192D14"/>
    <w:rsid w:val="00192E81"/>
    <w:rsid w:val="00195BC4"/>
    <w:rsid w:val="001962E9"/>
    <w:rsid w:val="00196F6D"/>
    <w:rsid w:val="0019732F"/>
    <w:rsid w:val="001A0BD6"/>
    <w:rsid w:val="001A0D0E"/>
    <w:rsid w:val="001A15AB"/>
    <w:rsid w:val="001A1D7D"/>
    <w:rsid w:val="001A316B"/>
    <w:rsid w:val="001A3901"/>
    <w:rsid w:val="001A4FD6"/>
    <w:rsid w:val="001A57B8"/>
    <w:rsid w:val="001A59E8"/>
    <w:rsid w:val="001A6947"/>
    <w:rsid w:val="001A7959"/>
    <w:rsid w:val="001A7C74"/>
    <w:rsid w:val="001B05C5"/>
    <w:rsid w:val="001B3C97"/>
    <w:rsid w:val="001B4767"/>
    <w:rsid w:val="001B79CC"/>
    <w:rsid w:val="001B7F61"/>
    <w:rsid w:val="001C0A6D"/>
    <w:rsid w:val="001C0D03"/>
    <w:rsid w:val="001C190F"/>
    <w:rsid w:val="001C19BE"/>
    <w:rsid w:val="001C1BF6"/>
    <w:rsid w:val="001C20A0"/>
    <w:rsid w:val="001C29A2"/>
    <w:rsid w:val="001C30F1"/>
    <w:rsid w:val="001C3A56"/>
    <w:rsid w:val="001C3C07"/>
    <w:rsid w:val="001C6C21"/>
    <w:rsid w:val="001C7231"/>
    <w:rsid w:val="001C74C2"/>
    <w:rsid w:val="001D0A61"/>
    <w:rsid w:val="001D0C1E"/>
    <w:rsid w:val="001D1116"/>
    <w:rsid w:val="001D3A5F"/>
    <w:rsid w:val="001D6641"/>
    <w:rsid w:val="001D710C"/>
    <w:rsid w:val="001D7BD4"/>
    <w:rsid w:val="001D7BFB"/>
    <w:rsid w:val="001E1D6B"/>
    <w:rsid w:val="001E2737"/>
    <w:rsid w:val="001E32AD"/>
    <w:rsid w:val="001E4FE5"/>
    <w:rsid w:val="001E630D"/>
    <w:rsid w:val="001E686D"/>
    <w:rsid w:val="001E6F7B"/>
    <w:rsid w:val="001F01E7"/>
    <w:rsid w:val="001F2ADC"/>
    <w:rsid w:val="001F2C42"/>
    <w:rsid w:val="001F4F2B"/>
    <w:rsid w:val="001F5A8E"/>
    <w:rsid w:val="001F68CA"/>
    <w:rsid w:val="001F6E20"/>
    <w:rsid w:val="0020060C"/>
    <w:rsid w:val="00200CF1"/>
    <w:rsid w:val="00201366"/>
    <w:rsid w:val="00201406"/>
    <w:rsid w:val="002027C4"/>
    <w:rsid w:val="00205E75"/>
    <w:rsid w:val="002072F4"/>
    <w:rsid w:val="00207674"/>
    <w:rsid w:val="00211BA2"/>
    <w:rsid w:val="0021381A"/>
    <w:rsid w:val="00213949"/>
    <w:rsid w:val="00215051"/>
    <w:rsid w:val="00215B78"/>
    <w:rsid w:val="00216313"/>
    <w:rsid w:val="00216D29"/>
    <w:rsid w:val="00216DE5"/>
    <w:rsid w:val="002210F2"/>
    <w:rsid w:val="00222794"/>
    <w:rsid w:val="002239D5"/>
    <w:rsid w:val="00223F76"/>
    <w:rsid w:val="00227EBD"/>
    <w:rsid w:val="00230A1C"/>
    <w:rsid w:val="00230D8F"/>
    <w:rsid w:val="00230E04"/>
    <w:rsid w:val="00232013"/>
    <w:rsid w:val="002321EA"/>
    <w:rsid w:val="002336D9"/>
    <w:rsid w:val="0023438D"/>
    <w:rsid w:val="00234AE0"/>
    <w:rsid w:val="00234EFF"/>
    <w:rsid w:val="0023594A"/>
    <w:rsid w:val="0023603F"/>
    <w:rsid w:val="00237C0A"/>
    <w:rsid w:val="00237F5D"/>
    <w:rsid w:val="00240D50"/>
    <w:rsid w:val="00241CD7"/>
    <w:rsid w:val="00243B04"/>
    <w:rsid w:val="00243E71"/>
    <w:rsid w:val="00245379"/>
    <w:rsid w:val="00245EEE"/>
    <w:rsid w:val="0024613A"/>
    <w:rsid w:val="00247078"/>
    <w:rsid w:val="002474B3"/>
    <w:rsid w:val="0025160C"/>
    <w:rsid w:val="0025459E"/>
    <w:rsid w:val="00254687"/>
    <w:rsid w:val="002548EE"/>
    <w:rsid w:val="00254D32"/>
    <w:rsid w:val="002554DE"/>
    <w:rsid w:val="00255A26"/>
    <w:rsid w:val="00255AAB"/>
    <w:rsid w:val="00255B1B"/>
    <w:rsid w:val="00260556"/>
    <w:rsid w:val="002608E2"/>
    <w:rsid w:val="002612AE"/>
    <w:rsid w:val="00261D76"/>
    <w:rsid w:val="0026224E"/>
    <w:rsid w:val="00263F04"/>
    <w:rsid w:val="002650DB"/>
    <w:rsid w:val="00267829"/>
    <w:rsid w:val="00267989"/>
    <w:rsid w:val="00274D70"/>
    <w:rsid w:val="00275607"/>
    <w:rsid w:val="00275856"/>
    <w:rsid w:val="00276161"/>
    <w:rsid w:val="00280054"/>
    <w:rsid w:val="002804DE"/>
    <w:rsid w:val="00281386"/>
    <w:rsid w:val="002813D2"/>
    <w:rsid w:val="00283807"/>
    <w:rsid w:val="00284A4B"/>
    <w:rsid w:val="00284BB0"/>
    <w:rsid w:val="00285FF5"/>
    <w:rsid w:val="00287884"/>
    <w:rsid w:val="00290358"/>
    <w:rsid w:val="00293639"/>
    <w:rsid w:val="002939E7"/>
    <w:rsid w:val="00294BDA"/>
    <w:rsid w:val="00295056"/>
    <w:rsid w:val="002962FF"/>
    <w:rsid w:val="0029661E"/>
    <w:rsid w:val="00296641"/>
    <w:rsid w:val="002A0860"/>
    <w:rsid w:val="002A0AB4"/>
    <w:rsid w:val="002A1C3B"/>
    <w:rsid w:val="002A30E0"/>
    <w:rsid w:val="002A533F"/>
    <w:rsid w:val="002A5677"/>
    <w:rsid w:val="002A6373"/>
    <w:rsid w:val="002B17B8"/>
    <w:rsid w:val="002B23E4"/>
    <w:rsid w:val="002B2413"/>
    <w:rsid w:val="002B2F77"/>
    <w:rsid w:val="002B38C4"/>
    <w:rsid w:val="002B4A35"/>
    <w:rsid w:val="002B6876"/>
    <w:rsid w:val="002B6F35"/>
    <w:rsid w:val="002C00B8"/>
    <w:rsid w:val="002C0768"/>
    <w:rsid w:val="002C081C"/>
    <w:rsid w:val="002C2B2E"/>
    <w:rsid w:val="002C3090"/>
    <w:rsid w:val="002C3C9C"/>
    <w:rsid w:val="002C41A2"/>
    <w:rsid w:val="002C49EC"/>
    <w:rsid w:val="002C4D52"/>
    <w:rsid w:val="002C5C1C"/>
    <w:rsid w:val="002C618F"/>
    <w:rsid w:val="002C73B7"/>
    <w:rsid w:val="002C78B5"/>
    <w:rsid w:val="002C7B03"/>
    <w:rsid w:val="002D014B"/>
    <w:rsid w:val="002D052C"/>
    <w:rsid w:val="002D1139"/>
    <w:rsid w:val="002D3767"/>
    <w:rsid w:val="002D4F37"/>
    <w:rsid w:val="002D50E1"/>
    <w:rsid w:val="002D6DD1"/>
    <w:rsid w:val="002D7172"/>
    <w:rsid w:val="002E016A"/>
    <w:rsid w:val="002E1357"/>
    <w:rsid w:val="002E30FA"/>
    <w:rsid w:val="002E3180"/>
    <w:rsid w:val="002E3C47"/>
    <w:rsid w:val="002E4768"/>
    <w:rsid w:val="002E4B7D"/>
    <w:rsid w:val="002E4CA0"/>
    <w:rsid w:val="002E4E25"/>
    <w:rsid w:val="002E5010"/>
    <w:rsid w:val="002E6E3E"/>
    <w:rsid w:val="002E75F1"/>
    <w:rsid w:val="002F0B43"/>
    <w:rsid w:val="002F183F"/>
    <w:rsid w:val="002F19E5"/>
    <w:rsid w:val="002F2DDE"/>
    <w:rsid w:val="002F2FC5"/>
    <w:rsid w:val="002F3065"/>
    <w:rsid w:val="002F34D5"/>
    <w:rsid w:val="002F436F"/>
    <w:rsid w:val="002F48B3"/>
    <w:rsid w:val="002F5BD3"/>
    <w:rsid w:val="002F6435"/>
    <w:rsid w:val="002F7DE9"/>
    <w:rsid w:val="00301405"/>
    <w:rsid w:val="0030168A"/>
    <w:rsid w:val="00303974"/>
    <w:rsid w:val="00303E5F"/>
    <w:rsid w:val="003053C7"/>
    <w:rsid w:val="00305F1D"/>
    <w:rsid w:val="00306030"/>
    <w:rsid w:val="003060A1"/>
    <w:rsid w:val="00306DBB"/>
    <w:rsid w:val="0031083E"/>
    <w:rsid w:val="00310C1A"/>
    <w:rsid w:val="00312083"/>
    <w:rsid w:val="00312E0B"/>
    <w:rsid w:val="003131F3"/>
    <w:rsid w:val="003147DC"/>
    <w:rsid w:val="003159B6"/>
    <w:rsid w:val="00316AF2"/>
    <w:rsid w:val="00316D31"/>
    <w:rsid w:val="00317876"/>
    <w:rsid w:val="003203A1"/>
    <w:rsid w:val="0032056B"/>
    <w:rsid w:val="00321843"/>
    <w:rsid w:val="00321AEC"/>
    <w:rsid w:val="003226A0"/>
    <w:rsid w:val="00323BB7"/>
    <w:rsid w:val="00324174"/>
    <w:rsid w:val="0032587D"/>
    <w:rsid w:val="00325ADB"/>
    <w:rsid w:val="00325F0C"/>
    <w:rsid w:val="0032730A"/>
    <w:rsid w:val="003335E6"/>
    <w:rsid w:val="00333916"/>
    <w:rsid w:val="0033425D"/>
    <w:rsid w:val="00334719"/>
    <w:rsid w:val="003359CA"/>
    <w:rsid w:val="00340F6E"/>
    <w:rsid w:val="00340F70"/>
    <w:rsid w:val="003431CF"/>
    <w:rsid w:val="00343933"/>
    <w:rsid w:val="003445DA"/>
    <w:rsid w:val="00344D22"/>
    <w:rsid w:val="0034591B"/>
    <w:rsid w:val="00345F5B"/>
    <w:rsid w:val="003461A0"/>
    <w:rsid w:val="00346316"/>
    <w:rsid w:val="00346FA6"/>
    <w:rsid w:val="003479B7"/>
    <w:rsid w:val="00347F3A"/>
    <w:rsid w:val="00350212"/>
    <w:rsid w:val="0035041B"/>
    <w:rsid w:val="0035301C"/>
    <w:rsid w:val="0035317C"/>
    <w:rsid w:val="00353CA2"/>
    <w:rsid w:val="00353FEB"/>
    <w:rsid w:val="003575AB"/>
    <w:rsid w:val="003606DC"/>
    <w:rsid w:val="00360F21"/>
    <w:rsid w:val="00361322"/>
    <w:rsid w:val="0036185B"/>
    <w:rsid w:val="003619B4"/>
    <w:rsid w:val="00361A40"/>
    <w:rsid w:val="003622D9"/>
    <w:rsid w:val="003626AF"/>
    <w:rsid w:val="003638A4"/>
    <w:rsid w:val="003638FC"/>
    <w:rsid w:val="00363DDC"/>
    <w:rsid w:val="00364CCB"/>
    <w:rsid w:val="00364F59"/>
    <w:rsid w:val="003665AA"/>
    <w:rsid w:val="00366862"/>
    <w:rsid w:val="00366EF6"/>
    <w:rsid w:val="00366EFA"/>
    <w:rsid w:val="00367D1F"/>
    <w:rsid w:val="00370316"/>
    <w:rsid w:val="0037154B"/>
    <w:rsid w:val="0037165A"/>
    <w:rsid w:val="00371D0C"/>
    <w:rsid w:val="003724BD"/>
    <w:rsid w:val="00372519"/>
    <w:rsid w:val="003752D4"/>
    <w:rsid w:val="00380445"/>
    <w:rsid w:val="00380E79"/>
    <w:rsid w:val="00381DE6"/>
    <w:rsid w:val="003820DF"/>
    <w:rsid w:val="0038213D"/>
    <w:rsid w:val="0038225E"/>
    <w:rsid w:val="00382BE2"/>
    <w:rsid w:val="00383234"/>
    <w:rsid w:val="00383450"/>
    <w:rsid w:val="00384505"/>
    <w:rsid w:val="00384FDD"/>
    <w:rsid w:val="00385962"/>
    <w:rsid w:val="00386595"/>
    <w:rsid w:val="0038795E"/>
    <w:rsid w:val="00387FE6"/>
    <w:rsid w:val="00390397"/>
    <w:rsid w:val="003908B7"/>
    <w:rsid w:val="00391523"/>
    <w:rsid w:val="00391D24"/>
    <w:rsid w:val="00392276"/>
    <w:rsid w:val="00394829"/>
    <w:rsid w:val="00394A2C"/>
    <w:rsid w:val="00394EC2"/>
    <w:rsid w:val="0039783B"/>
    <w:rsid w:val="003978BF"/>
    <w:rsid w:val="003A2FA9"/>
    <w:rsid w:val="003A3E9D"/>
    <w:rsid w:val="003A3FCC"/>
    <w:rsid w:val="003A5016"/>
    <w:rsid w:val="003A5104"/>
    <w:rsid w:val="003A60EF"/>
    <w:rsid w:val="003A6172"/>
    <w:rsid w:val="003A6628"/>
    <w:rsid w:val="003A6C62"/>
    <w:rsid w:val="003B0281"/>
    <w:rsid w:val="003B10B9"/>
    <w:rsid w:val="003B2BB8"/>
    <w:rsid w:val="003B3F1F"/>
    <w:rsid w:val="003B4E05"/>
    <w:rsid w:val="003B4F75"/>
    <w:rsid w:val="003B527D"/>
    <w:rsid w:val="003B589B"/>
    <w:rsid w:val="003B5AA9"/>
    <w:rsid w:val="003B62B5"/>
    <w:rsid w:val="003B658F"/>
    <w:rsid w:val="003C1CC6"/>
    <w:rsid w:val="003C2281"/>
    <w:rsid w:val="003C2D72"/>
    <w:rsid w:val="003C3460"/>
    <w:rsid w:val="003C6886"/>
    <w:rsid w:val="003C7217"/>
    <w:rsid w:val="003C73EE"/>
    <w:rsid w:val="003C7C9D"/>
    <w:rsid w:val="003C7CA4"/>
    <w:rsid w:val="003D0846"/>
    <w:rsid w:val="003D0FB9"/>
    <w:rsid w:val="003D34FF"/>
    <w:rsid w:val="003D3E5D"/>
    <w:rsid w:val="003D4F0B"/>
    <w:rsid w:val="003D53B3"/>
    <w:rsid w:val="003D60C1"/>
    <w:rsid w:val="003D61E3"/>
    <w:rsid w:val="003D6898"/>
    <w:rsid w:val="003D68CE"/>
    <w:rsid w:val="003D77E6"/>
    <w:rsid w:val="003E2AFE"/>
    <w:rsid w:val="003E2B5D"/>
    <w:rsid w:val="003E42E6"/>
    <w:rsid w:val="003F081B"/>
    <w:rsid w:val="003F25CD"/>
    <w:rsid w:val="003F2634"/>
    <w:rsid w:val="003F2A54"/>
    <w:rsid w:val="003F2DA2"/>
    <w:rsid w:val="003F30FC"/>
    <w:rsid w:val="003F3BC7"/>
    <w:rsid w:val="003F3E94"/>
    <w:rsid w:val="003F6313"/>
    <w:rsid w:val="003F6ED7"/>
    <w:rsid w:val="003F7DD7"/>
    <w:rsid w:val="00400496"/>
    <w:rsid w:val="0040062A"/>
    <w:rsid w:val="004006E4"/>
    <w:rsid w:val="00400B25"/>
    <w:rsid w:val="00400B80"/>
    <w:rsid w:val="00401147"/>
    <w:rsid w:val="004018C3"/>
    <w:rsid w:val="00402E52"/>
    <w:rsid w:val="004041CA"/>
    <w:rsid w:val="0040508B"/>
    <w:rsid w:val="0040538A"/>
    <w:rsid w:val="0040655B"/>
    <w:rsid w:val="00406CD0"/>
    <w:rsid w:val="00411BFD"/>
    <w:rsid w:val="004139EB"/>
    <w:rsid w:val="00413E92"/>
    <w:rsid w:val="0041442E"/>
    <w:rsid w:val="0041592C"/>
    <w:rsid w:val="00415B97"/>
    <w:rsid w:val="004165B2"/>
    <w:rsid w:val="004167F7"/>
    <w:rsid w:val="0042077F"/>
    <w:rsid w:val="00420F01"/>
    <w:rsid w:val="00421CBC"/>
    <w:rsid w:val="00422B8E"/>
    <w:rsid w:val="00423D25"/>
    <w:rsid w:val="00424846"/>
    <w:rsid w:val="0042656F"/>
    <w:rsid w:val="00426F7F"/>
    <w:rsid w:val="00430D86"/>
    <w:rsid w:val="004343F7"/>
    <w:rsid w:val="004364A0"/>
    <w:rsid w:val="00441014"/>
    <w:rsid w:val="004428AA"/>
    <w:rsid w:val="004443DB"/>
    <w:rsid w:val="004466FC"/>
    <w:rsid w:val="00446794"/>
    <w:rsid w:val="004518D7"/>
    <w:rsid w:val="00451BA6"/>
    <w:rsid w:val="00455D78"/>
    <w:rsid w:val="0045605E"/>
    <w:rsid w:val="0045672F"/>
    <w:rsid w:val="00456B86"/>
    <w:rsid w:val="00456C2E"/>
    <w:rsid w:val="00460680"/>
    <w:rsid w:val="004612D2"/>
    <w:rsid w:val="00462597"/>
    <w:rsid w:val="00464B5C"/>
    <w:rsid w:val="00466168"/>
    <w:rsid w:val="00470BB1"/>
    <w:rsid w:val="00471ACA"/>
    <w:rsid w:val="00471DC6"/>
    <w:rsid w:val="0047222D"/>
    <w:rsid w:val="0047225D"/>
    <w:rsid w:val="00472A9C"/>
    <w:rsid w:val="00474182"/>
    <w:rsid w:val="0047597B"/>
    <w:rsid w:val="004765D4"/>
    <w:rsid w:val="0048002C"/>
    <w:rsid w:val="004804D4"/>
    <w:rsid w:val="00480C32"/>
    <w:rsid w:val="004816E8"/>
    <w:rsid w:val="00482705"/>
    <w:rsid w:val="00482E49"/>
    <w:rsid w:val="0048382F"/>
    <w:rsid w:val="00483A98"/>
    <w:rsid w:val="00484872"/>
    <w:rsid w:val="004857C2"/>
    <w:rsid w:val="004860DB"/>
    <w:rsid w:val="004861C3"/>
    <w:rsid w:val="0048732D"/>
    <w:rsid w:val="004876FD"/>
    <w:rsid w:val="00491916"/>
    <w:rsid w:val="004919B7"/>
    <w:rsid w:val="004919D2"/>
    <w:rsid w:val="00491D4B"/>
    <w:rsid w:val="00491EF8"/>
    <w:rsid w:val="00492E05"/>
    <w:rsid w:val="00495D62"/>
    <w:rsid w:val="00496670"/>
    <w:rsid w:val="00497462"/>
    <w:rsid w:val="00497B51"/>
    <w:rsid w:val="004A0D65"/>
    <w:rsid w:val="004A0D9A"/>
    <w:rsid w:val="004A10F1"/>
    <w:rsid w:val="004A2412"/>
    <w:rsid w:val="004A36C0"/>
    <w:rsid w:val="004A39A2"/>
    <w:rsid w:val="004A4997"/>
    <w:rsid w:val="004A564D"/>
    <w:rsid w:val="004A61D1"/>
    <w:rsid w:val="004A6C29"/>
    <w:rsid w:val="004A7F9E"/>
    <w:rsid w:val="004B0C9B"/>
    <w:rsid w:val="004B1F7D"/>
    <w:rsid w:val="004B31F3"/>
    <w:rsid w:val="004B3716"/>
    <w:rsid w:val="004B375F"/>
    <w:rsid w:val="004B3883"/>
    <w:rsid w:val="004B52CB"/>
    <w:rsid w:val="004B54CA"/>
    <w:rsid w:val="004B5CD1"/>
    <w:rsid w:val="004B676D"/>
    <w:rsid w:val="004B6B8D"/>
    <w:rsid w:val="004B7D6B"/>
    <w:rsid w:val="004C1F66"/>
    <w:rsid w:val="004C2D9C"/>
    <w:rsid w:val="004C357C"/>
    <w:rsid w:val="004C3738"/>
    <w:rsid w:val="004C39BE"/>
    <w:rsid w:val="004C5085"/>
    <w:rsid w:val="004C61DF"/>
    <w:rsid w:val="004C6771"/>
    <w:rsid w:val="004C7539"/>
    <w:rsid w:val="004C75ED"/>
    <w:rsid w:val="004C7CA1"/>
    <w:rsid w:val="004D0D5D"/>
    <w:rsid w:val="004D0DCF"/>
    <w:rsid w:val="004D0E40"/>
    <w:rsid w:val="004D1183"/>
    <w:rsid w:val="004D32B5"/>
    <w:rsid w:val="004D3542"/>
    <w:rsid w:val="004D584E"/>
    <w:rsid w:val="004E02AC"/>
    <w:rsid w:val="004E059D"/>
    <w:rsid w:val="004E1864"/>
    <w:rsid w:val="004E203C"/>
    <w:rsid w:val="004E21C7"/>
    <w:rsid w:val="004E2847"/>
    <w:rsid w:val="004E416F"/>
    <w:rsid w:val="004E461E"/>
    <w:rsid w:val="004E5432"/>
    <w:rsid w:val="004E5CA0"/>
    <w:rsid w:val="004E5CBF"/>
    <w:rsid w:val="004E7672"/>
    <w:rsid w:val="004F0179"/>
    <w:rsid w:val="004F13AB"/>
    <w:rsid w:val="004F2657"/>
    <w:rsid w:val="004F2EC8"/>
    <w:rsid w:val="004F33BB"/>
    <w:rsid w:val="004F3EEB"/>
    <w:rsid w:val="004F584D"/>
    <w:rsid w:val="004F6117"/>
    <w:rsid w:val="004F70BD"/>
    <w:rsid w:val="005040D4"/>
    <w:rsid w:val="00505DE4"/>
    <w:rsid w:val="00506667"/>
    <w:rsid w:val="005069BB"/>
    <w:rsid w:val="00510240"/>
    <w:rsid w:val="0051177F"/>
    <w:rsid w:val="00513AA1"/>
    <w:rsid w:val="00514F1B"/>
    <w:rsid w:val="00515AB6"/>
    <w:rsid w:val="005163B5"/>
    <w:rsid w:val="005173E5"/>
    <w:rsid w:val="00517795"/>
    <w:rsid w:val="00517901"/>
    <w:rsid w:val="00520333"/>
    <w:rsid w:val="00520A8D"/>
    <w:rsid w:val="00520EBC"/>
    <w:rsid w:val="00521F00"/>
    <w:rsid w:val="00523EEC"/>
    <w:rsid w:val="005258DA"/>
    <w:rsid w:val="00526817"/>
    <w:rsid w:val="00526E33"/>
    <w:rsid w:val="00527F27"/>
    <w:rsid w:val="005312E9"/>
    <w:rsid w:val="0053144C"/>
    <w:rsid w:val="00531E4B"/>
    <w:rsid w:val="005348EE"/>
    <w:rsid w:val="00534D57"/>
    <w:rsid w:val="005359D9"/>
    <w:rsid w:val="00535DB8"/>
    <w:rsid w:val="00535DFD"/>
    <w:rsid w:val="00536F7B"/>
    <w:rsid w:val="0053770B"/>
    <w:rsid w:val="00537A29"/>
    <w:rsid w:val="00537BC0"/>
    <w:rsid w:val="00542008"/>
    <w:rsid w:val="00542F7A"/>
    <w:rsid w:val="00545823"/>
    <w:rsid w:val="00550E39"/>
    <w:rsid w:val="005511B2"/>
    <w:rsid w:val="00551668"/>
    <w:rsid w:val="0055206C"/>
    <w:rsid w:val="005524ED"/>
    <w:rsid w:val="00553144"/>
    <w:rsid w:val="005539AD"/>
    <w:rsid w:val="0055492D"/>
    <w:rsid w:val="00554A02"/>
    <w:rsid w:val="005550C6"/>
    <w:rsid w:val="0055601E"/>
    <w:rsid w:val="00557515"/>
    <w:rsid w:val="00557CB3"/>
    <w:rsid w:val="00560CF9"/>
    <w:rsid w:val="00561A72"/>
    <w:rsid w:val="00562D8C"/>
    <w:rsid w:val="00562DEF"/>
    <w:rsid w:val="00563803"/>
    <w:rsid w:val="005656C9"/>
    <w:rsid w:val="00565716"/>
    <w:rsid w:val="00566018"/>
    <w:rsid w:val="00570781"/>
    <w:rsid w:val="00570A06"/>
    <w:rsid w:val="005717E9"/>
    <w:rsid w:val="0057255F"/>
    <w:rsid w:val="00573E0F"/>
    <w:rsid w:val="00574927"/>
    <w:rsid w:val="00574A26"/>
    <w:rsid w:val="00574B05"/>
    <w:rsid w:val="00574D04"/>
    <w:rsid w:val="00575593"/>
    <w:rsid w:val="005755D3"/>
    <w:rsid w:val="0057611D"/>
    <w:rsid w:val="00576162"/>
    <w:rsid w:val="00576A90"/>
    <w:rsid w:val="0058020A"/>
    <w:rsid w:val="00582574"/>
    <w:rsid w:val="00582F7C"/>
    <w:rsid w:val="005834C9"/>
    <w:rsid w:val="00585197"/>
    <w:rsid w:val="00585D80"/>
    <w:rsid w:val="005866D1"/>
    <w:rsid w:val="00586997"/>
    <w:rsid w:val="00586B2A"/>
    <w:rsid w:val="00586BAD"/>
    <w:rsid w:val="00591099"/>
    <w:rsid w:val="00591C73"/>
    <w:rsid w:val="00591F5E"/>
    <w:rsid w:val="005921BC"/>
    <w:rsid w:val="00592871"/>
    <w:rsid w:val="0059298F"/>
    <w:rsid w:val="00592C98"/>
    <w:rsid w:val="00593271"/>
    <w:rsid w:val="0059375C"/>
    <w:rsid w:val="005938B8"/>
    <w:rsid w:val="00593C73"/>
    <w:rsid w:val="0059428B"/>
    <w:rsid w:val="0059516F"/>
    <w:rsid w:val="005957FF"/>
    <w:rsid w:val="00596A9D"/>
    <w:rsid w:val="00596BE0"/>
    <w:rsid w:val="00596C7F"/>
    <w:rsid w:val="005A0EA4"/>
    <w:rsid w:val="005A13C3"/>
    <w:rsid w:val="005A1743"/>
    <w:rsid w:val="005A19CA"/>
    <w:rsid w:val="005A2F64"/>
    <w:rsid w:val="005A4A26"/>
    <w:rsid w:val="005A6000"/>
    <w:rsid w:val="005A621F"/>
    <w:rsid w:val="005A6312"/>
    <w:rsid w:val="005A633A"/>
    <w:rsid w:val="005A643D"/>
    <w:rsid w:val="005A6441"/>
    <w:rsid w:val="005A78B0"/>
    <w:rsid w:val="005B0321"/>
    <w:rsid w:val="005B2E67"/>
    <w:rsid w:val="005B778B"/>
    <w:rsid w:val="005B7ABE"/>
    <w:rsid w:val="005C1061"/>
    <w:rsid w:val="005C1A65"/>
    <w:rsid w:val="005C3AA9"/>
    <w:rsid w:val="005C4C85"/>
    <w:rsid w:val="005D0503"/>
    <w:rsid w:val="005D0C23"/>
    <w:rsid w:val="005D0C68"/>
    <w:rsid w:val="005D0CB0"/>
    <w:rsid w:val="005D1621"/>
    <w:rsid w:val="005D3B28"/>
    <w:rsid w:val="005D3C9C"/>
    <w:rsid w:val="005D4335"/>
    <w:rsid w:val="005D46EF"/>
    <w:rsid w:val="005D5631"/>
    <w:rsid w:val="005D5F3F"/>
    <w:rsid w:val="005D699D"/>
    <w:rsid w:val="005D6B63"/>
    <w:rsid w:val="005E31B0"/>
    <w:rsid w:val="005E33F9"/>
    <w:rsid w:val="005E4642"/>
    <w:rsid w:val="005E605F"/>
    <w:rsid w:val="005E619D"/>
    <w:rsid w:val="005E78D1"/>
    <w:rsid w:val="005F07E8"/>
    <w:rsid w:val="005F0DDE"/>
    <w:rsid w:val="005F1E0F"/>
    <w:rsid w:val="005F21AF"/>
    <w:rsid w:val="005F2FA5"/>
    <w:rsid w:val="005F5CE9"/>
    <w:rsid w:val="005F5DFE"/>
    <w:rsid w:val="005F66C1"/>
    <w:rsid w:val="005F686F"/>
    <w:rsid w:val="005F6BFD"/>
    <w:rsid w:val="005F72DE"/>
    <w:rsid w:val="006005B8"/>
    <w:rsid w:val="00601718"/>
    <w:rsid w:val="00605AEF"/>
    <w:rsid w:val="006075FB"/>
    <w:rsid w:val="00610EAE"/>
    <w:rsid w:val="00610FD9"/>
    <w:rsid w:val="00611605"/>
    <w:rsid w:val="006122E2"/>
    <w:rsid w:val="00612560"/>
    <w:rsid w:val="00612879"/>
    <w:rsid w:val="00612AC8"/>
    <w:rsid w:val="00613954"/>
    <w:rsid w:val="00614FB8"/>
    <w:rsid w:val="00615355"/>
    <w:rsid w:val="006157EC"/>
    <w:rsid w:val="00617556"/>
    <w:rsid w:val="00617958"/>
    <w:rsid w:val="00617F5E"/>
    <w:rsid w:val="00622670"/>
    <w:rsid w:val="00623A2D"/>
    <w:rsid w:val="00623CA5"/>
    <w:rsid w:val="00627094"/>
    <w:rsid w:val="00630E10"/>
    <w:rsid w:val="00633338"/>
    <w:rsid w:val="00633BD8"/>
    <w:rsid w:val="00635D9D"/>
    <w:rsid w:val="00636DFC"/>
    <w:rsid w:val="00637784"/>
    <w:rsid w:val="0064149E"/>
    <w:rsid w:val="00641555"/>
    <w:rsid w:val="006418CC"/>
    <w:rsid w:val="00641FA4"/>
    <w:rsid w:val="00643D33"/>
    <w:rsid w:val="00643E7D"/>
    <w:rsid w:val="00645007"/>
    <w:rsid w:val="006453A0"/>
    <w:rsid w:val="006455BC"/>
    <w:rsid w:val="0064716B"/>
    <w:rsid w:val="0065005C"/>
    <w:rsid w:val="00650B72"/>
    <w:rsid w:val="00651E5E"/>
    <w:rsid w:val="006520F1"/>
    <w:rsid w:val="006526AA"/>
    <w:rsid w:val="006537B0"/>
    <w:rsid w:val="00653B87"/>
    <w:rsid w:val="0065417B"/>
    <w:rsid w:val="00654364"/>
    <w:rsid w:val="0065498E"/>
    <w:rsid w:val="00654F92"/>
    <w:rsid w:val="0066083A"/>
    <w:rsid w:val="00660A79"/>
    <w:rsid w:val="00662221"/>
    <w:rsid w:val="00664E61"/>
    <w:rsid w:val="00664F75"/>
    <w:rsid w:val="006670E0"/>
    <w:rsid w:val="00667123"/>
    <w:rsid w:val="00667FDC"/>
    <w:rsid w:val="00672240"/>
    <w:rsid w:val="006739CD"/>
    <w:rsid w:val="006763EB"/>
    <w:rsid w:val="006765FF"/>
    <w:rsid w:val="00676FF9"/>
    <w:rsid w:val="0067720F"/>
    <w:rsid w:val="006778C1"/>
    <w:rsid w:val="006806D4"/>
    <w:rsid w:val="00681404"/>
    <w:rsid w:val="006814D2"/>
    <w:rsid w:val="00681953"/>
    <w:rsid w:val="00681C8B"/>
    <w:rsid w:val="00681CB7"/>
    <w:rsid w:val="00682318"/>
    <w:rsid w:val="00682861"/>
    <w:rsid w:val="00683992"/>
    <w:rsid w:val="00685054"/>
    <w:rsid w:val="0068581B"/>
    <w:rsid w:val="0068748D"/>
    <w:rsid w:val="0068765A"/>
    <w:rsid w:val="00691745"/>
    <w:rsid w:val="0069329B"/>
    <w:rsid w:val="006941A0"/>
    <w:rsid w:val="00696527"/>
    <w:rsid w:val="00697772"/>
    <w:rsid w:val="00697C41"/>
    <w:rsid w:val="00697F76"/>
    <w:rsid w:val="006A024A"/>
    <w:rsid w:val="006A0C55"/>
    <w:rsid w:val="006A1AFD"/>
    <w:rsid w:val="006A1ECD"/>
    <w:rsid w:val="006A3991"/>
    <w:rsid w:val="006A3A5F"/>
    <w:rsid w:val="006A45B5"/>
    <w:rsid w:val="006A4CE7"/>
    <w:rsid w:val="006A62E2"/>
    <w:rsid w:val="006A6798"/>
    <w:rsid w:val="006A6F51"/>
    <w:rsid w:val="006B04F5"/>
    <w:rsid w:val="006B12DE"/>
    <w:rsid w:val="006B149D"/>
    <w:rsid w:val="006B45AF"/>
    <w:rsid w:val="006B46BC"/>
    <w:rsid w:val="006B54FB"/>
    <w:rsid w:val="006B5C4C"/>
    <w:rsid w:val="006B6AD0"/>
    <w:rsid w:val="006B6B89"/>
    <w:rsid w:val="006B78B3"/>
    <w:rsid w:val="006C2BF0"/>
    <w:rsid w:val="006C3F6E"/>
    <w:rsid w:val="006C414F"/>
    <w:rsid w:val="006C5C18"/>
    <w:rsid w:val="006D169F"/>
    <w:rsid w:val="006D272E"/>
    <w:rsid w:val="006D329A"/>
    <w:rsid w:val="006D3613"/>
    <w:rsid w:val="006D5A37"/>
    <w:rsid w:val="006D6329"/>
    <w:rsid w:val="006D688A"/>
    <w:rsid w:val="006D7AC3"/>
    <w:rsid w:val="006E03AE"/>
    <w:rsid w:val="006E070C"/>
    <w:rsid w:val="006E0959"/>
    <w:rsid w:val="006E1ED9"/>
    <w:rsid w:val="006E214C"/>
    <w:rsid w:val="006E259B"/>
    <w:rsid w:val="006E2640"/>
    <w:rsid w:val="006E7A5A"/>
    <w:rsid w:val="006E7B35"/>
    <w:rsid w:val="006F4FF4"/>
    <w:rsid w:val="006F5763"/>
    <w:rsid w:val="006F5FE7"/>
    <w:rsid w:val="006F65BE"/>
    <w:rsid w:val="007002CA"/>
    <w:rsid w:val="007013AD"/>
    <w:rsid w:val="00704099"/>
    <w:rsid w:val="0070450E"/>
    <w:rsid w:val="00704E0E"/>
    <w:rsid w:val="00705502"/>
    <w:rsid w:val="00705AD7"/>
    <w:rsid w:val="00705C90"/>
    <w:rsid w:val="00706077"/>
    <w:rsid w:val="007066D5"/>
    <w:rsid w:val="00706D92"/>
    <w:rsid w:val="00710F7A"/>
    <w:rsid w:val="00712265"/>
    <w:rsid w:val="00712460"/>
    <w:rsid w:val="00712F5C"/>
    <w:rsid w:val="00713CE1"/>
    <w:rsid w:val="007145B8"/>
    <w:rsid w:val="00715B74"/>
    <w:rsid w:val="00717578"/>
    <w:rsid w:val="00720E74"/>
    <w:rsid w:val="007219F1"/>
    <w:rsid w:val="00721AD1"/>
    <w:rsid w:val="007226E7"/>
    <w:rsid w:val="007227EC"/>
    <w:rsid w:val="0072291B"/>
    <w:rsid w:val="00723256"/>
    <w:rsid w:val="00723B6B"/>
    <w:rsid w:val="0072484B"/>
    <w:rsid w:val="00726306"/>
    <w:rsid w:val="0072630D"/>
    <w:rsid w:val="00726350"/>
    <w:rsid w:val="00726378"/>
    <w:rsid w:val="00726D76"/>
    <w:rsid w:val="00726F00"/>
    <w:rsid w:val="00727852"/>
    <w:rsid w:val="007307A7"/>
    <w:rsid w:val="0073099F"/>
    <w:rsid w:val="00730C5F"/>
    <w:rsid w:val="00730C6E"/>
    <w:rsid w:val="00730DDA"/>
    <w:rsid w:val="00730EB6"/>
    <w:rsid w:val="00732BBD"/>
    <w:rsid w:val="00732F37"/>
    <w:rsid w:val="00734358"/>
    <w:rsid w:val="00734648"/>
    <w:rsid w:val="007347EE"/>
    <w:rsid w:val="00734840"/>
    <w:rsid w:val="00735EDC"/>
    <w:rsid w:val="00736491"/>
    <w:rsid w:val="0074016E"/>
    <w:rsid w:val="00740E31"/>
    <w:rsid w:val="007439AA"/>
    <w:rsid w:val="0074446B"/>
    <w:rsid w:val="0074528E"/>
    <w:rsid w:val="00750038"/>
    <w:rsid w:val="0075092C"/>
    <w:rsid w:val="00751ABE"/>
    <w:rsid w:val="0075484E"/>
    <w:rsid w:val="007550F5"/>
    <w:rsid w:val="00755767"/>
    <w:rsid w:val="00755E4D"/>
    <w:rsid w:val="00760DED"/>
    <w:rsid w:val="00761284"/>
    <w:rsid w:val="0076354B"/>
    <w:rsid w:val="00763AF2"/>
    <w:rsid w:val="007641EF"/>
    <w:rsid w:val="00764323"/>
    <w:rsid w:val="00764582"/>
    <w:rsid w:val="00764E75"/>
    <w:rsid w:val="00765549"/>
    <w:rsid w:val="00766CAA"/>
    <w:rsid w:val="00767166"/>
    <w:rsid w:val="007677D9"/>
    <w:rsid w:val="007708B3"/>
    <w:rsid w:val="007719E7"/>
    <w:rsid w:val="007723CF"/>
    <w:rsid w:val="00773433"/>
    <w:rsid w:val="007738E7"/>
    <w:rsid w:val="00773A49"/>
    <w:rsid w:val="007751BE"/>
    <w:rsid w:val="0077647C"/>
    <w:rsid w:val="00776E16"/>
    <w:rsid w:val="007775A1"/>
    <w:rsid w:val="00780925"/>
    <w:rsid w:val="00780F55"/>
    <w:rsid w:val="0078119A"/>
    <w:rsid w:val="007822F4"/>
    <w:rsid w:val="007828BF"/>
    <w:rsid w:val="00783B7D"/>
    <w:rsid w:val="00784C2F"/>
    <w:rsid w:val="00785261"/>
    <w:rsid w:val="0079042E"/>
    <w:rsid w:val="00791CE9"/>
    <w:rsid w:val="00793A38"/>
    <w:rsid w:val="00794C0B"/>
    <w:rsid w:val="00795303"/>
    <w:rsid w:val="0079608F"/>
    <w:rsid w:val="00796287"/>
    <w:rsid w:val="007963B3"/>
    <w:rsid w:val="007A17E4"/>
    <w:rsid w:val="007A2073"/>
    <w:rsid w:val="007A2397"/>
    <w:rsid w:val="007A2767"/>
    <w:rsid w:val="007A3A75"/>
    <w:rsid w:val="007A47B3"/>
    <w:rsid w:val="007A4A42"/>
    <w:rsid w:val="007B0256"/>
    <w:rsid w:val="007B0555"/>
    <w:rsid w:val="007B12B8"/>
    <w:rsid w:val="007B1751"/>
    <w:rsid w:val="007B195D"/>
    <w:rsid w:val="007B1A02"/>
    <w:rsid w:val="007B1F9B"/>
    <w:rsid w:val="007B24F1"/>
    <w:rsid w:val="007B331D"/>
    <w:rsid w:val="007B3D2E"/>
    <w:rsid w:val="007B4627"/>
    <w:rsid w:val="007B4D9D"/>
    <w:rsid w:val="007B62E8"/>
    <w:rsid w:val="007B6469"/>
    <w:rsid w:val="007B7373"/>
    <w:rsid w:val="007B7460"/>
    <w:rsid w:val="007C0244"/>
    <w:rsid w:val="007C0DB1"/>
    <w:rsid w:val="007C100D"/>
    <w:rsid w:val="007C270D"/>
    <w:rsid w:val="007C4879"/>
    <w:rsid w:val="007C4C99"/>
    <w:rsid w:val="007C6013"/>
    <w:rsid w:val="007C6A7F"/>
    <w:rsid w:val="007C763F"/>
    <w:rsid w:val="007D04C8"/>
    <w:rsid w:val="007D1575"/>
    <w:rsid w:val="007D1B8F"/>
    <w:rsid w:val="007D2B41"/>
    <w:rsid w:val="007D2F9B"/>
    <w:rsid w:val="007D3D4E"/>
    <w:rsid w:val="007D45FE"/>
    <w:rsid w:val="007D47C3"/>
    <w:rsid w:val="007D4FB6"/>
    <w:rsid w:val="007D6F0C"/>
    <w:rsid w:val="007D7891"/>
    <w:rsid w:val="007D7EEB"/>
    <w:rsid w:val="007E0CE0"/>
    <w:rsid w:val="007E10B2"/>
    <w:rsid w:val="007E2634"/>
    <w:rsid w:val="007E2FCF"/>
    <w:rsid w:val="007E3F1D"/>
    <w:rsid w:val="007E44F3"/>
    <w:rsid w:val="007E68FF"/>
    <w:rsid w:val="007E6C06"/>
    <w:rsid w:val="007F02D0"/>
    <w:rsid w:val="007F1782"/>
    <w:rsid w:val="007F21C4"/>
    <w:rsid w:val="007F270C"/>
    <w:rsid w:val="007F2BBB"/>
    <w:rsid w:val="007F4017"/>
    <w:rsid w:val="007F6C84"/>
    <w:rsid w:val="007F7ACF"/>
    <w:rsid w:val="007F7F48"/>
    <w:rsid w:val="008016B0"/>
    <w:rsid w:val="0080258E"/>
    <w:rsid w:val="00802737"/>
    <w:rsid w:val="008039D2"/>
    <w:rsid w:val="008043D2"/>
    <w:rsid w:val="00804D02"/>
    <w:rsid w:val="0080564E"/>
    <w:rsid w:val="00806298"/>
    <w:rsid w:val="008101B7"/>
    <w:rsid w:val="00812504"/>
    <w:rsid w:val="00812A15"/>
    <w:rsid w:val="00813481"/>
    <w:rsid w:val="00813951"/>
    <w:rsid w:val="0081441A"/>
    <w:rsid w:val="00814E66"/>
    <w:rsid w:val="008151D9"/>
    <w:rsid w:val="00816D46"/>
    <w:rsid w:val="00817303"/>
    <w:rsid w:val="00817654"/>
    <w:rsid w:val="00820500"/>
    <w:rsid w:val="00820C69"/>
    <w:rsid w:val="00821A87"/>
    <w:rsid w:val="00821F8A"/>
    <w:rsid w:val="00822AEB"/>
    <w:rsid w:val="00822F96"/>
    <w:rsid w:val="008242E3"/>
    <w:rsid w:val="008266B9"/>
    <w:rsid w:val="00826731"/>
    <w:rsid w:val="00826884"/>
    <w:rsid w:val="0082689B"/>
    <w:rsid w:val="008275E5"/>
    <w:rsid w:val="00830A50"/>
    <w:rsid w:val="0083276D"/>
    <w:rsid w:val="00832B0C"/>
    <w:rsid w:val="00832F77"/>
    <w:rsid w:val="00832F99"/>
    <w:rsid w:val="00833F75"/>
    <w:rsid w:val="00834050"/>
    <w:rsid w:val="00834475"/>
    <w:rsid w:val="00834863"/>
    <w:rsid w:val="00835EB4"/>
    <w:rsid w:val="008361EE"/>
    <w:rsid w:val="00840E3F"/>
    <w:rsid w:val="00840FE9"/>
    <w:rsid w:val="00841EA4"/>
    <w:rsid w:val="0084286B"/>
    <w:rsid w:val="008432CF"/>
    <w:rsid w:val="0084450B"/>
    <w:rsid w:val="008445C6"/>
    <w:rsid w:val="008465D8"/>
    <w:rsid w:val="00846910"/>
    <w:rsid w:val="00847144"/>
    <w:rsid w:val="00847308"/>
    <w:rsid w:val="008476F0"/>
    <w:rsid w:val="008478E2"/>
    <w:rsid w:val="00850CE6"/>
    <w:rsid w:val="00850F85"/>
    <w:rsid w:val="00850FCB"/>
    <w:rsid w:val="00851FFC"/>
    <w:rsid w:val="00853257"/>
    <w:rsid w:val="00853EC0"/>
    <w:rsid w:val="00855915"/>
    <w:rsid w:val="00856593"/>
    <w:rsid w:val="00856B3A"/>
    <w:rsid w:val="0085786D"/>
    <w:rsid w:val="008600AF"/>
    <w:rsid w:val="00860F3E"/>
    <w:rsid w:val="008631F7"/>
    <w:rsid w:val="00863C7F"/>
    <w:rsid w:val="008649B0"/>
    <w:rsid w:val="0086509F"/>
    <w:rsid w:val="0086544A"/>
    <w:rsid w:val="008660BE"/>
    <w:rsid w:val="008662F5"/>
    <w:rsid w:val="008671BD"/>
    <w:rsid w:val="00867E1D"/>
    <w:rsid w:val="00870EDC"/>
    <w:rsid w:val="00871B9C"/>
    <w:rsid w:val="00872123"/>
    <w:rsid w:val="008721E2"/>
    <w:rsid w:val="00872285"/>
    <w:rsid w:val="008723CD"/>
    <w:rsid w:val="00872EF7"/>
    <w:rsid w:val="00873D9C"/>
    <w:rsid w:val="00875AA9"/>
    <w:rsid w:val="00876741"/>
    <w:rsid w:val="00876A2A"/>
    <w:rsid w:val="00877A07"/>
    <w:rsid w:val="00877F09"/>
    <w:rsid w:val="00880C4D"/>
    <w:rsid w:val="008818F4"/>
    <w:rsid w:val="00882525"/>
    <w:rsid w:val="00885D2C"/>
    <w:rsid w:val="00887867"/>
    <w:rsid w:val="008879FA"/>
    <w:rsid w:val="00891548"/>
    <w:rsid w:val="0089253B"/>
    <w:rsid w:val="00892736"/>
    <w:rsid w:val="00892A46"/>
    <w:rsid w:val="00892EFD"/>
    <w:rsid w:val="0089315A"/>
    <w:rsid w:val="00893BDC"/>
    <w:rsid w:val="00894A17"/>
    <w:rsid w:val="008958A2"/>
    <w:rsid w:val="00896939"/>
    <w:rsid w:val="00896D37"/>
    <w:rsid w:val="008A0608"/>
    <w:rsid w:val="008A0D91"/>
    <w:rsid w:val="008A19D5"/>
    <w:rsid w:val="008A1AEA"/>
    <w:rsid w:val="008A1E8E"/>
    <w:rsid w:val="008A344B"/>
    <w:rsid w:val="008A3FDF"/>
    <w:rsid w:val="008A501D"/>
    <w:rsid w:val="008A520B"/>
    <w:rsid w:val="008A63BE"/>
    <w:rsid w:val="008A73C8"/>
    <w:rsid w:val="008B0758"/>
    <w:rsid w:val="008B19B0"/>
    <w:rsid w:val="008B2E88"/>
    <w:rsid w:val="008B32CB"/>
    <w:rsid w:val="008B3B11"/>
    <w:rsid w:val="008B419B"/>
    <w:rsid w:val="008B4619"/>
    <w:rsid w:val="008B51CA"/>
    <w:rsid w:val="008B7AE3"/>
    <w:rsid w:val="008C0047"/>
    <w:rsid w:val="008C010B"/>
    <w:rsid w:val="008C245D"/>
    <w:rsid w:val="008C3624"/>
    <w:rsid w:val="008C3AF3"/>
    <w:rsid w:val="008C5B5A"/>
    <w:rsid w:val="008C656E"/>
    <w:rsid w:val="008C6722"/>
    <w:rsid w:val="008C6C5B"/>
    <w:rsid w:val="008C6CE2"/>
    <w:rsid w:val="008C7E4D"/>
    <w:rsid w:val="008D0BDF"/>
    <w:rsid w:val="008D0F0B"/>
    <w:rsid w:val="008D217E"/>
    <w:rsid w:val="008D25C1"/>
    <w:rsid w:val="008D4B76"/>
    <w:rsid w:val="008D4BA7"/>
    <w:rsid w:val="008D5303"/>
    <w:rsid w:val="008D5C4D"/>
    <w:rsid w:val="008D62DB"/>
    <w:rsid w:val="008D64B9"/>
    <w:rsid w:val="008D6592"/>
    <w:rsid w:val="008D6D99"/>
    <w:rsid w:val="008E1A7D"/>
    <w:rsid w:val="008E1F1B"/>
    <w:rsid w:val="008E29C9"/>
    <w:rsid w:val="008E7810"/>
    <w:rsid w:val="008E7ACA"/>
    <w:rsid w:val="008E7F67"/>
    <w:rsid w:val="008F0E74"/>
    <w:rsid w:val="008F321B"/>
    <w:rsid w:val="008F4882"/>
    <w:rsid w:val="008F7372"/>
    <w:rsid w:val="008F7645"/>
    <w:rsid w:val="008F7C31"/>
    <w:rsid w:val="009011E5"/>
    <w:rsid w:val="009017C5"/>
    <w:rsid w:val="00901F50"/>
    <w:rsid w:val="009023D0"/>
    <w:rsid w:val="00904297"/>
    <w:rsid w:val="00904B8E"/>
    <w:rsid w:val="00905671"/>
    <w:rsid w:val="009056B6"/>
    <w:rsid w:val="00905783"/>
    <w:rsid w:val="009073D2"/>
    <w:rsid w:val="009077CB"/>
    <w:rsid w:val="00907B76"/>
    <w:rsid w:val="009101E9"/>
    <w:rsid w:val="00910F0D"/>
    <w:rsid w:val="0091120E"/>
    <w:rsid w:val="00911343"/>
    <w:rsid w:val="00911976"/>
    <w:rsid w:val="009152E8"/>
    <w:rsid w:val="00921295"/>
    <w:rsid w:val="009225F0"/>
    <w:rsid w:val="00922626"/>
    <w:rsid w:val="009238BF"/>
    <w:rsid w:val="00923ED2"/>
    <w:rsid w:val="009244FE"/>
    <w:rsid w:val="00924C91"/>
    <w:rsid w:val="00925BFC"/>
    <w:rsid w:val="00925EAF"/>
    <w:rsid w:val="0092625C"/>
    <w:rsid w:val="00927263"/>
    <w:rsid w:val="00933805"/>
    <w:rsid w:val="00933B2A"/>
    <w:rsid w:val="00933EF1"/>
    <w:rsid w:val="009361C5"/>
    <w:rsid w:val="00936CCC"/>
    <w:rsid w:val="00940AC8"/>
    <w:rsid w:val="0094149A"/>
    <w:rsid w:val="00941D65"/>
    <w:rsid w:val="009430C7"/>
    <w:rsid w:val="00945136"/>
    <w:rsid w:val="00945E5F"/>
    <w:rsid w:val="009461DF"/>
    <w:rsid w:val="009466D2"/>
    <w:rsid w:val="00950DCA"/>
    <w:rsid w:val="00950F57"/>
    <w:rsid w:val="00952A0D"/>
    <w:rsid w:val="00953C41"/>
    <w:rsid w:val="00954681"/>
    <w:rsid w:val="0095485A"/>
    <w:rsid w:val="00954B0B"/>
    <w:rsid w:val="0095513E"/>
    <w:rsid w:val="0095533A"/>
    <w:rsid w:val="00955DB3"/>
    <w:rsid w:val="00957ACA"/>
    <w:rsid w:val="00957E88"/>
    <w:rsid w:val="00960363"/>
    <w:rsid w:val="00961B4E"/>
    <w:rsid w:val="00961C5B"/>
    <w:rsid w:val="009622C1"/>
    <w:rsid w:val="00964224"/>
    <w:rsid w:val="0096443A"/>
    <w:rsid w:val="00964C5B"/>
    <w:rsid w:val="00964E03"/>
    <w:rsid w:val="00965EBD"/>
    <w:rsid w:val="00966323"/>
    <w:rsid w:val="0096681C"/>
    <w:rsid w:val="00966846"/>
    <w:rsid w:val="009676E8"/>
    <w:rsid w:val="00967957"/>
    <w:rsid w:val="009703C4"/>
    <w:rsid w:val="009714A8"/>
    <w:rsid w:val="0097290B"/>
    <w:rsid w:val="009748B5"/>
    <w:rsid w:val="00974D58"/>
    <w:rsid w:val="00975869"/>
    <w:rsid w:val="009764F0"/>
    <w:rsid w:val="0097684E"/>
    <w:rsid w:val="00976CD9"/>
    <w:rsid w:val="00976E8D"/>
    <w:rsid w:val="00977963"/>
    <w:rsid w:val="00977DA7"/>
    <w:rsid w:val="00982754"/>
    <w:rsid w:val="00984390"/>
    <w:rsid w:val="009875FB"/>
    <w:rsid w:val="00990FF7"/>
    <w:rsid w:val="00993D6D"/>
    <w:rsid w:val="00995E57"/>
    <w:rsid w:val="009A0941"/>
    <w:rsid w:val="009A3B67"/>
    <w:rsid w:val="009A3FFC"/>
    <w:rsid w:val="009A5AC1"/>
    <w:rsid w:val="009A5B85"/>
    <w:rsid w:val="009A6155"/>
    <w:rsid w:val="009A686B"/>
    <w:rsid w:val="009A6E19"/>
    <w:rsid w:val="009A7F4E"/>
    <w:rsid w:val="009B0928"/>
    <w:rsid w:val="009B1839"/>
    <w:rsid w:val="009B1C5B"/>
    <w:rsid w:val="009B2942"/>
    <w:rsid w:val="009B2EED"/>
    <w:rsid w:val="009B50A5"/>
    <w:rsid w:val="009B5EFC"/>
    <w:rsid w:val="009B61F9"/>
    <w:rsid w:val="009B62D0"/>
    <w:rsid w:val="009B691C"/>
    <w:rsid w:val="009B6E24"/>
    <w:rsid w:val="009C01A0"/>
    <w:rsid w:val="009C2176"/>
    <w:rsid w:val="009C34F0"/>
    <w:rsid w:val="009C360F"/>
    <w:rsid w:val="009C36EB"/>
    <w:rsid w:val="009C4200"/>
    <w:rsid w:val="009C42B2"/>
    <w:rsid w:val="009C694D"/>
    <w:rsid w:val="009C6998"/>
    <w:rsid w:val="009C6DA4"/>
    <w:rsid w:val="009C750A"/>
    <w:rsid w:val="009C78AF"/>
    <w:rsid w:val="009D03B0"/>
    <w:rsid w:val="009D36F3"/>
    <w:rsid w:val="009D380C"/>
    <w:rsid w:val="009D4600"/>
    <w:rsid w:val="009D6666"/>
    <w:rsid w:val="009D6FFE"/>
    <w:rsid w:val="009D7B02"/>
    <w:rsid w:val="009E077E"/>
    <w:rsid w:val="009E1CB5"/>
    <w:rsid w:val="009E40F9"/>
    <w:rsid w:val="009E4B1D"/>
    <w:rsid w:val="009E5042"/>
    <w:rsid w:val="009E5CFF"/>
    <w:rsid w:val="009E654B"/>
    <w:rsid w:val="009E742A"/>
    <w:rsid w:val="009E7E30"/>
    <w:rsid w:val="009E7F5A"/>
    <w:rsid w:val="009F42B8"/>
    <w:rsid w:val="009F4FAD"/>
    <w:rsid w:val="009F68B4"/>
    <w:rsid w:val="009F6E27"/>
    <w:rsid w:val="009F7035"/>
    <w:rsid w:val="009F71FE"/>
    <w:rsid w:val="009F74E5"/>
    <w:rsid w:val="009F7C45"/>
    <w:rsid w:val="00A01981"/>
    <w:rsid w:val="00A02301"/>
    <w:rsid w:val="00A03B19"/>
    <w:rsid w:val="00A04A76"/>
    <w:rsid w:val="00A052D6"/>
    <w:rsid w:val="00A05915"/>
    <w:rsid w:val="00A05CD2"/>
    <w:rsid w:val="00A063B5"/>
    <w:rsid w:val="00A06903"/>
    <w:rsid w:val="00A06B1B"/>
    <w:rsid w:val="00A10EFC"/>
    <w:rsid w:val="00A11AC4"/>
    <w:rsid w:val="00A13783"/>
    <w:rsid w:val="00A13864"/>
    <w:rsid w:val="00A14204"/>
    <w:rsid w:val="00A15A18"/>
    <w:rsid w:val="00A16CD1"/>
    <w:rsid w:val="00A17422"/>
    <w:rsid w:val="00A20CE9"/>
    <w:rsid w:val="00A21351"/>
    <w:rsid w:val="00A219C2"/>
    <w:rsid w:val="00A21D80"/>
    <w:rsid w:val="00A24862"/>
    <w:rsid w:val="00A27A9C"/>
    <w:rsid w:val="00A27D99"/>
    <w:rsid w:val="00A32056"/>
    <w:rsid w:val="00A33264"/>
    <w:rsid w:val="00A345E1"/>
    <w:rsid w:val="00A348E9"/>
    <w:rsid w:val="00A34C57"/>
    <w:rsid w:val="00A36773"/>
    <w:rsid w:val="00A41EB0"/>
    <w:rsid w:val="00A4203D"/>
    <w:rsid w:val="00A420DA"/>
    <w:rsid w:val="00A426EA"/>
    <w:rsid w:val="00A426FB"/>
    <w:rsid w:val="00A42E0D"/>
    <w:rsid w:val="00A451EB"/>
    <w:rsid w:val="00A46305"/>
    <w:rsid w:val="00A47174"/>
    <w:rsid w:val="00A47F24"/>
    <w:rsid w:val="00A50836"/>
    <w:rsid w:val="00A50CA7"/>
    <w:rsid w:val="00A50D1B"/>
    <w:rsid w:val="00A525A4"/>
    <w:rsid w:val="00A550B0"/>
    <w:rsid w:val="00A554D1"/>
    <w:rsid w:val="00A56753"/>
    <w:rsid w:val="00A56B92"/>
    <w:rsid w:val="00A56D65"/>
    <w:rsid w:val="00A606FF"/>
    <w:rsid w:val="00A61A7C"/>
    <w:rsid w:val="00A61E7C"/>
    <w:rsid w:val="00A630C5"/>
    <w:rsid w:val="00A63C5B"/>
    <w:rsid w:val="00A645EB"/>
    <w:rsid w:val="00A646C6"/>
    <w:rsid w:val="00A65E65"/>
    <w:rsid w:val="00A67062"/>
    <w:rsid w:val="00A7135D"/>
    <w:rsid w:val="00A71751"/>
    <w:rsid w:val="00A71856"/>
    <w:rsid w:val="00A74BC0"/>
    <w:rsid w:val="00A77A0A"/>
    <w:rsid w:val="00A80042"/>
    <w:rsid w:val="00A80AA4"/>
    <w:rsid w:val="00A826D3"/>
    <w:rsid w:val="00A8352F"/>
    <w:rsid w:val="00A8415C"/>
    <w:rsid w:val="00A84BD6"/>
    <w:rsid w:val="00A86569"/>
    <w:rsid w:val="00A86D72"/>
    <w:rsid w:val="00A90449"/>
    <w:rsid w:val="00A91591"/>
    <w:rsid w:val="00A92707"/>
    <w:rsid w:val="00A92838"/>
    <w:rsid w:val="00A92E39"/>
    <w:rsid w:val="00A932B8"/>
    <w:rsid w:val="00A9438A"/>
    <w:rsid w:val="00A971B3"/>
    <w:rsid w:val="00AA02E5"/>
    <w:rsid w:val="00AA0637"/>
    <w:rsid w:val="00AA0E0F"/>
    <w:rsid w:val="00AA13C0"/>
    <w:rsid w:val="00AA144E"/>
    <w:rsid w:val="00AA2A7F"/>
    <w:rsid w:val="00AA2CE3"/>
    <w:rsid w:val="00AA2EFF"/>
    <w:rsid w:val="00AA38BC"/>
    <w:rsid w:val="00AA38DB"/>
    <w:rsid w:val="00AA3A60"/>
    <w:rsid w:val="00AA4537"/>
    <w:rsid w:val="00AA49E1"/>
    <w:rsid w:val="00AA4A8E"/>
    <w:rsid w:val="00AA6762"/>
    <w:rsid w:val="00AA6A5B"/>
    <w:rsid w:val="00AA6ABB"/>
    <w:rsid w:val="00AA73D7"/>
    <w:rsid w:val="00AB0931"/>
    <w:rsid w:val="00AB0FCA"/>
    <w:rsid w:val="00AB231D"/>
    <w:rsid w:val="00AB282F"/>
    <w:rsid w:val="00AB2B8C"/>
    <w:rsid w:val="00AB3564"/>
    <w:rsid w:val="00AB360D"/>
    <w:rsid w:val="00AB3D24"/>
    <w:rsid w:val="00AB57F3"/>
    <w:rsid w:val="00AB5DE9"/>
    <w:rsid w:val="00AB6C34"/>
    <w:rsid w:val="00AB7F0F"/>
    <w:rsid w:val="00AC0D0E"/>
    <w:rsid w:val="00AC0F64"/>
    <w:rsid w:val="00AC153C"/>
    <w:rsid w:val="00AC15D1"/>
    <w:rsid w:val="00AC1A29"/>
    <w:rsid w:val="00AC2501"/>
    <w:rsid w:val="00AC2CAA"/>
    <w:rsid w:val="00AC2FF7"/>
    <w:rsid w:val="00AC3D68"/>
    <w:rsid w:val="00AC4505"/>
    <w:rsid w:val="00AC51D7"/>
    <w:rsid w:val="00AC5AE0"/>
    <w:rsid w:val="00AC5BE7"/>
    <w:rsid w:val="00AC67C5"/>
    <w:rsid w:val="00AC7D18"/>
    <w:rsid w:val="00AD1B6F"/>
    <w:rsid w:val="00AD1B8D"/>
    <w:rsid w:val="00AD341E"/>
    <w:rsid w:val="00AD3ABB"/>
    <w:rsid w:val="00AD5075"/>
    <w:rsid w:val="00AD517E"/>
    <w:rsid w:val="00AD5F76"/>
    <w:rsid w:val="00AD7D5E"/>
    <w:rsid w:val="00AE001B"/>
    <w:rsid w:val="00AE091A"/>
    <w:rsid w:val="00AE23EB"/>
    <w:rsid w:val="00AE26F0"/>
    <w:rsid w:val="00AE346F"/>
    <w:rsid w:val="00AE377D"/>
    <w:rsid w:val="00AE49F3"/>
    <w:rsid w:val="00AE51C6"/>
    <w:rsid w:val="00AE532D"/>
    <w:rsid w:val="00AE6762"/>
    <w:rsid w:val="00AE76AF"/>
    <w:rsid w:val="00AE7752"/>
    <w:rsid w:val="00AF11CA"/>
    <w:rsid w:val="00AF2B54"/>
    <w:rsid w:val="00AF31D5"/>
    <w:rsid w:val="00AF66ED"/>
    <w:rsid w:val="00AF700A"/>
    <w:rsid w:val="00AF72D5"/>
    <w:rsid w:val="00B0064D"/>
    <w:rsid w:val="00B014AF"/>
    <w:rsid w:val="00B01AB6"/>
    <w:rsid w:val="00B01C4A"/>
    <w:rsid w:val="00B01E40"/>
    <w:rsid w:val="00B0263C"/>
    <w:rsid w:val="00B02B32"/>
    <w:rsid w:val="00B03692"/>
    <w:rsid w:val="00B03E01"/>
    <w:rsid w:val="00B040FE"/>
    <w:rsid w:val="00B043BA"/>
    <w:rsid w:val="00B047C5"/>
    <w:rsid w:val="00B05201"/>
    <w:rsid w:val="00B05D15"/>
    <w:rsid w:val="00B078E1"/>
    <w:rsid w:val="00B10D7A"/>
    <w:rsid w:val="00B111AF"/>
    <w:rsid w:val="00B112C7"/>
    <w:rsid w:val="00B11835"/>
    <w:rsid w:val="00B1295A"/>
    <w:rsid w:val="00B14687"/>
    <w:rsid w:val="00B15934"/>
    <w:rsid w:val="00B17998"/>
    <w:rsid w:val="00B17AAB"/>
    <w:rsid w:val="00B17EEC"/>
    <w:rsid w:val="00B216ED"/>
    <w:rsid w:val="00B2524F"/>
    <w:rsid w:val="00B255F2"/>
    <w:rsid w:val="00B27DFD"/>
    <w:rsid w:val="00B27FA1"/>
    <w:rsid w:val="00B301A4"/>
    <w:rsid w:val="00B31089"/>
    <w:rsid w:val="00B311EF"/>
    <w:rsid w:val="00B31E96"/>
    <w:rsid w:val="00B322A0"/>
    <w:rsid w:val="00B32797"/>
    <w:rsid w:val="00B3294D"/>
    <w:rsid w:val="00B32A50"/>
    <w:rsid w:val="00B3382A"/>
    <w:rsid w:val="00B33867"/>
    <w:rsid w:val="00B349D9"/>
    <w:rsid w:val="00B3543B"/>
    <w:rsid w:val="00B35A4B"/>
    <w:rsid w:val="00B43B3B"/>
    <w:rsid w:val="00B449F1"/>
    <w:rsid w:val="00B464C8"/>
    <w:rsid w:val="00B47ABB"/>
    <w:rsid w:val="00B50ED0"/>
    <w:rsid w:val="00B53EC9"/>
    <w:rsid w:val="00B57047"/>
    <w:rsid w:val="00B57C21"/>
    <w:rsid w:val="00B57FE2"/>
    <w:rsid w:val="00B6004D"/>
    <w:rsid w:val="00B61B25"/>
    <w:rsid w:val="00B627FC"/>
    <w:rsid w:val="00B62D33"/>
    <w:rsid w:val="00B639E0"/>
    <w:rsid w:val="00B63FE9"/>
    <w:rsid w:val="00B65943"/>
    <w:rsid w:val="00B6699F"/>
    <w:rsid w:val="00B6775E"/>
    <w:rsid w:val="00B67C8B"/>
    <w:rsid w:val="00B70070"/>
    <w:rsid w:val="00B7031A"/>
    <w:rsid w:val="00B70CB6"/>
    <w:rsid w:val="00B71828"/>
    <w:rsid w:val="00B719ED"/>
    <w:rsid w:val="00B72D80"/>
    <w:rsid w:val="00B73DA2"/>
    <w:rsid w:val="00B73F08"/>
    <w:rsid w:val="00B743CB"/>
    <w:rsid w:val="00B7710E"/>
    <w:rsid w:val="00B8199A"/>
    <w:rsid w:val="00B83978"/>
    <w:rsid w:val="00B86011"/>
    <w:rsid w:val="00B86427"/>
    <w:rsid w:val="00B8693F"/>
    <w:rsid w:val="00B86E77"/>
    <w:rsid w:val="00B8787E"/>
    <w:rsid w:val="00B87A70"/>
    <w:rsid w:val="00B90433"/>
    <w:rsid w:val="00B94E66"/>
    <w:rsid w:val="00B95D8A"/>
    <w:rsid w:val="00B962B1"/>
    <w:rsid w:val="00B969E8"/>
    <w:rsid w:val="00B96F4D"/>
    <w:rsid w:val="00B97A26"/>
    <w:rsid w:val="00BA00A5"/>
    <w:rsid w:val="00BA1155"/>
    <w:rsid w:val="00BA159E"/>
    <w:rsid w:val="00BA16E0"/>
    <w:rsid w:val="00BA19BC"/>
    <w:rsid w:val="00BA1FC0"/>
    <w:rsid w:val="00BA28BE"/>
    <w:rsid w:val="00BA2DB9"/>
    <w:rsid w:val="00BA537E"/>
    <w:rsid w:val="00BA5656"/>
    <w:rsid w:val="00BA56AF"/>
    <w:rsid w:val="00BA62D1"/>
    <w:rsid w:val="00BB0F99"/>
    <w:rsid w:val="00BB19C2"/>
    <w:rsid w:val="00BB2106"/>
    <w:rsid w:val="00BB23CF"/>
    <w:rsid w:val="00BB40DF"/>
    <w:rsid w:val="00BB4F8C"/>
    <w:rsid w:val="00BB51D0"/>
    <w:rsid w:val="00BB777A"/>
    <w:rsid w:val="00BC1253"/>
    <w:rsid w:val="00BC1502"/>
    <w:rsid w:val="00BC15B7"/>
    <w:rsid w:val="00BC2330"/>
    <w:rsid w:val="00BC418A"/>
    <w:rsid w:val="00BD028D"/>
    <w:rsid w:val="00BD257B"/>
    <w:rsid w:val="00BD268B"/>
    <w:rsid w:val="00BD5DD2"/>
    <w:rsid w:val="00BD5E4E"/>
    <w:rsid w:val="00BD5EAA"/>
    <w:rsid w:val="00BD71AB"/>
    <w:rsid w:val="00BD7BB9"/>
    <w:rsid w:val="00BD7EC4"/>
    <w:rsid w:val="00BE0BD5"/>
    <w:rsid w:val="00BE3007"/>
    <w:rsid w:val="00BE3421"/>
    <w:rsid w:val="00BE3506"/>
    <w:rsid w:val="00BE58DA"/>
    <w:rsid w:val="00BE632A"/>
    <w:rsid w:val="00BE69A5"/>
    <w:rsid w:val="00BE7148"/>
    <w:rsid w:val="00BF0194"/>
    <w:rsid w:val="00BF055A"/>
    <w:rsid w:val="00BF0A37"/>
    <w:rsid w:val="00BF159D"/>
    <w:rsid w:val="00BF265E"/>
    <w:rsid w:val="00BF41E8"/>
    <w:rsid w:val="00BF4814"/>
    <w:rsid w:val="00BF5D0D"/>
    <w:rsid w:val="00BF6B6E"/>
    <w:rsid w:val="00BF7483"/>
    <w:rsid w:val="00C009BC"/>
    <w:rsid w:val="00C00FA0"/>
    <w:rsid w:val="00C01B34"/>
    <w:rsid w:val="00C02A28"/>
    <w:rsid w:val="00C02AF3"/>
    <w:rsid w:val="00C0310B"/>
    <w:rsid w:val="00C03571"/>
    <w:rsid w:val="00C038F6"/>
    <w:rsid w:val="00C0444B"/>
    <w:rsid w:val="00C0556A"/>
    <w:rsid w:val="00C05A58"/>
    <w:rsid w:val="00C05D84"/>
    <w:rsid w:val="00C107E1"/>
    <w:rsid w:val="00C10BEA"/>
    <w:rsid w:val="00C11413"/>
    <w:rsid w:val="00C11753"/>
    <w:rsid w:val="00C117FF"/>
    <w:rsid w:val="00C118D1"/>
    <w:rsid w:val="00C13759"/>
    <w:rsid w:val="00C1460B"/>
    <w:rsid w:val="00C14694"/>
    <w:rsid w:val="00C14E77"/>
    <w:rsid w:val="00C159BF"/>
    <w:rsid w:val="00C16206"/>
    <w:rsid w:val="00C16C23"/>
    <w:rsid w:val="00C17E0C"/>
    <w:rsid w:val="00C2160C"/>
    <w:rsid w:val="00C2233D"/>
    <w:rsid w:val="00C223DD"/>
    <w:rsid w:val="00C2250E"/>
    <w:rsid w:val="00C2397C"/>
    <w:rsid w:val="00C244A1"/>
    <w:rsid w:val="00C24B45"/>
    <w:rsid w:val="00C24C39"/>
    <w:rsid w:val="00C25B9C"/>
    <w:rsid w:val="00C26503"/>
    <w:rsid w:val="00C26C62"/>
    <w:rsid w:val="00C27827"/>
    <w:rsid w:val="00C27C63"/>
    <w:rsid w:val="00C31002"/>
    <w:rsid w:val="00C3116F"/>
    <w:rsid w:val="00C31A6F"/>
    <w:rsid w:val="00C3211D"/>
    <w:rsid w:val="00C34832"/>
    <w:rsid w:val="00C354C9"/>
    <w:rsid w:val="00C369CF"/>
    <w:rsid w:val="00C40652"/>
    <w:rsid w:val="00C416A6"/>
    <w:rsid w:val="00C41AF5"/>
    <w:rsid w:val="00C4270E"/>
    <w:rsid w:val="00C42FD6"/>
    <w:rsid w:val="00C4393D"/>
    <w:rsid w:val="00C4397A"/>
    <w:rsid w:val="00C43A08"/>
    <w:rsid w:val="00C46666"/>
    <w:rsid w:val="00C4692F"/>
    <w:rsid w:val="00C46EB0"/>
    <w:rsid w:val="00C4720F"/>
    <w:rsid w:val="00C47A75"/>
    <w:rsid w:val="00C50D0F"/>
    <w:rsid w:val="00C5199E"/>
    <w:rsid w:val="00C526C5"/>
    <w:rsid w:val="00C5430D"/>
    <w:rsid w:val="00C54B33"/>
    <w:rsid w:val="00C54B3A"/>
    <w:rsid w:val="00C55404"/>
    <w:rsid w:val="00C56323"/>
    <w:rsid w:val="00C578BF"/>
    <w:rsid w:val="00C60755"/>
    <w:rsid w:val="00C60FE8"/>
    <w:rsid w:val="00C61B89"/>
    <w:rsid w:val="00C62FBD"/>
    <w:rsid w:val="00C64C8D"/>
    <w:rsid w:val="00C65496"/>
    <w:rsid w:val="00C655C7"/>
    <w:rsid w:val="00C66422"/>
    <w:rsid w:val="00C666F0"/>
    <w:rsid w:val="00C70225"/>
    <w:rsid w:val="00C703A1"/>
    <w:rsid w:val="00C708EB"/>
    <w:rsid w:val="00C7150A"/>
    <w:rsid w:val="00C71C84"/>
    <w:rsid w:val="00C72AE0"/>
    <w:rsid w:val="00C72D1C"/>
    <w:rsid w:val="00C74028"/>
    <w:rsid w:val="00C7411D"/>
    <w:rsid w:val="00C7651D"/>
    <w:rsid w:val="00C80315"/>
    <w:rsid w:val="00C80844"/>
    <w:rsid w:val="00C821EB"/>
    <w:rsid w:val="00C82242"/>
    <w:rsid w:val="00C82713"/>
    <w:rsid w:val="00C82C42"/>
    <w:rsid w:val="00C83A08"/>
    <w:rsid w:val="00C84203"/>
    <w:rsid w:val="00C844BE"/>
    <w:rsid w:val="00C8488C"/>
    <w:rsid w:val="00C84AA6"/>
    <w:rsid w:val="00C85292"/>
    <w:rsid w:val="00C857DD"/>
    <w:rsid w:val="00C85E29"/>
    <w:rsid w:val="00C86B94"/>
    <w:rsid w:val="00C8737A"/>
    <w:rsid w:val="00C908BB"/>
    <w:rsid w:val="00C9102E"/>
    <w:rsid w:val="00C938B9"/>
    <w:rsid w:val="00C93EBE"/>
    <w:rsid w:val="00C94ACC"/>
    <w:rsid w:val="00C94F1B"/>
    <w:rsid w:val="00C95B3D"/>
    <w:rsid w:val="00C96053"/>
    <w:rsid w:val="00C96B8D"/>
    <w:rsid w:val="00C97790"/>
    <w:rsid w:val="00CA030E"/>
    <w:rsid w:val="00CA06D9"/>
    <w:rsid w:val="00CA15C2"/>
    <w:rsid w:val="00CA185C"/>
    <w:rsid w:val="00CA2EE6"/>
    <w:rsid w:val="00CA3328"/>
    <w:rsid w:val="00CA36E3"/>
    <w:rsid w:val="00CA384D"/>
    <w:rsid w:val="00CA4164"/>
    <w:rsid w:val="00CA44F6"/>
    <w:rsid w:val="00CA5D3C"/>
    <w:rsid w:val="00CA6A93"/>
    <w:rsid w:val="00CA6BA4"/>
    <w:rsid w:val="00CA6BC2"/>
    <w:rsid w:val="00CA7298"/>
    <w:rsid w:val="00CB0EB7"/>
    <w:rsid w:val="00CB143F"/>
    <w:rsid w:val="00CB16B8"/>
    <w:rsid w:val="00CB193B"/>
    <w:rsid w:val="00CB2835"/>
    <w:rsid w:val="00CB3000"/>
    <w:rsid w:val="00CB53BC"/>
    <w:rsid w:val="00CB54E8"/>
    <w:rsid w:val="00CB6138"/>
    <w:rsid w:val="00CB7991"/>
    <w:rsid w:val="00CC0774"/>
    <w:rsid w:val="00CC1405"/>
    <w:rsid w:val="00CC168E"/>
    <w:rsid w:val="00CC2BD5"/>
    <w:rsid w:val="00CC3195"/>
    <w:rsid w:val="00CC33F6"/>
    <w:rsid w:val="00CC378D"/>
    <w:rsid w:val="00CC3C47"/>
    <w:rsid w:val="00CC3FE8"/>
    <w:rsid w:val="00CC49E9"/>
    <w:rsid w:val="00CC4A4F"/>
    <w:rsid w:val="00CC57BD"/>
    <w:rsid w:val="00CC5843"/>
    <w:rsid w:val="00CC5F58"/>
    <w:rsid w:val="00CC60BB"/>
    <w:rsid w:val="00CC702D"/>
    <w:rsid w:val="00CC73B2"/>
    <w:rsid w:val="00CD2018"/>
    <w:rsid w:val="00CD35E4"/>
    <w:rsid w:val="00CD3DF5"/>
    <w:rsid w:val="00CD3FA1"/>
    <w:rsid w:val="00CD531A"/>
    <w:rsid w:val="00CD55A9"/>
    <w:rsid w:val="00CD59EF"/>
    <w:rsid w:val="00CD5DF3"/>
    <w:rsid w:val="00CD61BC"/>
    <w:rsid w:val="00CD63B3"/>
    <w:rsid w:val="00CD66A8"/>
    <w:rsid w:val="00CD67F1"/>
    <w:rsid w:val="00CD6A84"/>
    <w:rsid w:val="00CD6C48"/>
    <w:rsid w:val="00CD779D"/>
    <w:rsid w:val="00CE0385"/>
    <w:rsid w:val="00CE2A04"/>
    <w:rsid w:val="00CE357D"/>
    <w:rsid w:val="00CE35DE"/>
    <w:rsid w:val="00CE3F21"/>
    <w:rsid w:val="00CE3FB4"/>
    <w:rsid w:val="00CE4C51"/>
    <w:rsid w:val="00CE720A"/>
    <w:rsid w:val="00CF200A"/>
    <w:rsid w:val="00CF2572"/>
    <w:rsid w:val="00CF2AB7"/>
    <w:rsid w:val="00CF3E39"/>
    <w:rsid w:val="00CF5562"/>
    <w:rsid w:val="00CF5849"/>
    <w:rsid w:val="00CF5995"/>
    <w:rsid w:val="00CF73E4"/>
    <w:rsid w:val="00CF74D3"/>
    <w:rsid w:val="00D000EA"/>
    <w:rsid w:val="00D003CF"/>
    <w:rsid w:val="00D04537"/>
    <w:rsid w:val="00D051E5"/>
    <w:rsid w:val="00D05403"/>
    <w:rsid w:val="00D05B22"/>
    <w:rsid w:val="00D06004"/>
    <w:rsid w:val="00D06470"/>
    <w:rsid w:val="00D066CF"/>
    <w:rsid w:val="00D114BE"/>
    <w:rsid w:val="00D1437B"/>
    <w:rsid w:val="00D14422"/>
    <w:rsid w:val="00D14483"/>
    <w:rsid w:val="00D164C4"/>
    <w:rsid w:val="00D176DA"/>
    <w:rsid w:val="00D20352"/>
    <w:rsid w:val="00D20C8F"/>
    <w:rsid w:val="00D211A2"/>
    <w:rsid w:val="00D24A04"/>
    <w:rsid w:val="00D26F9A"/>
    <w:rsid w:val="00D30016"/>
    <w:rsid w:val="00D30605"/>
    <w:rsid w:val="00D30B56"/>
    <w:rsid w:val="00D30CDF"/>
    <w:rsid w:val="00D35DB2"/>
    <w:rsid w:val="00D35FF8"/>
    <w:rsid w:val="00D37ACC"/>
    <w:rsid w:val="00D37E7D"/>
    <w:rsid w:val="00D40035"/>
    <w:rsid w:val="00D40337"/>
    <w:rsid w:val="00D40D30"/>
    <w:rsid w:val="00D412ED"/>
    <w:rsid w:val="00D419AA"/>
    <w:rsid w:val="00D419CA"/>
    <w:rsid w:val="00D4477D"/>
    <w:rsid w:val="00D44ADB"/>
    <w:rsid w:val="00D44FB2"/>
    <w:rsid w:val="00D45316"/>
    <w:rsid w:val="00D46AD4"/>
    <w:rsid w:val="00D47774"/>
    <w:rsid w:val="00D52F83"/>
    <w:rsid w:val="00D541D4"/>
    <w:rsid w:val="00D55EB3"/>
    <w:rsid w:val="00D56C72"/>
    <w:rsid w:val="00D57322"/>
    <w:rsid w:val="00D608B4"/>
    <w:rsid w:val="00D6118D"/>
    <w:rsid w:val="00D65A27"/>
    <w:rsid w:val="00D66A40"/>
    <w:rsid w:val="00D6780A"/>
    <w:rsid w:val="00D67EC8"/>
    <w:rsid w:val="00D7230D"/>
    <w:rsid w:val="00D73057"/>
    <w:rsid w:val="00D7463A"/>
    <w:rsid w:val="00D74A06"/>
    <w:rsid w:val="00D7560F"/>
    <w:rsid w:val="00D7659E"/>
    <w:rsid w:val="00D76E73"/>
    <w:rsid w:val="00D776F4"/>
    <w:rsid w:val="00D77CD9"/>
    <w:rsid w:val="00D80838"/>
    <w:rsid w:val="00D817CE"/>
    <w:rsid w:val="00D82066"/>
    <w:rsid w:val="00D83237"/>
    <w:rsid w:val="00D8331A"/>
    <w:rsid w:val="00D86026"/>
    <w:rsid w:val="00D86671"/>
    <w:rsid w:val="00D86D71"/>
    <w:rsid w:val="00D8739D"/>
    <w:rsid w:val="00D87A0F"/>
    <w:rsid w:val="00D904EC"/>
    <w:rsid w:val="00D918FB"/>
    <w:rsid w:val="00D920EE"/>
    <w:rsid w:val="00D92EEC"/>
    <w:rsid w:val="00D93DBA"/>
    <w:rsid w:val="00D943C1"/>
    <w:rsid w:val="00D9533E"/>
    <w:rsid w:val="00D95FB3"/>
    <w:rsid w:val="00D96D51"/>
    <w:rsid w:val="00DA04CF"/>
    <w:rsid w:val="00DA0912"/>
    <w:rsid w:val="00DA0BBD"/>
    <w:rsid w:val="00DA0CEB"/>
    <w:rsid w:val="00DA21D9"/>
    <w:rsid w:val="00DA4342"/>
    <w:rsid w:val="00DA43D9"/>
    <w:rsid w:val="00DA5717"/>
    <w:rsid w:val="00DB055B"/>
    <w:rsid w:val="00DB11F6"/>
    <w:rsid w:val="00DB125A"/>
    <w:rsid w:val="00DB156D"/>
    <w:rsid w:val="00DB3A0C"/>
    <w:rsid w:val="00DB3C4F"/>
    <w:rsid w:val="00DB45AF"/>
    <w:rsid w:val="00DB4F23"/>
    <w:rsid w:val="00DB5410"/>
    <w:rsid w:val="00DB5769"/>
    <w:rsid w:val="00DB6B6A"/>
    <w:rsid w:val="00DB71C0"/>
    <w:rsid w:val="00DB73DE"/>
    <w:rsid w:val="00DB7986"/>
    <w:rsid w:val="00DC1876"/>
    <w:rsid w:val="00DC20A1"/>
    <w:rsid w:val="00DC24DC"/>
    <w:rsid w:val="00DC54C5"/>
    <w:rsid w:val="00DC650E"/>
    <w:rsid w:val="00DC6C1F"/>
    <w:rsid w:val="00DC6D57"/>
    <w:rsid w:val="00DC718B"/>
    <w:rsid w:val="00DC75E6"/>
    <w:rsid w:val="00DC7E91"/>
    <w:rsid w:val="00DD2BFF"/>
    <w:rsid w:val="00DD3D47"/>
    <w:rsid w:val="00DD3E52"/>
    <w:rsid w:val="00DD501B"/>
    <w:rsid w:val="00DD5A86"/>
    <w:rsid w:val="00DE1C7E"/>
    <w:rsid w:val="00DE2551"/>
    <w:rsid w:val="00DE2ADF"/>
    <w:rsid w:val="00DE3193"/>
    <w:rsid w:val="00DE4F5B"/>
    <w:rsid w:val="00DE5043"/>
    <w:rsid w:val="00DE5E6A"/>
    <w:rsid w:val="00DF06B4"/>
    <w:rsid w:val="00DF1880"/>
    <w:rsid w:val="00DF327E"/>
    <w:rsid w:val="00DF4A5F"/>
    <w:rsid w:val="00DF7E1D"/>
    <w:rsid w:val="00E00A45"/>
    <w:rsid w:val="00E01837"/>
    <w:rsid w:val="00E01A08"/>
    <w:rsid w:val="00E02A31"/>
    <w:rsid w:val="00E04B36"/>
    <w:rsid w:val="00E0512B"/>
    <w:rsid w:val="00E11821"/>
    <w:rsid w:val="00E124A7"/>
    <w:rsid w:val="00E1286F"/>
    <w:rsid w:val="00E16083"/>
    <w:rsid w:val="00E17B60"/>
    <w:rsid w:val="00E20085"/>
    <w:rsid w:val="00E21E13"/>
    <w:rsid w:val="00E22872"/>
    <w:rsid w:val="00E23050"/>
    <w:rsid w:val="00E2475A"/>
    <w:rsid w:val="00E2511B"/>
    <w:rsid w:val="00E2624C"/>
    <w:rsid w:val="00E27900"/>
    <w:rsid w:val="00E30002"/>
    <w:rsid w:val="00E310A7"/>
    <w:rsid w:val="00E31597"/>
    <w:rsid w:val="00E316BA"/>
    <w:rsid w:val="00E31719"/>
    <w:rsid w:val="00E3208F"/>
    <w:rsid w:val="00E33033"/>
    <w:rsid w:val="00E33600"/>
    <w:rsid w:val="00E34408"/>
    <w:rsid w:val="00E35112"/>
    <w:rsid w:val="00E3517A"/>
    <w:rsid w:val="00E35B9D"/>
    <w:rsid w:val="00E35C2F"/>
    <w:rsid w:val="00E3615E"/>
    <w:rsid w:val="00E361CF"/>
    <w:rsid w:val="00E37CA4"/>
    <w:rsid w:val="00E42AB0"/>
    <w:rsid w:val="00E431C9"/>
    <w:rsid w:val="00E43A46"/>
    <w:rsid w:val="00E45904"/>
    <w:rsid w:val="00E4798D"/>
    <w:rsid w:val="00E47FA0"/>
    <w:rsid w:val="00E5162E"/>
    <w:rsid w:val="00E523B6"/>
    <w:rsid w:val="00E54104"/>
    <w:rsid w:val="00E56010"/>
    <w:rsid w:val="00E576FB"/>
    <w:rsid w:val="00E57C67"/>
    <w:rsid w:val="00E60A0F"/>
    <w:rsid w:val="00E60CCC"/>
    <w:rsid w:val="00E6151B"/>
    <w:rsid w:val="00E63D88"/>
    <w:rsid w:val="00E64C18"/>
    <w:rsid w:val="00E64EA0"/>
    <w:rsid w:val="00E64FA3"/>
    <w:rsid w:val="00E65441"/>
    <w:rsid w:val="00E655B7"/>
    <w:rsid w:val="00E67C9E"/>
    <w:rsid w:val="00E67DBE"/>
    <w:rsid w:val="00E70ACE"/>
    <w:rsid w:val="00E71897"/>
    <w:rsid w:val="00E72027"/>
    <w:rsid w:val="00E723C3"/>
    <w:rsid w:val="00E74040"/>
    <w:rsid w:val="00E747D2"/>
    <w:rsid w:val="00E74907"/>
    <w:rsid w:val="00E752EC"/>
    <w:rsid w:val="00E777EE"/>
    <w:rsid w:val="00E77E81"/>
    <w:rsid w:val="00E804F9"/>
    <w:rsid w:val="00E83B0D"/>
    <w:rsid w:val="00E852F3"/>
    <w:rsid w:val="00E85651"/>
    <w:rsid w:val="00E85C37"/>
    <w:rsid w:val="00E8696F"/>
    <w:rsid w:val="00E86C7D"/>
    <w:rsid w:val="00E876F5"/>
    <w:rsid w:val="00E903C1"/>
    <w:rsid w:val="00E90C5B"/>
    <w:rsid w:val="00E91E53"/>
    <w:rsid w:val="00E92EBD"/>
    <w:rsid w:val="00E930BB"/>
    <w:rsid w:val="00E9424C"/>
    <w:rsid w:val="00E94A4C"/>
    <w:rsid w:val="00E970BA"/>
    <w:rsid w:val="00EA133B"/>
    <w:rsid w:val="00EA2179"/>
    <w:rsid w:val="00EA2862"/>
    <w:rsid w:val="00EA34E2"/>
    <w:rsid w:val="00EA3656"/>
    <w:rsid w:val="00EA3AFD"/>
    <w:rsid w:val="00EA3DD3"/>
    <w:rsid w:val="00EA5908"/>
    <w:rsid w:val="00EA6B74"/>
    <w:rsid w:val="00EB0D97"/>
    <w:rsid w:val="00EB20FF"/>
    <w:rsid w:val="00EB29F1"/>
    <w:rsid w:val="00EB3144"/>
    <w:rsid w:val="00EB333E"/>
    <w:rsid w:val="00EB6678"/>
    <w:rsid w:val="00EC05D8"/>
    <w:rsid w:val="00EC1C3D"/>
    <w:rsid w:val="00EC2863"/>
    <w:rsid w:val="00EC3561"/>
    <w:rsid w:val="00EC42A6"/>
    <w:rsid w:val="00EC4364"/>
    <w:rsid w:val="00EC4724"/>
    <w:rsid w:val="00EC4BFC"/>
    <w:rsid w:val="00EC4C79"/>
    <w:rsid w:val="00EC5D56"/>
    <w:rsid w:val="00EC601B"/>
    <w:rsid w:val="00EC60CA"/>
    <w:rsid w:val="00EC6AE8"/>
    <w:rsid w:val="00EC7EA2"/>
    <w:rsid w:val="00ED0351"/>
    <w:rsid w:val="00ED063E"/>
    <w:rsid w:val="00ED204F"/>
    <w:rsid w:val="00ED2504"/>
    <w:rsid w:val="00ED275F"/>
    <w:rsid w:val="00ED37FD"/>
    <w:rsid w:val="00ED39EC"/>
    <w:rsid w:val="00ED4794"/>
    <w:rsid w:val="00ED4BED"/>
    <w:rsid w:val="00ED4CFD"/>
    <w:rsid w:val="00ED7F3C"/>
    <w:rsid w:val="00EE0B6D"/>
    <w:rsid w:val="00EE1086"/>
    <w:rsid w:val="00EE17BD"/>
    <w:rsid w:val="00EE1990"/>
    <w:rsid w:val="00EE1BC9"/>
    <w:rsid w:val="00EE2708"/>
    <w:rsid w:val="00EE27A2"/>
    <w:rsid w:val="00EE29C1"/>
    <w:rsid w:val="00EE426D"/>
    <w:rsid w:val="00EE4A81"/>
    <w:rsid w:val="00EE522E"/>
    <w:rsid w:val="00EE542C"/>
    <w:rsid w:val="00EE54E1"/>
    <w:rsid w:val="00EE5838"/>
    <w:rsid w:val="00EE6FDA"/>
    <w:rsid w:val="00EF11F3"/>
    <w:rsid w:val="00EF1DA8"/>
    <w:rsid w:val="00EF2802"/>
    <w:rsid w:val="00EF64F4"/>
    <w:rsid w:val="00EF7026"/>
    <w:rsid w:val="00F0152A"/>
    <w:rsid w:val="00F01AF0"/>
    <w:rsid w:val="00F02190"/>
    <w:rsid w:val="00F0438A"/>
    <w:rsid w:val="00F04C8D"/>
    <w:rsid w:val="00F06457"/>
    <w:rsid w:val="00F066DE"/>
    <w:rsid w:val="00F06BFA"/>
    <w:rsid w:val="00F07141"/>
    <w:rsid w:val="00F11476"/>
    <w:rsid w:val="00F11A3E"/>
    <w:rsid w:val="00F12401"/>
    <w:rsid w:val="00F12BAA"/>
    <w:rsid w:val="00F12DB1"/>
    <w:rsid w:val="00F146F9"/>
    <w:rsid w:val="00F14787"/>
    <w:rsid w:val="00F15DA0"/>
    <w:rsid w:val="00F16657"/>
    <w:rsid w:val="00F20104"/>
    <w:rsid w:val="00F20363"/>
    <w:rsid w:val="00F212DD"/>
    <w:rsid w:val="00F21D8B"/>
    <w:rsid w:val="00F2306B"/>
    <w:rsid w:val="00F231FD"/>
    <w:rsid w:val="00F23525"/>
    <w:rsid w:val="00F2355D"/>
    <w:rsid w:val="00F23CCF"/>
    <w:rsid w:val="00F246C7"/>
    <w:rsid w:val="00F24C2C"/>
    <w:rsid w:val="00F2618D"/>
    <w:rsid w:val="00F26A8F"/>
    <w:rsid w:val="00F27686"/>
    <w:rsid w:val="00F27DBA"/>
    <w:rsid w:val="00F30A6D"/>
    <w:rsid w:val="00F31C9F"/>
    <w:rsid w:val="00F3336B"/>
    <w:rsid w:val="00F33F31"/>
    <w:rsid w:val="00F34525"/>
    <w:rsid w:val="00F35060"/>
    <w:rsid w:val="00F358D2"/>
    <w:rsid w:val="00F364E1"/>
    <w:rsid w:val="00F411F2"/>
    <w:rsid w:val="00F4130B"/>
    <w:rsid w:val="00F418CC"/>
    <w:rsid w:val="00F41E99"/>
    <w:rsid w:val="00F42583"/>
    <w:rsid w:val="00F42707"/>
    <w:rsid w:val="00F42AEF"/>
    <w:rsid w:val="00F4349F"/>
    <w:rsid w:val="00F438FA"/>
    <w:rsid w:val="00F4402E"/>
    <w:rsid w:val="00F45D45"/>
    <w:rsid w:val="00F47E09"/>
    <w:rsid w:val="00F50546"/>
    <w:rsid w:val="00F526DD"/>
    <w:rsid w:val="00F55A65"/>
    <w:rsid w:val="00F56C49"/>
    <w:rsid w:val="00F578C9"/>
    <w:rsid w:val="00F57F1A"/>
    <w:rsid w:val="00F601EE"/>
    <w:rsid w:val="00F61182"/>
    <w:rsid w:val="00F63999"/>
    <w:rsid w:val="00F63C06"/>
    <w:rsid w:val="00F6415A"/>
    <w:rsid w:val="00F6610A"/>
    <w:rsid w:val="00F67217"/>
    <w:rsid w:val="00F675FE"/>
    <w:rsid w:val="00F67E0C"/>
    <w:rsid w:val="00F702F0"/>
    <w:rsid w:val="00F70D7D"/>
    <w:rsid w:val="00F72C28"/>
    <w:rsid w:val="00F73BA9"/>
    <w:rsid w:val="00F742F9"/>
    <w:rsid w:val="00F74B21"/>
    <w:rsid w:val="00F75B28"/>
    <w:rsid w:val="00F75F99"/>
    <w:rsid w:val="00F810BF"/>
    <w:rsid w:val="00F822DA"/>
    <w:rsid w:val="00F8384B"/>
    <w:rsid w:val="00F84559"/>
    <w:rsid w:val="00F8472C"/>
    <w:rsid w:val="00F86FC3"/>
    <w:rsid w:val="00F87EC7"/>
    <w:rsid w:val="00F907C4"/>
    <w:rsid w:val="00F91A17"/>
    <w:rsid w:val="00F92FB9"/>
    <w:rsid w:val="00F9382E"/>
    <w:rsid w:val="00F94C21"/>
    <w:rsid w:val="00F95902"/>
    <w:rsid w:val="00F95B71"/>
    <w:rsid w:val="00F97789"/>
    <w:rsid w:val="00FA12E6"/>
    <w:rsid w:val="00FA1306"/>
    <w:rsid w:val="00FA334F"/>
    <w:rsid w:val="00FA3AA5"/>
    <w:rsid w:val="00FA46A8"/>
    <w:rsid w:val="00FA4D9B"/>
    <w:rsid w:val="00FA5C1A"/>
    <w:rsid w:val="00FA6FB2"/>
    <w:rsid w:val="00FB0083"/>
    <w:rsid w:val="00FB06BB"/>
    <w:rsid w:val="00FB1016"/>
    <w:rsid w:val="00FB31C3"/>
    <w:rsid w:val="00FB4A5B"/>
    <w:rsid w:val="00FB5514"/>
    <w:rsid w:val="00FB5B01"/>
    <w:rsid w:val="00FB6042"/>
    <w:rsid w:val="00FB72C4"/>
    <w:rsid w:val="00FB7599"/>
    <w:rsid w:val="00FB7B4C"/>
    <w:rsid w:val="00FB7B85"/>
    <w:rsid w:val="00FC0786"/>
    <w:rsid w:val="00FC1329"/>
    <w:rsid w:val="00FC24DB"/>
    <w:rsid w:val="00FC6941"/>
    <w:rsid w:val="00FC6F92"/>
    <w:rsid w:val="00FC7126"/>
    <w:rsid w:val="00FD0C95"/>
    <w:rsid w:val="00FD13AB"/>
    <w:rsid w:val="00FD354D"/>
    <w:rsid w:val="00FD3969"/>
    <w:rsid w:val="00FD3B65"/>
    <w:rsid w:val="00FD3B7A"/>
    <w:rsid w:val="00FD3D46"/>
    <w:rsid w:val="00FD4281"/>
    <w:rsid w:val="00FD4A05"/>
    <w:rsid w:val="00FD5A7A"/>
    <w:rsid w:val="00FE030C"/>
    <w:rsid w:val="00FE0842"/>
    <w:rsid w:val="00FE2D55"/>
    <w:rsid w:val="00FE2EE5"/>
    <w:rsid w:val="00FE3582"/>
    <w:rsid w:val="00FE3C9D"/>
    <w:rsid w:val="00FE5880"/>
    <w:rsid w:val="00FE5A36"/>
    <w:rsid w:val="00FE6339"/>
    <w:rsid w:val="00FF0CAF"/>
    <w:rsid w:val="00FF1DF9"/>
    <w:rsid w:val="00FF34B8"/>
    <w:rsid w:val="00FF38DC"/>
    <w:rsid w:val="00FF4030"/>
    <w:rsid w:val="00FF4D11"/>
    <w:rsid w:val="00FF7145"/>
    <w:rsid w:val="00FF7699"/>
    <w:rsid w:val="00FF7739"/>
    <w:rsid w:val="00FF7873"/>
    <w:rsid w:val="00FF7A51"/>
    <w:rsid w:val="4098097C"/>
    <w:rsid w:val="5DD3BBE8"/>
    <w:rsid w:val="64B6CD80"/>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4A3C1"/>
  <w15:docId w15:val="{26A46EFF-55BD-4AE4-91EA-8C5B0957D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FA1"/>
    <w:pPr>
      <w:spacing w:after="240" w:line="288" w:lineRule="auto"/>
    </w:pPr>
    <w:rPr>
      <w:rFonts w:ascii="Arial" w:eastAsia="Times New Roman" w:hAnsi="Arial"/>
      <w:sz w:val="24"/>
      <w:szCs w:val="24"/>
      <w:lang w:eastAsia="ja-JP"/>
    </w:rPr>
  </w:style>
  <w:style w:type="paragraph" w:styleId="Heading1">
    <w:name w:val="heading 1"/>
    <w:aliases w:val="Heading 1 do not use,Section heading 1,Front Page Title,1.,Para 1,Para 11"/>
    <w:basedOn w:val="Normal"/>
    <w:next w:val="Normal"/>
    <w:link w:val="Heading1Char"/>
    <w:qFormat/>
    <w:rsid w:val="00F67217"/>
    <w:pPr>
      <w:spacing w:before="800" w:after="400"/>
      <w:outlineLvl w:val="0"/>
    </w:pPr>
    <w:rPr>
      <w:rFonts w:cs="Arial"/>
      <w:b/>
      <w:color w:val="6B2876" w:themeColor="text2"/>
      <w:sz w:val="80"/>
      <w:szCs w:val="60"/>
    </w:rPr>
  </w:style>
  <w:style w:type="paragraph" w:styleId="Heading2">
    <w:name w:val="heading 2"/>
    <w:aliases w:val="Heading 2 do not use,Front Page List of Sections,Board Brief - Paragraph Heading 2"/>
    <w:basedOn w:val="Normal"/>
    <w:next w:val="Normal"/>
    <w:link w:val="Heading2Char"/>
    <w:unhideWhenUsed/>
    <w:qFormat/>
    <w:rsid w:val="00B70CB6"/>
    <w:pPr>
      <w:numPr>
        <w:numId w:val="1"/>
      </w:numPr>
      <w:spacing w:before="600" w:after="120"/>
      <w:ind w:left="720"/>
      <w:outlineLvl w:val="1"/>
    </w:pPr>
    <w:rPr>
      <w:b/>
      <w:bCs/>
      <w:color w:val="6B2976"/>
      <w:sz w:val="36"/>
      <w:szCs w:val="36"/>
    </w:rPr>
  </w:style>
  <w:style w:type="paragraph" w:styleId="Heading3">
    <w:name w:val="heading 3"/>
    <w:aliases w:val="Heading 3 do not use"/>
    <w:basedOn w:val="Normal"/>
    <w:next w:val="Normal"/>
    <w:link w:val="Heading3Char"/>
    <w:unhideWhenUsed/>
    <w:qFormat/>
    <w:rsid w:val="00B70CB6"/>
    <w:pPr>
      <w:numPr>
        <w:ilvl w:val="1"/>
        <w:numId w:val="1"/>
      </w:numPr>
      <w:spacing w:before="400" w:after="120"/>
      <w:ind w:left="720"/>
      <w:outlineLvl w:val="2"/>
    </w:pPr>
    <w:rPr>
      <w:b/>
      <w:color w:val="6B2976"/>
      <w:sz w:val="32"/>
      <w:szCs w:val="32"/>
    </w:rPr>
  </w:style>
  <w:style w:type="paragraph" w:styleId="Heading4">
    <w:name w:val="heading 4"/>
    <w:basedOn w:val="Normal"/>
    <w:next w:val="Normal"/>
    <w:link w:val="Heading4Char"/>
    <w:unhideWhenUsed/>
    <w:qFormat/>
    <w:rsid w:val="00C11753"/>
    <w:pPr>
      <w:keepNext/>
      <w:numPr>
        <w:ilvl w:val="2"/>
        <w:numId w:val="1"/>
      </w:numPr>
      <w:spacing w:before="120" w:after="120"/>
      <w:ind w:left="794" w:hanging="794"/>
      <w:outlineLvl w:val="3"/>
    </w:pPr>
    <w:rPr>
      <w:b/>
      <w:color w:val="6B2876" w:themeColor="text1"/>
      <w:sz w:val="28"/>
      <w:szCs w:val="28"/>
    </w:rPr>
  </w:style>
  <w:style w:type="paragraph" w:styleId="Heading5">
    <w:name w:val="heading 5"/>
    <w:basedOn w:val="Normal"/>
    <w:next w:val="Normal"/>
    <w:link w:val="Heading5Char"/>
    <w:unhideWhenUsed/>
    <w:qFormat/>
    <w:rsid w:val="00614FB8"/>
    <w:pPr>
      <w:spacing w:before="360" w:after="120"/>
      <w:outlineLvl w:val="4"/>
    </w:pPr>
    <w:rPr>
      <w:b/>
      <w:color w:val="6B2876" w:themeColor="text1"/>
      <w:sz w:val="28"/>
    </w:rPr>
  </w:style>
  <w:style w:type="paragraph" w:styleId="Heading6">
    <w:name w:val="heading 6"/>
    <w:basedOn w:val="Introparagraph"/>
    <w:next w:val="Normal"/>
    <w:link w:val="Heading6Char"/>
    <w:unhideWhenUsed/>
    <w:qFormat/>
    <w:rsid w:val="00B27FA1"/>
    <w:pPr>
      <w:spacing w:before="120" w:after="120"/>
      <w:outlineLvl w:val="5"/>
    </w:pPr>
    <w:rPr>
      <w:sz w:val="26"/>
    </w:rPr>
  </w:style>
  <w:style w:type="paragraph" w:styleId="Heading7">
    <w:name w:val="heading 7"/>
    <w:aliases w:val="Section Sub-Heading 4"/>
    <w:basedOn w:val="Normal"/>
    <w:next w:val="Normal"/>
    <w:link w:val="Heading7Char"/>
    <w:unhideWhenUsed/>
    <w:rsid w:val="004B54CA"/>
    <w:pPr>
      <w:spacing w:after="0"/>
      <w:outlineLvl w:val="6"/>
    </w:pPr>
    <w:rPr>
      <w:i/>
      <w:iCs/>
    </w:rPr>
  </w:style>
  <w:style w:type="paragraph" w:styleId="Heading8">
    <w:name w:val="heading 8"/>
    <w:basedOn w:val="Normal"/>
    <w:next w:val="Normal"/>
    <w:link w:val="Heading8Char"/>
    <w:unhideWhenUsed/>
    <w:rsid w:val="004B54CA"/>
    <w:pPr>
      <w:spacing w:after="0"/>
      <w:outlineLvl w:val="7"/>
    </w:pPr>
    <w:rPr>
      <w:sz w:val="20"/>
      <w:szCs w:val="20"/>
    </w:rPr>
  </w:style>
  <w:style w:type="paragraph" w:styleId="Heading9">
    <w:name w:val="heading 9"/>
    <w:basedOn w:val="Normal"/>
    <w:next w:val="Normal"/>
    <w:link w:val="Heading9Char"/>
    <w:unhideWhenUsed/>
    <w:rsid w:val="004B54CA"/>
    <w:pPr>
      <w:spacing w:after="0"/>
      <w:outlineLvl w:val="8"/>
    </w:pPr>
    <w:rPr>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o not use Char,Section heading 1 Char,Front Page Title Char,1. Char,Para 1 Char,Para 11 Char"/>
    <w:link w:val="Heading1"/>
    <w:rsid w:val="00F67217"/>
    <w:rPr>
      <w:rFonts w:ascii="Arial" w:eastAsia="Times New Roman" w:hAnsi="Arial" w:cs="Arial"/>
      <w:b/>
      <w:color w:val="6B2876" w:themeColor="text2"/>
      <w:sz w:val="80"/>
      <w:szCs w:val="60"/>
      <w:lang w:eastAsia="ja-JP"/>
    </w:rPr>
  </w:style>
  <w:style w:type="character" w:customStyle="1" w:styleId="Heading2Char">
    <w:name w:val="Heading 2 Char"/>
    <w:aliases w:val="Heading 2 do not use Char,Front Page List of Sections Char,Board Brief - Paragraph Heading 2 Char"/>
    <w:link w:val="Heading2"/>
    <w:uiPriority w:val="1"/>
    <w:rsid w:val="00B70CB6"/>
    <w:rPr>
      <w:rFonts w:ascii="Arial" w:eastAsia="Times New Roman" w:hAnsi="Arial"/>
      <w:b/>
      <w:bCs/>
      <w:color w:val="6B2976"/>
      <w:sz w:val="36"/>
      <w:szCs w:val="36"/>
      <w:lang w:eastAsia="ja-JP"/>
    </w:rPr>
  </w:style>
  <w:style w:type="paragraph" w:customStyle="1" w:styleId="Tablebullet">
    <w:name w:val="Table bullet"/>
    <w:qFormat/>
    <w:rsid w:val="008A0D91"/>
    <w:pPr>
      <w:numPr>
        <w:numId w:val="21"/>
      </w:numPr>
      <w:spacing w:before="100" w:after="100" w:line="288" w:lineRule="auto"/>
      <w:ind w:left="397" w:hanging="397"/>
      <w:contextualSpacing/>
    </w:pPr>
    <w:rPr>
      <w:rFonts w:ascii="Arial" w:eastAsia="Times New Roman" w:hAnsi="Arial"/>
      <w:sz w:val="24"/>
      <w:szCs w:val="24"/>
      <w:lang w:val="en-GB" w:eastAsia="ja-JP"/>
    </w:rPr>
  </w:style>
  <w:style w:type="character" w:customStyle="1" w:styleId="Heading3Char">
    <w:name w:val="Heading 3 Char"/>
    <w:aliases w:val="Heading 3 do not use Char"/>
    <w:link w:val="Heading3"/>
    <w:rsid w:val="00B70CB6"/>
    <w:rPr>
      <w:rFonts w:ascii="Arial" w:eastAsia="Times New Roman" w:hAnsi="Arial"/>
      <w:b/>
      <w:color w:val="6B2976"/>
      <w:sz w:val="32"/>
      <w:szCs w:val="32"/>
      <w:lang w:eastAsia="ja-JP"/>
    </w:rPr>
  </w:style>
  <w:style w:type="character" w:customStyle="1" w:styleId="Heading4Char">
    <w:name w:val="Heading 4 Char"/>
    <w:link w:val="Heading4"/>
    <w:rsid w:val="00C11753"/>
    <w:rPr>
      <w:rFonts w:ascii="Arial" w:eastAsia="Times New Roman" w:hAnsi="Arial"/>
      <w:b/>
      <w:color w:val="6B2876" w:themeColor="text1"/>
      <w:sz w:val="28"/>
      <w:szCs w:val="28"/>
      <w:lang w:eastAsia="ja-JP"/>
    </w:rPr>
  </w:style>
  <w:style w:type="character" w:customStyle="1" w:styleId="Heading5Char">
    <w:name w:val="Heading 5 Char"/>
    <w:link w:val="Heading5"/>
    <w:uiPriority w:val="9"/>
    <w:rsid w:val="00614FB8"/>
    <w:rPr>
      <w:rFonts w:ascii="Arial" w:eastAsia="Times New Roman" w:hAnsi="Arial"/>
      <w:b/>
      <w:color w:val="6B2876" w:themeColor="text1"/>
      <w:sz w:val="28"/>
      <w:szCs w:val="24"/>
      <w:lang w:val="en-US" w:eastAsia="ja-JP"/>
    </w:rPr>
  </w:style>
  <w:style w:type="character" w:customStyle="1" w:styleId="Heading6Char">
    <w:name w:val="Heading 6 Char"/>
    <w:link w:val="Heading6"/>
    <w:uiPriority w:val="9"/>
    <w:rsid w:val="00B27FA1"/>
    <w:rPr>
      <w:rFonts w:ascii="Arial" w:eastAsia="Times New Roman" w:hAnsi="Arial"/>
      <w:bCs/>
      <w:color w:val="6B2876" w:themeColor="text1"/>
      <w:sz w:val="26"/>
      <w:szCs w:val="28"/>
      <w:lang w:eastAsia="ja-JP"/>
    </w:rPr>
  </w:style>
  <w:style w:type="character" w:customStyle="1" w:styleId="Heading7Char">
    <w:name w:val="Heading 7 Char"/>
    <w:aliases w:val="Section Sub-Heading 4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table" w:styleId="ListTable7Colou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rsid w:val="00940AC8"/>
    <w:pPr>
      <w:numPr>
        <w:numId w:val="4"/>
      </w:numPr>
    </w:pPr>
  </w:style>
  <w:style w:type="numbering" w:customStyle="1" w:styleId="CurrentList2">
    <w:name w:val="Current List2"/>
    <w:rsid w:val="00940AC8"/>
    <w:pPr>
      <w:numPr>
        <w:numId w:val="5"/>
      </w:numPr>
    </w:pPr>
  </w:style>
  <w:style w:type="numbering" w:customStyle="1" w:styleId="CurrentList3">
    <w:name w:val="Current List3"/>
    <w:uiPriority w:val="99"/>
    <w:rsid w:val="00940AC8"/>
    <w:pPr>
      <w:numPr>
        <w:numId w:val="6"/>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列出段落,lp"/>
    <w:basedOn w:val="Normal"/>
    <w:link w:val="ListParagraphChar"/>
    <w:uiPriority w:val="34"/>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rsid w:val="00B53EC9"/>
    <w:pPr>
      <w:spacing w:before="200" w:after="0"/>
      <w:jc w:val="center"/>
    </w:pPr>
    <w:rPr>
      <w:b/>
      <w:color w:val="C00000"/>
    </w:rPr>
  </w:style>
  <w:style w:type="character" w:customStyle="1" w:styleId="HeaderChar">
    <w:name w:val="Header Char"/>
    <w:aliases w:val="Security markings Char"/>
    <w:link w:val="Header"/>
    <w:uiPriority w:val="99"/>
    <w:rsid w:val="00B53EC9"/>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9B2942"/>
    <w:pPr>
      <w:pBdr>
        <w:top w:val="single" w:sz="4" w:space="5" w:color="6B2976"/>
      </w:pBdr>
      <w:tabs>
        <w:tab w:val="center" w:pos="4513"/>
        <w:tab w:val="right" w:pos="9026"/>
      </w:tabs>
      <w:spacing w:after="200" w:line="240" w:lineRule="auto"/>
    </w:pPr>
    <w:rPr>
      <w:b/>
      <w:bCs/>
      <w:color w:val="6B2976"/>
    </w:rPr>
  </w:style>
  <w:style w:type="character" w:customStyle="1" w:styleId="FooterChar">
    <w:name w:val="Footer Char"/>
    <w:link w:val="Footer"/>
    <w:uiPriority w:val="99"/>
    <w:rsid w:val="009B2942"/>
    <w:rPr>
      <w:rFonts w:ascii="Arial" w:eastAsia="Times New Roman" w:hAnsi="Arial"/>
      <w:b/>
      <w:bCs/>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1">
    <w:name w:val="Bullet 1"/>
    <w:basedOn w:val="ListParagraph"/>
    <w:qFormat/>
    <w:rsid w:val="006453A0"/>
    <w:pPr>
      <w:numPr>
        <w:numId w:val="3"/>
      </w:numPr>
      <w:ind w:left="714" w:hanging="357"/>
    </w:pPr>
  </w:style>
  <w:style w:type="table" w:styleId="LightShading-Accent4">
    <w:name w:val="Light Shading Accent 4"/>
    <w:aliases w:val="NDIS purple table"/>
    <w:basedOn w:val="TableNormal"/>
    <w:uiPriority w:val="60"/>
    <w:rsid w:val="00192D14"/>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3820DF"/>
    <w:pPr>
      <w:numPr>
        <w:numId w:val="2"/>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qFormat/>
    <w:rsid w:val="004466FC"/>
    <w:pPr>
      <w:tabs>
        <w:tab w:val="left" w:pos="480"/>
        <w:tab w:val="right" w:pos="9174"/>
      </w:tabs>
      <w:spacing w:before="240" w:after="120"/>
      <w:ind w:left="482" w:hanging="482"/>
    </w:pPr>
    <w:rPr>
      <w:rFonts w:cs="Arial"/>
      <w:b/>
      <w:bCs/>
      <w:noProof/>
      <w:color w:val="6A2875"/>
      <w:lang w:val="en-GB"/>
    </w:rPr>
  </w:style>
  <w:style w:type="paragraph" w:styleId="TOC2">
    <w:name w:val="toc 2"/>
    <w:basedOn w:val="Normal"/>
    <w:next w:val="Normal"/>
    <w:autoRedefine/>
    <w:uiPriority w:val="39"/>
    <w:unhideWhenUsed/>
    <w:qFormat/>
    <w:rsid w:val="00537A29"/>
    <w:pPr>
      <w:spacing w:before="120" w:after="0"/>
      <w:ind w:left="240"/>
    </w:pPr>
    <w:rPr>
      <w:rFonts w:asciiTheme="minorHAnsi" w:hAnsiTheme="minorHAnsi" w:cstheme="minorHAnsi"/>
      <w:i/>
      <w:iCs/>
      <w:sz w:val="20"/>
      <w:szCs w:val="20"/>
    </w:rPr>
  </w:style>
  <w:style w:type="paragraph" w:styleId="TOC3">
    <w:name w:val="toc 3"/>
    <w:basedOn w:val="Normal"/>
    <w:next w:val="Normal"/>
    <w:autoRedefine/>
    <w:uiPriority w:val="39"/>
    <w:unhideWhenUsed/>
    <w:qFormat/>
    <w:rsid w:val="00705AD7"/>
    <w:pPr>
      <w:spacing w:after="0"/>
      <w:ind w:left="480"/>
    </w:pPr>
    <w:rPr>
      <w:rFonts w:asciiTheme="minorHAnsi" w:hAnsiTheme="minorHAnsi" w:cstheme="minorHAnsi"/>
      <w:sz w:val="20"/>
      <w:szCs w:val="20"/>
    </w:rPr>
  </w:style>
  <w:style w:type="character" w:styleId="Hyperlink">
    <w:name w:val="Hyperlink"/>
    <w:uiPriority w:val="99"/>
    <w:unhideWhenUsed/>
    <w:rsid w:val="0040062A"/>
    <w:rPr>
      <w:color w:val="0432FF"/>
      <w:u w:val="single"/>
    </w:rPr>
  </w:style>
  <w:style w:type="paragraph" w:styleId="TOC4">
    <w:name w:val="toc 4"/>
    <w:basedOn w:val="Normal"/>
    <w:next w:val="Normal"/>
    <w:autoRedefine/>
    <w:unhideWhenUsed/>
    <w:rsid w:val="00933B2A"/>
    <w:pPr>
      <w:spacing w:after="0"/>
      <w:ind w:left="720"/>
    </w:pPr>
    <w:rPr>
      <w:rFonts w:asciiTheme="minorHAnsi" w:hAnsiTheme="minorHAnsi" w:cstheme="minorHAnsi"/>
      <w:sz w:val="20"/>
      <w:szCs w:val="20"/>
    </w:rPr>
  </w:style>
  <w:style w:type="paragraph" w:styleId="TOC5">
    <w:name w:val="toc 5"/>
    <w:basedOn w:val="Normal"/>
    <w:next w:val="Normal"/>
    <w:autoRedefine/>
    <w:unhideWhenUsed/>
    <w:rsid w:val="00C54B33"/>
    <w:pPr>
      <w:spacing w:after="0"/>
      <w:ind w:left="960"/>
    </w:pPr>
    <w:rPr>
      <w:rFonts w:asciiTheme="minorHAnsi" w:hAnsiTheme="minorHAnsi" w:cstheme="minorHAnsi"/>
      <w:sz w:val="20"/>
      <w:szCs w:val="20"/>
    </w:rPr>
  </w:style>
  <w:style w:type="paragraph" w:customStyle="1" w:styleId="Securityinformation">
    <w:name w:val="Security information"/>
    <w:basedOn w:val="Normal"/>
    <w:link w:val="SecurityinformationChar"/>
    <w:qFormat/>
    <w:rsid w:val="00192D14"/>
    <w:pPr>
      <w:ind w:right="96"/>
    </w:pPr>
    <w:rPr>
      <w:b/>
      <w:color w:val="C00000"/>
      <w:sz w:val="28"/>
      <w:szCs w:val="28"/>
    </w:rPr>
  </w:style>
  <w:style w:type="table" w:styleId="TableGrid">
    <w:name w:val="Table Grid"/>
    <w:aliases w:val="HealthConsult"/>
    <w:basedOn w:val="TableNormal"/>
    <w:uiPriority w:val="3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rsid w:val="00380E79"/>
    <w:pPr>
      <w:spacing w:before="360" w:after="120"/>
    </w:pPr>
    <w:rPr>
      <w:bCs/>
    </w:rPr>
  </w:style>
  <w:style w:type="character" w:customStyle="1" w:styleId="TableDescriptionChar">
    <w:name w:val="Table Description Char"/>
    <w:link w:val="TableDescription"/>
    <w:rsid w:val="00380E79"/>
    <w:rPr>
      <w:rFonts w:ascii="Arial" w:eastAsia="Times New Roman" w:hAnsi="Arial"/>
      <w:bCs/>
      <w:sz w:val="24"/>
      <w:szCs w:val="24"/>
      <w:lang w:val="en-US" w:eastAsia="ja-JP"/>
    </w:rPr>
  </w:style>
  <w:style w:type="character" w:customStyle="1" w:styleId="SecurityinformationChar">
    <w:name w:val="Security information Char"/>
    <w:link w:val="Securityinformation"/>
    <w:rsid w:val="00192D14"/>
    <w:rPr>
      <w:rFonts w:ascii="Arial" w:eastAsia="Times New Roman" w:hAnsi="Arial"/>
      <w:b/>
      <w:color w:val="C00000"/>
      <w:sz w:val="28"/>
      <w:szCs w:val="28"/>
      <w:lang w:val="en-US" w:eastAsia="ja-JP"/>
    </w:rPr>
  </w:style>
  <w:style w:type="table" w:customStyle="1" w:styleId="Coverpagetable">
    <w:name w:val="Cover page table"/>
    <w:basedOn w:val="TableNormal"/>
    <w:uiPriority w:val="99"/>
    <w:rsid w:val="00192D14"/>
    <w:rPr>
      <w:rFonts w:ascii="Arial" w:eastAsiaTheme="minorHAnsi" w:hAnsi="Arial" w:cs="Times New Roman (Body CS)"/>
      <w:color w:val="000000" w:themeColor="accent6"/>
      <w:sz w:val="24"/>
      <w:szCs w:val="24"/>
      <w:lang w:eastAsia="en-US"/>
    </w:rPr>
    <w:tblPr/>
  </w:style>
  <w:style w:type="table" w:styleId="ListTable4">
    <w:name w:val="List Table 4"/>
    <w:basedOn w:val="TableNormal"/>
    <w:uiPriority w:val="49"/>
    <w:rsid w:val="005957FF"/>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GridTable4">
    <w:name w:val="Grid Table 4"/>
    <w:basedOn w:val="TableNormal"/>
    <w:uiPriority w:val="49"/>
    <w:rsid w:val="005957FF"/>
    <w:pPr>
      <w:spacing w:before="120" w:after="120"/>
    </w:pPr>
    <w:rPr>
      <w:rFonts w:asciiTheme="minorHAnsi" w:eastAsiaTheme="minorHAnsi" w:hAnsiTheme="minorHAnsi" w:cstheme="minorBidi"/>
      <w:sz w:val="22"/>
      <w:szCs w:val="22"/>
      <w:lang w:eastAsia="en-US"/>
    </w:r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nil"/>
          <w:left w:val="single" w:sz="4" w:space="0" w:color="6B2876" w:themeColor="text1"/>
          <w:bottom w:val="nil"/>
          <w:right w:val="nil"/>
          <w:insideH w:val="single" w:sz="4" w:space="0" w:color="F9F9F9" w:themeColor="background1"/>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bottom w:val="nil"/>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F9F9F9" w:themeColor="background1"/>
          <w:insideV w:val="single" w:sz="4" w:space="0" w:color="F9F9F9" w:themeColor="background1"/>
          <w:tl2br w:val="nil"/>
          <w:tr2bl w:val="nil"/>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paragraph" w:styleId="FootnoteText">
    <w:name w:val="footnote text"/>
    <w:basedOn w:val="Normal"/>
    <w:link w:val="FootnoteTextChar"/>
    <w:unhideWhenUsed/>
    <w:qFormat/>
    <w:rsid w:val="00B27FA1"/>
    <w:pPr>
      <w:spacing w:after="0" w:line="240" w:lineRule="auto"/>
    </w:pPr>
    <w:rPr>
      <w:sz w:val="20"/>
      <w:szCs w:val="20"/>
    </w:rPr>
  </w:style>
  <w:style w:type="character" w:customStyle="1" w:styleId="FootnoteTextChar">
    <w:name w:val="Footnote Text Char"/>
    <w:basedOn w:val="DefaultParagraphFont"/>
    <w:link w:val="FootnoteText"/>
    <w:uiPriority w:val="99"/>
    <w:rsid w:val="00B27FA1"/>
    <w:rPr>
      <w:rFonts w:ascii="Arial" w:eastAsia="Times New Roman" w:hAnsi="Arial"/>
      <w:lang w:eastAsia="ja-JP"/>
    </w:rPr>
  </w:style>
  <w:style w:type="character" w:styleId="FootnoteReference">
    <w:name w:val="footnote reference"/>
    <w:basedOn w:val="TableDescriptionChar"/>
    <w:unhideWhenUsed/>
    <w:rsid w:val="002E75F1"/>
    <w:rPr>
      <w:rFonts w:ascii="Arial" w:eastAsia="Times New Roman" w:hAnsi="Arial"/>
      <w:bCs/>
      <w:sz w:val="24"/>
      <w:szCs w:val="24"/>
      <w:vertAlign w:val="superscript"/>
      <w:lang w:val="en-US" w:eastAsia="ja-JP"/>
    </w:rPr>
  </w:style>
  <w:style w:type="paragraph" w:styleId="NormalWeb">
    <w:name w:val="Normal (Web)"/>
    <w:basedOn w:val="Normal"/>
    <w:uiPriority w:val="99"/>
    <w:unhideWhenUsed/>
    <w:rsid w:val="00BA56AF"/>
    <w:pPr>
      <w:spacing w:before="100" w:beforeAutospacing="1" w:after="100" w:afterAutospacing="1" w:line="240" w:lineRule="auto"/>
    </w:pPr>
    <w:rPr>
      <w:rFonts w:ascii="Times New Roman" w:hAnsi="Times New Roman"/>
      <w:lang w:eastAsia="en-AU"/>
    </w:rPr>
  </w:style>
  <w:style w:type="character" w:styleId="UnresolvedMention">
    <w:name w:val="Unresolved Mention"/>
    <w:basedOn w:val="DefaultParagraphFont"/>
    <w:uiPriority w:val="99"/>
    <w:semiHidden/>
    <w:unhideWhenUsed/>
    <w:rsid w:val="00BA56AF"/>
    <w:rPr>
      <w:color w:val="605E5C"/>
      <w:shd w:val="clear" w:color="auto" w:fill="E1DFDD"/>
    </w:rPr>
  </w:style>
  <w:style w:type="table" w:styleId="GridTable4-Accent1">
    <w:name w:val="Grid Table 4 Accent 1"/>
    <w:basedOn w:val="TableNormal"/>
    <w:uiPriority w:val="49"/>
    <w:rsid w:val="002E75F1"/>
    <w:tblPr>
      <w:tblStyleRowBandSize w:val="1"/>
      <w:tblStyleColBandSize w:val="1"/>
      <w:tblBorders>
        <w:top w:val="single" w:sz="4" w:space="0" w:color="BA61C9" w:themeColor="accent1" w:themeTint="99"/>
        <w:left w:val="single" w:sz="4" w:space="0" w:color="BA61C9" w:themeColor="accent1" w:themeTint="99"/>
        <w:bottom w:val="single" w:sz="4" w:space="0" w:color="BA61C9" w:themeColor="accent1" w:themeTint="99"/>
        <w:right w:val="single" w:sz="4" w:space="0" w:color="BA61C9" w:themeColor="accent1" w:themeTint="99"/>
        <w:insideH w:val="single" w:sz="4" w:space="0" w:color="BA61C9" w:themeColor="accent1" w:themeTint="99"/>
        <w:insideV w:val="single" w:sz="4" w:space="0" w:color="BA61C9" w:themeColor="accent1" w:themeTint="99"/>
      </w:tblBorders>
    </w:tblPr>
    <w:tblStylePr w:type="firstRow">
      <w:rPr>
        <w:b/>
        <w:bCs/>
        <w:color w:val="F9F9F9" w:themeColor="background1"/>
      </w:rPr>
      <w:tblPr/>
      <w:tcPr>
        <w:tcBorders>
          <w:top w:val="single" w:sz="4" w:space="0" w:color="6B2876" w:themeColor="accent1"/>
          <w:left w:val="single" w:sz="4" w:space="0" w:color="6B2876" w:themeColor="accent1"/>
          <w:bottom w:val="single" w:sz="4" w:space="0" w:color="6B2876" w:themeColor="accent1"/>
          <w:right w:val="single" w:sz="4" w:space="0" w:color="6B2876" w:themeColor="accent1"/>
          <w:insideH w:val="nil"/>
          <w:insideV w:val="nil"/>
        </w:tcBorders>
        <w:shd w:val="clear" w:color="auto" w:fill="6B2876" w:themeFill="accent1"/>
      </w:tcPr>
    </w:tblStylePr>
    <w:tblStylePr w:type="lastRow">
      <w:rPr>
        <w:b/>
        <w:bCs/>
      </w:rPr>
      <w:tblPr/>
      <w:tcPr>
        <w:tcBorders>
          <w:top w:val="double" w:sz="4" w:space="0" w:color="6B2876" w:themeColor="accent1"/>
        </w:tcBorders>
      </w:tcPr>
    </w:tblStylePr>
    <w:tblStylePr w:type="firstCol">
      <w:rPr>
        <w:b/>
        <w:bCs/>
      </w:rPr>
    </w:tblStylePr>
    <w:tblStylePr w:type="lastCol">
      <w:rPr>
        <w:b/>
        <w:bCs/>
      </w:rPr>
    </w:tblStylePr>
    <w:tblStylePr w:type="band1Vert">
      <w:tblPr/>
      <w:tcPr>
        <w:shd w:val="clear" w:color="auto" w:fill="E8CAED" w:themeFill="accent1" w:themeFillTint="33"/>
      </w:tcPr>
    </w:tblStylePr>
    <w:tblStylePr w:type="band1Horz">
      <w:tblPr/>
      <w:tcPr>
        <w:shd w:val="clear" w:color="auto" w:fill="E8CAED" w:themeFill="accent1" w:themeFillTint="33"/>
      </w:tcPr>
    </w:tblStylePr>
  </w:style>
  <w:style w:type="paragraph" w:customStyle="1" w:styleId="Bullet2">
    <w:name w:val="Bullet 2"/>
    <w:basedOn w:val="Bullet1"/>
    <w:qFormat/>
    <w:rsid w:val="00C7150A"/>
    <w:pPr>
      <w:numPr>
        <w:ilvl w:val="1"/>
        <w:numId w:val="9"/>
      </w:numPr>
      <w:ind w:left="1071" w:hanging="357"/>
    </w:pPr>
  </w:style>
  <w:style w:type="numbering" w:customStyle="1" w:styleId="Bulletlist">
    <w:name w:val="Bullet list"/>
    <w:uiPriority w:val="99"/>
    <w:rsid w:val="00791CE9"/>
    <w:pPr>
      <w:numPr>
        <w:numId w:val="8"/>
      </w:numPr>
    </w:pPr>
  </w:style>
  <w:style w:type="paragraph" w:customStyle="1" w:styleId="BoardBrief-Paragraph2">
    <w:name w:val="Board Brief - Paragraph 2"/>
    <w:basedOn w:val="Normal"/>
    <w:uiPriority w:val="2"/>
    <w:rsid w:val="00B743CB"/>
    <w:pPr>
      <w:numPr>
        <w:ilvl w:val="2"/>
        <w:numId w:val="7"/>
      </w:numPr>
      <w:spacing w:line="360" w:lineRule="auto"/>
    </w:pPr>
    <w:rPr>
      <w:rFonts w:eastAsiaTheme="minorHAnsi" w:cs="Arial"/>
      <w:szCs w:val="22"/>
      <w:lang w:eastAsia="en-AU"/>
    </w:rPr>
  </w:style>
  <w:style w:type="paragraph" w:customStyle="1" w:styleId="11Section-Parapraph">
    <w:name w:val="1.1 Section - Parapraph"/>
    <w:basedOn w:val="ListParagraph"/>
    <w:uiPriority w:val="2"/>
    <w:rsid w:val="00B743CB"/>
    <w:pPr>
      <w:numPr>
        <w:ilvl w:val="1"/>
        <w:numId w:val="7"/>
      </w:numPr>
      <w:spacing w:before="240" w:line="360" w:lineRule="auto"/>
      <w:contextualSpacing w:val="0"/>
    </w:pPr>
    <w:rPr>
      <w:rFonts w:eastAsiaTheme="minorHAnsi" w:cs="Arial"/>
      <w:szCs w:val="22"/>
      <w:lang w:eastAsia="en-AU"/>
    </w:rPr>
  </w:style>
  <w:style w:type="character" w:styleId="FollowedHyperlink">
    <w:name w:val="FollowedHyperlink"/>
    <w:basedOn w:val="DefaultParagraphFont"/>
    <w:uiPriority w:val="99"/>
    <w:semiHidden/>
    <w:unhideWhenUsed/>
    <w:rsid w:val="00705AD7"/>
    <w:rPr>
      <w:color w:val="954F72"/>
      <w:u w:val="single"/>
    </w:rPr>
  </w:style>
  <w:style w:type="paragraph" w:styleId="Caption">
    <w:name w:val="caption"/>
    <w:basedOn w:val="Normal"/>
    <w:next w:val="Normal"/>
    <w:uiPriority w:val="35"/>
    <w:unhideWhenUsed/>
    <w:rsid w:val="00042A45"/>
    <w:pPr>
      <w:keepNext/>
      <w:spacing w:after="200" w:line="240" w:lineRule="auto"/>
    </w:pPr>
    <w:rPr>
      <w:b/>
      <w:bCs/>
      <w:color w:val="6B2876" w:themeColor="text2"/>
    </w:rPr>
  </w:style>
  <w:style w:type="paragraph" w:styleId="TOCHeading">
    <w:name w:val="TOC Heading"/>
    <w:basedOn w:val="Heading1"/>
    <w:next w:val="Normal"/>
    <w:uiPriority w:val="39"/>
    <w:unhideWhenUsed/>
    <w:qFormat/>
    <w:rsid w:val="00A61E7C"/>
    <w:pPr>
      <w:keepNext/>
      <w:keepLines/>
      <w:spacing w:before="480" w:after="0" w:line="276" w:lineRule="auto"/>
      <w:outlineLvl w:val="9"/>
    </w:pPr>
    <w:rPr>
      <w:rFonts w:asciiTheme="majorHAnsi" w:eastAsiaTheme="majorEastAsia" w:hAnsiTheme="majorHAnsi" w:cstheme="majorBidi"/>
      <w:bCs/>
      <w:color w:val="501E58" w:themeColor="accent1" w:themeShade="BF"/>
      <w:sz w:val="28"/>
      <w:szCs w:val="28"/>
      <w:lang w:val="en-US" w:eastAsia="en-US"/>
    </w:rPr>
  </w:style>
  <w:style w:type="paragraph" w:styleId="TOC6">
    <w:name w:val="toc 6"/>
    <w:basedOn w:val="Normal"/>
    <w:next w:val="Normal"/>
    <w:autoRedefine/>
    <w:unhideWhenUsed/>
    <w:rsid w:val="00A61E7C"/>
    <w:pPr>
      <w:spacing w:after="0"/>
      <w:ind w:left="1200"/>
    </w:pPr>
    <w:rPr>
      <w:rFonts w:asciiTheme="minorHAnsi" w:hAnsiTheme="minorHAnsi" w:cstheme="minorHAnsi"/>
      <w:sz w:val="20"/>
      <w:szCs w:val="20"/>
    </w:rPr>
  </w:style>
  <w:style w:type="paragraph" w:styleId="TOC7">
    <w:name w:val="toc 7"/>
    <w:basedOn w:val="Normal"/>
    <w:next w:val="Normal"/>
    <w:autoRedefine/>
    <w:unhideWhenUsed/>
    <w:rsid w:val="00A61E7C"/>
    <w:pPr>
      <w:spacing w:after="0"/>
      <w:ind w:left="1440"/>
    </w:pPr>
    <w:rPr>
      <w:rFonts w:asciiTheme="minorHAnsi" w:hAnsiTheme="minorHAnsi" w:cstheme="minorHAnsi"/>
      <w:sz w:val="20"/>
      <w:szCs w:val="20"/>
    </w:rPr>
  </w:style>
  <w:style w:type="paragraph" w:styleId="TOC8">
    <w:name w:val="toc 8"/>
    <w:basedOn w:val="Normal"/>
    <w:next w:val="Normal"/>
    <w:autoRedefine/>
    <w:unhideWhenUsed/>
    <w:rsid w:val="00A61E7C"/>
    <w:pPr>
      <w:spacing w:after="0"/>
      <w:ind w:left="1680"/>
    </w:pPr>
    <w:rPr>
      <w:rFonts w:asciiTheme="minorHAnsi" w:hAnsiTheme="minorHAnsi" w:cstheme="minorHAnsi"/>
      <w:sz w:val="20"/>
      <w:szCs w:val="20"/>
    </w:rPr>
  </w:style>
  <w:style w:type="paragraph" w:styleId="TOC9">
    <w:name w:val="toc 9"/>
    <w:basedOn w:val="Normal"/>
    <w:next w:val="Normal"/>
    <w:autoRedefine/>
    <w:unhideWhenUsed/>
    <w:rsid w:val="00A61E7C"/>
    <w:pPr>
      <w:spacing w:after="0"/>
      <w:ind w:left="1920"/>
    </w:pPr>
    <w:rPr>
      <w:rFonts w:asciiTheme="minorHAnsi" w:hAnsiTheme="minorHAnsi" w:cstheme="minorHAnsi"/>
      <w:sz w:val="20"/>
      <w:szCs w:val="20"/>
    </w:rPr>
  </w:style>
  <w:style w:type="paragraph" w:customStyle="1" w:styleId="PullOut-Heading3">
    <w:name w:val="Pull Out - Heading 3"/>
    <w:basedOn w:val="Heading3"/>
    <w:rsid w:val="008B419B"/>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bCs/>
      <w:szCs w:val="20"/>
    </w:rPr>
  </w:style>
  <w:style w:type="paragraph" w:customStyle="1" w:styleId="Introparagraph">
    <w:name w:val="Intro paragraph"/>
    <w:basedOn w:val="Normal"/>
    <w:qFormat/>
    <w:rsid w:val="00AA38DB"/>
    <w:rPr>
      <w:bCs/>
      <w:color w:val="6B2876" w:themeColor="text1"/>
      <w:sz w:val="28"/>
      <w:szCs w:val="28"/>
    </w:rPr>
  </w:style>
  <w:style w:type="paragraph" w:customStyle="1" w:styleId="PullOut-Heading2">
    <w:name w:val="Pull Out - Heading 2"/>
    <w:basedOn w:val="Heading2"/>
    <w:rsid w:val="008B419B"/>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szCs w:val="20"/>
    </w:rPr>
  </w:style>
  <w:style w:type="paragraph" w:customStyle="1" w:styleId="PullOut-Body">
    <w:name w:val="Pull Out - Body"/>
    <w:basedOn w:val="Normal"/>
    <w:rsid w:val="008B419B"/>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szCs w:val="20"/>
    </w:rPr>
  </w:style>
  <w:style w:type="paragraph" w:customStyle="1" w:styleId="tablelistbullet">
    <w:name w:val="table list bullet"/>
    <w:basedOn w:val="ListParagraph"/>
    <w:qFormat/>
    <w:rsid w:val="00BD5E4E"/>
    <w:pPr>
      <w:tabs>
        <w:tab w:val="num" w:pos="360"/>
      </w:tabs>
      <w:spacing w:after="120" w:line="240" w:lineRule="auto"/>
    </w:pPr>
    <w:rPr>
      <w:rFonts w:eastAsia="MS Mincho" w:cs="FSMe-Bold"/>
      <w:spacing w:val="-2"/>
      <w:szCs w:val="20"/>
      <w:lang w:eastAsia="en-US"/>
    </w:rPr>
  </w:style>
  <w:style w:type="paragraph" w:customStyle="1" w:styleId="TableBody">
    <w:name w:val="Table Body"/>
    <w:basedOn w:val="Datatable"/>
    <w:qFormat/>
    <w:rsid w:val="002E5010"/>
    <w:pPr>
      <w:spacing w:before="100" w:after="100"/>
      <w:jc w:val="left"/>
    </w:pPr>
    <w:rPr>
      <w:rFonts w:cs="Arial"/>
      <w:spacing w:val="0"/>
      <w:sz w:val="24"/>
      <w:szCs w:val="22"/>
    </w:rPr>
  </w:style>
  <w:style w:type="character" w:customStyle="1" w:styleId="hgkelc">
    <w:name w:val="hgkelc"/>
    <w:basedOn w:val="DefaultParagraphFont"/>
    <w:rsid w:val="00F675FE"/>
  </w:style>
  <w:style w:type="paragraph" w:customStyle="1" w:styleId="Datatable">
    <w:name w:val="Data table"/>
    <w:basedOn w:val="Normal"/>
    <w:link w:val="DatatableChar"/>
    <w:rsid w:val="008C7E4D"/>
    <w:pPr>
      <w:spacing w:after="0"/>
      <w:jc w:val="center"/>
    </w:pPr>
    <w:rPr>
      <w:rFonts w:eastAsia="MS Mincho" w:cs="FSMe-Bold"/>
      <w:spacing w:val="-2"/>
      <w:sz w:val="20"/>
      <w:szCs w:val="20"/>
    </w:rPr>
  </w:style>
  <w:style w:type="character" w:customStyle="1" w:styleId="DatatableChar">
    <w:name w:val="Data table Char"/>
    <w:basedOn w:val="DefaultParagraphFont"/>
    <w:link w:val="Datatable"/>
    <w:rsid w:val="008C7E4D"/>
    <w:rPr>
      <w:rFonts w:ascii="Arial" w:eastAsia="MS Mincho" w:hAnsi="Arial" w:cs="FSMe-Bold"/>
      <w:spacing w:val="-2"/>
      <w:lang w:eastAsia="ja-JP"/>
    </w:rPr>
  </w:style>
  <w:style w:type="character" w:styleId="CommentReference">
    <w:name w:val="annotation reference"/>
    <w:basedOn w:val="DefaultParagraphFont"/>
    <w:semiHidden/>
    <w:unhideWhenUsed/>
    <w:rsid w:val="008C7E4D"/>
    <w:rPr>
      <w:sz w:val="16"/>
      <w:szCs w:val="16"/>
    </w:rPr>
  </w:style>
  <w:style w:type="paragraph" w:styleId="CommentText">
    <w:name w:val="annotation text"/>
    <w:basedOn w:val="Normal"/>
    <w:link w:val="CommentTextChar"/>
    <w:unhideWhenUsed/>
    <w:rsid w:val="008C7E4D"/>
    <w:pPr>
      <w:spacing w:line="240" w:lineRule="auto"/>
    </w:pPr>
    <w:rPr>
      <w:sz w:val="20"/>
      <w:szCs w:val="20"/>
    </w:rPr>
  </w:style>
  <w:style w:type="character" w:customStyle="1" w:styleId="CommentTextChar">
    <w:name w:val="Comment Text Char"/>
    <w:basedOn w:val="DefaultParagraphFont"/>
    <w:link w:val="CommentText"/>
    <w:uiPriority w:val="99"/>
    <w:rsid w:val="008C7E4D"/>
    <w:rPr>
      <w:rFonts w:ascii="Arial" w:eastAsia="Times New Roman" w:hAnsi="Arial"/>
      <w:lang w:val="en-US" w:eastAsia="ja-JP"/>
    </w:rPr>
  </w:style>
  <w:style w:type="paragraph" w:customStyle="1" w:styleId="Numberedlist">
    <w:name w:val="Numbered list"/>
    <w:basedOn w:val="Bullet1"/>
    <w:qFormat/>
    <w:rsid w:val="004B5CD1"/>
    <w:pPr>
      <w:numPr>
        <w:numId w:val="10"/>
      </w:numPr>
      <w:ind w:left="714" w:hanging="357"/>
    </w:pPr>
  </w:style>
  <w:style w:type="paragraph" w:styleId="Revision">
    <w:name w:val="Revision"/>
    <w:hidden/>
    <w:uiPriority w:val="99"/>
    <w:semiHidden/>
    <w:rsid w:val="00870EDC"/>
    <w:rPr>
      <w:rFonts w:ascii="Arial" w:eastAsia="Times New Roman" w:hAnsi="Arial"/>
      <w:sz w:val="24"/>
      <w:szCs w:val="24"/>
      <w:lang w:val="en-US" w:eastAsia="ja-JP"/>
    </w:rPr>
  </w:style>
  <w:style w:type="paragraph" w:styleId="CommentSubject">
    <w:name w:val="annotation subject"/>
    <w:basedOn w:val="CommentText"/>
    <w:next w:val="CommentText"/>
    <w:link w:val="CommentSubjectChar"/>
    <w:semiHidden/>
    <w:unhideWhenUsed/>
    <w:rsid w:val="00870EDC"/>
    <w:rPr>
      <w:b/>
      <w:bCs/>
    </w:rPr>
  </w:style>
  <w:style w:type="character" w:customStyle="1" w:styleId="CommentSubjectChar">
    <w:name w:val="Comment Subject Char"/>
    <w:basedOn w:val="CommentTextChar"/>
    <w:link w:val="CommentSubject"/>
    <w:uiPriority w:val="99"/>
    <w:semiHidden/>
    <w:rsid w:val="00870EDC"/>
    <w:rPr>
      <w:rFonts w:ascii="Arial" w:eastAsia="Times New Roman" w:hAnsi="Arial"/>
      <w:b/>
      <w:bCs/>
      <w:lang w:val="en-US" w:eastAsia="ja-JP"/>
    </w:rPr>
  </w:style>
  <w:style w:type="paragraph" w:customStyle="1" w:styleId="Pa10">
    <w:name w:val="Pa10"/>
    <w:basedOn w:val="Normal"/>
    <w:next w:val="Normal"/>
    <w:uiPriority w:val="99"/>
    <w:rsid w:val="00EA5908"/>
    <w:pPr>
      <w:autoSpaceDE w:val="0"/>
      <w:autoSpaceDN w:val="0"/>
      <w:adjustRightInd w:val="0"/>
      <w:spacing w:after="0" w:line="221" w:lineRule="atLeast"/>
    </w:pPr>
    <w:rPr>
      <w:rFonts w:ascii="FS Me Pro" w:eastAsia="FSMePro" w:hAnsi="FS Me Pro"/>
      <w:lang w:eastAsia="en-AU"/>
    </w:rPr>
  </w:style>
  <w:style w:type="paragraph" w:customStyle="1" w:styleId="Pa11">
    <w:name w:val="Pa11"/>
    <w:basedOn w:val="Normal"/>
    <w:next w:val="Normal"/>
    <w:uiPriority w:val="99"/>
    <w:rsid w:val="00EA5908"/>
    <w:pPr>
      <w:autoSpaceDE w:val="0"/>
      <w:autoSpaceDN w:val="0"/>
      <w:adjustRightInd w:val="0"/>
      <w:spacing w:after="0" w:line="221" w:lineRule="atLeast"/>
    </w:pPr>
    <w:rPr>
      <w:rFonts w:ascii="FS Me Pro" w:eastAsia="FSMePro" w:hAnsi="FS Me Pro"/>
      <w:lang w:eastAsia="en-AU"/>
    </w:rPr>
  </w:style>
  <w:style w:type="paragraph" w:customStyle="1" w:styleId="Pa66">
    <w:name w:val="Pa66"/>
    <w:basedOn w:val="Normal"/>
    <w:next w:val="Normal"/>
    <w:uiPriority w:val="99"/>
    <w:rsid w:val="00EA5908"/>
    <w:pPr>
      <w:autoSpaceDE w:val="0"/>
      <w:autoSpaceDN w:val="0"/>
      <w:adjustRightInd w:val="0"/>
      <w:spacing w:after="0" w:line="221" w:lineRule="atLeast"/>
    </w:pPr>
    <w:rPr>
      <w:rFonts w:ascii="FS Me Pro" w:eastAsia="FSMePro" w:hAnsi="FS Me Pro"/>
      <w:lang w:eastAsia="en-AU"/>
    </w:rPr>
  </w:style>
  <w:style w:type="character" w:customStyle="1" w:styleId="FGCEMPHASIS">
    <w:name w:val="FGC_EMPHASIS"/>
    <w:basedOn w:val="DefaultParagraphFont"/>
    <w:uiPriority w:val="1"/>
    <w:rsid w:val="0047222D"/>
    <w:rPr>
      <w:rFonts w:ascii="Arial" w:hAnsi="Arial"/>
      <w:b/>
      <w:bCs/>
      <w:color w:val="auto"/>
      <w:sz w:val="22"/>
    </w:rPr>
  </w:style>
  <w:style w:type="table" w:customStyle="1" w:styleId="GridTable2-Accent312">
    <w:name w:val="Grid Table 2 - Accent 312"/>
    <w:basedOn w:val="TableNormal"/>
    <w:next w:val="GridTable2-Accent3"/>
    <w:uiPriority w:val="47"/>
    <w:rsid w:val="009F6E27"/>
    <w:rPr>
      <w:rFonts w:ascii="Calibri" w:eastAsia="Calibri" w:hAnsi="Calibri" w:cs="Cordia New"/>
      <w:sz w:val="22"/>
      <w:szCs w:val="22"/>
      <w:lang w:eastAsia="en-US"/>
    </w:rPr>
    <w:tblPr>
      <w:tblStyleRowBandSize w:val="1"/>
      <w:tblStyleColBandSize w:val="1"/>
      <w:tblBorders>
        <w:top w:val="single" w:sz="4" w:space="0" w:color="BFBFBF"/>
        <w:bottom w:val="single" w:sz="4" w:space="0" w:color="BFBFBF"/>
        <w:insideH w:val="single" w:sz="4" w:space="0" w:color="BFBFBF"/>
        <w:insideV w:val="single" w:sz="4" w:space="0" w:color="BFBFBF"/>
      </w:tblBorders>
    </w:tblPr>
    <w:tblStylePr w:type="firstRow">
      <w:rPr>
        <w:rFonts w:ascii="Arial" w:hAnsi="Arial"/>
        <w:b/>
        <w:bCs/>
        <w:color w:val="FFFFFF"/>
        <w:sz w:val="22"/>
      </w:rPr>
      <w:tblPr/>
      <w:tcPr>
        <w:tcBorders>
          <w:top w:val="nil"/>
          <w:left w:val="nil"/>
          <w:bottom w:val="nil"/>
          <w:right w:val="nil"/>
          <w:insideH w:val="nil"/>
          <w:insideV w:val="nil"/>
          <w:tl2br w:val="nil"/>
          <w:tr2bl w:val="nil"/>
        </w:tcBorders>
        <w:shd w:val="clear" w:color="auto" w:fill="6B2976"/>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Horz">
      <w:tblPr/>
      <w:tcPr>
        <w:shd w:val="clear" w:color="auto" w:fill="EDEDED"/>
      </w:tcPr>
    </w:tblStylePr>
  </w:style>
  <w:style w:type="table" w:styleId="GridTable2-Accent3">
    <w:name w:val="Grid Table 2 Accent 3"/>
    <w:basedOn w:val="TableNormal"/>
    <w:uiPriority w:val="47"/>
    <w:rsid w:val="009F6E27"/>
    <w:tblPr>
      <w:tblStyleRowBandSize w:val="1"/>
      <w:tblStyleColBandSize w:val="1"/>
      <w:tblBorders>
        <w:top w:val="single" w:sz="2" w:space="0" w:color="BA61C9" w:themeColor="accent3" w:themeTint="99"/>
        <w:bottom w:val="single" w:sz="2" w:space="0" w:color="BA61C9" w:themeColor="accent3" w:themeTint="99"/>
        <w:insideH w:val="single" w:sz="2" w:space="0" w:color="BA61C9" w:themeColor="accent3" w:themeTint="99"/>
        <w:insideV w:val="single" w:sz="2" w:space="0" w:color="BA61C9" w:themeColor="accent3" w:themeTint="99"/>
      </w:tblBorders>
    </w:tblPr>
    <w:tblStylePr w:type="firstRow">
      <w:rPr>
        <w:b/>
        <w:bCs/>
      </w:rPr>
      <w:tblPr/>
      <w:tcPr>
        <w:tcBorders>
          <w:top w:val="nil"/>
          <w:bottom w:val="single" w:sz="12" w:space="0" w:color="BA61C9" w:themeColor="accent3" w:themeTint="99"/>
          <w:insideH w:val="nil"/>
          <w:insideV w:val="nil"/>
        </w:tcBorders>
        <w:shd w:val="clear" w:color="auto" w:fill="F9F9F9" w:themeFill="background1"/>
      </w:tcPr>
    </w:tblStylePr>
    <w:tblStylePr w:type="lastRow">
      <w:rPr>
        <w:b/>
        <w:bCs/>
      </w:rPr>
      <w:tblPr/>
      <w:tcPr>
        <w:tcBorders>
          <w:top w:val="double" w:sz="2" w:space="0" w:color="BA61C9" w:themeColor="accent3" w:themeTint="99"/>
          <w:bottom w:val="nil"/>
          <w:insideH w:val="nil"/>
          <w:insideV w:val="nil"/>
        </w:tcBorders>
        <w:shd w:val="clear" w:color="auto" w:fill="F9F9F9" w:themeFill="background1"/>
      </w:tcPr>
    </w:tblStylePr>
    <w:tblStylePr w:type="firstCol">
      <w:rPr>
        <w:b/>
        <w:bCs/>
      </w:rPr>
    </w:tblStylePr>
    <w:tblStylePr w:type="lastCol">
      <w:rPr>
        <w:b/>
        <w:bCs/>
      </w:rPr>
    </w:tblStylePr>
    <w:tblStylePr w:type="band1Vert">
      <w:tblPr/>
      <w:tcPr>
        <w:shd w:val="clear" w:color="auto" w:fill="E8CAED" w:themeFill="accent3" w:themeFillTint="33"/>
      </w:tcPr>
    </w:tblStylePr>
    <w:tblStylePr w:type="band1Horz">
      <w:tblPr/>
      <w:tcPr>
        <w:shd w:val="clear" w:color="auto" w:fill="E8CAED" w:themeFill="accent3" w:themeFillTint="33"/>
      </w:tcPr>
    </w:tblStylePr>
  </w:style>
  <w:style w:type="paragraph" w:customStyle="1" w:styleId="paragraph">
    <w:name w:val="paragraph"/>
    <w:basedOn w:val="Normal"/>
    <w:rsid w:val="00E16083"/>
    <w:pPr>
      <w:spacing w:before="100" w:beforeAutospacing="1" w:after="100" w:afterAutospacing="1" w:line="240" w:lineRule="auto"/>
    </w:pPr>
    <w:rPr>
      <w:rFonts w:ascii="Times New Roman" w:hAnsi="Times New Roman"/>
      <w:lang w:eastAsia="en-AU"/>
    </w:rPr>
  </w:style>
  <w:style w:type="character" w:customStyle="1" w:styleId="normaltextrun">
    <w:name w:val="normaltextrun"/>
    <w:basedOn w:val="DefaultParagraphFont"/>
    <w:rsid w:val="00E16083"/>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basedOn w:val="DefaultParagraphFont"/>
    <w:link w:val="ListParagraph"/>
    <w:uiPriority w:val="34"/>
    <w:qFormat/>
    <w:locked/>
    <w:rsid w:val="00E16083"/>
    <w:rPr>
      <w:rFonts w:ascii="Arial" w:eastAsia="Times New Roman" w:hAnsi="Arial"/>
      <w:sz w:val="24"/>
      <w:szCs w:val="24"/>
      <w:lang w:val="en-US" w:eastAsia="ja-JP"/>
    </w:rPr>
  </w:style>
  <w:style w:type="paragraph" w:customStyle="1" w:styleId="FGCNORMAL">
    <w:name w:val="FGC_NORMAL"/>
    <w:basedOn w:val="Normal"/>
    <w:rsid w:val="00E16083"/>
    <w:pPr>
      <w:spacing w:before="120" w:after="120"/>
      <w:ind w:left="652"/>
    </w:pPr>
    <w:rPr>
      <w:rFonts w:eastAsiaTheme="minorEastAsia" w:cs="Arial"/>
      <w:sz w:val="22"/>
      <w:szCs w:val="22"/>
    </w:rPr>
  </w:style>
  <w:style w:type="character" w:styleId="Strong">
    <w:name w:val="Strong"/>
    <w:basedOn w:val="DefaultParagraphFont"/>
    <w:uiPriority w:val="22"/>
    <w:qFormat/>
    <w:rsid w:val="00E16083"/>
    <w:rPr>
      <w:b/>
      <w:bCs/>
    </w:rPr>
  </w:style>
  <w:style w:type="paragraph" w:customStyle="1" w:styleId="Heading3a">
    <w:name w:val="Heading 3a"/>
    <w:basedOn w:val="Normal"/>
    <w:rsid w:val="009B5EFC"/>
    <w:pPr>
      <w:spacing w:before="120" w:after="120" w:line="240" w:lineRule="auto"/>
      <w:outlineLvl w:val="2"/>
    </w:pPr>
    <w:rPr>
      <w:rFonts w:eastAsia="Georgia" w:cs="Arial"/>
      <w:b/>
      <w:lang w:eastAsia="en-US"/>
    </w:rPr>
  </w:style>
  <w:style w:type="paragraph" w:customStyle="1" w:styleId="Pa28">
    <w:name w:val="Pa28"/>
    <w:basedOn w:val="Normal"/>
    <w:next w:val="Normal"/>
    <w:uiPriority w:val="99"/>
    <w:rsid w:val="00CC33F6"/>
    <w:pPr>
      <w:autoSpaceDE w:val="0"/>
      <w:autoSpaceDN w:val="0"/>
      <w:adjustRightInd w:val="0"/>
      <w:spacing w:after="0" w:line="171" w:lineRule="atLeast"/>
    </w:pPr>
    <w:rPr>
      <w:rFonts w:ascii="FS Me Pro Light" w:eastAsiaTheme="minorHAnsi" w:hAnsi="FS Me Pro Light" w:cstheme="minorBidi"/>
      <w:lang w:eastAsia="en-US"/>
    </w:rPr>
  </w:style>
  <w:style w:type="table" w:customStyle="1" w:styleId="FSRtable">
    <w:name w:val="FSR table"/>
    <w:basedOn w:val="TableNormal"/>
    <w:uiPriority w:val="99"/>
    <w:rsid w:val="00641555"/>
    <w:pPr>
      <w:keepLines/>
      <w:jc w:val="right"/>
    </w:pPr>
    <w:rPr>
      <w:rFonts w:ascii="Arial" w:eastAsiaTheme="minorEastAsia" w:hAnsi="Arial" w:cstheme="minorBidi"/>
      <w:sz w:val="22"/>
      <w:szCs w:val="28"/>
      <w:lang w:eastAsia="zh-CN" w:bidi="th-TH"/>
    </w:rPr>
    <w:tblPr>
      <w:tblStyleRowBandSize w:val="1"/>
      <w:tblInd w:w="0" w:type="nil"/>
      <w:tblBorders>
        <w:top w:val="single" w:sz="4" w:space="0" w:color="auto"/>
        <w:bottom w:val="single" w:sz="4" w:space="0" w:color="auto"/>
      </w:tblBorders>
    </w:tblPr>
    <w:tcPr>
      <w:vAlign w:val="center"/>
    </w:tcPr>
    <w:tblStylePr w:type="firstRow">
      <w:rPr>
        <w:rFonts w:ascii="Arial" w:hAnsi="Arial" w:cs="Arial" w:hint="default"/>
        <w:b/>
        <w:color w:val="F9F9F9" w:themeColor="background1"/>
      </w:rPr>
      <w:tblPr/>
      <w:tcPr>
        <w:shd w:val="clear" w:color="auto" w:fill="6B2976"/>
      </w:tcPr>
    </w:tblStylePr>
    <w:tblStylePr w:type="firstCol">
      <w:pPr>
        <w:jc w:val="left"/>
      </w:pPr>
    </w:tblStylePr>
    <w:tblStylePr w:type="band2Horz">
      <w:pPr>
        <w:keepLines/>
        <w:widowControl/>
        <w:suppressLineNumbers w:val="0"/>
        <w:wordWrap/>
      </w:pPr>
      <w:tblPr/>
      <w:tcPr>
        <w:shd w:val="clear" w:color="auto" w:fill="C0C0C0"/>
      </w:tcPr>
    </w:tblStylePr>
  </w:style>
  <w:style w:type="paragraph" w:customStyle="1" w:styleId="FSRsublist">
    <w:name w:val="FSR_sublist"/>
    <w:basedOn w:val="ListParagraph"/>
    <w:qFormat/>
    <w:rsid w:val="00850FCB"/>
    <w:pPr>
      <w:numPr>
        <w:ilvl w:val="1"/>
        <w:numId w:val="13"/>
      </w:numPr>
      <w:spacing w:after="0"/>
    </w:pPr>
    <w:rPr>
      <w:rFonts w:eastAsiaTheme="minorEastAsia" w:cstheme="minorBidi"/>
      <w:sz w:val="22"/>
    </w:rPr>
  </w:style>
  <w:style w:type="paragraph" w:customStyle="1" w:styleId="TableParagraph">
    <w:name w:val="Table Paragraph"/>
    <w:basedOn w:val="Normal"/>
    <w:uiPriority w:val="1"/>
    <w:qFormat/>
    <w:rsid w:val="004A564D"/>
    <w:pPr>
      <w:widowControl w:val="0"/>
      <w:autoSpaceDE w:val="0"/>
      <w:autoSpaceDN w:val="0"/>
      <w:spacing w:after="0" w:line="240" w:lineRule="auto"/>
    </w:pPr>
    <w:rPr>
      <w:rFonts w:ascii="Calibri" w:eastAsia="Calibri" w:hAnsi="Calibri" w:cs="Calibri"/>
      <w:sz w:val="22"/>
      <w:szCs w:val="22"/>
      <w:lang w:eastAsia="en-US"/>
    </w:rPr>
  </w:style>
  <w:style w:type="character" w:customStyle="1" w:styleId="ui-provider">
    <w:name w:val="ui-provider"/>
    <w:basedOn w:val="DefaultParagraphFont"/>
    <w:rsid w:val="00713CE1"/>
  </w:style>
  <w:style w:type="character" w:customStyle="1" w:styleId="BodyText1Char">
    <w:name w:val="Body Text1 Char"/>
    <w:basedOn w:val="DefaultParagraphFont"/>
    <w:link w:val="BodyText1"/>
    <w:locked/>
    <w:rsid w:val="00A01981"/>
    <w:rPr>
      <w:rFonts w:ascii="Arial" w:eastAsiaTheme="minorEastAsia" w:hAnsi="Arial" w:cs="Arial"/>
      <w:lang w:eastAsia="ja-JP"/>
    </w:rPr>
  </w:style>
  <w:style w:type="paragraph" w:customStyle="1" w:styleId="BodyText1">
    <w:name w:val="Body Text1"/>
    <w:basedOn w:val="Normal"/>
    <w:link w:val="BodyText1Char"/>
    <w:qFormat/>
    <w:rsid w:val="00A01981"/>
    <w:pPr>
      <w:spacing w:before="120" w:after="120" w:line="240" w:lineRule="auto"/>
    </w:pPr>
    <w:rPr>
      <w:rFonts w:eastAsiaTheme="minorEastAsia" w:cs="Arial"/>
      <w:sz w:val="20"/>
      <w:szCs w:val="20"/>
    </w:rPr>
  </w:style>
  <w:style w:type="paragraph" w:customStyle="1" w:styleId="ActHead5">
    <w:name w:val="ActHead 5"/>
    <w:aliases w:val="s"/>
    <w:basedOn w:val="Normal"/>
    <w:next w:val="Normal"/>
    <w:link w:val="ActHead5Char"/>
    <w:rsid w:val="00A01981"/>
    <w:pPr>
      <w:keepNext/>
      <w:keepLines/>
      <w:spacing w:before="280" w:after="0" w:line="240" w:lineRule="auto"/>
      <w:ind w:left="1134" w:hanging="1134"/>
      <w:outlineLvl w:val="4"/>
    </w:pPr>
    <w:rPr>
      <w:rFonts w:ascii="Times New Roman" w:hAnsi="Times New Roman"/>
      <w:b/>
      <w:kern w:val="28"/>
      <w:szCs w:val="22"/>
      <w:lang w:eastAsia="en-AU"/>
    </w:rPr>
  </w:style>
  <w:style w:type="character" w:customStyle="1" w:styleId="ActHead5Char">
    <w:name w:val="ActHead 5 Char"/>
    <w:aliases w:val="s Char"/>
    <w:basedOn w:val="DefaultParagraphFont"/>
    <w:link w:val="ActHead5"/>
    <w:locked/>
    <w:rsid w:val="00A01981"/>
    <w:rPr>
      <w:rFonts w:ascii="Times New Roman" w:eastAsia="Times New Roman" w:hAnsi="Times New Roman"/>
      <w:b/>
      <w:kern w:val="28"/>
      <w:sz w:val="24"/>
      <w:szCs w:val="22"/>
    </w:rPr>
  </w:style>
  <w:style w:type="character" w:styleId="PlaceholderText">
    <w:name w:val="Placeholder Text"/>
    <w:basedOn w:val="DefaultParagraphFont"/>
    <w:uiPriority w:val="99"/>
    <w:semiHidden/>
    <w:rsid w:val="00E17B60"/>
    <w:rPr>
      <w:color w:val="666666"/>
    </w:rPr>
  </w:style>
  <w:style w:type="table" w:customStyle="1" w:styleId="GridTable41">
    <w:name w:val="Grid Table 41"/>
    <w:basedOn w:val="TableNormal"/>
    <w:next w:val="GridTable4"/>
    <w:uiPriority w:val="49"/>
    <w:rsid w:val="00FC6941"/>
    <w:pPr>
      <w:spacing w:before="120" w:after="120"/>
    </w:pPr>
    <w:rPr>
      <w:rFonts w:ascii="Arial" w:eastAsia="Aptos" w:hAnsi="Arial" w:cs="Cordia New"/>
      <w:sz w:val="22"/>
      <w:szCs w:val="22"/>
      <w:lang w:eastAsia="en-US"/>
    </w:rPr>
    <w:tblPr>
      <w:tblStyleRowBandSize w:val="1"/>
      <w:tblStyleColBandSize w:val="1"/>
      <w:tblBorders>
        <w:top w:val="single" w:sz="4" w:space="0" w:color="6B2876"/>
        <w:left w:val="single" w:sz="4" w:space="0" w:color="6B2876"/>
        <w:bottom w:val="single" w:sz="4" w:space="0" w:color="6B2876"/>
        <w:right w:val="single" w:sz="4" w:space="0" w:color="6B2876"/>
        <w:insideH w:val="single" w:sz="4" w:space="0" w:color="6B2876"/>
        <w:insideV w:val="single" w:sz="4" w:space="0" w:color="6B2876"/>
      </w:tblBorders>
    </w:tblPr>
    <w:tblStylePr w:type="firstRow">
      <w:rPr>
        <w:b/>
        <w:bCs/>
        <w:color w:val="F9F9F9"/>
      </w:rPr>
      <w:tblPr/>
      <w:trPr>
        <w:tblHeader/>
      </w:trPr>
      <w:tcPr>
        <w:tcBorders>
          <w:top w:val="nil"/>
          <w:left w:val="single" w:sz="4" w:space="0" w:color="6B2876"/>
          <w:bottom w:val="nil"/>
          <w:right w:val="nil"/>
          <w:insideH w:val="single" w:sz="4" w:space="0" w:color="F9F9F9"/>
          <w:insideV w:val="single" w:sz="4" w:space="0" w:color="F9F9F9"/>
          <w:tl2br w:val="nil"/>
          <w:tr2bl w:val="nil"/>
        </w:tcBorders>
        <w:shd w:val="clear" w:color="auto" w:fill="6B2876"/>
      </w:tcPr>
    </w:tblStylePr>
    <w:tblStylePr w:type="lastRow">
      <w:rPr>
        <w:b/>
        <w:bCs/>
      </w:rPr>
      <w:tblPr/>
      <w:tcPr>
        <w:tcBorders>
          <w:top w:val="double" w:sz="4" w:space="0" w:color="6B2876"/>
          <w:bottom w:val="nil"/>
        </w:tcBorders>
      </w:tcPr>
    </w:tblStylePr>
    <w:tblStylePr w:type="firstCol">
      <w:rPr>
        <w:b/>
        <w:bCs/>
        <w:color w:val="F9F9F9"/>
      </w:rPr>
      <w:tblPr/>
      <w:tcPr>
        <w:tcBorders>
          <w:top w:val="single" w:sz="4" w:space="0" w:color="6B2876"/>
          <w:left w:val="single" w:sz="4" w:space="0" w:color="6B2876"/>
          <w:bottom w:val="single" w:sz="4" w:space="0" w:color="6B2876"/>
          <w:right w:val="single" w:sz="4" w:space="0" w:color="6B2876"/>
          <w:insideH w:val="single" w:sz="4" w:space="0" w:color="F9F9F9"/>
          <w:insideV w:val="single" w:sz="4" w:space="0" w:color="F9F9F9"/>
          <w:tl2br w:val="nil"/>
          <w:tr2bl w:val="nil"/>
        </w:tcBorders>
        <w:shd w:val="clear" w:color="auto" w:fill="6B2876"/>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customStyle="1" w:styleId="GridTable411">
    <w:name w:val="Grid Table 411"/>
    <w:basedOn w:val="TableNormal"/>
    <w:next w:val="GridTable4"/>
    <w:uiPriority w:val="49"/>
    <w:rsid w:val="00FC6941"/>
    <w:pPr>
      <w:spacing w:before="120" w:after="120"/>
    </w:pPr>
    <w:rPr>
      <w:rFonts w:ascii="Arial" w:eastAsia="Aptos" w:hAnsi="Arial" w:cs="Cordia New"/>
      <w:sz w:val="22"/>
      <w:szCs w:val="22"/>
      <w:lang w:eastAsia="en-US"/>
    </w:rPr>
    <w:tblPr>
      <w:tblStyleRowBandSize w:val="1"/>
      <w:tblStyleColBandSize w:val="1"/>
      <w:tblBorders>
        <w:top w:val="single" w:sz="4" w:space="0" w:color="6B2876"/>
        <w:left w:val="single" w:sz="4" w:space="0" w:color="6B2876"/>
        <w:bottom w:val="single" w:sz="4" w:space="0" w:color="6B2876"/>
        <w:right w:val="single" w:sz="4" w:space="0" w:color="6B2876"/>
        <w:insideH w:val="single" w:sz="4" w:space="0" w:color="6B2876"/>
        <w:insideV w:val="single" w:sz="4" w:space="0" w:color="6B2876"/>
      </w:tblBorders>
    </w:tblPr>
    <w:tblStylePr w:type="firstRow">
      <w:rPr>
        <w:b/>
        <w:bCs/>
        <w:color w:val="F9F9F9"/>
      </w:rPr>
      <w:tblPr/>
      <w:trPr>
        <w:tblHeader/>
      </w:trPr>
      <w:tcPr>
        <w:tcBorders>
          <w:top w:val="nil"/>
          <w:left w:val="single" w:sz="4" w:space="0" w:color="6B2876"/>
          <w:bottom w:val="nil"/>
          <w:right w:val="nil"/>
          <w:insideH w:val="single" w:sz="4" w:space="0" w:color="F9F9F9"/>
          <w:insideV w:val="single" w:sz="4" w:space="0" w:color="F9F9F9"/>
          <w:tl2br w:val="nil"/>
          <w:tr2bl w:val="nil"/>
        </w:tcBorders>
        <w:shd w:val="clear" w:color="auto" w:fill="6B2876"/>
      </w:tcPr>
    </w:tblStylePr>
    <w:tblStylePr w:type="lastRow">
      <w:rPr>
        <w:b/>
        <w:bCs/>
      </w:rPr>
      <w:tblPr/>
      <w:tcPr>
        <w:tcBorders>
          <w:top w:val="double" w:sz="4" w:space="0" w:color="6B2876"/>
          <w:bottom w:val="nil"/>
        </w:tcBorders>
      </w:tcPr>
    </w:tblStylePr>
    <w:tblStylePr w:type="firstCol">
      <w:rPr>
        <w:b/>
        <w:bCs/>
        <w:color w:val="F9F9F9"/>
      </w:rPr>
      <w:tblPr/>
      <w:tcPr>
        <w:tcBorders>
          <w:top w:val="single" w:sz="4" w:space="0" w:color="6B2876"/>
          <w:left w:val="single" w:sz="4" w:space="0" w:color="6B2876"/>
          <w:bottom w:val="single" w:sz="4" w:space="0" w:color="6B2876"/>
          <w:right w:val="single" w:sz="4" w:space="0" w:color="6B2876"/>
          <w:insideH w:val="single" w:sz="4" w:space="0" w:color="F9F9F9"/>
          <w:insideV w:val="single" w:sz="4" w:space="0" w:color="F9F9F9"/>
          <w:tl2br w:val="nil"/>
          <w:tr2bl w:val="nil"/>
        </w:tcBorders>
        <w:shd w:val="clear" w:color="auto" w:fill="6B2876"/>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paragraph" w:customStyle="1" w:styleId="Tablenote">
    <w:name w:val="Tablenote"/>
    <w:basedOn w:val="FootnoteText"/>
    <w:link w:val="TablenoteChar"/>
    <w:qFormat/>
    <w:rsid w:val="00B27FA1"/>
    <w:pPr>
      <w:spacing w:before="60" w:after="120"/>
    </w:pPr>
    <w:rPr>
      <w:lang w:val="en-GB"/>
    </w:rPr>
  </w:style>
  <w:style w:type="character" w:customStyle="1" w:styleId="TablenoteChar">
    <w:name w:val="Tablenote Char"/>
    <w:basedOn w:val="FootnoteTextChar"/>
    <w:link w:val="Tablenote"/>
    <w:rsid w:val="00B27FA1"/>
    <w:rPr>
      <w:rFonts w:ascii="Arial" w:eastAsia="Times New Roman" w:hAnsi="Arial"/>
      <w:lang w:val="en-GB" w:eastAsia="ja-JP"/>
    </w:rPr>
  </w:style>
  <w:style w:type="character" w:styleId="Mention">
    <w:name w:val="Mention"/>
    <w:basedOn w:val="DefaultParagraphFont"/>
    <w:uiPriority w:val="99"/>
    <w:unhideWhenUsed/>
    <w:rsid w:val="000D3DCF"/>
    <w:rPr>
      <w:color w:val="2B579A"/>
      <w:shd w:val="clear" w:color="auto" w:fill="E1DFDD"/>
    </w:rPr>
  </w:style>
  <w:style w:type="paragraph" w:customStyle="1" w:styleId="StatementHeading">
    <w:name w:val="Statement Heading"/>
    <w:basedOn w:val="Normal"/>
    <w:rsid w:val="007D2F9B"/>
    <w:pPr>
      <w:spacing w:after="0" w:line="260" w:lineRule="atLeast"/>
    </w:pPr>
    <w:rPr>
      <w:b/>
      <w:szCs w:val="20"/>
      <w:lang w:eastAsia="en-US"/>
    </w:rPr>
  </w:style>
  <w:style w:type="paragraph" w:customStyle="1" w:styleId="StatementName">
    <w:name w:val="Statement Name"/>
    <w:basedOn w:val="Normal"/>
    <w:next w:val="Normal"/>
    <w:link w:val="StatementNameChar"/>
    <w:autoRedefine/>
    <w:rsid w:val="00C821EB"/>
    <w:pPr>
      <w:pBdr>
        <w:bottom w:val="single" w:sz="4" w:space="1" w:color="auto"/>
      </w:pBdr>
      <w:spacing w:after="0" w:line="240" w:lineRule="auto"/>
    </w:pPr>
    <w:rPr>
      <w:rFonts w:cs="Arial"/>
      <w:b/>
      <w:lang w:eastAsia="en-US"/>
    </w:rPr>
  </w:style>
  <w:style w:type="paragraph" w:customStyle="1" w:styleId="StatementDateHeader">
    <w:name w:val="Statement Date Header"/>
    <w:basedOn w:val="Normal"/>
    <w:next w:val="Normal"/>
    <w:rsid w:val="00B040FE"/>
    <w:pPr>
      <w:pBdr>
        <w:bottom w:val="single" w:sz="4" w:space="1" w:color="auto"/>
      </w:pBdr>
      <w:spacing w:after="0" w:line="260" w:lineRule="atLeast"/>
    </w:pPr>
    <w:rPr>
      <w:i/>
      <w:szCs w:val="20"/>
      <w:lang w:eastAsia="en-US"/>
    </w:rPr>
  </w:style>
  <w:style w:type="paragraph" w:customStyle="1" w:styleId="StatementTextLevel3">
    <w:name w:val="Statement Text Level 3"/>
    <w:basedOn w:val="Normal"/>
    <w:next w:val="Normal"/>
    <w:rsid w:val="00B040FE"/>
    <w:pPr>
      <w:spacing w:after="0" w:line="260" w:lineRule="atLeast"/>
    </w:pPr>
    <w:rPr>
      <w:sz w:val="18"/>
      <w:szCs w:val="20"/>
      <w:lang w:eastAsia="en-US"/>
    </w:rPr>
  </w:style>
  <w:style w:type="paragraph" w:customStyle="1" w:styleId="ContinuedNotesHeading-Level1">
    <w:name w:val="Continued Notes Heading - Level 1"/>
    <w:basedOn w:val="NotesHeading-Level1"/>
    <w:qFormat/>
    <w:rsid w:val="00B040FE"/>
    <w:pPr>
      <w:numPr>
        <w:numId w:val="0"/>
      </w:numPr>
      <w:spacing w:line="240" w:lineRule="auto"/>
      <w:outlineLvl w:val="9"/>
    </w:pPr>
  </w:style>
  <w:style w:type="paragraph" w:customStyle="1" w:styleId="TableHeaderLevel1">
    <w:name w:val="Table Header Level 1"/>
    <w:basedOn w:val="Normal"/>
    <w:semiHidden/>
    <w:rsid w:val="00B040FE"/>
    <w:pPr>
      <w:spacing w:after="0" w:line="260" w:lineRule="atLeast"/>
      <w:jc w:val="center"/>
    </w:pPr>
    <w:rPr>
      <w:b/>
      <w:sz w:val="18"/>
      <w:szCs w:val="18"/>
      <w:lang w:eastAsia="en-US"/>
    </w:rPr>
  </w:style>
  <w:style w:type="paragraph" w:customStyle="1" w:styleId="StatementTextLevel1bItalic">
    <w:name w:val="Statement Text Level 1(b) + Italic"/>
    <w:basedOn w:val="Normal"/>
    <w:rsid w:val="00B040FE"/>
    <w:pPr>
      <w:spacing w:after="0" w:line="260" w:lineRule="atLeast"/>
    </w:pPr>
    <w:rPr>
      <w:b/>
      <w:bCs/>
      <w:i/>
      <w:iCs/>
      <w:sz w:val="18"/>
      <w:szCs w:val="18"/>
      <w:lang w:eastAsia="en-US"/>
    </w:rPr>
  </w:style>
  <w:style w:type="paragraph" w:customStyle="1" w:styleId="Graphic">
    <w:name w:val="Graphic"/>
    <w:basedOn w:val="Signature"/>
    <w:rsid w:val="00B040FE"/>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link w:val="SignatureChar"/>
    <w:rsid w:val="00B040FE"/>
    <w:pPr>
      <w:spacing w:after="0" w:line="240" w:lineRule="auto"/>
    </w:pPr>
    <w:rPr>
      <w:rFonts w:ascii="Times New Roman" w:hAnsi="Times New Roman"/>
      <w:sz w:val="22"/>
      <w:szCs w:val="20"/>
      <w:lang w:eastAsia="en-US"/>
    </w:rPr>
  </w:style>
  <w:style w:type="character" w:customStyle="1" w:styleId="SignatureChar">
    <w:name w:val="Signature Char"/>
    <w:basedOn w:val="DefaultParagraphFont"/>
    <w:link w:val="Signature"/>
    <w:rsid w:val="00B040FE"/>
    <w:rPr>
      <w:rFonts w:ascii="Times New Roman" w:eastAsia="Times New Roman" w:hAnsi="Times New Roman"/>
      <w:sz w:val="22"/>
      <w:lang w:eastAsia="en-US"/>
    </w:rPr>
  </w:style>
  <w:style w:type="paragraph" w:styleId="MacroText">
    <w:name w:val="macro"/>
    <w:link w:val="MacroTextChar"/>
    <w:semiHidden/>
    <w:rsid w:val="00B040FE"/>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eastAsia="Times New Roman" w:hAnsi="Courier New" w:cs="Courier New"/>
      <w:sz w:val="18"/>
      <w:lang w:val="en-GB" w:eastAsia="en-US"/>
    </w:rPr>
  </w:style>
  <w:style w:type="character" w:customStyle="1" w:styleId="MacroTextChar">
    <w:name w:val="Macro Text Char"/>
    <w:basedOn w:val="DefaultParagraphFont"/>
    <w:link w:val="MacroText"/>
    <w:semiHidden/>
    <w:rsid w:val="00B040FE"/>
    <w:rPr>
      <w:rFonts w:ascii="Courier New" w:eastAsia="Times New Roman" w:hAnsi="Courier New" w:cs="Courier New"/>
      <w:sz w:val="18"/>
      <w:lang w:val="en-GB" w:eastAsia="en-US"/>
    </w:rPr>
  </w:style>
  <w:style w:type="paragraph" w:customStyle="1" w:styleId="NotesTotal">
    <w:name w:val="Notes Total"/>
    <w:basedOn w:val="Normal"/>
    <w:autoRedefine/>
    <w:rsid w:val="00B040FE"/>
    <w:pPr>
      <w:spacing w:after="0" w:line="260" w:lineRule="atLeast"/>
      <w:ind w:left="139" w:right="57"/>
    </w:pPr>
    <w:rPr>
      <w:rFonts w:ascii="Times New Roman" w:hAnsi="Times New Roman"/>
      <w:b/>
      <w:iCs/>
      <w:sz w:val="20"/>
      <w:szCs w:val="20"/>
      <w:lang w:eastAsia="en-US"/>
    </w:rPr>
  </w:style>
  <w:style w:type="paragraph" w:customStyle="1" w:styleId="TitlePage">
    <w:name w:val="Title Page"/>
    <w:basedOn w:val="Normal"/>
    <w:autoRedefine/>
    <w:rsid w:val="00B040FE"/>
    <w:pPr>
      <w:spacing w:before="1200" w:after="1200" w:line="260" w:lineRule="atLeast"/>
      <w:ind w:left="57" w:right="57"/>
      <w:jc w:val="right"/>
    </w:pPr>
    <w:rPr>
      <w:rFonts w:ascii="Times New Roman" w:hAnsi="Times New Roman"/>
      <w:b/>
      <w:bCs/>
      <w:sz w:val="48"/>
      <w:szCs w:val="20"/>
      <w:lang w:eastAsia="en-US"/>
    </w:rPr>
  </w:style>
  <w:style w:type="paragraph" w:customStyle="1" w:styleId="zcontents">
    <w:name w:val="zcontents"/>
    <w:basedOn w:val="Normal"/>
    <w:semiHidden/>
    <w:rsid w:val="00B040FE"/>
    <w:pPr>
      <w:spacing w:after="260" w:line="240" w:lineRule="auto"/>
    </w:pPr>
    <w:rPr>
      <w:rFonts w:ascii="Times New Roman" w:hAnsi="Times New Roman"/>
      <w:b/>
      <w:sz w:val="32"/>
      <w:szCs w:val="20"/>
      <w:lang w:eastAsia="en-US"/>
    </w:rPr>
  </w:style>
  <w:style w:type="paragraph" w:customStyle="1" w:styleId="Normal10pt">
    <w:name w:val="Normal + 10 pt"/>
    <w:aliases w:val="Line spacing:  single"/>
    <w:basedOn w:val="Normal"/>
    <w:rsid w:val="00B040FE"/>
    <w:pPr>
      <w:spacing w:before="130" w:after="130" w:line="260" w:lineRule="atLeast"/>
    </w:pPr>
    <w:rPr>
      <w:rFonts w:ascii="Times New Roman" w:hAnsi="Times New Roman"/>
      <w:b/>
      <w:sz w:val="20"/>
      <w:szCs w:val="20"/>
      <w:lang w:eastAsia="en-US"/>
    </w:rPr>
  </w:style>
  <w:style w:type="paragraph" w:styleId="z-BottomofForm">
    <w:name w:val="HTML Bottom of Form"/>
    <w:basedOn w:val="Normal"/>
    <w:next w:val="Normal"/>
    <w:link w:val="z-BottomofFormChar"/>
    <w:hidden/>
    <w:rsid w:val="00B040FE"/>
    <w:pPr>
      <w:pBdr>
        <w:top w:val="single" w:sz="6" w:space="1" w:color="auto"/>
      </w:pBdr>
      <w:spacing w:after="0" w:line="260" w:lineRule="atLeast"/>
      <w:jc w:val="center"/>
    </w:pPr>
    <w:rPr>
      <w:rFonts w:cs="Arial"/>
      <w:vanish/>
      <w:sz w:val="16"/>
      <w:szCs w:val="16"/>
      <w:lang w:eastAsia="en-US"/>
    </w:rPr>
  </w:style>
  <w:style w:type="character" w:customStyle="1" w:styleId="z-BottomofFormChar">
    <w:name w:val="z-Bottom of Form Char"/>
    <w:basedOn w:val="DefaultParagraphFont"/>
    <w:link w:val="z-BottomofForm"/>
    <w:rsid w:val="00B040FE"/>
    <w:rPr>
      <w:rFonts w:ascii="Arial" w:eastAsia="Times New Roman" w:hAnsi="Arial" w:cs="Arial"/>
      <w:vanish/>
      <w:sz w:val="16"/>
      <w:szCs w:val="16"/>
      <w:lang w:eastAsia="en-US"/>
    </w:rPr>
  </w:style>
  <w:style w:type="paragraph" w:styleId="z-TopofForm">
    <w:name w:val="HTML Top of Form"/>
    <w:basedOn w:val="Normal"/>
    <w:next w:val="Normal"/>
    <w:link w:val="z-TopofFormChar"/>
    <w:hidden/>
    <w:rsid w:val="00B040FE"/>
    <w:pPr>
      <w:pBdr>
        <w:bottom w:val="single" w:sz="6" w:space="1" w:color="auto"/>
      </w:pBdr>
      <w:spacing w:after="0" w:line="260" w:lineRule="atLeast"/>
      <w:jc w:val="center"/>
    </w:pPr>
    <w:rPr>
      <w:rFonts w:cs="Arial"/>
      <w:vanish/>
      <w:sz w:val="16"/>
      <w:szCs w:val="16"/>
      <w:lang w:eastAsia="en-US"/>
    </w:rPr>
  </w:style>
  <w:style w:type="character" w:customStyle="1" w:styleId="z-TopofFormChar">
    <w:name w:val="z-Top of Form Char"/>
    <w:basedOn w:val="DefaultParagraphFont"/>
    <w:link w:val="z-TopofForm"/>
    <w:rsid w:val="00B040FE"/>
    <w:rPr>
      <w:rFonts w:ascii="Arial" w:eastAsia="Times New Roman" w:hAnsi="Arial" w:cs="Arial"/>
      <w:vanish/>
      <w:sz w:val="16"/>
      <w:szCs w:val="16"/>
      <w:lang w:eastAsia="en-US"/>
    </w:rPr>
  </w:style>
  <w:style w:type="paragraph" w:styleId="DocumentMap">
    <w:name w:val="Document Map"/>
    <w:basedOn w:val="Normal"/>
    <w:link w:val="DocumentMapChar"/>
    <w:semiHidden/>
    <w:rsid w:val="00B040FE"/>
    <w:pPr>
      <w:shd w:val="clear" w:color="auto" w:fill="000080"/>
      <w:spacing w:after="0" w:line="240" w:lineRule="auto"/>
    </w:pPr>
    <w:rPr>
      <w:rFonts w:ascii="Tahoma" w:hAnsi="Tahoma"/>
      <w:sz w:val="20"/>
      <w:szCs w:val="20"/>
      <w:lang w:eastAsia="en-AU"/>
    </w:rPr>
  </w:style>
  <w:style w:type="character" w:customStyle="1" w:styleId="DocumentMapChar">
    <w:name w:val="Document Map Char"/>
    <w:basedOn w:val="DefaultParagraphFont"/>
    <w:link w:val="DocumentMap"/>
    <w:semiHidden/>
    <w:rsid w:val="00B040FE"/>
    <w:rPr>
      <w:rFonts w:ascii="Tahoma" w:eastAsia="Times New Roman" w:hAnsi="Tahoma"/>
      <w:shd w:val="clear" w:color="auto" w:fill="000080"/>
    </w:rPr>
  </w:style>
  <w:style w:type="paragraph" w:customStyle="1" w:styleId="Normal8pt">
    <w:name w:val="Normal + 8 pt"/>
    <w:basedOn w:val="Normal"/>
    <w:rsid w:val="00B040FE"/>
    <w:pPr>
      <w:widowControl w:val="0"/>
      <w:autoSpaceDE w:val="0"/>
      <w:autoSpaceDN w:val="0"/>
      <w:spacing w:after="0" w:line="240" w:lineRule="auto"/>
    </w:pPr>
    <w:rPr>
      <w:rFonts w:ascii="Times New Roman" w:hAnsi="Times New Roman"/>
      <w:bCs/>
      <w:iCs/>
      <w:spacing w:val="-6"/>
      <w:sz w:val="16"/>
      <w:szCs w:val="16"/>
      <w:lang w:val="en-US" w:eastAsia="en-US"/>
    </w:rPr>
  </w:style>
  <w:style w:type="paragraph" w:customStyle="1" w:styleId="NormalCalistoMT">
    <w:name w:val="Normal + Calisto MT"/>
    <w:aliases w:val="8 pt,Right"/>
    <w:basedOn w:val="Normal"/>
    <w:rsid w:val="00B040FE"/>
    <w:pPr>
      <w:framePr w:hSpace="180" w:wrap="around" w:vAnchor="text" w:hAnchor="margin" w:y="1"/>
      <w:spacing w:after="0" w:line="260" w:lineRule="atLeast"/>
      <w:ind w:right="212"/>
      <w:suppressOverlap/>
      <w:jc w:val="right"/>
    </w:pPr>
    <w:rPr>
      <w:rFonts w:ascii="Calisto MT" w:hAnsi="Calisto MT"/>
      <w:sz w:val="16"/>
      <w:szCs w:val="20"/>
      <w:lang w:eastAsia="en-US"/>
    </w:rPr>
  </w:style>
  <w:style w:type="paragraph" w:customStyle="1" w:styleId="ReferenceText">
    <w:name w:val="Reference Text"/>
    <w:basedOn w:val="Normal"/>
    <w:link w:val="ReferenceTextChar"/>
    <w:autoRedefine/>
    <w:qFormat/>
    <w:rsid w:val="003203A1"/>
    <w:pPr>
      <w:spacing w:after="0" w:line="240" w:lineRule="auto"/>
    </w:pPr>
    <w:rPr>
      <w:sz w:val="18"/>
      <w:szCs w:val="20"/>
      <w:lang w:eastAsia="en-AU"/>
    </w:rPr>
  </w:style>
  <w:style w:type="paragraph" w:customStyle="1" w:styleId="NotesHeading-Level1">
    <w:name w:val="Notes Heading - Level 1"/>
    <w:basedOn w:val="Normal"/>
    <w:qFormat/>
    <w:rsid w:val="00B040FE"/>
    <w:pPr>
      <w:numPr>
        <w:numId w:val="25"/>
      </w:numPr>
      <w:tabs>
        <w:tab w:val="clear" w:pos="10491"/>
        <w:tab w:val="num" w:pos="851"/>
      </w:tabs>
      <w:spacing w:after="0" w:line="260" w:lineRule="atLeast"/>
      <w:ind w:left="1134" w:right="607"/>
      <w:outlineLvl w:val="0"/>
    </w:pPr>
    <w:rPr>
      <w:b/>
      <w:sz w:val="20"/>
      <w:szCs w:val="20"/>
      <w:lang w:eastAsia="en-US"/>
    </w:rPr>
  </w:style>
  <w:style w:type="paragraph" w:customStyle="1" w:styleId="NotesHeading-Level2">
    <w:name w:val="Notes Heading - Level 2"/>
    <w:basedOn w:val="NotesHeading-Level1"/>
    <w:rsid w:val="00B040FE"/>
    <w:pPr>
      <w:framePr w:hSpace="180" w:wrap="around" w:vAnchor="text" w:hAnchor="margin" w:y="1"/>
      <w:numPr>
        <w:ilvl w:val="1"/>
      </w:numPr>
      <w:suppressOverlap/>
    </w:pPr>
    <w:rPr>
      <w:sz w:val="18"/>
    </w:rPr>
  </w:style>
  <w:style w:type="character" w:customStyle="1" w:styleId="StatementNameChar">
    <w:name w:val="Statement Name Char"/>
    <w:basedOn w:val="DefaultParagraphFont"/>
    <w:link w:val="StatementName"/>
    <w:rsid w:val="00C821EB"/>
    <w:rPr>
      <w:rFonts w:ascii="Arial" w:eastAsia="Times New Roman" w:hAnsi="Arial" w:cs="Arial"/>
      <w:b/>
      <w:sz w:val="24"/>
      <w:szCs w:val="24"/>
      <w:lang w:eastAsia="en-US"/>
    </w:rPr>
  </w:style>
  <w:style w:type="numbering" w:customStyle="1" w:styleId="Style2">
    <w:name w:val="Style2"/>
    <w:rsid w:val="00B040FE"/>
    <w:pPr>
      <w:numPr>
        <w:numId w:val="26"/>
      </w:numPr>
    </w:pPr>
  </w:style>
  <w:style w:type="character" w:customStyle="1" w:styleId="ReferenceTextChar">
    <w:name w:val="Reference Text Char"/>
    <w:basedOn w:val="DefaultParagraphFont"/>
    <w:link w:val="ReferenceText"/>
    <w:rsid w:val="003203A1"/>
    <w:rPr>
      <w:rFonts w:ascii="Arial" w:eastAsia="Times New Roman" w:hAnsi="Arial"/>
      <w:sz w:val="18"/>
    </w:rPr>
  </w:style>
  <w:style w:type="table" w:customStyle="1" w:styleId="TableGrid1">
    <w:name w:val="Table Grid1"/>
    <w:basedOn w:val="TableNormal"/>
    <w:next w:val="TableGrid"/>
    <w:rsid w:val="00B04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semiHidden/>
    <w:rsid w:val="00B040FE"/>
    <w:pPr>
      <w:spacing w:after="0" w:line="260" w:lineRule="atLeast"/>
    </w:pPr>
    <w:rPr>
      <w:rFonts w:ascii="Times New Roman" w:hAnsi="Times New Roman"/>
      <w:sz w:val="22"/>
      <w:szCs w:val="20"/>
      <w:lang w:eastAsia="en-US"/>
    </w:rPr>
  </w:style>
  <w:style w:type="paragraph" w:customStyle="1" w:styleId="GreyShadeTableBreak">
    <w:name w:val="Grey Shade Table Break"/>
    <w:basedOn w:val="Normal"/>
    <w:qFormat/>
    <w:rsid w:val="00B040FE"/>
    <w:pPr>
      <w:shd w:val="clear" w:color="auto" w:fill="D3D3D3" w:themeFill="background1" w:themeFillShade="D9"/>
      <w:tabs>
        <w:tab w:val="left" w:pos="9214"/>
      </w:tabs>
      <w:spacing w:after="0" w:line="260" w:lineRule="atLeast"/>
      <w:ind w:right="607"/>
    </w:pPr>
    <w:rPr>
      <w:rFonts w:ascii="Times New Roman" w:hAnsi="Times New Roman"/>
      <w:sz w:val="22"/>
      <w:szCs w:val="20"/>
      <w:lang w:eastAsia="en-US"/>
    </w:rPr>
  </w:style>
  <w:style w:type="paragraph" w:customStyle="1" w:styleId="GreyShadeTableBreaknon-Standard">
    <w:name w:val="Grey Shade Table Break non-Standard"/>
    <w:qFormat/>
    <w:rsid w:val="00B040FE"/>
    <w:pPr>
      <w:shd w:val="clear" w:color="auto" w:fill="D3D3D3" w:themeFill="background1" w:themeFillShade="D9"/>
      <w:ind w:right="57"/>
    </w:pPr>
    <w:rPr>
      <w:rFonts w:ascii="Times New Roman" w:eastAsia="Times New Roman" w:hAnsi="Times New Roman"/>
      <w:sz w:val="22"/>
      <w:lang w:eastAsia="en-US"/>
    </w:rPr>
  </w:style>
  <w:style w:type="paragraph" w:customStyle="1" w:styleId="ReferenceTextLetter">
    <w:name w:val="Reference Text Letter"/>
    <w:basedOn w:val="ReferenceText"/>
    <w:rsid w:val="00B040FE"/>
    <w:pPr>
      <w:ind w:left="567" w:right="567"/>
    </w:pPr>
    <w:rPr>
      <w:rFonts w:cs="Arial"/>
      <w:szCs w:val="18"/>
    </w:rPr>
  </w:style>
  <w:style w:type="paragraph" w:customStyle="1" w:styleId="StyleNotesHeaderLeftLeft-008cm">
    <w:name w:val="Style Notes Header + Left Left:  -0.08 cm"/>
    <w:basedOn w:val="Normal"/>
    <w:rsid w:val="00B040FE"/>
    <w:pPr>
      <w:numPr>
        <w:ilvl w:val="1"/>
        <w:numId w:val="27"/>
      </w:numPr>
      <w:spacing w:before="180" w:after="60" w:line="240" w:lineRule="auto"/>
    </w:pPr>
    <w:rPr>
      <w:b/>
      <w:bCs/>
      <w:sz w:val="18"/>
      <w:szCs w:val="20"/>
      <w:lang w:eastAsia="en-US"/>
    </w:rPr>
  </w:style>
  <w:style w:type="paragraph" w:customStyle="1" w:styleId="NotesText">
    <w:name w:val="Notes Text"/>
    <w:basedOn w:val="ReferenceText"/>
    <w:rsid w:val="00B040FE"/>
    <w:pPr>
      <w:spacing w:before="100" w:after="100"/>
    </w:pPr>
  </w:style>
  <w:style w:type="paragraph" w:customStyle="1" w:styleId="Default">
    <w:name w:val="Default"/>
    <w:rsid w:val="00B040FE"/>
    <w:pPr>
      <w:autoSpaceDE w:val="0"/>
      <w:autoSpaceDN w:val="0"/>
      <w:adjustRightInd w:val="0"/>
    </w:pPr>
    <w:rPr>
      <w:rFonts w:ascii="Times New Roman" w:eastAsiaTheme="minorHAnsi" w:hAnsi="Times New Roman"/>
      <w:color w:val="000000"/>
      <w:sz w:val="24"/>
      <w:szCs w:val="24"/>
      <w:lang w:eastAsia="en-US"/>
    </w:rPr>
  </w:style>
  <w:style w:type="table" w:customStyle="1" w:styleId="LightShading1">
    <w:name w:val="Light Shading1"/>
    <w:basedOn w:val="TableNormal"/>
    <w:uiPriority w:val="60"/>
    <w:rsid w:val="00B040FE"/>
    <w:rPr>
      <w:rFonts w:asciiTheme="minorHAnsi" w:eastAsiaTheme="minorHAnsi" w:hAnsiTheme="minorHAnsi" w:cstheme="minorBidi"/>
      <w:color w:val="501E58" w:themeColor="text1" w:themeShade="BF"/>
      <w:sz w:val="22"/>
      <w:szCs w:val="22"/>
      <w:lang w:eastAsia="en-US"/>
    </w:rPr>
    <w:tblPr>
      <w:tblStyleRowBandSize w:val="1"/>
      <w:tblStyleColBandSize w:val="1"/>
      <w:tblBorders>
        <w:top w:val="single" w:sz="8" w:space="0" w:color="6B2876" w:themeColor="text1"/>
        <w:bottom w:val="single" w:sz="8" w:space="0" w:color="6B2876" w:themeColor="text1"/>
      </w:tblBorders>
    </w:tblPr>
    <w:tblStylePr w:type="firstRow">
      <w:pPr>
        <w:spacing w:before="0" w:after="0" w:line="240" w:lineRule="auto"/>
      </w:pPr>
      <w:rPr>
        <w:b/>
        <w:bCs/>
      </w:rPr>
      <w:tblPr/>
      <w:tcPr>
        <w:tcBorders>
          <w:top w:val="single" w:sz="8" w:space="0" w:color="6B2876" w:themeColor="text1"/>
          <w:left w:val="nil"/>
          <w:bottom w:val="single" w:sz="8" w:space="0" w:color="6B2876" w:themeColor="text1"/>
          <w:right w:val="nil"/>
          <w:insideH w:val="nil"/>
          <w:insideV w:val="nil"/>
        </w:tcBorders>
      </w:tcPr>
    </w:tblStylePr>
    <w:tblStylePr w:type="lastRow">
      <w:pPr>
        <w:spacing w:before="0" w:after="0" w:line="240" w:lineRule="auto"/>
      </w:pPr>
      <w:rPr>
        <w:b/>
        <w:bCs/>
      </w:rPr>
      <w:tblPr/>
      <w:tcPr>
        <w:tcBorders>
          <w:top w:val="single" w:sz="8" w:space="0" w:color="6B2876" w:themeColor="text1"/>
          <w:left w:val="nil"/>
          <w:bottom w:val="single" w:sz="8" w:space="0" w:color="6B2876"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BEE9" w:themeFill="text1" w:themeFillTint="3F"/>
      </w:tcPr>
    </w:tblStylePr>
    <w:tblStylePr w:type="band1Horz">
      <w:tblPr/>
      <w:tcPr>
        <w:tcBorders>
          <w:left w:val="nil"/>
          <w:right w:val="nil"/>
          <w:insideH w:val="nil"/>
          <w:insideV w:val="nil"/>
        </w:tcBorders>
        <w:shd w:val="clear" w:color="auto" w:fill="E2BEE9" w:themeFill="text1" w:themeFillTint="3F"/>
      </w:tcPr>
    </w:tblStylePr>
  </w:style>
  <w:style w:type="table" w:customStyle="1" w:styleId="LightShading10">
    <w:name w:val="Light Shading10"/>
    <w:basedOn w:val="TableNormal"/>
    <w:next w:val="LightShading1"/>
    <w:uiPriority w:val="60"/>
    <w:rsid w:val="00B040FE"/>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
    <w:name w:val="Table Grid2"/>
    <w:basedOn w:val="TableNormal"/>
    <w:next w:val="TableGrid"/>
    <w:uiPriority w:val="59"/>
    <w:rsid w:val="00B040F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qFormat/>
    <w:rsid w:val="00B040FE"/>
    <w:rPr>
      <w:i/>
      <w:iCs/>
      <w:smallCaps/>
      <w:spacing w:val="5"/>
    </w:rPr>
  </w:style>
  <w:style w:type="paragraph" w:customStyle="1" w:styleId="PolicytextDept">
    <w:name w:val="Policy text Dept"/>
    <w:basedOn w:val="Normal"/>
    <w:link w:val="PolicytextDeptChar"/>
    <w:qFormat/>
    <w:rsid w:val="00B040FE"/>
    <w:pPr>
      <w:pBdr>
        <w:top w:val="single" w:sz="4" w:space="1" w:color="800080"/>
        <w:left w:val="single" w:sz="4" w:space="0" w:color="800080"/>
        <w:bottom w:val="single" w:sz="4" w:space="1" w:color="800080"/>
        <w:right w:val="single" w:sz="4" w:space="0" w:color="800080"/>
      </w:pBdr>
      <w:spacing w:after="120" w:line="120" w:lineRule="atLeast"/>
    </w:pPr>
    <w:rPr>
      <w:rFonts w:cs="Arial"/>
      <w:bCs/>
      <w:sz w:val="18"/>
      <w:szCs w:val="18"/>
      <w:lang w:eastAsia="en-US"/>
    </w:rPr>
  </w:style>
  <w:style w:type="character" w:customStyle="1" w:styleId="PolicytextDeptChar">
    <w:name w:val="Policy text Dept Char"/>
    <w:basedOn w:val="DefaultParagraphFont"/>
    <w:link w:val="PolicytextDept"/>
    <w:rsid w:val="00B040FE"/>
    <w:rPr>
      <w:rFonts w:ascii="Arial" w:eastAsia="Times New Roman" w:hAnsi="Arial" w:cs="Arial"/>
      <w:bCs/>
      <w:sz w:val="18"/>
      <w:szCs w:val="18"/>
      <w:lang w:eastAsia="en-US"/>
    </w:rPr>
  </w:style>
  <w:style w:type="paragraph" w:customStyle="1" w:styleId="PolicyheadingDept">
    <w:name w:val="Policy heading Dept"/>
    <w:basedOn w:val="PolicytextDept"/>
    <w:qFormat/>
    <w:rsid w:val="00B040FE"/>
    <w:rPr>
      <w:b/>
    </w:rPr>
  </w:style>
  <w:style w:type="paragraph" w:customStyle="1" w:styleId="SectionHeading">
    <w:name w:val="Section Heading"/>
    <w:basedOn w:val="Normal"/>
    <w:link w:val="SectionHeadingChar"/>
    <w:qFormat/>
    <w:rsid w:val="00B040FE"/>
    <w:pPr>
      <w:numPr>
        <w:numId w:val="29"/>
      </w:numPr>
      <w:shd w:val="clear" w:color="00CC99" w:fill="800080"/>
      <w:spacing w:after="0" w:line="260" w:lineRule="atLeast"/>
      <w:outlineLvl w:val="0"/>
    </w:pPr>
    <w:rPr>
      <w:rFonts w:ascii="Arial Bold" w:hAnsi="Arial Bold"/>
      <w:b/>
      <w:color w:val="F9F9F9" w:themeColor="background1"/>
      <w:szCs w:val="20"/>
      <w:lang w:eastAsia="en-US"/>
    </w:rPr>
  </w:style>
  <w:style w:type="character" w:customStyle="1" w:styleId="SectionHeadingChar">
    <w:name w:val="Section Heading Char"/>
    <w:basedOn w:val="DefaultParagraphFont"/>
    <w:link w:val="SectionHeading"/>
    <w:rsid w:val="00B040FE"/>
    <w:rPr>
      <w:rFonts w:ascii="Arial Bold" w:eastAsia="Times New Roman" w:hAnsi="Arial Bold"/>
      <w:b/>
      <w:color w:val="F9F9F9" w:themeColor="background1"/>
      <w:sz w:val="24"/>
      <w:shd w:val="clear" w:color="00CC99" w:fill="800080"/>
      <w:lang w:eastAsia="en-US"/>
    </w:rPr>
  </w:style>
  <w:style w:type="paragraph" w:customStyle="1" w:styleId="SubHeading">
    <w:name w:val="Sub Heading"/>
    <w:basedOn w:val="SectionHeading"/>
    <w:link w:val="SubHeadingChar"/>
    <w:qFormat/>
    <w:rsid w:val="00B040FE"/>
    <w:pPr>
      <w:numPr>
        <w:ilvl w:val="1"/>
        <w:numId w:val="30"/>
      </w:numPr>
      <w:shd w:val="clear" w:color="auto" w:fill="6B2876" w:themeFill="text1"/>
      <w:ind w:left="426" w:hanging="426"/>
      <w:outlineLvl w:val="1"/>
    </w:pPr>
    <w:rPr>
      <w:rFonts w:ascii="Arial" w:hAnsi="Arial" w:cs="Arial"/>
      <w:sz w:val="20"/>
    </w:rPr>
  </w:style>
  <w:style w:type="paragraph" w:customStyle="1" w:styleId="SectionHeadingDescription">
    <w:name w:val="Section Heading Description"/>
    <w:basedOn w:val="SectionHeading"/>
    <w:next w:val="SubHeading"/>
    <w:qFormat/>
    <w:rsid w:val="00B040FE"/>
    <w:pPr>
      <w:numPr>
        <w:numId w:val="0"/>
      </w:numPr>
      <w:outlineLvl w:val="9"/>
    </w:pPr>
    <w:rPr>
      <w:rFonts w:ascii="Arial" w:hAnsi="Arial"/>
      <w:b w:val="0"/>
      <w:sz w:val="18"/>
      <w:szCs w:val="18"/>
    </w:rPr>
  </w:style>
  <w:style w:type="character" w:customStyle="1" w:styleId="SubHeadingChar">
    <w:name w:val="Sub Heading Char"/>
    <w:basedOn w:val="DefaultParagraphFont"/>
    <w:link w:val="SubHeading"/>
    <w:rsid w:val="00B040FE"/>
    <w:rPr>
      <w:rFonts w:ascii="Arial" w:eastAsia="Times New Roman" w:hAnsi="Arial" w:cs="Arial"/>
      <w:b/>
      <w:color w:val="F9F9F9" w:themeColor="background1"/>
      <w:shd w:val="clear" w:color="auto" w:fill="6B2876" w:themeFill="text1"/>
      <w:lang w:eastAsia="en-US"/>
    </w:rPr>
  </w:style>
  <w:style w:type="paragraph" w:customStyle="1" w:styleId="AccountingPolicy-Departmental">
    <w:name w:val="Accounting Policy - Departmental"/>
    <w:basedOn w:val="Normal"/>
    <w:qFormat/>
    <w:rsid w:val="00B040FE"/>
    <w:pPr>
      <w:pBdr>
        <w:top w:val="single" w:sz="4" w:space="1" w:color="800080"/>
        <w:left w:val="single" w:sz="4" w:space="4" w:color="800080"/>
        <w:bottom w:val="single" w:sz="4" w:space="1" w:color="800080"/>
        <w:right w:val="single" w:sz="4" w:space="4" w:color="800080"/>
      </w:pBdr>
      <w:spacing w:after="20" w:line="260" w:lineRule="atLeast"/>
      <w:ind w:left="85" w:right="142"/>
      <w:outlineLvl w:val="0"/>
    </w:pPr>
    <w:rPr>
      <w:rFonts w:cs="Helvetica"/>
      <w:sz w:val="18"/>
      <w:szCs w:val="18"/>
      <w:lang w:eastAsia="en-US"/>
    </w:rPr>
  </w:style>
  <w:style w:type="paragraph" w:customStyle="1" w:styleId="SectionHeading-NoNumber">
    <w:name w:val="Section Heading - No Number"/>
    <w:basedOn w:val="SectionHeading"/>
    <w:link w:val="SectionHeading-NoNumberChar"/>
    <w:qFormat/>
    <w:rsid w:val="00B040FE"/>
    <w:pPr>
      <w:numPr>
        <w:numId w:val="0"/>
      </w:numPr>
      <w:shd w:val="clear" w:color="auto" w:fill="800080"/>
      <w:tabs>
        <w:tab w:val="right" w:pos="9072"/>
      </w:tabs>
    </w:pPr>
  </w:style>
  <w:style w:type="character" w:customStyle="1" w:styleId="SectionHeading-NoNumberChar">
    <w:name w:val="Section Heading - No Number Char"/>
    <w:basedOn w:val="SectionHeadingChar"/>
    <w:link w:val="SectionHeading-NoNumber"/>
    <w:rsid w:val="00B040FE"/>
    <w:rPr>
      <w:rFonts w:ascii="Arial Bold" w:eastAsia="Times New Roman" w:hAnsi="Arial Bold"/>
      <w:b/>
      <w:color w:val="F9F9F9" w:themeColor="background1"/>
      <w:sz w:val="24"/>
      <w:shd w:val="clear" w:color="auto" w:fill="800080"/>
      <w:lang w:eastAsia="en-US"/>
    </w:rPr>
  </w:style>
  <w:style w:type="paragraph" w:customStyle="1" w:styleId="Dash">
    <w:name w:val="Dash"/>
    <w:basedOn w:val="Normal"/>
    <w:rsid w:val="00B040FE"/>
    <w:pPr>
      <w:spacing w:line="240" w:lineRule="auto"/>
    </w:pPr>
    <w:rPr>
      <w:rFonts w:ascii="Times New Roman" w:hAnsi="Times New Roman"/>
      <w:lang w:eastAsia="en-US"/>
    </w:rPr>
  </w:style>
  <w:style w:type="character" w:customStyle="1" w:styleId="ms-rtefontsize-3">
    <w:name w:val="ms-rtefontsize-3"/>
    <w:basedOn w:val="DefaultParagraphFont"/>
    <w:rsid w:val="00B040FE"/>
  </w:style>
  <w:style w:type="paragraph" w:customStyle="1" w:styleId="CEOBrief-Heading1">
    <w:name w:val="CEO Brief - Heading 1"/>
    <w:basedOn w:val="ListParagraph"/>
    <w:qFormat/>
    <w:rsid w:val="00B040FE"/>
    <w:pPr>
      <w:numPr>
        <w:numId w:val="45"/>
      </w:numPr>
      <w:tabs>
        <w:tab w:val="num" w:pos="360"/>
      </w:tabs>
      <w:spacing w:before="120" w:after="120" w:line="240" w:lineRule="auto"/>
      <w:ind w:left="720" w:firstLine="0"/>
      <w:contextualSpacing w:val="0"/>
    </w:pPr>
    <w:rPr>
      <w:rFonts w:cs="Arial"/>
      <w:b/>
      <w:color w:val="6B2F76"/>
      <w:sz w:val="22"/>
      <w:szCs w:val="22"/>
      <w:lang w:eastAsia="en-US"/>
    </w:rPr>
  </w:style>
  <w:style w:type="character" w:customStyle="1" w:styleId="CEOBrief-Paragraph1Char">
    <w:name w:val="CEO Brief - Paragraph 1 Char"/>
    <w:basedOn w:val="DefaultParagraphFont"/>
    <w:link w:val="CEOBrief-Paragraph1"/>
    <w:locked/>
    <w:rsid w:val="00B040FE"/>
    <w:rPr>
      <w:rFonts w:ascii="Arial" w:hAnsi="Arial" w:cs="Arial"/>
      <w:sz w:val="22"/>
      <w:szCs w:val="22"/>
      <w:lang w:eastAsia="en-US"/>
    </w:rPr>
  </w:style>
  <w:style w:type="paragraph" w:customStyle="1" w:styleId="CEOBrief-Paragraph1">
    <w:name w:val="CEO Brief - Paragraph 1"/>
    <w:basedOn w:val="ListParagraph"/>
    <w:link w:val="CEOBrief-Paragraph1Char"/>
    <w:qFormat/>
    <w:rsid w:val="00B040FE"/>
    <w:pPr>
      <w:numPr>
        <w:ilvl w:val="1"/>
        <w:numId w:val="45"/>
      </w:numPr>
      <w:spacing w:before="120" w:after="120" w:line="240" w:lineRule="auto"/>
      <w:contextualSpacing w:val="0"/>
    </w:pPr>
    <w:rPr>
      <w:rFonts w:eastAsia="FSMePro" w:cs="Arial"/>
      <w:sz w:val="22"/>
      <w:szCs w:val="22"/>
      <w:lang w:eastAsia="en-US"/>
    </w:rPr>
  </w:style>
  <w:style w:type="paragraph" w:customStyle="1" w:styleId="CEOBrief-Paragraph2">
    <w:name w:val="CEO Brief - Paragraph 2"/>
    <w:basedOn w:val="CEOBrief-Paragraph1"/>
    <w:qFormat/>
    <w:rsid w:val="00B040FE"/>
    <w:pPr>
      <w:numPr>
        <w:ilvl w:val="2"/>
      </w:numPr>
      <w:tabs>
        <w:tab w:val="num" w:pos="360"/>
        <w:tab w:val="num" w:pos="1080"/>
      </w:tabs>
      <w:ind w:left="1224"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69536">
      <w:bodyDiv w:val="1"/>
      <w:marLeft w:val="0"/>
      <w:marRight w:val="0"/>
      <w:marTop w:val="0"/>
      <w:marBottom w:val="0"/>
      <w:divBdr>
        <w:top w:val="none" w:sz="0" w:space="0" w:color="auto"/>
        <w:left w:val="none" w:sz="0" w:space="0" w:color="auto"/>
        <w:bottom w:val="none" w:sz="0" w:space="0" w:color="auto"/>
        <w:right w:val="none" w:sz="0" w:space="0" w:color="auto"/>
      </w:divBdr>
    </w:div>
    <w:div w:id="15887228">
      <w:bodyDiv w:val="1"/>
      <w:marLeft w:val="0"/>
      <w:marRight w:val="0"/>
      <w:marTop w:val="0"/>
      <w:marBottom w:val="0"/>
      <w:divBdr>
        <w:top w:val="none" w:sz="0" w:space="0" w:color="auto"/>
        <w:left w:val="none" w:sz="0" w:space="0" w:color="auto"/>
        <w:bottom w:val="none" w:sz="0" w:space="0" w:color="auto"/>
        <w:right w:val="none" w:sz="0" w:space="0" w:color="auto"/>
      </w:divBdr>
    </w:div>
    <w:div w:id="61102695">
      <w:bodyDiv w:val="1"/>
      <w:marLeft w:val="0"/>
      <w:marRight w:val="0"/>
      <w:marTop w:val="0"/>
      <w:marBottom w:val="0"/>
      <w:divBdr>
        <w:top w:val="none" w:sz="0" w:space="0" w:color="auto"/>
        <w:left w:val="none" w:sz="0" w:space="0" w:color="auto"/>
        <w:bottom w:val="none" w:sz="0" w:space="0" w:color="auto"/>
        <w:right w:val="none" w:sz="0" w:space="0" w:color="auto"/>
      </w:divBdr>
    </w:div>
    <w:div w:id="85347119">
      <w:bodyDiv w:val="1"/>
      <w:marLeft w:val="0"/>
      <w:marRight w:val="0"/>
      <w:marTop w:val="0"/>
      <w:marBottom w:val="0"/>
      <w:divBdr>
        <w:top w:val="none" w:sz="0" w:space="0" w:color="auto"/>
        <w:left w:val="none" w:sz="0" w:space="0" w:color="auto"/>
        <w:bottom w:val="none" w:sz="0" w:space="0" w:color="auto"/>
        <w:right w:val="none" w:sz="0" w:space="0" w:color="auto"/>
      </w:divBdr>
    </w:div>
    <w:div w:id="97067511">
      <w:bodyDiv w:val="1"/>
      <w:marLeft w:val="0"/>
      <w:marRight w:val="0"/>
      <w:marTop w:val="0"/>
      <w:marBottom w:val="0"/>
      <w:divBdr>
        <w:top w:val="none" w:sz="0" w:space="0" w:color="auto"/>
        <w:left w:val="none" w:sz="0" w:space="0" w:color="auto"/>
        <w:bottom w:val="none" w:sz="0" w:space="0" w:color="auto"/>
        <w:right w:val="none" w:sz="0" w:space="0" w:color="auto"/>
      </w:divBdr>
    </w:div>
    <w:div w:id="99228503">
      <w:bodyDiv w:val="1"/>
      <w:marLeft w:val="0"/>
      <w:marRight w:val="0"/>
      <w:marTop w:val="0"/>
      <w:marBottom w:val="0"/>
      <w:divBdr>
        <w:top w:val="none" w:sz="0" w:space="0" w:color="auto"/>
        <w:left w:val="none" w:sz="0" w:space="0" w:color="auto"/>
        <w:bottom w:val="none" w:sz="0" w:space="0" w:color="auto"/>
        <w:right w:val="none" w:sz="0" w:space="0" w:color="auto"/>
      </w:divBdr>
    </w:div>
    <w:div w:id="108278284">
      <w:bodyDiv w:val="1"/>
      <w:marLeft w:val="0"/>
      <w:marRight w:val="0"/>
      <w:marTop w:val="0"/>
      <w:marBottom w:val="0"/>
      <w:divBdr>
        <w:top w:val="none" w:sz="0" w:space="0" w:color="auto"/>
        <w:left w:val="none" w:sz="0" w:space="0" w:color="auto"/>
        <w:bottom w:val="none" w:sz="0" w:space="0" w:color="auto"/>
        <w:right w:val="none" w:sz="0" w:space="0" w:color="auto"/>
      </w:divBdr>
    </w:div>
    <w:div w:id="386101568">
      <w:bodyDiv w:val="1"/>
      <w:marLeft w:val="0"/>
      <w:marRight w:val="0"/>
      <w:marTop w:val="0"/>
      <w:marBottom w:val="0"/>
      <w:divBdr>
        <w:top w:val="none" w:sz="0" w:space="0" w:color="auto"/>
        <w:left w:val="none" w:sz="0" w:space="0" w:color="auto"/>
        <w:bottom w:val="none" w:sz="0" w:space="0" w:color="auto"/>
        <w:right w:val="none" w:sz="0" w:space="0" w:color="auto"/>
      </w:divBdr>
    </w:div>
    <w:div w:id="463230996">
      <w:bodyDiv w:val="1"/>
      <w:marLeft w:val="0"/>
      <w:marRight w:val="0"/>
      <w:marTop w:val="0"/>
      <w:marBottom w:val="0"/>
      <w:divBdr>
        <w:top w:val="none" w:sz="0" w:space="0" w:color="auto"/>
        <w:left w:val="none" w:sz="0" w:space="0" w:color="auto"/>
        <w:bottom w:val="none" w:sz="0" w:space="0" w:color="auto"/>
        <w:right w:val="none" w:sz="0" w:space="0" w:color="auto"/>
      </w:divBdr>
    </w:div>
    <w:div w:id="518811203">
      <w:bodyDiv w:val="1"/>
      <w:marLeft w:val="0"/>
      <w:marRight w:val="0"/>
      <w:marTop w:val="0"/>
      <w:marBottom w:val="0"/>
      <w:divBdr>
        <w:top w:val="none" w:sz="0" w:space="0" w:color="auto"/>
        <w:left w:val="none" w:sz="0" w:space="0" w:color="auto"/>
        <w:bottom w:val="none" w:sz="0" w:space="0" w:color="auto"/>
        <w:right w:val="none" w:sz="0" w:space="0" w:color="auto"/>
      </w:divBdr>
    </w:div>
    <w:div w:id="677003835">
      <w:bodyDiv w:val="1"/>
      <w:marLeft w:val="0"/>
      <w:marRight w:val="0"/>
      <w:marTop w:val="0"/>
      <w:marBottom w:val="0"/>
      <w:divBdr>
        <w:top w:val="none" w:sz="0" w:space="0" w:color="auto"/>
        <w:left w:val="none" w:sz="0" w:space="0" w:color="auto"/>
        <w:bottom w:val="none" w:sz="0" w:space="0" w:color="auto"/>
        <w:right w:val="none" w:sz="0" w:space="0" w:color="auto"/>
      </w:divBdr>
    </w:div>
    <w:div w:id="770973793">
      <w:bodyDiv w:val="1"/>
      <w:marLeft w:val="0"/>
      <w:marRight w:val="0"/>
      <w:marTop w:val="0"/>
      <w:marBottom w:val="0"/>
      <w:divBdr>
        <w:top w:val="none" w:sz="0" w:space="0" w:color="auto"/>
        <w:left w:val="none" w:sz="0" w:space="0" w:color="auto"/>
        <w:bottom w:val="none" w:sz="0" w:space="0" w:color="auto"/>
        <w:right w:val="none" w:sz="0" w:space="0" w:color="auto"/>
      </w:divBdr>
    </w:div>
    <w:div w:id="775059600">
      <w:bodyDiv w:val="1"/>
      <w:marLeft w:val="0"/>
      <w:marRight w:val="0"/>
      <w:marTop w:val="0"/>
      <w:marBottom w:val="0"/>
      <w:divBdr>
        <w:top w:val="none" w:sz="0" w:space="0" w:color="auto"/>
        <w:left w:val="none" w:sz="0" w:space="0" w:color="auto"/>
        <w:bottom w:val="none" w:sz="0" w:space="0" w:color="auto"/>
        <w:right w:val="none" w:sz="0" w:space="0" w:color="auto"/>
      </w:divBdr>
    </w:div>
    <w:div w:id="799611433">
      <w:bodyDiv w:val="1"/>
      <w:marLeft w:val="0"/>
      <w:marRight w:val="0"/>
      <w:marTop w:val="0"/>
      <w:marBottom w:val="0"/>
      <w:divBdr>
        <w:top w:val="none" w:sz="0" w:space="0" w:color="auto"/>
        <w:left w:val="none" w:sz="0" w:space="0" w:color="auto"/>
        <w:bottom w:val="none" w:sz="0" w:space="0" w:color="auto"/>
        <w:right w:val="none" w:sz="0" w:space="0" w:color="auto"/>
      </w:divBdr>
    </w:div>
    <w:div w:id="821119745">
      <w:bodyDiv w:val="1"/>
      <w:marLeft w:val="0"/>
      <w:marRight w:val="0"/>
      <w:marTop w:val="0"/>
      <w:marBottom w:val="0"/>
      <w:divBdr>
        <w:top w:val="none" w:sz="0" w:space="0" w:color="auto"/>
        <w:left w:val="none" w:sz="0" w:space="0" w:color="auto"/>
        <w:bottom w:val="none" w:sz="0" w:space="0" w:color="auto"/>
        <w:right w:val="none" w:sz="0" w:space="0" w:color="auto"/>
      </w:divBdr>
      <w:divsChild>
        <w:div w:id="668947970">
          <w:marLeft w:val="0"/>
          <w:marRight w:val="0"/>
          <w:marTop w:val="0"/>
          <w:marBottom w:val="0"/>
          <w:divBdr>
            <w:top w:val="none" w:sz="0" w:space="0" w:color="auto"/>
            <w:left w:val="none" w:sz="0" w:space="0" w:color="auto"/>
            <w:bottom w:val="none" w:sz="0" w:space="0" w:color="auto"/>
            <w:right w:val="none" w:sz="0" w:space="0" w:color="auto"/>
          </w:divBdr>
          <w:divsChild>
            <w:div w:id="869495730">
              <w:marLeft w:val="0"/>
              <w:marRight w:val="0"/>
              <w:marTop w:val="0"/>
              <w:marBottom w:val="0"/>
              <w:divBdr>
                <w:top w:val="none" w:sz="0" w:space="0" w:color="auto"/>
                <w:left w:val="none" w:sz="0" w:space="0" w:color="auto"/>
                <w:bottom w:val="none" w:sz="0" w:space="0" w:color="auto"/>
                <w:right w:val="none" w:sz="0" w:space="0" w:color="auto"/>
              </w:divBdr>
              <w:divsChild>
                <w:div w:id="1879776626">
                  <w:marLeft w:val="0"/>
                  <w:marRight w:val="0"/>
                  <w:marTop w:val="0"/>
                  <w:marBottom w:val="0"/>
                  <w:divBdr>
                    <w:top w:val="none" w:sz="0" w:space="0" w:color="auto"/>
                    <w:left w:val="none" w:sz="0" w:space="0" w:color="auto"/>
                    <w:bottom w:val="none" w:sz="0" w:space="0" w:color="auto"/>
                    <w:right w:val="none" w:sz="0" w:space="0" w:color="auto"/>
                  </w:divBdr>
                  <w:divsChild>
                    <w:div w:id="1290090192">
                      <w:marLeft w:val="0"/>
                      <w:marRight w:val="0"/>
                      <w:marTop w:val="0"/>
                      <w:marBottom w:val="0"/>
                      <w:divBdr>
                        <w:top w:val="none" w:sz="0" w:space="0" w:color="auto"/>
                        <w:left w:val="none" w:sz="0" w:space="0" w:color="auto"/>
                        <w:bottom w:val="none" w:sz="0" w:space="0" w:color="auto"/>
                        <w:right w:val="none" w:sz="0" w:space="0" w:color="auto"/>
                      </w:divBdr>
                      <w:divsChild>
                        <w:div w:id="1778208205">
                          <w:marLeft w:val="0"/>
                          <w:marRight w:val="0"/>
                          <w:marTop w:val="0"/>
                          <w:marBottom w:val="0"/>
                          <w:divBdr>
                            <w:top w:val="none" w:sz="0" w:space="0" w:color="auto"/>
                            <w:left w:val="none" w:sz="0" w:space="0" w:color="auto"/>
                            <w:bottom w:val="none" w:sz="0" w:space="0" w:color="auto"/>
                            <w:right w:val="none" w:sz="0" w:space="0" w:color="auto"/>
                          </w:divBdr>
                          <w:divsChild>
                            <w:div w:id="180665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048975">
          <w:marLeft w:val="0"/>
          <w:marRight w:val="0"/>
          <w:marTop w:val="0"/>
          <w:marBottom w:val="0"/>
          <w:divBdr>
            <w:top w:val="none" w:sz="0" w:space="0" w:color="auto"/>
            <w:left w:val="none" w:sz="0" w:space="0" w:color="auto"/>
            <w:bottom w:val="none" w:sz="0" w:space="0" w:color="auto"/>
            <w:right w:val="none" w:sz="0" w:space="0" w:color="auto"/>
          </w:divBdr>
          <w:divsChild>
            <w:div w:id="150143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424451">
      <w:bodyDiv w:val="1"/>
      <w:marLeft w:val="0"/>
      <w:marRight w:val="0"/>
      <w:marTop w:val="0"/>
      <w:marBottom w:val="0"/>
      <w:divBdr>
        <w:top w:val="none" w:sz="0" w:space="0" w:color="auto"/>
        <w:left w:val="none" w:sz="0" w:space="0" w:color="auto"/>
        <w:bottom w:val="none" w:sz="0" w:space="0" w:color="auto"/>
        <w:right w:val="none" w:sz="0" w:space="0" w:color="auto"/>
      </w:divBdr>
    </w:div>
    <w:div w:id="941760682">
      <w:bodyDiv w:val="1"/>
      <w:marLeft w:val="0"/>
      <w:marRight w:val="0"/>
      <w:marTop w:val="0"/>
      <w:marBottom w:val="0"/>
      <w:divBdr>
        <w:top w:val="none" w:sz="0" w:space="0" w:color="auto"/>
        <w:left w:val="none" w:sz="0" w:space="0" w:color="auto"/>
        <w:bottom w:val="none" w:sz="0" w:space="0" w:color="auto"/>
        <w:right w:val="none" w:sz="0" w:space="0" w:color="auto"/>
      </w:divBdr>
    </w:div>
    <w:div w:id="1026637856">
      <w:bodyDiv w:val="1"/>
      <w:marLeft w:val="0"/>
      <w:marRight w:val="0"/>
      <w:marTop w:val="0"/>
      <w:marBottom w:val="0"/>
      <w:divBdr>
        <w:top w:val="none" w:sz="0" w:space="0" w:color="auto"/>
        <w:left w:val="none" w:sz="0" w:space="0" w:color="auto"/>
        <w:bottom w:val="none" w:sz="0" w:space="0" w:color="auto"/>
        <w:right w:val="none" w:sz="0" w:space="0" w:color="auto"/>
      </w:divBdr>
    </w:div>
    <w:div w:id="1171531077">
      <w:bodyDiv w:val="1"/>
      <w:marLeft w:val="0"/>
      <w:marRight w:val="0"/>
      <w:marTop w:val="0"/>
      <w:marBottom w:val="0"/>
      <w:divBdr>
        <w:top w:val="none" w:sz="0" w:space="0" w:color="auto"/>
        <w:left w:val="none" w:sz="0" w:space="0" w:color="auto"/>
        <w:bottom w:val="none" w:sz="0" w:space="0" w:color="auto"/>
        <w:right w:val="none" w:sz="0" w:space="0" w:color="auto"/>
      </w:divBdr>
    </w:div>
    <w:div w:id="1222710569">
      <w:bodyDiv w:val="1"/>
      <w:marLeft w:val="0"/>
      <w:marRight w:val="0"/>
      <w:marTop w:val="0"/>
      <w:marBottom w:val="0"/>
      <w:divBdr>
        <w:top w:val="none" w:sz="0" w:space="0" w:color="auto"/>
        <w:left w:val="none" w:sz="0" w:space="0" w:color="auto"/>
        <w:bottom w:val="none" w:sz="0" w:space="0" w:color="auto"/>
        <w:right w:val="none" w:sz="0" w:space="0" w:color="auto"/>
      </w:divBdr>
    </w:div>
    <w:div w:id="1229615678">
      <w:bodyDiv w:val="1"/>
      <w:marLeft w:val="0"/>
      <w:marRight w:val="0"/>
      <w:marTop w:val="0"/>
      <w:marBottom w:val="0"/>
      <w:divBdr>
        <w:top w:val="none" w:sz="0" w:space="0" w:color="auto"/>
        <w:left w:val="none" w:sz="0" w:space="0" w:color="auto"/>
        <w:bottom w:val="none" w:sz="0" w:space="0" w:color="auto"/>
        <w:right w:val="none" w:sz="0" w:space="0" w:color="auto"/>
      </w:divBdr>
    </w:div>
    <w:div w:id="1256399755">
      <w:bodyDiv w:val="1"/>
      <w:marLeft w:val="0"/>
      <w:marRight w:val="0"/>
      <w:marTop w:val="0"/>
      <w:marBottom w:val="0"/>
      <w:divBdr>
        <w:top w:val="none" w:sz="0" w:space="0" w:color="auto"/>
        <w:left w:val="none" w:sz="0" w:space="0" w:color="auto"/>
        <w:bottom w:val="none" w:sz="0" w:space="0" w:color="auto"/>
        <w:right w:val="none" w:sz="0" w:space="0" w:color="auto"/>
      </w:divBdr>
    </w:div>
    <w:div w:id="1281884827">
      <w:bodyDiv w:val="1"/>
      <w:marLeft w:val="0"/>
      <w:marRight w:val="0"/>
      <w:marTop w:val="0"/>
      <w:marBottom w:val="0"/>
      <w:divBdr>
        <w:top w:val="none" w:sz="0" w:space="0" w:color="auto"/>
        <w:left w:val="none" w:sz="0" w:space="0" w:color="auto"/>
        <w:bottom w:val="none" w:sz="0" w:space="0" w:color="auto"/>
        <w:right w:val="none" w:sz="0" w:space="0" w:color="auto"/>
      </w:divBdr>
    </w:div>
    <w:div w:id="1415201159">
      <w:bodyDiv w:val="1"/>
      <w:marLeft w:val="0"/>
      <w:marRight w:val="0"/>
      <w:marTop w:val="0"/>
      <w:marBottom w:val="0"/>
      <w:divBdr>
        <w:top w:val="none" w:sz="0" w:space="0" w:color="auto"/>
        <w:left w:val="none" w:sz="0" w:space="0" w:color="auto"/>
        <w:bottom w:val="none" w:sz="0" w:space="0" w:color="auto"/>
        <w:right w:val="none" w:sz="0" w:space="0" w:color="auto"/>
      </w:divBdr>
    </w:div>
    <w:div w:id="1420368525">
      <w:bodyDiv w:val="1"/>
      <w:marLeft w:val="0"/>
      <w:marRight w:val="0"/>
      <w:marTop w:val="0"/>
      <w:marBottom w:val="0"/>
      <w:divBdr>
        <w:top w:val="none" w:sz="0" w:space="0" w:color="auto"/>
        <w:left w:val="none" w:sz="0" w:space="0" w:color="auto"/>
        <w:bottom w:val="none" w:sz="0" w:space="0" w:color="auto"/>
        <w:right w:val="none" w:sz="0" w:space="0" w:color="auto"/>
      </w:divBdr>
    </w:div>
    <w:div w:id="1451321326">
      <w:bodyDiv w:val="1"/>
      <w:marLeft w:val="0"/>
      <w:marRight w:val="0"/>
      <w:marTop w:val="0"/>
      <w:marBottom w:val="0"/>
      <w:divBdr>
        <w:top w:val="none" w:sz="0" w:space="0" w:color="auto"/>
        <w:left w:val="none" w:sz="0" w:space="0" w:color="auto"/>
        <w:bottom w:val="none" w:sz="0" w:space="0" w:color="auto"/>
        <w:right w:val="none" w:sz="0" w:space="0" w:color="auto"/>
      </w:divBdr>
    </w:div>
    <w:div w:id="1507792986">
      <w:bodyDiv w:val="1"/>
      <w:marLeft w:val="0"/>
      <w:marRight w:val="0"/>
      <w:marTop w:val="0"/>
      <w:marBottom w:val="0"/>
      <w:divBdr>
        <w:top w:val="none" w:sz="0" w:space="0" w:color="auto"/>
        <w:left w:val="none" w:sz="0" w:space="0" w:color="auto"/>
        <w:bottom w:val="none" w:sz="0" w:space="0" w:color="auto"/>
        <w:right w:val="none" w:sz="0" w:space="0" w:color="auto"/>
      </w:divBdr>
      <w:divsChild>
        <w:div w:id="1258833994">
          <w:marLeft w:val="0"/>
          <w:marRight w:val="0"/>
          <w:marTop w:val="0"/>
          <w:marBottom w:val="0"/>
          <w:divBdr>
            <w:top w:val="none" w:sz="0" w:space="0" w:color="auto"/>
            <w:left w:val="none" w:sz="0" w:space="0" w:color="auto"/>
            <w:bottom w:val="none" w:sz="0" w:space="0" w:color="auto"/>
            <w:right w:val="none" w:sz="0" w:space="0" w:color="auto"/>
          </w:divBdr>
          <w:divsChild>
            <w:div w:id="600918944">
              <w:marLeft w:val="0"/>
              <w:marRight w:val="0"/>
              <w:marTop w:val="0"/>
              <w:marBottom w:val="0"/>
              <w:divBdr>
                <w:top w:val="none" w:sz="0" w:space="0" w:color="auto"/>
                <w:left w:val="none" w:sz="0" w:space="0" w:color="auto"/>
                <w:bottom w:val="none" w:sz="0" w:space="0" w:color="auto"/>
                <w:right w:val="none" w:sz="0" w:space="0" w:color="auto"/>
              </w:divBdr>
              <w:divsChild>
                <w:div w:id="470169485">
                  <w:marLeft w:val="0"/>
                  <w:marRight w:val="0"/>
                  <w:marTop w:val="0"/>
                  <w:marBottom w:val="0"/>
                  <w:divBdr>
                    <w:top w:val="none" w:sz="0" w:space="0" w:color="auto"/>
                    <w:left w:val="none" w:sz="0" w:space="0" w:color="auto"/>
                    <w:bottom w:val="none" w:sz="0" w:space="0" w:color="auto"/>
                    <w:right w:val="none" w:sz="0" w:space="0" w:color="auto"/>
                  </w:divBdr>
                  <w:divsChild>
                    <w:div w:id="1969162188">
                      <w:marLeft w:val="0"/>
                      <w:marRight w:val="0"/>
                      <w:marTop w:val="0"/>
                      <w:marBottom w:val="0"/>
                      <w:divBdr>
                        <w:top w:val="none" w:sz="0" w:space="0" w:color="auto"/>
                        <w:left w:val="none" w:sz="0" w:space="0" w:color="auto"/>
                        <w:bottom w:val="none" w:sz="0" w:space="0" w:color="auto"/>
                        <w:right w:val="none" w:sz="0" w:space="0" w:color="auto"/>
                      </w:divBdr>
                      <w:divsChild>
                        <w:div w:id="633095883">
                          <w:marLeft w:val="0"/>
                          <w:marRight w:val="0"/>
                          <w:marTop w:val="0"/>
                          <w:marBottom w:val="0"/>
                          <w:divBdr>
                            <w:top w:val="none" w:sz="0" w:space="0" w:color="auto"/>
                            <w:left w:val="none" w:sz="0" w:space="0" w:color="auto"/>
                            <w:bottom w:val="none" w:sz="0" w:space="0" w:color="auto"/>
                            <w:right w:val="none" w:sz="0" w:space="0" w:color="auto"/>
                          </w:divBdr>
                          <w:divsChild>
                            <w:div w:id="213648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329261">
          <w:marLeft w:val="0"/>
          <w:marRight w:val="0"/>
          <w:marTop w:val="0"/>
          <w:marBottom w:val="0"/>
          <w:divBdr>
            <w:top w:val="none" w:sz="0" w:space="0" w:color="auto"/>
            <w:left w:val="none" w:sz="0" w:space="0" w:color="auto"/>
            <w:bottom w:val="none" w:sz="0" w:space="0" w:color="auto"/>
            <w:right w:val="none" w:sz="0" w:space="0" w:color="auto"/>
          </w:divBdr>
          <w:divsChild>
            <w:div w:id="142475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06942">
      <w:bodyDiv w:val="1"/>
      <w:marLeft w:val="0"/>
      <w:marRight w:val="0"/>
      <w:marTop w:val="0"/>
      <w:marBottom w:val="0"/>
      <w:divBdr>
        <w:top w:val="none" w:sz="0" w:space="0" w:color="auto"/>
        <w:left w:val="none" w:sz="0" w:space="0" w:color="auto"/>
        <w:bottom w:val="none" w:sz="0" w:space="0" w:color="auto"/>
        <w:right w:val="none" w:sz="0" w:space="0" w:color="auto"/>
      </w:divBdr>
    </w:div>
    <w:div w:id="1641766136">
      <w:bodyDiv w:val="1"/>
      <w:marLeft w:val="0"/>
      <w:marRight w:val="0"/>
      <w:marTop w:val="0"/>
      <w:marBottom w:val="0"/>
      <w:divBdr>
        <w:top w:val="none" w:sz="0" w:space="0" w:color="auto"/>
        <w:left w:val="none" w:sz="0" w:space="0" w:color="auto"/>
        <w:bottom w:val="none" w:sz="0" w:space="0" w:color="auto"/>
        <w:right w:val="none" w:sz="0" w:space="0" w:color="auto"/>
      </w:divBdr>
    </w:div>
    <w:div w:id="1684280826">
      <w:bodyDiv w:val="1"/>
      <w:marLeft w:val="0"/>
      <w:marRight w:val="0"/>
      <w:marTop w:val="0"/>
      <w:marBottom w:val="0"/>
      <w:divBdr>
        <w:top w:val="none" w:sz="0" w:space="0" w:color="auto"/>
        <w:left w:val="none" w:sz="0" w:space="0" w:color="auto"/>
        <w:bottom w:val="none" w:sz="0" w:space="0" w:color="auto"/>
        <w:right w:val="none" w:sz="0" w:space="0" w:color="auto"/>
      </w:divBdr>
    </w:div>
    <w:div w:id="1776052382">
      <w:bodyDiv w:val="1"/>
      <w:marLeft w:val="0"/>
      <w:marRight w:val="0"/>
      <w:marTop w:val="0"/>
      <w:marBottom w:val="0"/>
      <w:divBdr>
        <w:top w:val="none" w:sz="0" w:space="0" w:color="auto"/>
        <w:left w:val="none" w:sz="0" w:space="0" w:color="auto"/>
        <w:bottom w:val="none" w:sz="0" w:space="0" w:color="auto"/>
        <w:right w:val="none" w:sz="0" w:space="0" w:color="auto"/>
      </w:divBdr>
    </w:div>
    <w:div w:id="1786076473">
      <w:bodyDiv w:val="1"/>
      <w:marLeft w:val="0"/>
      <w:marRight w:val="0"/>
      <w:marTop w:val="0"/>
      <w:marBottom w:val="0"/>
      <w:divBdr>
        <w:top w:val="none" w:sz="0" w:space="0" w:color="auto"/>
        <w:left w:val="none" w:sz="0" w:space="0" w:color="auto"/>
        <w:bottom w:val="none" w:sz="0" w:space="0" w:color="auto"/>
        <w:right w:val="none" w:sz="0" w:space="0" w:color="auto"/>
      </w:divBdr>
    </w:div>
    <w:div w:id="1840080492">
      <w:bodyDiv w:val="1"/>
      <w:marLeft w:val="0"/>
      <w:marRight w:val="0"/>
      <w:marTop w:val="0"/>
      <w:marBottom w:val="0"/>
      <w:divBdr>
        <w:top w:val="none" w:sz="0" w:space="0" w:color="auto"/>
        <w:left w:val="none" w:sz="0" w:space="0" w:color="auto"/>
        <w:bottom w:val="none" w:sz="0" w:space="0" w:color="auto"/>
        <w:right w:val="none" w:sz="0" w:space="0" w:color="auto"/>
      </w:divBdr>
    </w:div>
    <w:div w:id="1842239770">
      <w:bodyDiv w:val="1"/>
      <w:marLeft w:val="0"/>
      <w:marRight w:val="0"/>
      <w:marTop w:val="0"/>
      <w:marBottom w:val="0"/>
      <w:divBdr>
        <w:top w:val="none" w:sz="0" w:space="0" w:color="auto"/>
        <w:left w:val="none" w:sz="0" w:space="0" w:color="auto"/>
        <w:bottom w:val="none" w:sz="0" w:space="0" w:color="auto"/>
        <w:right w:val="none" w:sz="0" w:space="0" w:color="auto"/>
      </w:divBdr>
    </w:div>
    <w:div w:id="1854687825">
      <w:bodyDiv w:val="1"/>
      <w:marLeft w:val="0"/>
      <w:marRight w:val="0"/>
      <w:marTop w:val="0"/>
      <w:marBottom w:val="0"/>
      <w:divBdr>
        <w:top w:val="none" w:sz="0" w:space="0" w:color="auto"/>
        <w:left w:val="none" w:sz="0" w:space="0" w:color="auto"/>
        <w:bottom w:val="none" w:sz="0" w:space="0" w:color="auto"/>
        <w:right w:val="none" w:sz="0" w:space="0" w:color="auto"/>
      </w:divBdr>
      <w:divsChild>
        <w:div w:id="154995166">
          <w:marLeft w:val="0"/>
          <w:marRight w:val="0"/>
          <w:marTop w:val="0"/>
          <w:marBottom w:val="0"/>
          <w:divBdr>
            <w:top w:val="none" w:sz="0" w:space="0" w:color="auto"/>
            <w:left w:val="none" w:sz="0" w:space="0" w:color="auto"/>
            <w:bottom w:val="none" w:sz="0" w:space="0" w:color="auto"/>
            <w:right w:val="none" w:sz="0" w:space="0" w:color="auto"/>
          </w:divBdr>
          <w:divsChild>
            <w:div w:id="880167561">
              <w:marLeft w:val="0"/>
              <w:marRight w:val="0"/>
              <w:marTop w:val="0"/>
              <w:marBottom w:val="0"/>
              <w:divBdr>
                <w:top w:val="none" w:sz="0" w:space="0" w:color="auto"/>
                <w:left w:val="none" w:sz="0" w:space="0" w:color="auto"/>
                <w:bottom w:val="none" w:sz="0" w:space="0" w:color="auto"/>
                <w:right w:val="none" w:sz="0" w:space="0" w:color="auto"/>
              </w:divBdr>
            </w:div>
          </w:divsChild>
        </w:div>
        <w:div w:id="2095661070">
          <w:marLeft w:val="0"/>
          <w:marRight w:val="0"/>
          <w:marTop w:val="0"/>
          <w:marBottom w:val="0"/>
          <w:divBdr>
            <w:top w:val="none" w:sz="0" w:space="0" w:color="auto"/>
            <w:left w:val="none" w:sz="0" w:space="0" w:color="auto"/>
            <w:bottom w:val="none" w:sz="0" w:space="0" w:color="auto"/>
            <w:right w:val="none" w:sz="0" w:space="0" w:color="auto"/>
          </w:divBdr>
          <w:divsChild>
            <w:div w:id="2027902668">
              <w:marLeft w:val="0"/>
              <w:marRight w:val="0"/>
              <w:marTop w:val="0"/>
              <w:marBottom w:val="0"/>
              <w:divBdr>
                <w:top w:val="none" w:sz="0" w:space="0" w:color="auto"/>
                <w:left w:val="none" w:sz="0" w:space="0" w:color="auto"/>
                <w:bottom w:val="none" w:sz="0" w:space="0" w:color="auto"/>
                <w:right w:val="none" w:sz="0" w:space="0" w:color="auto"/>
              </w:divBdr>
              <w:divsChild>
                <w:div w:id="450248745">
                  <w:marLeft w:val="0"/>
                  <w:marRight w:val="0"/>
                  <w:marTop w:val="0"/>
                  <w:marBottom w:val="0"/>
                  <w:divBdr>
                    <w:top w:val="none" w:sz="0" w:space="0" w:color="auto"/>
                    <w:left w:val="none" w:sz="0" w:space="0" w:color="auto"/>
                    <w:bottom w:val="none" w:sz="0" w:space="0" w:color="auto"/>
                    <w:right w:val="none" w:sz="0" w:space="0" w:color="auto"/>
                  </w:divBdr>
                  <w:divsChild>
                    <w:div w:id="112990384">
                      <w:marLeft w:val="0"/>
                      <w:marRight w:val="0"/>
                      <w:marTop w:val="0"/>
                      <w:marBottom w:val="0"/>
                      <w:divBdr>
                        <w:top w:val="none" w:sz="0" w:space="0" w:color="auto"/>
                        <w:left w:val="none" w:sz="0" w:space="0" w:color="auto"/>
                        <w:bottom w:val="none" w:sz="0" w:space="0" w:color="auto"/>
                        <w:right w:val="none" w:sz="0" w:space="0" w:color="auto"/>
                      </w:divBdr>
                      <w:divsChild>
                        <w:div w:id="1094280346">
                          <w:marLeft w:val="0"/>
                          <w:marRight w:val="0"/>
                          <w:marTop w:val="0"/>
                          <w:marBottom w:val="0"/>
                          <w:divBdr>
                            <w:top w:val="none" w:sz="0" w:space="0" w:color="auto"/>
                            <w:left w:val="none" w:sz="0" w:space="0" w:color="auto"/>
                            <w:bottom w:val="none" w:sz="0" w:space="0" w:color="auto"/>
                            <w:right w:val="none" w:sz="0" w:space="0" w:color="auto"/>
                          </w:divBdr>
                          <w:divsChild>
                            <w:div w:id="4597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422279">
      <w:bodyDiv w:val="1"/>
      <w:marLeft w:val="0"/>
      <w:marRight w:val="0"/>
      <w:marTop w:val="0"/>
      <w:marBottom w:val="0"/>
      <w:divBdr>
        <w:top w:val="none" w:sz="0" w:space="0" w:color="auto"/>
        <w:left w:val="none" w:sz="0" w:space="0" w:color="auto"/>
        <w:bottom w:val="none" w:sz="0" w:space="0" w:color="auto"/>
        <w:right w:val="none" w:sz="0" w:space="0" w:color="auto"/>
      </w:divBdr>
    </w:div>
    <w:div w:id="1942757094">
      <w:bodyDiv w:val="1"/>
      <w:marLeft w:val="0"/>
      <w:marRight w:val="0"/>
      <w:marTop w:val="0"/>
      <w:marBottom w:val="0"/>
      <w:divBdr>
        <w:top w:val="none" w:sz="0" w:space="0" w:color="auto"/>
        <w:left w:val="none" w:sz="0" w:space="0" w:color="auto"/>
        <w:bottom w:val="none" w:sz="0" w:space="0" w:color="auto"/>
        <w:right w:val="none" w:sz="0" w:space="0" w:color="auto"/>
      </w:divBdr>
    </w:div>
    <w:div w:id="1982688687">
      <w:bodyDiv w:val="1"/>
      <w:marLeft w:val="0"/>
      <w:marRight w:val="0"/>
      <w:marTop w:val="0"/>
      <w:marBottom w:val="0"/>
      <w:divBdr>
        <w:top w:val="none" w:sz="0" w:space="0" w:color="auto"/>
        <w:left w:val="none" w:sz="0" w:space="0" w:color="auto"/>
        <w:bottom w:val="none" w:sz="0" w:space="0" w:color="auto"/>
        <w:right w:val="none" w:sz="0" w:space="0" w:color="auto"/>
      </w:divBdr>
    </w:div>
    <w:div w:id="2049721653">
      <w:bodyDiv w:val="1"/>
      <w:marLeft w:val="0"/>
      <w:marRight w:val="0"/>
      <w:marTop w:val="0"/>
      <w:marBottom w:val="0"/>
      <w:divBdr>
        <w:top w:val="none" w:sz="0" w:space="0" w:color="auto"/>
        <w:left w:val="none" w:sz="0" w:space="0" w:color="auto"/>
        <w:bottom w:val="none" w:sz="0" w:space="0" w:color="auto"/>
        <w:right w:val="none" w:sz="0" w:space="0" w:color="auto"/>
      </w:divBdr>
    </w:div>
    <w:div w:id="2080708882">
      <w:bodyDiv w:val="1"/>
      <w:marLeft w:val="0"/>
      <w:marRight w:val="0"/>
      <w:marTop w:val="0"/>
      <w:marBottom w:val="0"/>
      <w:divBdr>
        <w:top w:val="none" w:sz="0" w:space="0" w:color="auto"/>
        <w:left w:val="none" w:sz="0" w:space="0" w:color="auto"/>
        <w:bottom w:val="none" w:sz="0" w:space="0" w:color="auto"/>
        <w:right w:val="none" w:sz="0" w:space="0" w:color="auto"/>
      </w:divBdr>
    </w:div>
    <w:div w:id="2090542178">
      <w:bodyDiv w:val="1"/>
      <w:marLeft w:val="0"/>
      <w:marRight w:val="0"/>
      <w:marTop w:val="0"/>
      <w:marBottom w:val="0"/>
      <w:divBdr>
        <w:top w:val="none" w:sz="0" w:space="0" w:color="auto"/>
        <w:left w:val="none" w:sz="0" w:space="0" w:color="auto"/>
        <w:bottom w:val="none" w:sz="0" w:space="0" w:color="auto"/>
        <w:right w:val="none" w:sz="0" w:space="0" w:color="auto"/>
      </w:divBdr>
    </w:div>
    <w:div w:id="2140872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dis.gov.au/about-us/publications/corporate-plan" TargetMode="External"/><Relationship Id="rId21" Type="http://schemas.openxmlformats.org/officeDocument/2006/relationships/header" Target="header5.xml"/><Relationship Id="rId42" Type="http://schemas.openxmlformats.org/officeDocument/2006/relationships/image" Target="media/image11.PNG"/><Relationship Id="rId47" Type="http://schemas.openxmlformats.org/officeDocument/2006/relationships/footer" Target="footer9.xml"/><Relationship Id="rId63" Type="http://schemas.openxmlformats.org/officeDocument/2006/relationships/image" Target="media/image14.png"/><Relationship Id="rId68" Type="http://schemas.openxmlformats.org/officeDocument/2006/relationships/image" Target="media/image17.png"/><Relationship Id="rId84" Type="http://schemas.openxmlformats.org/officeDocument/2006/relationships/header" Target="header24.xml"/><Relationship Id="rId89" Type="http://schemas.openxmlformats.org/officeDocument/2006/relationships/footer" Target="footer20.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footer" Target="footer6.xml"/><Relationship Id="rId37" Type="http://schemas.openxmlformats.org/officeDocument/2006/relationships/image" Target="media/image8.png"/><Relationship Id="rId53" Type="http://schemas.openxmlformats.org/officeDocument/2006/relationships/header" Target="header15.xml"/><Relationship Id="rId58" Type="http://schemas.openxmlformats.org/officeDocument/2006/relationships/header" Target="header19.xml"/><Relationship Id="rId74" Type="http://schemas.openxmlformats.org/officeDocument/2006/relationships/image" Target="media/image23.png"/><Relationship Id="rId79" Type="http://schemas.openxmlformats.org/officeDocument/2006/relationships/footer" Target="footer14.xml"/><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eader" Target="header26.xml"/><Relationship Id="rId95" Type="http://schemas.openxmlformats.org/officeDocument/2006/relationships/footer" Target="footer24.xml"/><Relationship Id="rId22" Type="http://schemas.openxmlformats.org/officeDocument/2006/relationships/footer" Target="footer5.xml"/><Relationship Id="rId27" Type="http://schemas.openxmlformats.org/officeDocument/2006/relationships/hyperlink" Target="https://www.legislation.gov.au/C2013A00020/latest/text" TargetMode="External"/><Relationship Id="rId43" Type="http://schemas.openxmlformats.org/officeDocument/2006/relationships/image" Target="media/image12.JPG"/><Relationship Id="rId48" Type="http://schemas.openxmlformats.org/officeDocument/2006/relationships/header" Target="header11.xml"/><Relationship Id="rId64" Type="http://schemas.openxmlformats.org/officeDocument/2006/relationships/header" Target="header21.xml"/><Relationship Id="rId69" Type="http://schemas.openxmlformats.org/officeDocument/2006/relationships/image" Target="media/image18.jpeg"/><Relationship Id="rId80" Type="http://schemas.openxmlformats.org/officeDocument/2006/relationships/footer" Target="footer15.xml"/><Relationship Id="rId85" Type="http://schemas.openxmlformats.org/officeDocument/2006/relationships/footer" Target="footer17.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https://dss.gov.au" TargetMode="External"/><Relationship Id="rId33" Type="http://schemas.openxmlformats.org/officeDocument/2006/relationships/header" Target="header7.xml"/><Relationship Id="rId38" Type="http://schemas.openxmlformats.org/officeDocument/2006/relationships/image" Target="media/image9.png"/><Relationship Id="rId46" Type="http://schemas.openxmlformats.org/officeDocument/2006/relationships/footer" Target="footer8.xml"/><Relationship Id="rId59" Type="http://schemas.openxmlformats.org/officeDocument/2006/relationships/footer" Target="footer12.xml"/><Relationship Id="rId67" Type="http://schemas.openxmlformats.org/officeDocument/2006/relationships/image" Target="media/image16.png"/><Relationship Id="rId20" Type="http://schemas.openxmlformats.org/officeDocument/2006/relationships/footer" Target="footer4.xml"/><Relationship Id="rId41" Type="http://schemas.openxmlformats.org/officeDocument/2006/relationships/image" Target="media/image10.jpeg"/><Relationship Id="rId54" Type="http://schemas.openxmlformats.org/officeDocument/2006/relationships/footer" Target="footer11.xml"/><Relationship Id="rId62" Type="http://schemas.openxmlformats.org/officeDocument/2006/relationships/hyperlink" Target="https://dataresearch.ndis.gov.au/reports-and-analyses/previous-annual-financial-sustainability-reports" TargetMode="External"/><Relationship Id="rId70" Type="http://schemas.openxmlformats.org/officeDocument/2006/relationships/image" Target="media/image19.png"/><Relationship Id="rId75" Type="http://schemas.openxmlformats.org/officeDocument/2006/relationships/image" Target="media/image24.png"/><Relationship Id="rId83" Type="http://schemas.openxmlformats.org/officeDocument/2006/relationships/footer" Target="footer16.xml"/><Relationship Id="rId88" Type="http://schemas.openxmlformats.org/officeDocument/2006/relationships/footer" Target="footer19.xml"/><Relationship Id="rId91" Type="http://schemas.openxmlformats.org/officeDocument/2006/relationships/footer" Target="footer21.xml"/><Relationship Id="rId96"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hyperlink" Target="https://www.ndis.gov.au/about-us/publications/annual-financial-sustainability-reports" TargetMode="External"/><Relationship Id="rId36" Type="http://schemas.openxmlformats.org/officeDocument/2006/relationships/image" Target="media/image7.png"/><Relationship Id="rId49" Type="http://schemas.openxmlformats.org/officeDocument/2006/relationships/header" Target="header12.xml"/><Relationship Id="rId57" Type="http://schemas.openxmlformats.org/officeDocument/2006/relationships/header" Target="header18.xml"/><Relationship Id="rId10" Type="http://schemas.openxmlformats.org/officeDocument/2006/relationships/endnotes" Target="endnotes.xml"/><Relationship Id="rId31" Type="http://schemas.openxmlformats.org/officeDocument/2006/relationships/header" Target="header6.xml"/><Relationship Id="rId44" Type="http://schemas.openxmlformats.org/officeDocument/2006/relationships/image" Target="media/image13.png"/><Relationship Id="rId52" Type="http://schemas.openxmlformats.org/officeDocument/2006/relationships/header" Target="header14.xml"/><Relationship Id="rId60" Type="http://schemas.openxmlformats.org/officeDocument/2006/relationships/header" Target="header20.xml"/><Relationship Id="rId65" Type="http://schemas.openxmlformats.org/officeDocument/2006/relationships/header" Target="header22.xml"/><Relationship Id="rId73" Type="http://schemas.openxmlformats.org/officeDocument/2006/relationships/image" Target="media/image22.png"/><Relationship Id="rId78" Type="http://schemas.openxmlformats.org/officeDocument/2006/relationships/header" Target="header23.xml"/><Relationship Id="rId81" Type="http://schemas.openxmlformats.org/officeDocument/2006/relationships/hyperlink" Target="https://www.ndis-iac.com.au/" TargetMode="External"/><Relationship Id="rId86" Type="http://schemas.openxmlformats.org/officeDocument/2006/relationships/footer" Target="footer18.xml"/><Relationship Id="rId94" Type="http://schemas.openxmlformats.org/officeDocument/2006/relationships/footer" Target="footer23.xml"/><Relationship Id="rId99" Type="http://schemas.openxmlformats.org/officeDocument/2006/relationships/footer" Target="footer26.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3.png"/><Relationship Id="rId39" Type="http://schemas.openxmlformats.org/officeDocument/2006/relationships/header" Target="header8.xml"/><Relationship Id="rId34" Type="http://schemas.openxmlformats.org/officeDocument/2006/relationships/footer" Target="footer7.xml"/><Relationship Id="rId50" Type="http://schemas.openxmlformats.org/officeDocument/2006/relationships/footer" Target="footer10.xml"/><Relationship Id="rId55" Type="http://schemas.openxmlformats.org/officeDocument/2006/relationships/header" Target="header16.xml"/><Relationship Id="rId76" Type="http://schemas.openxmlformats.org/officeDocument/2006/relationships/image" Target="media/image25.png"/><Relationship Id="rId97" Type="http://schemas.openxmlformats.org/officeDocument/2006/relationships/footer" Target="footer25.xml"/><Relationship Id="rId7" Type="http://schemas.openxmlformats.org/officeDocument/2006/relationships/settings" Target="settings.xml"/><Relationship Id="rId71" Type="http://schemas.openxmlformats.org/officeDocument/2006/relationships/image" Target="media/image20.png"/><Relationship Id="rId92" Type="http://schemas.openxmlformats.org/officeDocument/2006/relationships/footer" Target="footer22.xml"/><Relationship Id="rId2" Type="http://schemas.openxmlformats.org/officeDocument/2006/relationships/customXml" Target="../customXml/item2.xml"/><Relationship Id="rId29" Type="http://schemas.openxmlformats.org/officeDocument/2006/relationships/hyperlink" Target="https://www.ndis.gov.au/about-us/publications/annual-report/annual-report-2020-21" TargetMode="External"/><Relationship Id="rId24" Type="http://schemas.openxmlformats.org/officeDocument/2006/relationships/image" Target="media/image5.png"/><Relationship Id="rId40" Type="http://schemas.openxmlformats.org/officeDocument/2006/relationships/header" Target="header9.xml"/><Relationship Id="rId45" Type="http://schemas.openxmlformats.org/officeDocument/2006/relationships/header" Target="header10.xml"/><Relationship Id="rId66" Type="http://schemas.openxmlformats.org/officeDocument/2006/relationships/image" Target="media/image15.emf"/><Relationship Id="rId87" Type="http://schemas.openxmlformats.org/officeDocument/2006/relationships/header" Target="header25.xml"/><Relationship Id="rId61" Type="http://schemas.openxmlformats.org/officeDocument/2006/relationships/footer" Target="footer13.xml"/><Relationship Id="rId82" Type="http://schemas.openxmlformats.org/officeDocument/2006/relationships/hyperlink" Target="https://www.ndis.gov.au/media/6993/download?attachment" TargetMode="External"/><Relationship Id="rId19" Type="http://schemas.openxmlformats.org/officeDocument/2006/relationships/header" Target="header4.xml"/><Relationship Id="rId14" Type="http://schemas.openxmlformats.org/officeDocument/2006/relationships/footer" Target="footer2.xml"/><Relationship Id="rId30" Type="http://schemas.openxmlformats.org/officeDocument/2006/relationships/hyperlink" Target="https://australiandisabilitynetwork.org.au/students-jobseekers/start-a-stepping-into-internship/" TargetMode="External"/><Relationship Id="rId35" Type="http://schemas.openxmlformats.org/officeDocument/2006/relationships/image" Target="media/image6.png"/><Relationship Id="rId56" Type="http://schemas.openxmlformats.org/officeDocument/2006/relationships/header" Target="header17.xml"/><Relationship Id="rId77" Type="http://schemas.openxmlformats.org/officeDocument/2006/relationships/image" Target="media/image26.png"/><Relationship Id="rId100" Type="http://schemas.openxmlformats.org/officeDocument/2006/relationships/footer" Target="footer27.xml"/><Relationship Id="rId8" Type="http://schemas.openxmlformats.org/officeDocument/2006/relationships/webSettings" Target="webSettings.xml"/><Relationship Id="rId51" Type="http://schemas.openxmlformats.org/officeDocument/2006/relationships/header" Target="header13.xml"/><Relationship Id="rId72" Type="http://schemas.openxmlformats.org/officeDocument/2006/relationships/image" Target="media/image21.png"/><Relationship Id="rId93" Type="http://schemas.openxmlformats.org/officeDocument/2006/relationships/header" Target="header27.xml"/><Relationship Id="rId98" Type="http://schemas.openxmlformats.org/officeDocument/2006/relationships/image" Target="media/image27.emf"/><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budget.gov.au/content/bp2/download/bp2_2024-25.pdf" TargetMode="External"/><Relationship Id="rId2" Type="http://schemas.openxmlformats.org/officeDocument/2006/relationships/hyperlink" Target="https://ministers.dss.gov.au/media-releases/11011" TargetMode="External"/><Relationship Id="rId1" Type="http://schemas.openxmlformats.org/officeDocument/2006/relationships/hyperlink" Target="https://www.dss.gov.au/publications-articles-corporate-publications-department-of-social-services-corporate-plans/department-of-social-services-corporate-plan-2023-24" TargetMode="External"/><Relationship Id="rId5" Type="http://schemas.openxmlformats.org/officeDocument/2006/relationships/hyperlink" Target="https://www.ndis.gov.au/news/9828-reinforcing-sustainable-honest-and-trustworthy-ndis" TargetMode="External"/><Relationship Id="rId4" Type="http://schemas.openxmlformats.org/officeDocument/2006/relationships/hyperlink" Target="https://www.aph.gov.au/Parliamentary_Business/Bills_Legislation/Bills_Search_Results/Result?bId=r718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B0038\AppData\Local\Microsoft\Windows\INetCache\Content.Outlook\82XQCGBL\NDIS%20Annual%20report%20template.dotx" TargetMode="External"/></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88102b3-a4e4-4628-9084-1226c40084d2" xsi:nil="true"/>
    <lcf76f155ced4ddcb4097134ff3c332f xmlns="825017e0-7538-4bca-873c-3a895d404480">
      <Terms xmlns="http://schemas.microsoft.com/office/infopath/2007/PartnerControls"/>
    </lcf76f155ced4ddcb4097134ff3c332f>
    <_Flow_SignoffStatus xmlns="825017e0-7538-4bca-873c-3a895d404480"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9F953A39A4F5941B24B59D3F23CA6C3" ma:contentTypeVersion="16" ma:contentTypeDescription="Create a new document." ma:contentTypeScope="" ma:versionID="758e355869a8636fa17be364c6fd5cd3">
  <xsd:schema xmlns:xsd="http://www.w3.org/2001/XMLSchema" xmlns:xs="http://www.w3.org/2001/XMLSchema" xmlns:p="http://schemas.microsoft.com/office/2006/metadata/properties" xmlns:ns2="825017e0-7538-4bca-873c-3a895d404480" xmlns:ns3="888102b3-a4e4-4628-9084-1226c40084d2" targetNamespace="http://schemas.microsoft.com/office/2006/metadata/properties" ma:root="true" ma:fieldsID="a817026e40e264c975ec8a7c65b87f36" ns2:_="" ns3:_="">
    <xsd:import namespace="825017e0-7538-4bca-873c-3a895d404480"/>
    <xsd:import namespace="888102b3-a4e4-4628-9084-1226c40084d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_Flow_SignoffStatus" minOccurs="0"/>
                <xsd:element ref="ns2:MediaLengthInSecond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5017e0-7538-4bca-873c-3a895d4044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8102b3-a4e4-4628-9084-1226c40084d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a5e051b-09b3-4e8f-be1a-59fdb832826f}" ma:internalName="TaxCatchAll" ma:showField="CatchAllData" ma:web="888102b3-a4e4-4628-9084-1226c40084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689B0D-D11F-46D6-8965-1D744A93D2D1}">
  <ds:schemaRefs>
    <ds:schemaRef ds:uri="http://purl.org/dc/terms/"/>
    <ds:schemaRef ds:uri="http://schemas.microsoft.com/office/infopath/2007/PartnerControls"/>
    <ds:schemaRef ds:uri="http://schemas.microsoft.com/office/2006/documentManagement/types"/>
    <ds:schemaRef ds:uri="http://www.w3.org/XML/1998/namespace"/>
    <ds:schemaRef ds:uri="http://purl.org/dc/dcmitype/"/>
    <ds:schemaRef ds:uri="http://schemas.microsoft.com/office/2006/metadata/properties"/>
    <ds:schemaRef ds:uri="3b2b40ee-b8fe-4b06-ad44-1258380a093b"/>
    <ds:schemaRef ds:uri="http://purl.org/dc/elements/1.1/"/>
    <ds:schemaRef ds:uri="http://schemas.openxmlformats.org/package/2006/metadata/core-properties"/>
    <ds:schemaRef ds:uri="66f30785-3033-406d-ad85-6f15c7f15760"/>
  </ds:schemaRefs>
</ds:datastoreItem>
</file>

<file path=customXml/itemProps2.xml><?xml version="1.0" encoding="utf-8"?>
<ds:datastoreItem xmlns:ds="http://schemas.openxmlformats.org/officeDocument/2006/customXml" ds:itemID="{60A4AC92-220E-4EF7-8079-60B37069D9A0}">
  <ds:schemaRefs>
    <ds:schemaRef ds:uri="http://schemas.openxmlformats.org/officeDocument/2006/bibliography"/>
  </ds:schemaRefs>
</ds:datastoreItem>
</file>

<file path=customXml/itemProps3.xml><?xml version="1.0" encoding="utf-8"?>
<ds:datastoreItem xmlns:ds="http://schemas.openxmlformats.org/officeDocument/2006/customXml" ds:itemID="{24C0B212-A13B-48FD-B8E9-9F8884AF5B72}"/>
</file>

<file path=customXml/itemProps4.xml><?xml version="1.0" encoding="utf-8"?>
<ds:datastoreItem xmlns:ds="http://schemas.openxmlformats.org/officeDocument/2006/customXml" ds:itemID="{89A69E3B-2E69-4E76-90FF-9674736F98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NDIS Annual report template.dotx</Template>
  <TotalTime>2</TotalTime>
  <Pages>150</Pages>
  <Words>38235</Words>
  <Characters>217945</Characters>
  <Application>Microsoft Office Word</Application>
  <DocSecurity>0</DocSecurity>
  <Lines>1816</Lines>
  <Paragraphs>511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Blachford, Bridie</cp:lastModifiedBy>
  <cp:revision>4</cp:revision>
  <cp:lastPrinted>2024-01-25T20:44:00Z</cp:lastPrinted>
  <dcterms:created xsi:type="dcterms:W3CDTF">2024-10-28T05:32:00Z</dcterms:created>
  <dcterms:modified xsi:type="dcterms:W3CDTF">2024-10-28T05:34:00Z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83f8d7-e91f-4eee-a336-52a8061c0503_ActionId">
    <vt:lpwstr>e07ae7a1-7253-4246-a758-4545ec851053</vt:lpwstr>
  </property>
  <property fmtid="{D5CDD505-2E9C-101B-9397-08002B2CF9AE}" pid="3" name="MediaServiceImageTags">
    <vt:lpwstr/>
  </property>
  <property fmtid="{D5CDD505-2E9C-101B-9397-08002B2CF9AE}" pid="4" name="ContentTypeId">
    <vt:lpwstr>0x010100B9F953A39A4F5941B24B59D3F23CA6C3</vt:lpwstr>
  </property>
  <property fmtid="{D5CDD505-2E9C-101B-9397-08002B2CF9AE}" pid="5" name="MSIP_Label_2b83f8d7-e91f-4eee-a336-52a8061c0503_SetDate">
    <vt:lpwstr>2024-10-22T05:04:59Z</vt:lpwstr>
  </property>
  <property fmtid="{D5CDD505-2E9C-101B-9397-08002B2CF9AE}" pid="6" name="MSIP_Label_2b83f8d7-e91f-4eee-a336-52a8061c0503_Name">
    <vt:lpwstr>OFFICIAL</vt:lpwstr>
  </property>
  <property fmtid="{D5CDD505-2E9C-101B-9397-08002B2CF9AE}" pid="7" name="MSIP_Label_2b83f8d7-e91f-4eee-a336-52a8061c0503_ContentBits">
    <vt:lpwstr>0</vt:lpwstr>
  </property>
  <property fmtid="{D5CDD505-2E9C-101B-9397-08002B2CF9AE}" pid="8" name="MSIP_Label_2b83f8d7-e91f-4eee-a336-52a8061c0503_SiteId">
    <vt:lpwstr>cd778b65-752d-454a-87cf-b9990fe58993</vt:lpwstr>
  </property>
  <property fmtid="{D5CDD505-2E9C-101B-9397-08002B2CF9AE}" pid="9" name="MSIP_Label_2b83f8d7-e91f-4eee-a336-52a8061c0503_Method">
    <vt:lpwstr>Privileged</vt:lpwstr>
  </property>
  <property fmtid="{D5CDD505-2E9C-101B-9397-08002B2CF9AE}" pid="10" name="MSIP_Label_2b83f8d7-e91f-4eee-a336-52a8061c0503_Enabled">
    <vt:lpwstr>true</vt:lpwstr>
  </property>
</Properties>
</file>